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508" w:lineRule="auto" w:before="78"/>
        <w:ind w:left="2389" w:right="2383" w:firstLine="0"/>
        <w:jc w:val="center"/>
        <w:rPr>
          <w:b/>
          <w:sz w:val="28"/>
        </w:rPr>
      </w:pPr>
      <w:r>
        <w:rPr>
          <w:b/>
          <w:sz w:val="28"/>
        </w:rPr>
        <w:t>Instituto Tecnológico de Costar Rica (ITCR) Universidad Nacional de Costa Rica (UNA) Universidad Estatal a Distancia (UNED)</w:t>
      </w:r>
    </w:p>
    <w:p>
      <w:pPr>
        <w:spacing w:line="319" w:lineRule="exact" w:before="0"/>
        <w:ind w:left="2389" w:right="2390" w:firstLine="0"/>
        <w:jc w:val="center"/>
        <w:rPr>
          <w:b/>
          <w:sz w:val="28"/>
        </w:rPr>
      </w:pPr>
      <w:r>
        <w:rPr>
          <w:b/>
          <w:sz w:val="28"/>
        </w:rPr>
        <w:t>Doctorado en Ciencias Naturales para el Desarrollo</w:t>
      </w:r>
    </w:p>
    <w:p>
      <w:pPr>
        <w:pStyle w:val="BodyText"/>
        <w:rPr>
          <w:b/>
          <w:sz w:val="20"/>
        </w:rPr>
      </w:pPr>
    </w:p>
    <w:p>
      <w:pPr>
        <w:pStyle w:val="BodyText"/>
        <w:rPr>
          <w:b/>
          <w:sz w:val="20"/>
        </w:rPr>
      </w:pPr>
    </w:p>
    <w:p>
      <w:pPr>
        <w:pStyle w:val="BodyText"/>
        <w:spacing w:before="2"/>
        <w:rPr>
          <w:b/>
          <w:sz w:val="17"/>
        </w:rPr>
      </w:pPr>
      <w:r>
        <w:rPr/>
        <w:drawing>
          <wp:anchor distT="0" distB="0" distL="0" distR="0" allowOverlap="1" layoutInCell="1" locked="0" behindDoc="0" simplePos="0" relativeHeight="0">
            <wp:simplePos x="0" y="0"/>
            <wp:positionH relativeFrom="page">
              <wp:posOffset>2781300</wp:posOffset>
            </wp:positionH>
            <wp:positionV relativeFrom="paragraph">
              <wp:posOffset>150791</wp:posOffset>
            </wp:positionV>
            <wp:extent cx="2207239" cy="445007"/>
            <wp:effectExtent l="0" t="0" r="0" b="0"/>
            <wp:wrapTopAndBottom/>
            <wp:docPr id="1" name="image1.jpeg"/>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2207239" cy="445007"/>
                    </a:xfrm>
                    <a:prstGeom prst="rect">
                      <a:avLst/>
                    </a:prstGeom>
                  </pic:spPr>
                </pic:pic>
              </a:graphicData>
            </a:graphic>
          </wp:anchor>
        </w:drawing>
      </w:r>
    </w:p>
    <w:p>
      <w:pPr>
        <w:pStyle w:val="BodyText"/>
        <w:rPr>
          <w:b/>
          <w:sz w:val="30"/>
        </w:rPr>
      </w:pPr>
    </w:p>
    <w:p>
      <w:pPr>
        <w:spacing w:before="213"/>
        <w:ind w:left="1560" w:right="1562" w:firstLine="2"/>
        <w:jc w:val="center"/>
        <w:rPr>
          <w:b/>
          <w:sz w:val="32"/>
        </w:rPr>
      </w:pPr>
      <w:r>
        <w:rPr>
          <w:b/>
          <w:sz w:val="32"/>
        </w:rPr>
        <w:t>“Estimación Económico-Ecológica de Deuda Ecológica: Caso de Estudio de las Zonas Adyacentes a la Zona Protectora Cerros de La Carpintera en el Valle Central</w:t>
      </w:r>
      <w:r>
        <w:rPr>
          <w:b/>
          <w:spacing w:val="-17"/>
          <w:sz w:val="32"/>
        </w:rPr>
        <w:t> </w:t>
      </w:r>
      <w:r>
        <w:rPr>
          <w:b/>
          <w:sz w:val="32"/>
        </w:rPr>
        <w:t>de Costa</w:t>
      </w:r>
      <w:r>
        <w:rPr>
          <w:b/>
          <w:spacing w:val="-3"/>
          <w:sz w:val="32"/>
        </w:rPr>
        <w:t> </w:t>
      </w:r>
      <w:r>
        <w:rPr>
          <w:b/>
          <w:sz w:val="32"/>
        </w:rPr>
        <w:t>Rica”</w:t>
      </w:r>
    </w:p>
    <w:p>
      <w:pPr>
        <w:pStyle w:val="BodyText"/>
        <w:rPr>
          <w:b/>
          <w:sz w:val="36"/>
        </w:rPr>
      </w:pPr>
    </w:p>
    <w:p>
      <w:pPr>
        <w:pStyle w:val="BodyText"/>
        <w:rPr>
          <w:b/>
          <w:sz w:val="36"/>
        </w:rPr>
      </w:pPr>
    </w:p>
    <w:p>
      <w:pPr>
        <w:pStyle w:val="BodyText"/>
        <w:spacing w:before="9"/>
        <w:rPr>
          <w:b/>
          <w:sz w:val="39"/>
        </w:rPr>
      </w:pPr>
    </w:p>
    <w:p>
      <w:pPr>
        <w:spacing w:line="240" w:lineRule="auto" w:before="0"/>
        <w:ind w:left="1384" w:right="1379" w:hanging="6"/>
        <w:jc w:val="center"/>
        <w:rPr>
          <w:b/>
          <w:sz w:val="28"/>
        </w:rPr>
      </w:pPr>
      <w:r>
        <w:rPr>
          <w:b/>
          <w:sz w:val="28"/>
        </w:rPr>
        <w:t>Tesis doctoral sometida a consideración del tribunal examinador como requisito para optar al grado de Doctor en Ciencias Naturales para el Desarrollo con énfasis en Gestión y Cultura Ambiental</w:t>
      </w:r>
    </w:p>
    <w:p>
      <w:pPr>
        <w:pStyle w:val="BodyText"/>
        <w:rPr>
          <w:b/>
          <w:sz w:val="30"/>
        </w:rPr>
      </w:pPr>
    </w:p>
    <w:p>
      <w:pPr>
        <w:pStyle w:val="BodyText"/>
        <w:rPr>
          <w:b/>
          <w:sz w:val="33"/>
        </w:rPr>
      </w:pPr>
    </w:p>
    <w:p>
      <w:pPr>
        <w:pStyle w:val="Heading2"/>
        <w:spacing w:before="0"/>
        <w:ind w:left="2389" w:right="2389"/>
        <w:jc w:val="center"/>
      </w:pPr>
      <w:r>
        <w:rPr/>
        <w:t>Dr. Bernardo Aguilar González</w:t>
      </w:r>
    </w:p>
    <w:p>
      <w:pPr>
        <w:pStyle w:val="BodyText"/>
        <w:rPr>
          <w:b/>
          <w:sz w:val="26"/>
        </w:rPr>
      </w:pPr>
    </w:p>
    <w:p>
      <w:pPr>
        <w:pStyle w:val="BodyText"/>
        <w:rPr>
          <w:b/>
          <w:sz w:val="26"/>
        </w:rPr>
      </w:pPr>
    </w:p>
    <w:p>
      <w:pPr>
        <w:pStyle w:val="BodyText"/>
        <w:rPr>
          <w:b/>
          <w:sz w:val="26"/>
        </w:rPr>
      </w:pPr>
    </w:p>
    <w:p>
      <w:pPr>
        <w:pStyle w:val="BodyText"/>
        <w:spacing w:before="4"/>
        <w:rPr>
          <w:b/>
          <w:sz w:val="26"/>
        </w:rPr>
      </w:pPr>
    </w:p>
    <w:p>
      <w:pPr>
        <w:spacing w:line="412" w:lineRule="auto" w:before="1"/>
        <w:ind w:left="2816" w:right="2821" w:firstLine="0"/>
        <w:jc w:val="center"/>
        <w:rPr>
          <w:b/>
          <w:sz w:val="24"/>
        </w:rPr>
      </w:pPr>
      <w:r>
        <w:rPr>
          <w:b/>
          <w:sz w:val="24"/>
        </w:rPr>
        <w:t>Universidad Estatal a Distancia, San José, Costa Rica 28 de marzo del 2019</w:t>
      </w:r>
    </w:p>
    <w:p>
      <w:pPr>
        <w:spacing w:after="0" w:line="412" w:lineRule="auto"/>
        <w:jc w:val="center"/>
        <w:rPr>
          <w:sz w:val="24"/>
        </w:rPr>
        <w:sectPr>
          <w:footerReference w:type="default" r:id="rId5"/>
          <w:type w:val="continuous"/>
          <w:pgSz w:w="12240" w:h="15840"/>
          <w:pgMar w:footer="1062" w:top="1360" w:bottom="1260" w:left="240" w:right="240"/>
          <w:pgNumType w:start="1"/>
        </w:sectPr>
      </w:pPr>
    </w:p>
    <w:p>
      <w:pPr>
        <w:spacing w:line="508" w:lineRule="auto" w:before="78" w:after="9"/>
        <w:ind w:left="2389" w:right="2383" w:firstLine="0"/>
        <w:jc w:val="center"/>
        <w:rPr>
          <w:b/>
          <w:sz w:val="28"/>
        </w:rPr>
      </w:pPr>
      <w:r>
        <w:rPr>
          <w:b/>
          <w:sz w:val="28"/>
        </w:rPr>
        <w:t>Instituto Tecnológico de Costar Rica (ITCR) Universidad Nacional de Costa Rica (UNA) Universidad Estatal a Distancia (UNED)</w:t>
      </w:r>
    </w:p>
    <w:p>
      <w:pPr>
        <w:tabs>
          <w:tab w:pos="5436" w:val="left" w:leader="none"/>
          <w:tab w:pos="6783" w:val="left" w:leader="none"/>
        </w:tabs>
        <w:spacing w:line="240" w:lineRule="auto"/>
        <w:ind w:left="4007" w:right="0" w:firstLine="0"/>
        <w:rPr>
          <w:sz w:val="20"/>
        </w:rPr>
      </w:pPr>
      <w:r>
        <w:rPr>
          <w:sz w:val="20"/>
        </w:rPr>
        <w:drawing>
          <wp:inline distT="0" distB="0" distL="0" distR="0">
            <wp:extent cx="628649" cy="628650"/>
            <wp:effectExtent l="0" t="0" r="0" b="0"/>
            <wp:docPr id="3" name="image2.png" descr="Image result for instituto tecnolÃ³gico de costa rica"/>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628649" cy="628650"/>
                    </a:xfrm>
                    <a:prstGeom prst="rect">
                      <a:avLst/>
                    </a:prstGeom>
                  </pic:spPr>
                </pic:pic>
              </a:graphicData>
            </a:graphic>
          </wp:inline>
        </w:drawing>
      </w:r>
      <w:r>
        <w:rPr>
          <w:sz w:val="20"/>
        </w:rPr>
      </w:r>
      <w:r>
        <w:rPr>
          <w:sz w:val="20"/>
        </w:rPr>
        <w:tab/>
      </w:r>
      <w:r>
        <w:rPr>
          <w:position w:val="7"/>
          <w:sz w:val="20"/>
        </w:rPr>
        <w:drawing>
          <wp:inline distT="0" distB="0" distL="0" distR="0">
            <wp:extent cx="560831" cy="560831"/>
            <wp:effectExtent l="0" t="0" r="0" b="0"/>
            <wp:docPr id="5" name="image3.png" descr="Universidad Nacional Costa Rica.png"/>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560831" cy="560831"/>
                    </a:xfrm>
                    <a:prstGeom prst="rect">
                      <a:avLst/>
                    </a:prstGeom>
                  </pic:spPr>
                </pic:pic>
              </a:graphicData>
            </a:graphic>
          </wp:inline>
        </w:drawing>
      </w:r>
      <w:r>
        <w:rPr>
          <w:position w:val="7"/>
          <w:sz w:val="20"/>
        </w:rPr>
      </w:r>
      <w:r>
        <w:rPr>
          <w:position w:val="7"/>
          <w:sz w:val="20"/>
        </w:rPr>
        <w:tab/>
      </w:r>
      <w:r>
        <w:rPr>
          <w:position w:val="3"/>
          <w:sz w:val="20"/>
        </w:rPr>
        <w:drawing>
          <wp:inline distT="0" distB="0" distL="0" distR="0">
            <wp:extent cx="621836" cy="603503"/>
            <wp:effectExtent l="0" t="0" r="0" b="0"/>
            <wp:docPr id="7" name="image4.jpeg" descr="Image result for universidad estatal a distancia"/>
            <wp:cNvGraphicFramePr>
              <a:graphicFrameLocks noChangeAspect="1"/>
            </wp:cNvGraphicFramePr>
            <a:graphic>
              <a:graphicData uri="http://schemas.openxmlformats.org/drawingml/2006/picture">
                <pic:pic>
                  <pic:nvPicPr>
                    <pic:cNvPr id="8" name="image4.jpeg"/>
                    <pic:cNvPicPr/>
                  </pic:nvPicPr>
                  <pic:blipFill>
                    <a:blip r:embed="rId9" cstate="print"/>
                    <a:stretch>
                      <a:fillRect/>
                    </a:stretch>
                  </pic:blipFill>
                  <pic:spPr>
                    <a:xfrm>
                      <a:off x="0" y="0"/>
                      <a:ext cx="621836" cy="603503"/>
                    </a:xfrm>
                    <a:prstGeom prst="rect">
                      <a:avLst/>
                    </a:prstGeom>
                  </pic:spPr>
                </pic:pic>
              </a:graphicData>
            </a:graphic>
          </wp:inline>
        </w:drawing>
      </w:r>
      <w:r>
        <w:rPr>
          <w:position w:val="3"/>
          <w:sz w:val="20"/>
        </w:rPr>
      </w:r>
    </w:p>
    <w:p>
      <w:pPr>
        <w:pStyle w:val="BodyText"/>
        <w:rPr>
          <w:b/>
          <w:sz w:val="30"/>
        </w:rPr>
      </w:pPr>
    </w:p>
    <w:p>
      <w:pPr>
        <w:pStyle w:val="BodyText"/>
        <w:spacing w:before="1"/>
        <w:rPr>
          <w:b/>
          <w:sz w:val="33"/>
        </w:rPr>
      </w:pPr>
    </w:p>
    <w:p>
      <w:pPr>
        <w:spacing w:line="240" w:lineRule="auto" w:before="0"/>
        <w:ind w:left="1376" w:right="1380" w:firstLine="3"/>
        <w:jc w:val="center"/>
        <w:rPr>
          <w:b/>
          <w:sz w:val="28"/>
        </w:rPr>
      </w:pPr>
      <w:r>
        <w:rPr>
          <w:b/>
          <w:sz w:val="28"/>
        </w:rPr>
        <w:t>“Estimación Económico-Ecológica de Deuda Ecológica: Caso de Estudio de las Zonas Adyacentes a la Zona Protectora Cerros de</w:t>
      </w:r>
      <w:r>
        <w:rPr>
          <w:b/>
          <w:spacing w:val="-32"/>
          <w:sz w:val="28"/>
        </w:rPr>
        <w:t> </w:t>
      </w:r>
      <w:r>
        <w:rPr>
          <w:b/>
          <w:sz w:val="28"/>
        </w:rPr>
        <w:t>La Carpintera en el Valle Central de Costa</w:t>
      </w:r>
      <w:r>
        <w:rPr>
          <w:b/>
          <w:spacing w:val="-17"/>
          <w:sz w:val="28"/>
        </w:rPr>
        <w:t> </w:t>
      </w:r>
      <w:r>
        <w:rPr>
          <w:b/>
          <w:sz w:val="28"/>
        </w:rPr>
        <w:t>Rica”</w:t>
      </w:r>
    </w:p>
    <w:p>
      <w:pPr>
        <w:pStyle w:val="BodyText"/>
        <w:spacing w:before="2"/>
        <w:rPr>
          <w:b/>
          <w:sz w:val="21"/>
        </w:rPr>
      </w:pPr>
      <w:r>
        <w:rPr/>
        <w:drawing>
          <wp:anchor distT="0" distB="0" distL="0" distR="0" allowOverlap="1" layoutInCell="1" locked="0" behindDoc="0" simplePos="0" relativeHeight="1">
            <wp:simplePos x="0" y="0"/>
            <wp:positionH relativeFrom="page">
              <wp:posOffset>2794635</wp:posOffset>
            </wp:positionH>
            <wp:positionV relativeFrom="paragraph">
              <wp:posOffset>179986</wp:posOffset>
            </wp:positionV>
            <wp:extent cx="2207239" cy="445008"/>
            <wp:effectExtent l="0" t="0" r="0" b="0"/>
            <wp:wrapTopAndBottom/>
            <wp:docPr id="9" name="image1.jpeg"/>
            <wp:cNvGraphicFramePr>
              <a:graphicFrameLocks noChangeAspect="1"/>
            </wp:cNvGraphicFramePr>
            <a:graphic>
              <a:graphicData uri="http://schemas.openxmlformats.org/drawingml/2006/picture">
                <pic:pic>
                  <pic:nvPicPr>
                    <pic:cNvPr id="10" name="image1.jpeg"/>
                    <pic:cNvPicPr/>
                  </pic:nvPicPr>
                  <pic:blipFill>
                    <a:blip r:embed="rId6" cstate="print"/>
                    <a:stretch>
                      <a:fillRect/>
                    </a:stretch>
                  </pic:blipFill>
                  <pic:spPr>
                    <a:xfrm>
                      <a:off x="0" y="0"/>
                      <a:ext cx="2207239" cy="445008"/>
                    </a:xfrm>
                    <a:prstGeom prst="rect">
                      <a:avLst/>
                    </a:prstGeom>
                  </pic:spPr>
                </pic:pic>
              </a:graphicData>
            </a:graphic>
          </wp:anchor>
        </w:drawing>
      </w:r>
    </w:p>
    <w:p>
      <w:pPr>
        <w:spacing w:line="240" w:lineRule="auto" w:before="230"/>
        <w:ind w:left="1344" w:right="1340" w:firstLine="0"/>
        <w:jc w:val="center"/>
        <w:rPr>
          <w:sz w:val="28"/>
        </w:rPr>
      </w:pPr>
      <w:r>
        <w:rPr>
          <w:sz w:val="28"/>
        </w:rPr>
        <w:t>Trabajo sometido a consideración del Tribunal Evaluador como requisito para optar por el grado de Doctorado en Ciencias Naturales para el Desarrollo con énfasis en con énfasis en Gestión y Cultura Ambiental</w:t>
      </w:r>
    </w:p>
    <w:p>
      <w:pPr>
        <w:pStyle w:val="BodyText"/>
        <w:spacing w:line="412" w:lineRule="auto" w:before="207"/>
        <w:ind w:left="4441" w:right="4417" w:firstLine="839"/>
      </w:pPr>
      <w:r>
        <w:rPr/>
        <w:t>Estudiante: Bernardo Aguilar González</w:t>
      </w:r>
    </w:p>
    <w:p>
      <w:pPr>
        <w:pStyle w:val="BodyText"/>
        <w:spacing w:before="3"/>
        <w:ind w:left="2389" w:right="2387"/>
        <w:jc w:val="center"/>
      </w:pPr>
      <w:r>
        <w:rPr/>
        <w:t>Tutor:</w:t>
      </w:r>
    </w:p>
    <w:p>
      <w:pPr>
        <w:pStyle w:val="BodyText"/>
        <w:spacing w:line="412" w:lineRule="auto" w:before="201"/>
        <w:ind w:left="4213" w:right="4210"/>
        <w:jc w:val="center"/>
      </w:pPr>
      <w:r>
        <w:rPr/>
        <w:t>Dr. Tomás Guzmán Hernández Asesores:</w:t>
      </w:r>
    </w:p>
    <w:p>
      <w:pPr>
        <w:pStyle w:val="BodyText"/>
        <w:spacing w:line="415" w:lineRule="auto" w:before="2"/>
        <w:ind w:left="4521" w:right="4520" w:firstLine="3"/>
        <w:jc w:val="center"/>
      </w:pPr>
      <w:r>
        <w:rPr/>
        <w:t>Dr. Joan Martínez Alier, Dr. Olman Segura</w:t>
      </w:r>
      <w:r>
        <w:rPr>
          <w:spacing w:val="-15"/>
        </w:rPr>
        <w:t> </w:t>
      </w:r>
      <w:r>
        <w:rPr/>
        <w:t>Bonilla</w:t>
      </w:r>
    </w:p>
    <w:p>
      <w:pPr>
        <w:pStyle w:val="BodyText"/>
        <w:spacing w:before="9"/>
        <w:rPr>
          <w:sz w:val="23"/>
        </w:rPr>
      </w:pPr>
    </w:p>
    <w:p>
      <w:pPr>
        <w:pStyle w:val="BodyText"/>
        <w:spacing w:line="412" w:lineRule="auto"/>
        <w:ind w:left="2976" w:right="2982"/>
        <w:jc w:val="center"/>
      </w:pPr>
      <w:r>
        <w:rPr/>
        <w:t>Universidad Estatal a Distancia, San José, Costa Rica 28 de marzo del 2019</w:t>
      </w:r>
    </w:p>
    <w:p>
      <w:pPr>
        <w:spacing w:after="0" w:line="412" w:lineRule="auto"/>
        <w:jc w:val="center"/>
        <w:sectPr>
          <w:pgSz w:w="12240" w:h="15840"/>
          <w:pgMar w:header="0" w:footer="1062" w:top="1360" w:bottom="1260" w:left="240" w:right="240"/>
        </w:sectPr>
      </w:pPr>
    </w:p>
    <w:p>
      <w:pPr>
        <w:spacing w:line="360" w:lineRule="auto" w:before="78" w:after="8"/>
        <w:ind w:left="2389" w:right="2388" w:firstLine="0"/>
        <w:jc w:val="center"/>
        <w:rPr>
          <w:b/>
          <w:sz w:val="28"/>
        </w:rPr>
      </w:pPr>
      <w:r>
        <w:rPr>
          <w:b/>
          <w:sz w:val="28"/>
        </w:rPr>
        <w:t>Instituto Tecnológico de Costar Rica (ITCR) Universidad Nacional de Costa Rica (UNA) Universidad Estatal a Distancia (UNED)</w:t>
      </w:r>
    </w:p>
    <w:p>
      <w:pPr>
        <w:tabs>
          <w:tab w:pos="5436" w:val="left" w:leader="none"/>
          <w:tab w:pos="6783" w:val="left" w:leader="none"/>
        </w:tabs>
        <w:spacing w:line="240" w:lineRule="auto"/>
        <w:ind w:left="4007" w:right="0" w:firstLine="0"/>
        <w:rPr>
          <w:sz w:val="20"/>
        </w:rPr>
      </w:pPr>
      <w:r>
        <w:rPr>
          <w:sz w:val="20"/>
        </w:rPr>
        <w:drawing>
          <wp:inline distT="0" distB="0" distL="0" distR="0">
            <wp:extent cx="628649" cy="628650"/>
            <wp:effectExtent l="0" t="0" r="0" b="0"/>
            <wp:docPr id="11" name="image2.png" descr="Image result for instituto tecnolÃ³gico de costa rica"/>
            <wp:cNvGraphicFramePr>
              <a:graphicFrameLocks noChangeAspect="1"/>
            </wp:cNvGraphicFramePr>
            <a:graphic>
              <a:graphicData uri="http://schemas.openxmlformats.org/drawingml/2006/picture">
                <pic:pic>
                  <pic:nvPicPr>
                    <pic:cNvPr id="12" name="image2.png"/>
                    <pic:cNvPicPr/>
                  </pic:nvPicPr>
                  <pic:blipFill>
                    <a:blip r:embed="rId7" cstate="print"/>
                    <a:stretch>
                      <a:fillRect/>
                    </a:stretch>
                  </pic:blipFill>
                  <pic:spPr>
                    <a:xfrm>
                      <a:off x="0" y="0"/>
                      <a:ext cx="628649" cy="628650"/>
                    </a:xfrm>
                    <a:prstGeom prst="rect">
                      <a:avLst/>
                    </a:prstGeom>
                  </pic:spPr>
                </pic:pic>
              </a:graphicData>
            </a:graphic>
          </wp:inline>
        </w:drawing>
      </w:r>
      <w:r>
        <w:rPr>
          <w:sz w:val="20"/>
        </w:rPr>
      </w:r>
      <w:r>
        <w:rPr>
          <w:sz w:val="20"/>
        </w:rPr>
        <w:tab/>
      </w:r>
      <w:r>
        <w:rPr>
          <w:position w:val="7"/>
          <w:sz w:val="20"/>
        </w:rPr>
        <w:drawing>
          <wp:inline distT="0" distB="0" distL="0" distR="0">
            <wp:extent cx="560831" cy="560831"/>
            <wp:effectExtent l="0" t="0" r="0" b="0"/>
            <wp:docPr id="13" name="image3.png" descr="Universidad Nacional Costa Rica.png"/>
            <wp:cNvGraphicFramePr>
              <a:graphicFrameLocks noChangeAspect="1"/>
            </wp:cNvGraphicFramePr>
            <a:graphic>
              <a:graphicData uri="http://schemas.openxmlformats.org/drawingml/2006/picture">
                <pic:pic>
                  <pic:nvPicPr>
                    <pic:cNvPr id="14" name="image3.png"/>
                    <pic:cNvPicPr/>
                  </pic:nvPicPr>
                  <pic:blipFill>
                    <a:blip r:embed="rId8" cstate="print"/>
                    <a:stretch>
                      <a:fillRect/>
                    </a:stretch>
                  </pic:blipFill>
                  <pic:spPr>
                    <a:xfrm>
                      <a:off x="0" y="0"/>
                      <a:ext cx="560831" cy="560831"/>
                    </a:xfrm>
                    <a:prstGeom prst="rect">
                      <a:avLst/>
                    </a:prstGeom>
                  </pic:spPr>
                </pic:pic>
              </a:graphicData>
            </a:graphic>
          </wp:inline>
        </w:drawing>
      </w:r>
      <w:r>
        <w:rPr>
          <w:position w:val="7"/>
          <w:sz w:val="20"/>
        </w:rPr>
      </w:r>
      <w:r>
        <w:rPr>
          <w:position w:val="7"/>
          <w:sz w:val="20"/>
        </w:rPr>
        <w:tab/>
      </w:r>
      <w:r>
        <w:rPr>
          <w:position w:val="3"/>
          <w:sz w:val="20"/>
        </w:rPr>
        <w:drawing>
          <wp:inline distT="0" distB="0" distL="0" distR="0">
            <wp:extent cx="621836" cy="603503"/>
            <wp:effectExtent l="0" t="0" r="0" b="0"/>
            <wp:docPr id="15" name="image4.jpeg" descr="Image result for universidad estatal a distancia"/>
            <wp:cNvGraphicFramePr>
              <a:graphicFrameLocks noChangeAspect="1"/>
            </wp:cNvGraphicFramePr>
            <a:graphic>
              <a:graphicData uri="http://schemas.openxmlformats.org/drawingml/2006/picture">
                <pic:pic>
                  <pic:nvPicPr>
                    <pic:cNvPr id="16" name="image4.jpeg"/>
                    <pic:cNvPicPr/>
                  </pic:nvPicPr>
                  <pic:blipFill>
                    <a:blip r:embed="rId9" cstate="print"/>
                    <a:stretch>
                      <a:fillRect/>
                    </a:stretch>
                  </pic:blipFill>
                  <pic:spPr>
                    <a:xfrm>
                      <a:off x="0" y="0"/>
                      <a:ext cx="621836" cy="603503"/>
                    </a:xfrm>
                    <a:prstGeom prst="rect">
                      <a:avLst/>
                    </a:prstGeom>
                  </pic:spPr>
                </pic:pic>
              </a:graphicData>
            </a:graphic>
          </wp:inline>
        </w:drawing>
      </w:r>
      <w:r>
        <w:rPr>
          <w:position w:val="3"/>
          <w:sz w:val="20"/>
        </w:rPr>
      </w:r>
    </w:p>
    <w:p>
      <w:pPr>
        <w:spacing w:line="240" w:lineRule="auto" w:before="201"/>
        <w:ind w:left="1376" w:right="1380" w:firstLine="3"/>
        <w:jc w:val="center"/>
        <w:rPr>
          <w:b/>
          <w:sz w:val="28"/>
        </w:rPr>
      </w:pPr>
      <w:r>
        <w:rPr>
          <w:b/>
          <w:sz w:val="28"/>
        </w:rPr>
        <w:t>“Estimación Económico-Ecológica de Deuda Ecológica: Caso de Estudio de las Zonas Adyacentes a la Zona Protectora Cerros de</w:t>
      </w:r>
      <w:r>
        <w:rPr>
          <w:b/>
          <w:spacing w:val="-32"/>
          <w:sz w:val="28"/>
        </w:rPr>
        <w:t> </w:t>
      </w:r>
      <w:r>
        <w:rPr>
          <w:b/>
          <w:sz w:val="28"/>
        </w:rPr>
        <w:t>La Carpintera en el Valle Central de Costa</w:t>
      </w:r>
      <w:r>
        <w:rPr>
          <w:b/>
          <w:spacing w:val="-17"/>
          <w:sz w:val="28"/>
        </w:rPr>
        <w:t> </w:t>
      </w:r>
      <w:r>
        <w:rPr>
          <w:b/>
          <w:sz w:val="28"/>
        </w:rPr>
        <w:t>Rica”</w:t>
      </w:r>
    </w:p>
    <w:p>
      <w:pPr>
        <w:spacing w:line="240" w:lineRule="auto" w:before="203"/>
        <w:ind w:left="1280" w:right="1280" w:hanging="5"/>
        <w:jc w:val="center"/>
        <w:rPr>
          <w:b/>
          <w:sz w:val="28"/>
        </w:rPr>
      </w:pPr>
      <w:r>
        <w:rPr>
          <w:b/>
          <w:sz w:val="28"/>
        </w:rPr>
        <w:t>Trabajo sometido a consideración del Tribunal Evaluador como requisito para optar por el grado de Doctorado en Ciencias Naturales para el Desarrollo con énfasis en con énfasis en Gestión y Cultura Ambiental</w:t>
      </w:r>
    </w:p>
    <w:p>
      <w:pPr>
        <w:pStyle w:val="BodyText"/>
        <w:rPr>
          <w:b/>
          <w:sz w:val="20"/>
        </w:rPr>
      </w:pPr>
    </w:p>
    <w:p>
      <w:pPr>
        <w:pStyle w:val="BodyText"/>
        <w:rPr>
          <w:b/>
          <w:sz w:val="20"/>
        </w:rPr>
      </w:pPr>
    </w:p>
    <w:p>
      <w:pPr>
        <w:spacing w:after="0"/>
        <w:rPr>
          <w:sz w:val="20"/>
        </w:rPr>
        <w:sectPr>
          <w:pgSz w:w="12240" w:h="15840"/>
          <w:pgMar w:header="0" w:footer="1062" w:top="1360" w:bottom="1260" w:left="240" w:right="240"/>
        </w:sectPr>
      </w:pPr>
    </w:p>
    <w:p>
      <w:pPr>
        <w:pStyle w:val="BodyText"/>
        <w:rPr>
          <w:b/>
          <w:sz w:val="26"/>
        </w:rPr>
      </w:pPr>
    </w:p>
    <w:p>
      <w:pPr>
        <w:pStyle w:val="BodyText"/>
        <w:rPr>
          <w:b/>
          <w:sz w:val="26"/>
        </w:rPr>
      </w:pPr>
    </w:p>
    <w:p>
      <w:pPr>
        <w:pStyle w:val="BodyText"/>
        <w:rPr>
          <w:b/>
          <w:sz w:val="26"/>
        </w:rPr>
      </w:pPr>
    </w:p>
    <w:p>
      <w:pPr>
        <w:pStyle w:val="Heading2"/>
        <w:spacing w:before="193"/>
      </w:pPr>
      <w:r>
        <w:rPr/>
        <w:t>Tribunal Examinador</w:t>
      </w:r>
    </w:p>
    <w:p>
      <w:pPr>
        <w:pStyle w:val="BodyText"/>
        <w:spacing w:before="9"/>
        <w:rPr>
          <w:b/>
          <w:sz w:val="22"/>
        </w:rPr>
      </w:pPr>
      <w:r>
        <w:rPr/>
        <w:br w:type="column"/>
      </w:r>
      <w:r>
        <w:rPr>
          <w:b/>
          <w:sz w:val="22"/>
        </w:rPr>
      </w:r>
    </w:p>
    <w:p>
      <w:pPr>
        <w:spacing w:line="362" w:lineRule="auto" w:before="0"/>
        <w:ind w:left="1565" w:right="2984" w:hanging="852"/>
        <w:jc w:val="left"/>
        <w:rPr>
          <w:b/>
          <w:sz w:val="24"/>
        </w:rPr>
      </w:pPr>
      <w:r>
        <w:rPr>
          <w:b/>
          <w:sz w:val="24"/>
        </w:rPr>
        <w:t>Bernardo Aguilar González Sustentante</w:t>
      </w:r>
    </w:p>
    <w:p>
      <w:pPr>
        <w:spacing w:after="0" w:line="362" w:lineRule="auto"/>
        <w:jc w:val="left"/>
        <w:rPr>
          <w:sz w:val="24"/>
        </w:rPr>
        <w:sectPr>
          <w:type w:val="continuous"/>
          <w:pgSz w:w="12240" w:h="15840"/>
          <w:pgMar w:top="1360" w:bottom="1260" w:left="240" w:right="240"/>
          <w:cols w:num="2" w:equalWidth="0">
            <w:col w:w="3588" w:space="40"/>
            <w:col w:w="8132"/>
          </w:cols>
        </w:sectPr>
      </w:pPr>
    </w:p>
    <w:p>
      <w:pPr>
        <w:pStyle w:val="BodyText"/>
        <w:rPr>
          <w:b/>
          <w:sz w:val="20"/>
        </w:rPr>
      </w:pPr>
    </w:p>
    <w:p>
      <w:pPr>
        <w:pStyle w:val="BodyText"/>
        <w:rPr>
          <w:b/>
          <w:sz w:val="20"/>
        </w:rPr>
      </w:pPr>
    </w:p>
    <w:p>
      <w:pPr>
        <w:spacing w:line="360" w:lineRule="auto" w:before="92"/>
        <w:ind w:left="1200" w:right="5885" w:firstLine="0"/>
        <w:jc w:val="left"/>
        <w:rPr>
          <w:b/>
          <w:sz w:val="24"/>
        </w:rPr>
      </w:pPr>
      <w:r>
        <w:rPr/>
        <w:pict>
          <v:group style="position:absolute;margin-left:313.25pt;margin-top:15.325871pt;width:228.3pt;height:195.35pt;mso-position-horizontal-relative:page;mso-position-vertical-relative:paragraph;z-index:15732224" coordorigin="6265,307" coordsize="4566,3907">
            <v:shape style="position:absolute;left:9503;top:306;width:1297;height:1297" type="#_x0000_t75" stroked="false">
              <v:imagedata r:id="rId10" o:title=""/>
            </v:shape>
            <v:shape style="position:absolute;left:8760;top:1476;width:1861;height:1102" type="#_x0000_t75" stroked="false">
              <v:imagedata r:id="rId11" o:title=""/>
            </v:shape>
            <v:shape style="position:absolute;left:6726;top:1104;width:2673;height:1035" type="#_x0000_t75" stroked="false">
              <v:imagedata r:id="rId12" o:title=""/>
            </v:shape>
            <v:shape style="position:absolute;left:6265;top:2360;width:2526;height:1533" type="#_x0000_t75" stroked="false">
              <v:imagedata r:id="rId13" o:title=""/>
            </v:shape>
            <v:shape style="position:absolute;left:8193;top:3527;width:2441;height:686" type="#_x0000_t75" stroked="false">
              <v:imagedata r:id="rId14" o:title=""/>
            </v:shape>
            <v:shape style="position:absolute;left:6482;top:516;width:4349;height:269" type="#_x0000_t202" filled="false" stroked="false">
              <v:textbox inset="0,0,0,0">
                <w:txbxContent>
                  <w:p>
                    <w:pPr>
                      <w:tabs>
                        <w:tab w:pos="4328" w:val="left" w:leader="none"/>
                      </w:tabs>
                      <w:spacing w:line="268" w:lineRule="exact" w:before="0"/>
                      <w:ind w:left="0" w:right="0" w:firstLine="0"/>
                      <w:jc w:val="left"/>
                      <w:rPr>
                        <w:b/>
                        <w:sz w:val="24"/>
                      </w:rPr>
                    </w:pPr>
                    <w:r>
                      <w:rPr>
                        <w:b/>
                        <w:w w:val="100"/>
                        <w:sz w:val="24"/>
                        <w:u w:val="thick"/>
                      </w:rPr>
                      <w:t> </w:t>
                    </w:r>
                    <w:r>
                      <w:rPr>
                        <w:b/>
                        <w:sz w:val="24"/>
                        <w:u w:val="thick"/>
                      </w:rPr>
                      <w:tab/>
                    </w:r>
                  </w:p>
                </w:txbxContent>
              </v:textbox>
              <w10:wrap type="none"/>
            </v:shape>
            <v:shape style="position:absolute;left:6482;top:1344;width:4349;height:269" type="#_x0000_t202" filled="false" stroked="false">
              <v:textbox inset="0,0,0,0">
                <w:txbxContent>
                  <w:p>
                    <w:pPr>
                      <w:tabs>
                        <w:tab w:pos="4328" w:val="left" w:leader="none"/>
                      </w:tabs>
                      <w:spacing w:line="268" w:lineRule="exact" w:before="0"/>
                      <w:ind w:left="0" w:right="0" w:firstLine="0"/>
                      <w:jc w:val="left"/>
                      <w:rPr>
                        <w:b/>
                        <w:sz w:val="24"/>
                      </w:rPr>
                    </w:pPr>
                    <w:r>
                      <w:rPr>
                        <w:b/>
                        <w:w w:val="100"/>
                        <w:sz w:val="24"/>
                        <w:u w:val="thick"/>
                      </w:rPr>
                      <w:t> </w:t>
                    </w:r>
                    <w:r>
                      <w:rPr>
                        <w:b/>
                        <w:sz w:val="24"/>
                        <w:u w:val="thick"/>
                      </w:rPr>
                      <w:tab/>
                    </w:r>
                  </w:p>
                </w:txbxContent>
              </v:textbox>
              <w10:wrap type="none"/>
            </v:shape>
            <v:shape style="position:absolute;left:6482;top:2172;width:4349;height:269" type="#_x0000_t202" filled="false" stroked="false">
              <v:textbox inset="0,0,0,0">
                <w:txbxContent>
                  <w:p>
                    <w:pPr>
                      <w:tabs>
                        <w:tab w:pos="4328" w:val="left" w:leader="none"/>
                      </w:tabs>
                      <w:spacing w:line="268" w:lineRule="exact" w:before="0"/>
                      <w:ind w:left="0" w:right="0" w:firstLine="0"/>
                      <w:jc w:val="left"/>
                      <w:rPr>
                        <w:b/>
                        <w:sz w:val="24"/>
                      </w:rPr>
                    </w:pPr>
                    <w:r>
                      <w:rPr>
                        <w:b/>
                        <w:w w:val="100"/>
                        <w:sz w:val="24"/>
                        <w:u w:val="thick"/>
                      </w:rPr>
                      <w:t> </w:t>
                    </w:r>
                    <w:r>
                      <w:rPr>
                        <w:b/>
                        <w:sz w:val="24"/>
                        <w:u w:val="thick"/>
                      </w:rPr>
                      <w:tab/>
                    </w:r>
                  </w:p>
                </w:txbxContent>
              </v:textbox>
              <w10:wrap type="none"/>
            </v:shape>
            <v:shape style="position:absolute;left:6482;top:3000;width:4349;height:269" type="#_x0000_t202" filled="false" stroked="false">
              <v:textbox inset="0,0,0,0">
                <w:txbxContent>
                  <w:p>
                    <w:pPr>
                      <w:tabs>
                        <w:tab w:pos="4328" w:val="left" w:leader="none"/>
                      </w:tabs>
                      <w:spacing w:line="268" w:lineRule="exact" w:before="0"/>
                      <w:ind w:left="0" w:right="0" w:firstLine="0"/>
                      <w:jc w:val="left"/>
                      <w:rPr>
                        <w:b/>
                        <w:sz w:val="24"/>
                      </w:rPr>
                    </w:pPr>
                    <w:r>
                      <w:rPr>
                        <w:b/>
                        <w:w w:val="100"/>
                        <w:sz w:val="24"/>
                        <w:u w:val="thick"/>
                      </w:rPr>
                      <w:t> </w:t>
                    </w:r>
                    <w:r>
                      <w:rPr>
                        <w:b/>
                        <w:sz w:val="24"/>
                        <w:u w:val="thick"/>
                      </w:rPr>
                      <w:tab/>
                    </w:r>
                  </w:p>
                </w:txbxContent>
              </v:textbox>
              <w10:wrap type="none"/>
            </v:shape>
            <v:shape style="position:absolute;left:6482;top:3828;width:4349;height:269" type="#_x0000_t202" filled="false" stroked="false">
              <v:textbox inset="0,0,0,0">
                <w:txbxContent>
                  <w:p>
                    <w:pPr>
                      <w:tabs>
                        <w:tab w:pos="4328" w:val="left" w:leader="none"/>
                      </w:tabs>
                      <w:spacing w:line="268" w:lineRule="exact" w:before="0"/>
                      <w:ind w:left="0" w:right="0" w:firstLine="0"/>
                      <w:jc w:val="left"/>
                      <w:rPr>
                        <w:b/>
                        <w:sz w:val="24"/>
                      </w:rPr>
                    </w:pPr>
                    <w:r>
                      <w:rPr>
                        <w:b/>
                        <w:w w:val="100"/>
                        <w:sz w:val="24"/>
                        <w:u w:val="thick"/>
                      </w:rPr>
                      <w:t> </w:t>
                    </w:r>
                    <w:r>
                      <w:rPr>
                        <w:b/>
                        <w:sz w:val="24"/>
                        <w:u w:val="thick"/>
                      </w:rPr>
                      <w:tab/>
                    </w:r>
                  </w:p>
                </w:txbxContent>
              </v:textbox>
              <w10:wrap type="none"/>
            </v:shape>
            <w10:wrap type="none"/>
          </v:group>
        </w:pict>
      </w:r>
      <w:r>
        <w:rPr>
          <w:b/>
          <w:sz w:val="24"/>
        </w:rPr>
        <w:t>Dra. Gabriela Jones Román Representante de la Directora del SEP Dr. Juan F. Morales Quirós, Representante DOCINADE UNED</w:t>
      </w:r>
    </w:p>
    <w:p>
      <w:pPr>
        <w:spacing w:line="362" w:lineRule="auto" w:before="1"/>
        <w:ind w:left="1200" w:right="7059" w:firstLine="0"/>
        <w:jc w:val="left"/>
        <w:rPr>
          <w:b/>
          <w:sz w:val="24"/>
        </w:rPr>
      </w:pPr>
      <w:r>
        <w:rPr>
          <w:b/>
          <w:sz w:val="24"/>
        </w:rPr>
        <w:t>Dr. Tomás Guzmán Hernández Director de TFG</w:t>
      </w:r>
    </w:p>
    <w:p>
      <w:pPr>
        <w:spacing w:line="362" w:lineRule="auto" w:before="0"/>
        <w:ind w:left="1200" w:right="7646" w:firstLine="0"/>
        <w:jc w:val="left"/>
        <w:rPr>
          <w:b/>
          <w:sz w:val="24"/>
        </w:rPr>
      </w:pPr>
      <w:r>
        <w:rPr>
          <w:b/>
          <w:sz w:val="24"/>
        </w:rPr>
        <w:t>Dr. Olman Segura Bonilla Asesor de Tesis</w:t>
      </w:r>
      <w:r>
        <w:rPr>
          <w:b/>
          <w:spacing w:val="-2"/>
          <w:sz w:val="24"/>
        </w:rPr>
        <w:t> </w:t>
      </w:r>
      <w:r>
        <w:rPr>
          <w:b/>
          <w:sz w:val="24"/>
        </w:rPr>
        <w:t>1</w:t>
      </w:r>
    </w:p>
    <w:p>
      <w:pPr>
        <w:spacing w:line="362" w:lineRule="auto" w:before="0"/>
        <w:ind w:left="1200" w:right="7954" w:firstLine="0"/>
        <w:jc w:val="left"/>
        <w:rPr>
          <w:b/>
          <w:sz w:val="24"/>
        </w:rPr>
      </w:pPr>
      <w:r>
        <w:rPr>
          <w:b/>
          <w:sz w:val="24"/>
        </w:rPr>
        <w:t>Dr. Joan Martínez </w:t>
      </w:r>
      <w:r>
        <w:rPr>
          <w:b/>
          <w:spacing w:val="-3"/>
          <w:sz w:val="24"/>
        </w:rPr>
        <w:t>Alier </w:t>
      </w:r>
      <w:r>
        <w:rPr>
          <w:b/>
          <w:sz w:val="24"/>
        </w:rPr>
        <w:t>Asesor de Tesis</w:t>
      </w:r>
      <w:r>
        <w:rPr>
          <w:b/>
          <w:spacing w:val="-6"/>
          <w:sz w:val="24"/>
        </w:rPr>
        <w:t> </w:t>
      </w:r>
      <w:r>
        <w:rPr>
          <w:b/>
          <w:sz w:val="24"/>
        </w:rPr>
        <w:t>2</w:t>
      </w:r>
    </w:p>
    <w:p>
      <w:pPr>
        <w:pStyle w:val="BodyText"/>
        <w:spacing w:before="9"/>
        <w:rPr>
          <w:b/>
          <w:sz w:val="26"/>
        </w:rPr>
      </w:pPr>
    </w:p>
    <w:p>
      <w:pPr>
        <w:spacing w:before="92"/>
        <w:ind w:left="2389" w:right="2390" w:firstLine="0"/>
        <w:jc w:val="center"/>
        <w:rPr>
          <w:b/>
          <w:sz w:val="24"/>
        </w:rPr>
      </w:pPr>
      <w:r>
        <w:rPr>
          <w:b/>
          <w:sz w:val="24"/>
        </w:rPr>
        <w:t>28 de marzo del 2019</w:t>
      </w:r>
    </w:p>
    <w:p>
      <w:pPr>
        <w:spacing w:after="0"/>
        <w:jc w:val="center"/>
        <w:rPr>
          <w:sz w:val="24"/>
        </w:rPr>
        <w:sectPr>
          <w:type w:val="continuous"/>
          <w:pgSz w:w="12240" w:h="15840"/>
          <w:pgMar w:top="1360" w:bottom="1260" w:left="240" w:right="240"/>
        </w:sectPr>
      </w:pPr>
    </w:p>
    <w:p>
      <w:pPr>
        <w:spacing w:before="74"/>
        <w:ind w:left="2389" w:right="2390" w:firstLine="0"/>
        <w:jc w:val="center"/>
        <w:rPr>
          <w:b/>
          <w:sz w:val="28"/>
        </w:rPr>
      </w:pPr>
      <w:r>
        <w:rPr>
          <w:b/>
          <w:sz w:val="28"/>
        </w:rPr>
        <w:t>Dedicatoria</w:t>
      </w:r>
    </w:p>
    <w:p>
      <w:pPr>
        <w:pStyle w:val="BodyText"/>
        <w:spacing w:before="3"/>
        <w:rPr>
          <w:b/>
        </w:rPr>
      </w:pPr>
    </w:p>
    <w:p>
      <w:pPr>
        <w:pStyle w:val="BodyText"/>
        <w:ind w:left="1780" w:right="1429" w:firstLine="1180"/>
      </w:pPr>
      <w:r>
        <w:rPr/>
        <w:t>Dedico este trabajo a las mujeres fuertes de mi familia, especialmente a mi madre Ghiselle González Calvo quien me enseñó a volar</w:t>
      </w:r>
    </w:p>
    <w:p>
      <w:pPr>
        <w:pStyle w:val="BodyText"/>
        <w:ind w:left="3693"/>
      </w:pPr>
      <w:r>
        <w:rPr/>
        <w:t>y sonríe desde el cielo al verlo concluido.</w:t>
      </w:r>
    </w:p>
    <w:p>
      <w:pPr>
        <w:pStyle w:val="BodyText"/>
        <w:spacing w:before="1"/>
      </w:pPr>
    </w:p>
    <w:p>
      <w:pPr>
        <w:pStyle w:val="BodyText"/>
        <w:ind w:left="3065" w:right="3067" w:firstLine="4"/>
        <w:jc w:val="center"/>
      </w:pPr>
      <w:r>
        <w:rPr/>
        <w:t>Asimismo, lo dedico a todas y todos los hermanos que sufren las consecuencias de la Deuda</w:t>
      </w:r>
      <w:r>
        <w:rPr>
          <w:spacing w:val="-25"/>
        </w:rPr>
        <w:t> </w:t>
      </w:r>
      <w:r>
        <w:rPr/>
        <w:t>Ecológica en todo el</w:t>
      </w:r>
      <w:r>
        <w:rPr>
          <w:spacing w:val="-4"/>
        </w:rPr>
        <w:t> </w:t>
      </w:r>
      <w:r>
        <w:rPr/>
        <w:t>mundo.</w:t>
      </w:r>
    </w:p>
    <w:p>
      <w:pPr>
        <w:pStyle w:val="BodyText"/>
        <w:rPr>
          <w:sz w:val="26"/>
        </w:rPr>
      </w:pPr>
    </w:p>
    <w:p>
      <w:pPr>
        <w:pStyle w:val="BodyText"/>
        <w:rPr>
          <w:sz w:val="26"/>
        </w:rPr>
      </w:pPr>
    </w:p>
    <w:p>
      <w:pPr>
        <w:pStyle w:val="BodyText"/>
        <w:spacing w:before="8"/>
        <w:rPr>
          <w:sz w:val="31"/>
        </w:rPr>
      </w:pPr>
    </w:p>
    <w:p>
      <w:pPr>
        <w:spacing w:before="0"/>
        <w:ind w:left="2389" w:right="2389" w:firstLine="0"/>
        <w:jc w:val="center"/>
        <w:rPr>
          <w:b/>
          <w:sz w:val="28"/>
        </w:rPr>
      </w:pPr>
      <w:r>
        <w:rPr>
          <w:b/>
          <w:sz w:val="28"/>
        </w:rPr>
        <w:t>Agradecimientos</w:t>
      </w:r>
    </w:p>
    <w:p>
      <w:pPr>
        <w:pStyle w:val="BodyText"/>
        <w:spacing w:before="6"/>
        <w:rPr>
          <w:b/>
          <w:sz w:val="28"/>
        </w:rPr>
      </w:pPr>
    </w:p>
    <w:p>
      <w:pPr>
        <w:pStyle w:val="BodyText"/>
        <w:ind w:left="2389" w:right="2390"/>
        <w:jc w:val="center"/>
      </w:pPr>
      <w:r>
        <w:rPr/>
        <w:t>Primero que nada, quiero agradecer a Dios,</w:t>
      </w:r>
    </w:p>
    <w:p>
      <w:pPr>
        <w:pStyle w:val="BodyText"/>
        <w:spacing w:line="480" w:lineRule="auto"/>
        <w:ind w:left="1336" w:right="1340"/>
        <w:jc w:val="center"/>
      </w:pPr>
      <w:r>
        <w:rPr/>
        <w:t>por estar del lado de los que trabajamos por el ambiente y la justicia social. Agradezco también la ayuda y orientación de mi comité asesor de tesis:</w:t>
      </w:r>
    </w:p>
    <w:p>
      <w:pPr>
        <w:pStyle w:val="BodyText"/>
        <w:ind w:left="1461" w:right="1470"/>
        <w:jc w:val="center"/>
      </w:pPr>
      <w:r>
        <w:rPr/>
        <w:t>Al Dr. Tomás Guzmán Hernández por su constancia, continuado aliento y consejo. Al Dr. Olman Segura Bonilla por su apoyo y por una visión inclusiva y abierta a la innovación en el pensamiento económico. Por sus observaciones incisivas.</w:t>
      </w:r>
    </w:p>
    <w:p>
      <w:pPr>
        <w:pStyle w:val="BodyText"/>
        <w:spacing w:before="1"/>
        <w:ind w:left="1238" w:right="1238"/>
        <w:jc w:val="center"/>
      </w:pPr>
      <w:r>
        <w:rPr/>
        <w:t>Al Dr. Joan Martínez-Alier por su ejemplo creando puentes entre las organizaciones de la sociedad civil y la academia. Por su liderazgo en el pensamiento de la</w:t>
      </w:r>
    </w:p>
    <w:p>
      <w:pPr>
        <w:pStyle w:val="BodyText"/>
        <w:ind w:left="2389" w:right="2390"/>
        <w:jc w:val="center"/>
      </w:pPr>
      <w:r>
        <w:rPr/>
        <w:t>Ecología Política y la Economía Ecológica.</w:t>
      </w:r>
    </w:p>
    <w:p>
      <w:pPr>
        <w:pStyle w:val="BodyText"/>
      </w:pPr>
    </w:p>
    <w:p>
      <w:pPr>
        <w:pStyle w:val="BodyText"/>
        <w:ind w:left="1461" w:right="1460"/>
        <w:jc w:val="center"/>
      </w:pPr>
      <w:r>
        <w:rPr/>
        <w:t>Asimismo, agradezco a mi familia por su paciencia y apoyo constante, especialmente a Li, por su amor incondicional.</w:t>
      </w:r>
    </w:p>
    <w:p>
      <w:pPr>
        <w:pStyle w:val="BodyText"/>
      </w:pPr>
    </w:p>
    <w:p>
      <w:pPr>
        <w:pStyle w:val="BodyText"/>
        <w:ind w:left="1334" w:right="1340"/>
        <w:jc w:val="center"/>
      </w:pPr>
      <w:r>
        <w:rPr/>
        <w:t>Eternamente agradecido con los compañeros, compañeras, voluntarios y Junta Administrativa de la Fundación Neotrópica, por el apoyo a este trabajo.</w:t>
      </w:r>
    </w:p>
    <w:p>
      <w:pPr>
        <w:pStyle w:val="BodyText"/>
      </w:pPr>
    </w:p>
    <w:p>
      <w:pPr>
        <w:pStyle w:val="BodyText"/>
        <w:ind w:left="1337" w:right="1340"/>
        <w:jc w:val="center"/>
      </w:pPr>
      <w:r>
        <w:rPr/>
        <w:t>A Ariana Ocampo y Paloma Cerdán por su ayuda en la compilación de datos para el análisis de bienes raíces.</w:t>
      </w:r>
    </w:p>
    <w:p>
      <w:pPr>
        <w:spacing w:after="0"/>
        <w:jc w:val="center"/>
        <w:sectPr>
          <w:pgSz w:w="12240" w:h="15840"/>
          <w:pgMar w:header="0" w:footer="1062" w:top="1360" w:bottom="1260" w:left="240" w:right="240"/>
        </w:sectPr>
      </w:pPr>
    </w:p>
    <w:p>
      <w:pPr>
        <w:pStyle w:val="Heading2"/>
      </w:pPr>
      <w:r>
        <w:rPr/>
        <w:t>Tabla de Contenido</w:t>
      </w:r>
    </w:p>
    <w:p>
      <w:pPr>
        <w:spacing w:after="0"/>
        <w:sectPr>
          <w:pgSz w:w="12240" w:h="15840"/>
          <w:pgMar w:header="0" w:footer="1062" w:top="1360" w:bottom="2171" w:left="240" w:right="240"/>
        </w:sectPr>
      </w:pPr>
    </w:p>
    <w:sdt>
      <w:sdtPr>
        <w:docPartObj>
          <w:docPartGallery w:val="Table of Contents"/>
          <w:docPartUnique/>
        </w:docPartObj>
      </w:sdtPr>
      <w:sdtEndPr/>
      <w:sdtContent>
        <w:p>
          <w:pPr>
            <w:pStyle w:val="TOC1"/>
            <w:tabs>
              <w:tab w:pos="10423" w:val="left" w:leader="dot"/>
            </w:tabs>
            <w:spacing w:before="244"/>
            <w:ind w:left="1200" w:firstLine="0"/>
          </w:pPr>
          <w:hyperlink w:history="true" w:anchor="_bookmark0">
            <w:r>
              <w:rPr/>
              <w:t>Resumen</w:t>
              <w:tab/>
              <w:t>1</w:t>
            </w:r>
          </w:hyperlink>
        </w:p>
        <w:p>
          <w:pPr>
            <w:pStyle w:val="TOC1"/>
            <w:tabs>
              <w:tab w:pos="10423" w:val="left" w:leader="dot"/>
            </w:tabs>
            <w:spacing w:before="340"/>
            <w:ind w:left="1200" w:firstLine="0"/>
          </w:pPr>
          <w:hyperlink w:history="true" w:anchor="_bookmark1">
            <w:r>
              <w:rPr/>
              <w:t>Abstract</w:t>
              <w:tab/>
              <w:t>3</w:t>
            </w:r>
          </w:hyperlink>
        </w:p>
        <w:p>
          <w:pPr>
            <w:pStyle w:val="TOC1"/>
            <w:numPr>
              <w:ilvl w:val="0"/>
              <w:numId w:val="1"/>
            </w:numPr>
            <w:tabs>
              <w:tab w:pos="1640" w:val="left" w:leader="none"/>
              <w:tab w:pos="1641" w:val="left" w:leader="none"/>
              <w:tab w:pos="10423" w:val="left" w:leader="dot"/>
            </w:tabs>
            <w:spacing w:line="240" w:lineRule="auto" w:before="337" w:after="0"/>
            <w:ind w:left="1640" w:right="0" w:hanging="441"/>
            <w:jc w:val="left"/>
          </w:pPr>
          <w:hyperlink w:history="true" w:anchor="_bookmark2">
            <w:r>
              <w:rPr/>
              <w:t>Introducción</w:t>
              <w:tab/>
              <w:t>5</w:t>
            </w:r>
          </w:hyperlink>
        </w:p>
        <w:p>
          <w:pPr>
            <w:pStyle w:val="TOC1"/>
            <w:numPr>
              <w:ilvl w:val="0"/>
              <w:numId w:val="1"/>
            </w:numPr>
            <w:tabs>
              <w:tab w:pos="1640" w:val="left" w:leader="none"/>
              <w:tab w:pos="1641" w:val="left" w:leader="none"/>
              <w:tab w:pos="10287" w:val="left" w:leader="dot"/>
            </w:tabs>
            <w:spacing w:line="240" w:lineRule="auto" w:before="340" w:after="0"/>
            <w:ind w:left="1640" w:right="0" w:hanging="441"/>
            <w:jc w:val="left"/>
          </w:pPr>
          <w:hyperlink w:history="true" w:anchor="_bookmark7">
            <w:r>
              <w:rPr/>
              <w:t>Antecedentes Teóricos y Socio-ecológicos del Análisis. Revisión</w:t>
            </w:r>
            <w:r>
              <w:rPr>
                <w:spacing w:val="-26"/>
              </w:rPr>
              <w:t> </w:t>
            </w:r>
            <w:r>
              <w:rPr/>
              <w:t>de</w:t>
            </w:r>
            <w:r>
              <w:rPr>
                <w:spacing w:val="-4"/>
              </w:rPr>
              <w:t> </w:t>
            </w:r>
            <w:r>
              <w:rPr/>
              <w:t>Literatura</w:t>
              <w:tab/>
              <w:t>21</w:t>
            </w:r>
          </w:hyperlink>
        </w:p>
        <w:p>
          <w:pPr>
            <w:pStyle w:val="TOC3"/>
            <w:numPr>
              <w:ilvl w:val="1"/>
              <w:numId w:val="1"/>
            </w:numPr>
            <w:tabs>
              <w:tab w:pos="2080" w:val="left" w:leader="none"/>
              <w:tab w:pos="2081" w:val="left" w:leader="none"/>
              <w:tab w:pos="10287" w:val="left" w:leader="dot"/>
            </w:tabs>
            <w:spacing w:line="362" w:lineRule="auto" w:before="336" w:after="0"/>
            <w:ind w:left="1420" w:right="1206" w:firstLine="0"/>
            <w:jc w:val="left"/>
          </w:pPr>
          <w:hyperlink w:history="true" w:anchor="_bookmark8">
            <w:r>
              <w:rPr/>
              <w:t>Contexto Socio-ecológico: Injusticia Ambiental en la “Zona Protectora La</w:t>
            </w:r>
          </w:hyperlink>
          <w:hyperlink w:history="true" w:anchor="_bookmark8">
            <w:r>
              <w:rPr/>
              <w:t> Carpintera”</w:t>
              <w:tab/>
            </w:r>
            <w:r>
              <w:rPr>
                <w:spacing w:val="-10"/>
              </w:rPr>
              <w:t>22</w:t>
            </w:r>
          </w:hyperlink>
        </w:p>
        <w:p>
          <w:pPr>
            <w:pStyle w:val="TOC2"/>
            <w:numPr>
              <w:ilvl w:val="1"/>
              <w:numId w:val="1"/>
            </w:numPr>
            <w:tabs>
              <w:tab w:pos="2080" w:val="left" w:leader="none"/>
              <w:tab w:pos="2081" w:val="left" w:leader="none"/>
              <w:tab w:pos="10287" w:val="left" w:leader="dot"/>
            </w:tabs>
            <w:spacing w:line="240" w:lineRule="auto" w:before="195" w:after="0"/>
            <w:ind w:left="2080" w:right="0" w:hanging="661"/>
            <w:jc w:val="left"/>
          </w:pPr>
          <w:hyperlink w:history="true" w:anchor="_bookmark18">
            <w:r>
              <w:rPr/>
              <w:t>Los Lenguajes de Valoración en la</w:t>
            </w:r>
            <w:r>
              <w:rPr>
                <w:spacing w:val="-18"/>
              </w:rPr>
              <w:t> </w:t>
            </w:r>
            <w:r>
              <w:rPr/>
              <w:t>Economía</w:t>
            </w:r>
            <w:r>
              <w:rPr>
                <w:spacing w:val="-4"/>
              </w:rPr>
              <w:t> </w:t>
            </w:r>
            <w:r>
              <w:rPr/>
              <w:t>Ecológica</w:t>
              <w:tab/>
              <w:t>39</w:t>
            </w:r>
          </w:hyperlink>
        </w:p>
        <w:p>
          <w:pPr>
            <w:pStyle w:val="TOC4"/>
            <w:numPr>
              <w:ilvl w:val="2"/>
              <w:numId w:val="1"/>
            </w:numPr>
            <w:tabs>
              <w:tab w:pos="2080" w:val="left" w:leader="none"/>
              <w:tab w:pos="2081" w:val="left" w:leader="none"/>
              <w:tab w:pos="10287" w:val="left" w:leader="dot"/>
            </w:tabs>
            <w:spacing w:line="240" w:lineRule="auto" w:before="340" w:after="0"/>
            <w:ind w:left="2080" w:right="0" w:hanging="441"/>
            <w:jc w:val="left"/>
          </w:pPr>
          <w:hyperlink w:history="true" w:anchor="_bookmark20">
            <w:r>
              <w:rPr/>
              <w:t>Lenguajes Monetarios</w:t>
            </w:r>
            <w:r>
              <w:rPr>
                <w:spacing w:val="-4"/>
              </w:rPr>
              <w:t> </w:t>
            </w:r>
            <w:r>
              <w:rPr/>
              <w:t>o</w:t>
            </w:r>
            <w:r>
              <w:rPr>
                <w:spacing w:val="-6"/>
              </w:rPr>
              <w:t> </w:t>
            </w:r>
            <w:r>
              <w:rPr/>
              <w:t>Crematísticos</w:t>
              <w:tab/>
              <w:t>42</w:t>
            </w:r>
          </w:hyperlink>
        </w:p>
        <w:p>
          <w:pPr>
            <w:pStyle w:val="TOC4"/>
            <w:numPr>
              <w:ilvl w:val="2"/>
              <w:numId w:val="1"/>
            </w:numPr>
            <w:tabs>
              <w:tab w:pos="2080" w:val="left" w:leader="none"/>
              <w:tab w:pos="2081" w:val="left" w:leader="none"/>
              <w:tab w:pos="10287" w:val="left" w:leader="dot"/>
            </w:tabs>
            <w:spacing w:line="240" w:lineRule="auto" w:before="336" w:after="0"/>
            <w:ind w:left="2080" w:right="0" w:hanging="441"/>
            <w:jc w:val="left"/>
          </w:pPr>
          <w:hyperlink w:history="true" w:anchor="_bookmark22">
            <w:r>
              <w:rPr/>
              <w:t>Lenguajes</w:t>
            </w:r>
            <w:r>
              <w:rPr>
                <w:spacing w:val="-5"/>
              </w:rPr>
              <w:t> </w:t>
            </w:r>
            <w:r>
              <w:rPr/>
              <w:t>Biofísicos</w:t>
              <w:tab/>
              <w:t>49</w:t>
            </w:r>
          </w:hyperlink>
        </w:p>
        <w:p>
          <w:pPr>
            <w:pStyle w:val="TOC4"/>
            <w:numPr>
              <w:ilvl w:val="2"/>
              <w:numId w:val="1"/>
            </w:numPr>
            <w:tabs>
              <w:tab w:pos="2080" w:val="left" w:leader="none"/>
              <w:tab w:pos="2081" w:val="left" w:leader="none"/>
              <w:tab w:pos="10287" w:val="left" w:leader="dot"/>
            </w:tabs>
            <w:spacing w:line="240" w:lineRule="auto" w:before="340" w:after="0"/>
            <w:ind w:left="2080" w:right="0" w:hanging="441"/>
            <w:jc w:val="left"/>
          </w:pPr>
          <w:hyperlink w:history="true" w:anchor="_bookmark25">
            <w:r>
              <w:rPr/>
              <w:t>Lenguajes Cualitativos y su Integración en los</w:t>
            </w:r>
            <w:r>
              <w:rPr>
                <w:spacing w:val="-32"/>
              </w:rPr>
              <w:t> </w:t>
            </w:r>
            <w:r>
              <w:rPr/>
              <w:t>Procesos</w:t>
            </w:r>
            <w:r>
              <w:rPr>
                <w:spacing w:val="1"/>
              </w:rPr>
              <w:t> </w:t>
            </w:r>
            <w:r>
              <w:rPr/>
              <w:t>Multicriteriales</w:t>
              <w:tab/>
              <w:t>57</w:t>
            </w:r>
          </w:hyperlink>
        </w:p>
        <w:p>
          <w:pPr>
            <w:pStyle w:val="TOC3"/>
            <w:numPr>
              <w:ilvl w:val="1"/>
              <w:numId w:val="1"/>
            </w:numPr>
            <w:tabs>
              <w:tab w:pos="2080" w:val="left" w:leader="none"/>
              <w:tab w:pos="2081" w:val="left" w:leader="none"/>
              <w:tab w:pos="10287" w:val="left" w:leader="dot"/>
            </w:tabs>
            <w:spacing w:line="362" w:lineRule="auto" w:before="336" w:after="0"/>
            <w:ind w:left="1420" w:right="1206" w:firstLine="0"/>
            <w:jc w:val="left"/>
          </w:pPr>
          <w:hyperlink w:history="true" w:anchor="_bookmark26">
            <w:r>
              <w:rPr/>
              <w:t>El Concepto de Deuda Ecológica en la Ecología Política y la Reformulación</w:t>
            </w:r>
          </w:hyperlink>
          <w:hyperlink w:history="true" w:anchor="_bookmark26">
            <w:r>
              <w:rPr/>
              <w:t> Usada en</w:t>
            </w:r>
            <w:r>
              <w:rPr>
                <w:spacing w:val="-8"/>
              </w:rPr>
              <w:t> </w:t>
            </w:r>
            <w:r>
              <w:rPr/>
              <w:t>esta</w:t>
            </w:r>
            <w:r>
              <w:rPr>
                <w:spacing w:val="-3"/>
              </w:rPr>
              <w:t> </w:t>
            </w:r>
            <w:r>
              <w:rPr/>
              <w:t>Investigación</w:t>
              <w:tab/>
            </w:r>
            <w:r>
              <w:rPr>
                <w:spacing w:val="-10"/>
              </w:rPr>
              <w:t>60</w:t>
            </w:r>
          </w:hyperlink>
        </w:p>
        <w:p>
          <w:pPr>
            <w:pStyle w:val="TOC1"/>
            <w:numPr>
              <w:ilvl w:val="0"/>
              <w:numId w:val="1"/>
            </w:numPr>
            <w:tabs>
              <w:tab w:pos="1860" w:val="left" w:leader="none"/>
              <w:tab w:pos="1861" w:val="left" w:leader="none"/>
              <w:tab w:pos="10287" w:val="left" w:leader="dot"/>
            </w:tabs>
            <w:spacing w:line="240" w:lineRule="auto" w:before="195" w:after="0"/>
            <w:ind w:left="1860" w:right="0" w:hanging="661"/>
            <w:jc w:val="left"/>
          </w:pPr>
          <w:hyperlink w:history="true" w:anchor="_bookmark27">
            <w:r>
              <w:rPr/>
              <w:t>Metodología</w:t>
              <w:tab/>
              <w:t>72</w:t>
            </w:r>
          </w:hyperlink>
        </w:p>
        <w:p>
          <w:pPr>
            <w:pStyle w:val="TOC2"/>
            <w:numPr>
              <w:ilvl w:val="1"/>
              <w:numId w:val="1"/>
            </w:numPr>
            <w:tabs>
              <w:tab w:pos="2080" w:val="left" w:leader="none"/>
              <w:tab w:pos="2081" w:val="left" w:leader="none"/>
              <w:tab w:pos="10287" w:val="left" w:leader="dot"/>
            </w:tabs>
            <w:spacing w:line="240" w:lineRule="auto" w:before="341" w:after="0"/>
            <w:ind w:left="2080" w:right="0" w:hanging="661"/>
            <w:jc w:val="left"/>
          </w:pPr>
          <w:hyperlink w:history="true" w:anchor="_bookmark28">
            <w:r>
              <w:rPr/>
              <w:t>Modelo de Análisis del Concepto de Deuda</w:t>
            </w:r>
            <w:r>
              <w:rPr>
                <w:spacing w:val="-22"/>
              </w:rPr>
              <w:t> </w:t>
            </w:r>
            <w:r>
              <w:rPr/>
              <w:t>Ecológica</w:t>
            </w:r>
            <w:r>
              <w:rPr>
                <w:spacing w:val="-4"/>
              </w:rPr>
              <w:t> </w:t>
            </w:r>
            <w:r>
              <w:rPr/>
              <w:t>Utilizado</w:t>
              <w:tab/>
              <w:t>73</w:t>
            </w:r>
          </w:hyperlink>
        </w:p>
        <w:p>
          <w:pPr>
            <w:pStyle w:val="TOC3"/>
            <w:numPr>
              <w:ilvl w:val="1"/>
              <w:numId w:val="1"/>
            </w:numPr>
            <w:tabs>
              <w:tab w:pos="2080" w:val="left" w:leader="none"/>
              <w:tab w:pos="2081" w:val="left" w:leader="none"/>
              <w:tab w:pos="10287" w:val="left" w:leader="dot"/>
            </w:tabs>
            <w:spacing w:line="362" w:lineRule="auto" w:before="335" w:after="0"/>
            <w:ind w:left="1420" w:right="1206" w:firstLine="0"/>
            <w:jc w:val="left"/>
          </w:pPr>
          <w:hyperlink w:history="true" w:anchor="_bookmark29">
            <w:r>
              <w:rPr/>
              <w:t>La Deuda Ecológica en la Zona Protectora La Carpintera Medida por la Huella</w:t>
            </w:r>
          </w:hyperlink>
          <w:hyperlink w:history="true" w:anchor="_bookmark29">
            <w:r>
              <w:rPr/>
              <w:t> Ecológica</w:t>
            </w:r>
            <w:r>
              <w:rPr>
                <w:spacing w:val="-6"/>
              </w:rPr>
              <w:t> </w:t>
            </w:r>
            <w:r>
              <w:rPr/>
              <w:t>Comunitaria</w:t>
              <w:tab/>
            </w:r>
            <w:r>
              <w:rPr>
                <w:spacing w:val="-10"/>
              </w:rPr>
              <w:t>77</w:t>
            </w:r>
          </w:hyperlink>
        </w:p>
        <w:p>
          <w:pPr>
            <w:pStyle w:val="TOC3"/>
            <w:numPr>
              <w:ilvl w:val="1"/>
              <w:numId w:val="1"/>
            </w:numPr>
            <w:tabs>
              <w:tab w:pos="2080" w:val="left" w:leader="none"/>
              <w:tab w:pos="2081" w:val="left" w:leader="none"/>
              <w:tab w:pos="10287" w:val="left" w:leader="dot"/>
            </w:tabs>
            <w:spacing w:line="362" w:lineRule="auto" w:before="195" w:after="0"/>
            <w:ind w:left="1420" w:right="1206" w:firstLine="0"/>
            <w:jc w:val="left"/>
          </w:pPr>
          <w:hyperlink w:history="true" w:anchor="_bookmark33">
            <w:r>
              <w:rPr/>
              <w:t>La Deuda Ecológica en la Zona Protectora La Carpintera Medida por el Valor</w:t>
            </w:r>
          </w:hyperlink>
          <w:hyperlink w:history="true" w:anchor="_bookmark33">
            <w:r>
              <w:rPr/>
              <w:t> Monetario No Compensado del Servicio Ecosistémico</w:t>
            </w:r>
            <w:r>
              <w:rPr>
                <w:spacing w:val="-22"/>
              </w:rPr>
              <w:t> </w:t>
            </w:r>
            <w:r>
              <w:rPr/>
              <w:t>de</w:t>
            </w:r>
            <w:r>
              <w:rPr>
                <w:spacing w:val="-4"/>
              </w:rPr>
              <w:t> </w:t>
            </w:r>
            <w:r>
              <w:rPr/>
              <w:t>Vista</w:t>
              <w:tab/>
            </w:r>
            <w:r>
              <w:rPr>
                <w:spacing w:val="-10"/>
              </w:rPr>
              <w:t>83</w:t>
            </w:r>
          </w:hyperlink>
        </w:p>
        <w:p>
          <w:pPr>
            <w:pStyle w:val="TOC4"/>
            <w:numPr>
              <w:ilvl w:val="2"/>
              <w:numId w:val="1"/>
            </w:numPr>
            <w:tabs>
              <w:tab w:pos="2080" w:val="left" w:leader="none"/>
              <w:tab w:pos="2081" w:val="left" w:leader="none"/>
              <w:tab w:pos="10287" w:val="left" w:leader="dot"/>
            </w:tabs>
            <w:spacing w:line="240" w:lineRule="auto" w:before="195" w:after="0"/>
            <w:ind w:left="2080" w:right="0" w:hanging="441"/>
            <w:jc w:val="left"/>
          </w:pPr>
          <w:hyperlink w:history="true" w:anchor="_bookmark34">
            <w:r>
              <w:rPr/>
              <w:t>Antecedentes Nacionales y Modelo</w:t>
            </w:r>
            <w:r>
              <w:rPr>
                <w:spacing w:val="-12"/>
              </w:rPr>
              <w:t> </w:t>
            </w:r>
            <w:r>
              <w:rPr/>
              <w:t>de</w:t>
            </w:r>
            <w:r>
              <w:rPr>
                <w:spacing w:val="-5"/>
              </w:rPr>
              <w:t> </w:t>
            </w:r>
            <w:r>
              <w:rPr/>
              <w:t>Estimación</w:t>
              <w:tab/>
              <w:t>83</w:t>
            </w:r>
          </w:hyperlink>
        </w:p>
        <w:p>
          <w:pPr>
            <w:pStyle w:val="TOC4"/>
            <w:numPr>
              <w:ilvl w:val="2"/>
              <w:numId w:val="1"/>
            </w:numPr>
            <w:tabs>
              <w:tab w:pos="2080" w:val="left" w:leader="none"/>
              <w:tab w:pos="2081" w:val="left" w:leader="none"/>
              <w:tab w:pos="10287" w:val="left" w:leader="dot"/>
            </w:tabs>
            <w:spacing w:line="357" w:lineRule="auto" w:before="340" w:after="20"/>
            <w:ind w:left="1640" w:right="1206" w:firstLine="0"/>
            <w:jc w:val="left"/>
          </w:pPr>
          <w:hyperlink w:history="true" w:anchor="_bookmark37">
            <w:r>
              <w:rPr/>
              <w:t>Metodología de Definición de Muestra, Recolección de Datos y Pruebas</w:t>
            </w:r>
          </w:hyperlink>
          <w:hyperlink w:history="true" w:anchor="_bookmark37">
            <w:r>
              <w:rPr/>
              <w:t> Estadísticas del Modelo: Logros</w:t>
            </w:r>
            <w:r>
              <w:rPr>
                <w:spacing w:val="-11"/>
              </w:rPr>
              <w:t> </w:t>
            </w:r>
            <w:r>
              <w:rPr/>
              <w:t>y</w:t>
            </w:r>
            <w:r>
              <w:rPr>
                <w:spacing w:val="-8"/>
              </w:rPr>
              <w:t> </w:t>
            </w:r>
            <w:r>
              <w:rPr/>
              <w:t>Limitaciones</w:t>
              <w:tab/>
            </w:r>
            <w:r>
              <w:rPr>
                <w:spacing w:val="-10"/>
              </w:rPr>
              <w:t>89</w:t>
            </w:r>
          </w:hyperlink>
        </w:p>
        <w:p>
          <w:pPr>
            <w:pStyle w:val="TOC3"/>
            <w:numPr>
              <w:ilvl w:val="1"/>
              <w:numId w:val="1"/>
            </w:numPr>
            <w:tabs>
              <w:tab w:pos="2080" w:val="left" w:leader="none"/>
              <w:tab w:pos="2081" w:val="left" w:leader="none"/>
              <w:tab w:pos="10287" w:val="left" w:leader="dot"/>
            </w:tabs>
            <w:spacing w:line="357" w:lineRule="auto" w:before="79" w:after="0"/>
            <w:ind w:left="1420" w:right="1206" w:firstLine="0"/>
            <w:jc w:val="left"/>
          </w:pPr>
          <w:hyperlink w:history="true" w:anchor="_bookmark42">
            <w:r>
              <w:rPr/>
              <w:t>Taller de Presentación a Actores Comunales y Planteamiento del Proceso</w:t>
            </w:r>
          </w:hyperlink>
          <w:hyperlink w:history="true" w:anchor="_bookmark42">
            <w:r>
              <w:rPr/>
              <w:t> Multicriterial de Consulta de Alternativas</w:t>
            </w:r>
            <w:r>
              <w:rPr>
                <w:spacing w:val="-23"/>
              </w:rPr>
              <w:t> </w:t>
            </w:r>
            <w:r>
              <w:rPr/>
              <w:t>de</w:t>
            </w:r>
            <w:r>
              <w:rPr>
                <w:spacing w:val="-5"/>
              </w:rPr>
              <w:t> </w:t>
            </w:r>
            <w:r>
              <w:rPr/>
              <w:t>Política</w:t>
              <w:tab/>
            </w:r>
            <w:r>
              <w:rPr>
                <w:spacing w:val="-10"/>
              </w:rPr>
              <w:t>96</w:t>
            </w:r>
          </w:hyperlink>
        </w:p>
        <w:p>
          <w:pPr>
            <w:pStyle w:val="TOC1"/>
            <w:numPr>
              <w:ilvl w:val="0"/>
              <w:numId w:val="1"/>
            </w:numPr>
            <w:tabs>
              <w:tab w:pos="1860" w:val="left" w:leader="none"/>
              <w:tab w:pos="1861" w:val="left" w:leader="none"/>
              <w:tab w:pos="10287" w:val="left" w:leader="dot"/>
            </w:tabs>
            <w:spacing w:line="240" w:lineRule="auto" w:before="206" w:after="0"/>
            <w:ind w:left="1860" w:right="0" w:hanging="661"/>
            <w:jc w:val="left"/>
          </w:pPr>
          <w:hyperlink w:history="true" w:anchor="_bookmark43">
            <w:r>
              <w:rPr/>
              <w:t>Resultados</w:t>
            </w:r>
            <w:r>
              <w:rPr>
                <w:spacing w:val="1"/>
              </w:rPr>
              <w:t> </w:t>
            </w:r>
            <w:r>
              <w:rPr/>
              <w:t>y</w:t>
            </w:r>
            <w:r>
              <w:rPr>
                <w:spacing w:val="-7"/>
              </w:rPr>
              <w:t> </w:t>
            </w:r>
            <w:r>
              <w:rPr/>
              <w:t>Discusión</w:t>
              <w:tab/>
              <w:t>98</w:t>
            </w:r>
          </w:hyperlink>
        </w:p>
        <w:p>
          <w:pPr>
            <w:pStyle w:val="TOC2"/>
            <w:numPr>
              <w:ilvl w:val="1"/>
              <w:numId w:val="1"/>
            </w:numPr>
            <w:tabs>
              <w:tab w:pos="2080" w:val="left" w:leader="none"/>
              <w:tab w:pos="2081" w:val="left" w:leader="none"/>
              <w:tab w:pos="10287" w:val="left" w:leader="dot"/>
            </w:tabs>
            <w:spacing w:line="240" w:lineRule="auto" w:before="336" w:after="0"/>
            <w:ind w:left="2080" w:right="0" w:hanging="661"/>
            <w:jc w:val="left"/>
          </w:pPr>
          <w:hyperlink w:history="true" w:anchor="_bookmark44">
            <w:r>
              <w:rPr/>
              <w:t>Elementos de la Deuda Ecológica en la Zona Protectora</w:t>
            </w:r>
            <w:r>
              <w:rPr>
                <w:spacing w:val="-28"/>
              </w:rPr>
              <w:t> </w:t>
            </w:r>
            <w:r>
              <w:rPr/>
              <w:t>La</w:t>
            </w:r>
            <w:r>
              <w:rPr>
                <w:spacing w:val="-4"/>
              </w:rPr>
              <w:t> </w:t>
            </w:r>
            <w:r>
              <w:rPr/>
              <w:t>Carpintera</w:t>
              <w:tab/>
              <w:t>98</w:t>
            </w:r>
          </w:hyperlink>
        </w:p>
        <w:p>
          <w:pPr>
            <w:pStyle w:val="TOC3"/>
            <w:numPr>
              <w:ilvl w:val="1"/>
              <w:numId w:val="1"/>
            </w:numPr>
            <w:tabs>
              <w:tab w:pos="2080" w:val="left" w:leader="none"/>
              <w:tab w:pos="2081" w:val="left" w:leader="none"/>
              <w:tab w:pos="10155" w:val="left" w:leader="dot"/>
            </w:tabs>
            <w:spacing w:line="357" w:lineRule="auto" w:before="340" w:after="0"/>
            <w:ind w:left="1420" w:right="1206" w:firstLine="0"/>
            <w:jc w:val="left"/>
          </w:pPr>
          <w:hyperlink w:history="true" w:anchor="_bookmark46">
            <w:r>
              <w:rPr/>
              <w:t>La Deuda Ecológica en la Zona Protectora La Carpintera Medida por la Huella</w:t>
            </w:r>
          </w:hyperlink>
          <w:hyperlink w:history="true" w:anchor="_bookmark46">
            <w:r>
              <w:rPr/>
              <w:t> Ecológica</w:t>
            </w:r>
            <w:r>
              <w:rPr>
                <w:spacing w:val="-6"/>
              </w:rPr>
              <w:t> </w:t>
            </w:r>
            <w:r>
              <w:rPr/>
              <w:t>Comunitaria</w:t>
              <w:tab/>
            </w:r>
            <w:r>
              <w:rPr>
                <w:spacing w:val="-8"/>
              </w:rPr>
              <w:t>100</w:t>
            </w:r>
          </w:hyperlink>
        </w:p>
        <w:p>
          <w:pPr>
            <w:pStyle w:val="TOC3"/>
            <w:numPr>
              <w:ilvl w:val="1"/>
              <w:numId w:val="1"/>
            </w:numPr>
            <w:tabs>
              <w:tab w:pos="2080" w:val="left" w:leader="none"/>
              <w:tab w:pos="2081" w:val="left" w:leader="none"/>
              <w:tab w:pos="10155" w:val="left" w:leader="dot"/>
            </w:tabs>
            <w:spacing w:line="360" w:lineRule="auto" w:before="206" w:after="0"/>
            <w:ind w:left="1420" w:right="1206" w:firstLine="0"/>
            <w:jc w:val="left"/>
          </w:pPr>
          <w:hyperlink w:history="true" w:anchor="_bookmark49">
            <w:r>
              <w:rPr/>
              <w:t>La Deuda Ecológica en la Zona Protectora La Carpintera Medida por el Valor</w:t>
            </w:r>
          </w:hyperlink>
          <w:hyperlink w:history="true" w:anchor="_bookmark49">
            <w:r>
              <w:rPr/>
              <w:t> No Compensado del Servicio Ecosistémico</w:t>
            </w:r>
            <w:r>
              <w:rPr>
                <w:spacing w:val="-19"/>
              </w:rPr>
              <w:t> </w:t>
            </w:r>
            <w:r>
              <w:rPr/>
              <w:t>de</w:t>
            </w:r>
            <w:r>
              <w:rPr>
                <w:spacing w:val="-4"/>
              </w:rPr>
              <w:t> </w:t>
            </w:r>
            <w:r>
              <w:rPr/>
              <w:t>Vista</w:t>
              <w:tab/>
            </w:r>
            <w:r>
              <w:rPr>
                <w:spacing w:val="-8"/>
              </w:rPr>
              <w:t>102</w:t>
            </w:r>
          </w:hyperlink>
        </w:p>
        <w:p>
          <w:pPr>
            <w:pStyle w:val="TOC3"/>
            <w:numPr>
              <w:ilvl w:val="1"/>
              <w:numId w:val="1"/>
            </w:numPr>
            <w:tabs>
              <w:tab w:pos="2080" w:val="left" w:leader="none"/>
              <w:tab w:pos="2081" w:val="left" w:leader="none"/>
              <w:tab w:pos="10155" w:val="left" w:leader="dot"/>
            </w:tabs>
            <w:spacing w:line="357" w:lineRule="auto" w:before="200" w:after="0"/>
            <w:ind w:left="1420" w:right="1206" w:firstLine="0"/>
            <w:jc w:val="left"/>
          </w:pPr>
          <w:hyperlink w:history="true" w:anchor="_bookmark55">
            <w:r>
              <w:rPr/>
              <w:t>Taller de Presentación a Actores Comunales y Planteamiento del Proceso de</w:t>
            </w:r>
          </w:hyperlink>
          <w:hyperlink w:history="true" w:anchor="_bookmark55">
            <w:r>
              <w:rPr/>
              <w:t> Consulta Multicriterial de Alternativas</w:t>
            </w:r>
            <w:r>
              <w:rPr>
                <w:spacing w:val="-18"/>
              </w:rPr>
              <w:t> </w:t>
            </w:r>
            <w:r>
              <w:rPr/>
              <w:t>de</w:t>
            </w:r>
            <w:r>
              <w:rPr>
                <w:spacing w:val="-4"/>
              </w:rPr>
              <w:t> </w:t>
            </w:r>
            <w:r>
              <w:rPr/>
              <w:t>Política</w:t>
              <w:tab/>
            </w:r>
            <w:r>
              <w:rPr>
                <w:spacing w:val="-8"/>
              </w:rPr>
              <w:t>109</w:t>
            </w:r>
          </w:hyperlink>
        </w:p>
        <w:p>
          <w:pPr>
            <w:pStyle w:val="TOC2"/>
            <w:numPr>
              <w:ilvl w:val="1"/>
              <w:numId w:val="1"/>
            </w:numPr>
            <w:tabs>
              <w:tab w:pos="2080" w:val="left" w:leader="none"/>
              <w:tab w:pos="2081" w:val="left" w:leader="none"/>
              <w:tab w:pos="10155" w:val="left" w:leader="dot"/>
            </w:tabs>
            <w:spacing w:line="240" w:lineRule="auto" w:before="206" w:after="0"/>
            <w:ind w:left="2080" w:right="0" w:hanging="661"/>
            <w:jc w:val="left"/>
          </w:pPr>
          <w:hyperlink w:history="true" w:anchor="_bookmark59">
            <w:r>
              <w:rPr/>
              <w:t>Breve</w:t>
            </w:r>
            <w:r>
              <w:rPr>
                <w:spacing w:val="-3"/>
              </w:rPr>
              <w:t> </w:t>
            </w:r>
            <w:r>
              <w:rPr/>
              <w:t>Discusión</w:t>
              <w:tab/>
            </w:r>
            <w:r>
              <w:rPr>
                <w:spacing w:val="-2"/>
              </w:rPr>
              <w:t>115</w:t>
            </w:r>
          </w:hyperlink>
        </w:p>
        <w:p>
          <w:pPr>
            <w:pStyle w:val="TOC1"/>
            <w:numPr>
              <w:ilvl w:val="0"/>
              <w:numId w:val="1"/>
            </w:numPr>
            <w:tabs>
              <w:tab w:pos="1860" w:val="left" w:leader="none"/>
              <w:tab w:pos="1861" w:val="left" w:leader="none"/>
              <w:tab w:pos="10155" w:val="left" w:leader="dot"/>
            </w:tabs>
            <w:spacing w:line="240" w:lineRule="auto" w:before="336" w:after="0"/>
            <w:ind w:left="1860" w:right="0" w:hanging="661"/>
            <w:jc w:val="left"/>
          </w:pPr>
          <w:hyperlink w:history="true" w:anchor="_bookmark62">
            <w:r>
              <w:rPr/>
              <w:t>Conclusiones y</w:t>
            </w:r>
            <w:r>
              <w:rPr>
                <w:spacing w:val="-8"/>
              </w:rPr>
              <w:t> </w:t>
            </w:r>
            <w:r>
              <w:rPr/>
              <w:t>Recomendaciones</w:t>
              <w:tab/>
            </w:r>
            <w:r>
              <w:rPr>
                <w:spacing w:val="-2"/>
              </w:rPr>
              <w:t>120</w:t>
            </w:r>
          </w:hyperlink>
        </w:p>
        <w:p>
          <w:pPr>
            <w:pStyle w:val="TOC1"/>
            <w:numPr>
              <w:ilvl w:val="0"/>
              <w:numId w:val="1"/>
            </w:numPr>
            <w:tabs>
              <w:tab w:pos="1860" w:val="left" w:leader="none"/>
              <w:tab w:pos="1861" w:val="left" w:leader="none"/>
              <w:tab w:pos="10155" w:val="left" w:leader="dot"/>
            </w:tabs>
            <w:spacing w:line="240" w:lineRule="auto" w:before="341" w:after="0"/>
            <w:ind w:left="1860" w:right="0" w:hanging="661"/>
            <w:jc w:val="left"/>
          </w:pPr>
          <w:hyperlink w:history="true" w:anchor="_bookmark63">
            <w:r>
              <w:rPr/>
              <w:t>Bibliografía</w:t>
              <w:tab/>
            </w:r>
            <w:r>
              <w:rPr>
                <w:spacing w:val="-2"/>
              </w:rPr>
              <w:t>123</w:t>
            </w:r>
          </w:hyperlink>
        </w:p>
        <w:p>
          <w:pPr>
            <w:pStyle w:val="TOC1"/>
            <w:numPr>
              <w:ilvl w:val="0"/>
              <w:numId w:val="1"/>
            </w:numPr>
            <w:tabs>
              <w:tab w:pos="1860" w:val="left" w:leader="none"/>
              <w:tab w:pos="1861" w:val="left" w:leader="none"/>
              <w:tab w:pos="10155" w:val="left" w:leader="dot"/>
            </w:tabs>
            <w:spacing w:line="240" w:lineRule="auto" w:before="336" w:after="0"/>
            <w:ind w:left="1860" w:right="0" w:hanging="661"/>
            <w:jc w:val="left"/>
          </w:pPr>
          <w:hyperlink w:history="true" w:anchor="_bookmark64">
            <w:r>
              <w:rPr/>
              <w:t>Anexo 1: Cuestionarios para Recolección de Datos de</w:t>
            </w:r>
            <w:r>
              <w:rPr>
                <w:spacing w:val="-22"/>
              </w:rPr>
              <w:t> </w:t>
            </w:r>
            <w:r>
              <w:rPr/>
              <w:t>Huella</w:t>
            </w:r>
            <w:r>
              <w:rPr>
                <w:spacing w:val="-4"/>
              </w:rPr>
              <w:t> </w:t>
            </w:r>
            <w:r>
              <w:rPr/>
              <w:t>Ecológica</w:t>
              <w:tab/>
            </w:r>
            <w:r>
              <w:rPr>
                <w:spacing w:val="-2"/>
              </w:rPr>
              <w:t>151</w:t>
            </w:r>
          </w:hyperlink>
        </w:p>
        <w:p>
          <w:pPr>
            <w:pStyle w:val="TOC1"/>
            <w:numPr>
              <w:ilvl w:val="0"/>
              <w:numId w:val="1"/>
            </w:numPr>
            <w:tabs>
              <w:tab w:pos="2080" w:val="left" w:leader="none"/>
              <w:tab w:pos="2081" w:val="left" w:leader="none"/>
              <w:tab w:pos="10155" w:val="left" w:leader="dot"/>
            </w:tabs>
            <w:spacing w:line="357" w:lineRule="auto" w:before="340" w:after="0"/>
            <w:ind w:left="1200" w:right="1206" w:firstLine="0"/>
            <w:jc w:val="left"/>
          </w:pPr>
          <w:hyperlink w:history="true" w:anchor="_bookmark65">
            <w:r>
              <w:rPr/>
              <w:t>Anexo 2: Ejemplos de Selección de Muestra para Comunidades Encuestadas</w:t>
            </w:r>
          </w:hyperlink>
          <w:hyperlink w:history="true" w:anchor="_bookmark65">
            <w:r>
              <w:rPr/>
              <w:t> de</w:t>
            </w:r>
            <w:r>
              <w:rPr>
                <w:spacing w:val="-4"/>
              </w:rPr>
              <w:t> </w:t>
            </w:r>
            <w:r>
              <w:rPr/>
              <w:t>Huella</w:t>
            </w:r>
            <w:r>
              <w:rPr>
                <w:spacing w:val="-4"/>
              </w:rPr>
              <w:t> </w:t>
            </w:r>
            <w:r>
              <w:rPr/>
              <w:t>Ecológica</w:t>
              <w:tab/>
            </w:r>
            <w:r>
              <w:rPr>
                <w:spacing w:val="-8"/>
              </w:rPr>
              <w:t>158</w:t>
            </w:r>
          </w:hyperlink>
        </w:p>
        <w:p>
          <w:pPr>
            <w:pStyle w:val="TOC1"/>
            <w:numPr>
              <w:ilvl w:val="0"/>
              <w:numId w:val="1"/>
            </w:numPr>
            <w:tabs>
              <w:tab w:pos="1860" w:val="left" w:leader="none"/>
              <w:tab w:pos="1861" w:val="left" w:leader="none"/>
              <w:tab w:pos="10155" w:val="left" w:leader="dot"/>
            </w:tabs>
            <w:spacing w:line="240" w:lineRule="auto" w:before="206" w:after="0"/>
            <w:ind w:left="1860" w:right="0" w:hanging="661"/>
            <w:jc w:val="left"/>
          </w:pPr>
          <w:hyperlink w:history="true" w:anchor="_bookmark66">
            <w:r>
              <w:rPr/>
              <w:t>Anexo 3: Síntesis de Mediciones de Calidad</w:t>
            </w:r>
            <w:r>
              <w:rPr>
                <w:spacing w:val="-17"/>
              </w:rPr>
              <w:t> </w:t>
            </w:r>
            <w:r>
              <w:rPr/>
              <w:t>del</w:t>
            </w:r>
            <w:r>
              <w:rPr>
                <w:spacing w:val="-4"/>
              </w:rPr>
              <w:t> </w:t>
            </w:r>
            <w:r>
              <w:rPr/>
              <w:t>Entorno</w:t>
              <w:tab/>
            </w:r>
            <w:r>
              <w:rPr>
                <w:spacing w:val="-2"/>
              </w:rPr>
              <w:t>164</w:t>
            </w:r>
          </w:hyperlink>
        </w:p>
        <w:p>
          <w:pPr>
            <w:pStyle w:val="TOC1"/>
            <w:numPr>
              <w:ilvl w:val="0"/>
              <w:numId w:val="1"/>
            </w:numPr>
            <w:tabs>
              <w:tab w:pos="1860" w:val="left" w:leader="none"/>
              <w:tab w:pos="1861" w:val="left" w:leader="none"/>
              <w:tab w:pos="10155" w:val="left" w:leader="dot"/>
            </w:tabs>
            <w:spacing w:line="362" w:lineRule="auto" w:before="336" w:after="0"/>
            <w:ind w:left="1200" w:right="1206" w:firstLine="0"/>
            <w:jc w:val="left"/>
          </w:pPr>
          <w:hyperlink w:history="true" w:anchor="_bookmark67">
            <w:r>
              <w:rPr/>
              <w:t>Anexo 4: Set de Datos para Modelar Relación del Servicio de Vista con el Precio</w:t>
            </w:r>
          </w:hyperlink>
          <w:hyperlink w:history="true" w:anchor="_bookmark67">
            <w:r>
              <w:rPr/>
              <w:t> de</w:t>
            </w:r>
            <w:r>
              <w:rPr>
                <w:spacing w:val="-4"/>
              </w:rPr>
              <w:t> </w:t>
            </w:r>
            <w:r>
              <w:rPr/>
              <w:t>los</w:t>
            </w:r>
            <w:r>
              <w:rPr>
                <w:spacing w:val="-2"/>
              </w:rPr>
              <w:t> </w:t>
            </w:r>
            <w:r>
              <w:rPr/>
              <w:t>Inmuebles.</w:t>
              <w:tab/>
            </w:r>
            <w:r>
              <w:rPr>
                <w:spacing w:val="-8"/>
              </w:rPr>
              <w:t>165</w:t>
            </w:r>
          </w:hyperlink>
        </w:p>
        <w:p>
          <w:pPr>
            <w:pStyle w:val="TOC1"/>
            <w:numPr>
              <w:ilvl w:val="0"/>
              <w:numId w:val="1"/>
            </w:numPr>
            <w:tabs>
              <w:tab w:pos="1860" w:val="left" w:leader="none"/>
              <w:tab w:pos="1861" w:val="left" w:leader="none"/>
              <w:tab w:pos="10155" w:val="left" w:leader="dot"/>
            </w:tabs>
            <w:spacing w:line="362" w:lineRule="auto" w:before="195" w:after="0"/>
            <w:ind w:left="1200" w:right="1206" w:firstLine="0"/>
            <w:jc w:val="left"/>
          </w:pPr>
          <w:hyperlink w:history="true" w:anchor="_bookmark68">
            <w:r>
              <w:rPr/>
              <w:t>Anexo 5: Resultados Estadísticos del Modelo de Estimación de Influencia del</w:t>
            </w:r>
          </w:hyperlink>
          <w:hyperlink w:history="true" w:anchor="_bookmark68">
            <w:r>
              <w:rPr/>
              <w:t> Servicio de Vista sobre el Precio de</w:t>
            </w:r>
            <w:r>
              <w:rPr>
                <w:spacing w:val="-21"/>
              </w:rPr>
              <w:t> </w:t>
            </w:r>
            <w:r>
              <w:rPr/>
              <w:t>los</w:t>
            </w:r>
            <w:r>
              <w:rPr>
                <w:spacing w:val="-1"/>
              </w:rPr>
              <w:t> </w:t>
            </w:r>
            <w:r>
              <w:rPr/>
              <w:t>Inmuebles</w:t>
              <w:tab/>
            </w:r>
            <w:r>
              <w:rPr>
                <w:spacing w:val="-8"/>
              </w:rPr>
              <w:t>175</w:t>
            </w:r>
          </w:hyperlink>
        </w:p>
        <w:p>
          <w:pPr>
            <w:pStyle w:val="TOC1"/>
            <w:numPr>
              <w:ilvl w:val="0"/>
              <w:numId w:val="1"/>
            </w:numPr>
            <w:tabs>
              <w:tab w:pos="1860" w:val="left" w:leader="none"/>
              <w:tab w:pos="1861" w:val="left" w:leader="none"/>
              <w:tab w:pos="10155" w:val="left" w:leader="dot"/>
            </w:tabs>
            <w:spacing w:line="240" w:lineRule="auto" w:before="194" w:after="0"/>
            <w:ind w:left="1860" w:right="0" w:hanging="661"/>
            <w:jc w:val="left"/>
          </w:pPr>
          <w:hyperlink w:history="true" w:anchor="_bookmark69">
            <w:r>
              <w:rPr/>
              <w:t>Anexo 6: Memoria del Taller de Presentación</w:t>
            </w:r>
            <w:r>
              <w:rPr>
                <w:spacing w:val="-22"/>
              </w:rPr>
              <w:t> </w:t>
            </w:r>
            <w:r>
              <w:rPr/>
              <w:t>de</w:t>
            </w:r>
            <w:r>
              <w:rPr>
                <w:spacing w:val="-4"/>
              </w:rPr>
              <w:t> </w:t>
            </w:r>
            <w:r>
              <w:rPr/>
              <w:t>Resultados</w:t>
              <w:tab/>
            </w:r>
            <w:r>
              <w:rPr>
                <w:spacing w:val="-2"/>
              </w:rPr>
              <w:t>198</w:t>
            </w:r>
          </w:hyperlink>
        </w:p>
      </w:sdtContent>
    </w:sdt>
    <w:p>
      <w:pPr>
        <w:spacing w:after="0" w:line="240" w:lineRule="auto"/>
        <w:jc w:val="left"/>
        <w:sectPr>
          <w:type w:val="continuous"/>
          <w:pgSz w:w="12240" w:h="15840"/>
          <w:pgMar w:top="1360" w:bottom="2171" w:left="240" w:right="240"/>
        </w:sectPr>
      </w:pPr>
    </w:p>
    <w:p>
      <w:pPr>
        <w:spacing w:before="75"/>
        <w:ind w:left="1200" w:right="0" w:firstLine="0"/>
        <w:jc w:val="left"/>
        <w:rPr>
          <w:b/>
          <w:sz w:val="24"/>
        </w:rPr>
      </w:pPr>
      <w:r>
        <w:rPr>
          <w:b/>
          <w:sz w:val="24"/>
        </w:rPr>
        <w:t>Lista de Cuadros</w:t>
      </w:r>
    </w:p>
    <w:p>
      <w:pPr>
        <w:pStyle w:val="BodyText"/>
        <w:spacing w:before="4"/>
        <w:rPr>
          <w:b/>
        </w:rPr>
      </w:pPr>
    </w:p>
    <w:p>
      <w:pPr>
        <w:pStyle w:val="BodyText"/>
        <w:tabs>
          <w:tab w:pos="10287" w:val="left" w:leader="dot"/>
        </w:tabs>
        <w:spacing w:line="360" w:lineRule="auto"/>
        <w:ind w:left="1200" w:right="1206"/>
      </w:pPr>
      <w:hyperlink w:history="true" w:anchor="_bookmark6">
        <w:r>
          <w:rPr/>
          <w:t>Cuadro 1- Conglomerados de Pobreza y Áreas Protegidas en la Gran Área</w:t>
        </w:r>
      </w:hyperlink>
      <w:r>
        <w:rPr/>
        <w:t> </w:t>
      </w:r>
      <w:hyperlink w:history="true" w:anchor="_bookmark6">
        <w:r>
          <w:rPr/>
          <w:t>Metropolitana del Valle Central de Costa Rica Identificados por el Número en el Atlas</w:t>
        </w:r>
      </w:hyperlink>
      <w:r>
        <w:rPr/>
        <w:t> </w:t>
      </w:r>
      <w:hyperlink w:history="true" w:anchor="_bookmark6">
        <w:r>
          <w:rPr/>
          <w:t>de Carencias Críticas en</w:t>
        </w:r>
        <w:r>
          <w:rPr>
            <w:spacing w:val="-10"/>
          </w:rPr>
          <w:t> </w:t>
        </w:r>
        <w:r>
          <w:rPr/>
          <w:t>Costa</w:t>
        </w:r>
        <w:r>
          <w:rPr>
            <w:spacing w:val="-4"/>
          </w:rPr>
          <w:t> </w:t>
        </w:r>
        <w:r>
          <w:rPr/>
          <w:t>Rica</w:t>
          <w:tab/>
        </w:r>
        <w:r>
          <w:rPr>
            <w:spacing w:val="-10"/>
          </w:rPr>
          <w:t>15</w:t>
        </w:r>
      </w:hyperlink>
    </w:p>
    <w:p>
      <w:pPr>
        <w:pStyle w:val="BodyText"/>
        <w:tabs>
          <w:tab w:pos="10287" w:val="left" w:leader="dot"/>
        </w:tabs>
        <w:spacing w:line="362" w:lineRule="auto"/>
        <w:ind w:left="1200" w:right="1206"/>
      </w:pPr>
      <w:r>
        <w:rPr/>
        <w:t>Cuadro 2- Indicadores de Recursos Disponibles (A.) para la Labor Encomendada y de Resultados (B.) de los Diversos Modelos de Áreas Protegidas en</w:t>
      </w:r>
      <w:r>
        <w:rPr>
          <w:spacing w:val="-22"/>
        </w:rPr>
        <w:t> </w:t>
      </w:r>
      <w:r>
        <w:rPr/>
        <w:t>el</w:t>
      </w:r>
      <w:r>
        <w:rPr>
          <w:spacing w:val="-3"/>
        </w:rPr>
        <w:t> </w:t>
      </w:r>
      <w:r>
        <w:rPr/>
        <w:t>SINAC</w:t>
        <w:tab/>
      </w:r>
      <w:r>
        <w:rPr>
          <w:spacing w:val="-10"/>
        </w:rPr>
        <w:t>24</w:t>
      </w:r>
    </w:p>
    <w:p>
      <w:pPr>
        <w:pStyle w:val="BodyText"/>
        <w:tabs>
          <w:tab w:pos="10287" w:val="left" w:leader="dot"/>
        </w:tabs>
        <w:spacing w:line="271" w:lineRule="exact"/>
        <w:ind w:left="1200"/>
      </w:pPr>
      <w:hyperlink w:history="true" w:anchor="_bookmark10">
        <w:r>
          <w:rPr/>
          <w:t>Cuadro 3- Porcentaje de Tierras en ZPLC de Acuerdo</w:t>
        </w:r>
        <w:r>
          <w:rPr>
            <w:spacing w:val="-21"/>
          </w:rPr>
          <w:t> </w:t>
        </w:r>
        <w:r>
          <w:rPr/>
          <w:t>con</w:t>
        </w:r>
        <w:r>
          <w:rPr>
            <w:spacing w:val="-3"/>
          </w:rPr>
          <w:t> </w:t>
        </w:r>
        <w:r>
          <w:rPr/>
          <w:t>Cantón</w:t>
          <w:tab/>
          <w:t>26</w:t>
        </w:r>
      </w:hyperlink>
    </w:p>
    <w:p>
      <w:pPr>
        <w:pStyle w:val="BodyText"/>
        <w:tabs>
          <w:tab w:pos="10287" w:val="left" w:leader="dot"/>
        </w:tabs>
        <w:spacing w:before="139"/>
        <w:ind w:left="1200"/>
      </w:pPr>
      <w:hyperlink w:history="true" w:anchor="_bookmark13">
        <w:r>
          <w:rPr/>
          <w:t>Cuadro 4- Usos del Suelo en la ZPLC 2001</w:t>
        </w:r>
        <w:r>
          <w:rPr>
            <w:spacing w:val="-13"/>
          </w:rPr>
          <w:t> </w:t>
        </w:r>
        <w:r>
          <w:rPr/>
          <w:t>y</w:t>
        </w:r>
        <w:r>
          <w:rPr>
            <w:spacing w:val="-5"/>
          </w:rPr>
          <w:t> </w:t>
        </w:r>
        <w:r>
          <w:rPr/>
          <w:t>2010</w:t>
          <w:tab/>
          <w:t>27</w:t>
        </w:r>
      </w:hyperlink>
    </w:p>
    <w:p>
      <w:pPr>
        <w:pStyle w:val="BodyText"/>
        <w:tabs>
          <w:tab w:pos="10287" w:val="left" w:leader="dot"/>
        </w:tabs>
        <w:spacing w:line="362" w:lineRule="auto" w:before="136"/>
        <w:ind w:left="1200" w:right="1206"/>
      </w:pPr>
      <w:hyperlink w:history="true" w:anchor="_bookmark21">
        <w:r>
          <w:rPr/>
          <w:t>Cuadro 5- Características del Inmueble y del Entorno Identificadas como Significativas</w:t>
        </w:r>
      </w:hyperlink>
      <w:r>
        <w:rPr/>
        <w:t> </w:t>
      </w:r>
      <w:hyperlink w:history="true" w:anchor="_bookmark21">
        <w:r>
          <w:rPr/>
          <w:t>para el Precio de las Viviendas en 5</w:t>
        </w:r>
        <w:r>
          <w:rPr>
            <w:spacing w:val="-29"/>
          </w:rPr>
          <w:t> </w:t>
        </w:r>
        <w:r>
          <w:rPr/>
          <w:t>Ciudades</w:t>
        </w:r>
        <w:r>
          <w:rPr>
            <w:spacing w:val="-2"/>
          </w:rPr>
          <w:t> </w:t>
        </w:r>
        <w:r>
          <w:rPr/>
          <w:t>Latinoamericanas.</w:t>
          <w:tab/>
        </w:r>
        <w:r>
          <w:rPr>
            <w:spacing w:val="-10"/>
          </w:rPr>
          <w:t>48</w:t>
        </w:r>
      </w:hyperlink>
    </w:p>
    <w:p>
      <w:pPr>
        <w:pStyle w:val="BodyText"/>
        <w:tabs>
          <w:tab w:pos="10287" w:val="left" w:leader="dot"/>
        </w:tabs>
        <w:spacing w:line="362" w:lineRule="auto"/>
        <w:ind w:left="1200" w:right="1206"/>
      </w:pPr>
      <w:hyperlink w:history="true" w:anchor="_bookmark23">
        <w:r>
          <w:rPr/>
          <w:t>Cuadro 6- Huella Ecológica, Biocapacidad y Déficit/Superávit Ecológico entre</w:t>
        </w:r>
      </w:hyperlink>
      <w:r>
        <w:rPr/>
        <w:t> </w:t>
      </w:r>
      <w:hyperlink w:history="true" w:anchor="_bookmark23">
        <w:r>
          <w:rPr/>
          <w:t>Diferentes Regiones del Mundo en el</w:t>
        </w:r>
        <w:r>
          <w:rPr>
            <w:spacing w:val="-13"/>
          </w:rPr>
          <w:t> </w:t>
        </w:r>
        <w:r>
          <w:rPr/>
          <w:t>Año</w:t>
        </w:r>
        <w:r>
          <w:rPr>
            <w:spacing w:val="-4"/>
          </w:rPr>
          <w:t> </w:t>
        </w:r>
        <w:r>
          <w:rPr/>
          <w:t>2000</w:t>
          <w:tab/>
        </w:r>
        <w:r>
          <w:rPr>
            <w:spacing w:val="-10"/>
          </w:rPr>
          <w:t>55</w:t>
        </w:r>
      </w:hyperlink>
    </w:p>
    <w:p>
      <w:pPr>
        <w:pStyle w:val="BodyText"/>
        <w:tabs>
          <w:tab w:pos="10287" w:val="left" w:leader="dot"/>
        </w:tabs>
        <w:spacing w:line="362" w:lineRule="auto"/>
        <w:ind w:left="1200" w:right="1205"/>
      </w:pPr>
      <w:r>
        <w:rPr/>
        <w:t>Cuadro 7- Deconstrucción de Algunos de los CED de Deuda Ecológica en América Latina que Documenta</w:t>
      </w:r>
      <w:r>
        <w:rPr>
          <w:spacing w:val="-10"/>
        </w:rPr>
        <w:t> </w:t>
      </w:r>
      <w:r>
        <w:rPr/>
        <w:t>la</w:t>
      </w:r>
      <w:r>
        <w:rPr>
          <w:spacing w:val="-5"/>
        </w:rPr>
        <w:t> </w:t>
      </w:r>
      <w:r>
        <w:rPr/>
        <w:t>Literatura</w:t>
        <w:tab/>
      </w:r>
      <w:r>
        <w:rPr>
          <w:spacing w:val="-10"/>
        </w:rPr>
        <w:t>74</w:t>
      </w:r>
    </w:p>
    <w:p>
      <w:pPr>
        <w:pStyle w:val="BodyText"/>
        <w:tabs>
          <w:tab w:pos="10287" w:val="left" w:leader="dot"/>
        </w:tabs>
        <w:spacing w:line="362" w:lineRule="auto"/>
        <w:ind w:left="1200" w:right="1206"/>
      </w:pPr>
      <w:hyperlink w:history="true" w:anchor="_bookmark31">
        <w:r>
          <w:rPr/>
          <w:t>Cuadro 8- Lista de Comunidades que Conforman las Muestras de Deudoras y</w:t>
        </w:r>
      </w:hyperlink>
      <w:r>
        <w:rPr/>
        <w:t> </w:t>
      </w:r>
      <w:hyperlink w:history="true" w:anchor="_bookmark31">
        <w:r>
          <w:rPr/>
          <w:t>Acreedoras y Fechas de Toma</w:t>
        </w:r>
        <w:r>
          <w:rPr>
            <w:spacing w:val="-12"/>
          </w:rPr>
          <w:t> </w:t>
        </w:r>
        <w:r>
          <w:rPr/>
          <w:t>de</w:t>
        </w:r>
        <w:r>
          <w:rPr>
            <w:spacing w:val="-3"/>
          </w:rPr>
          <w:t> </w:t>
        </w:r>
        <w:r>
          <w:rPr/>
          <w:t>Muestras.</w:t>
          <w:tab/>
        </w:r>
        <w:r>
          <w:rPr>
            <w:spacing w:val="-10"/>
          </w:rPr>
          <w:t>81</w:t>
        </w:r>
      </w:hyperlink>
    </w:p>
    <w:p>
      <w:pPr>
        <w:pStyle w:val="BodyText"/>
        <w:tabs>
          <w:tab w:pos="10287" w:val="left" w:leader="dot"/>
        </w:tabs>
        <w:spacing w:line="360" w:lineRule="auto"/>
        <w:ind w:left="1200" w:right="1206"/>
      </w:pPr>
      <w:hyperlink w:history="true" w:anchor="_bookmark32">
        <w:r>
          <w:rPr/>
          <w:t>Cuadro 9- Muestra Meta y Muestra Lograda de Encuestas para la Estimación de la</w:t>
        </w:r>
      </w:hyperlink>
      <w:r>
        <w:rPr/>
        <w:t> </w:t>
      </w:r>
      <w:hyperlink w:history="true" w:anchor="_bookmark32">
        <w:r>
          <w:rPr/>
          <w:t>Huella Ecológica per Cápita en los Hogares de las Comunidades Deudoras y</w:t>
        </w:r>
      </w:hyperlink>
      <w:r>
        <w:rPr/>
        <w:t> </w:t>
      </w:r>
      <w:hyperlink w:history="true" w:anchor="_bookmark32">
        <w:r>
          <w:rPr/>
          <w:t>Acreedoras.</w:t>
          <w:tab/>
        </w:r>
        <w:r>
          <w:rPr>
            <w:spacing w:val="-10"/>
          </w:rPr>
          <w:t>82</w:t>
        </w:r>
      </w:hyperlink>
    </w:p>
    <w:p>
      <w:pPr>
        <w:pStyle w:val="BodyText"/>
        <w:spacing w:line="360" w:lineRule="auto"/>
        <w:ind w:left="1200" w:right="1206"/>
        <w:jc w:val="both"/>
      </w:pPr>
      <w:hyperlink w:history="true" w:anchor="_bookmark35">
        <w:r>
          <w:rPr/>
          <w:t>Cuadro 10- Estudios que Aplican la Metodología de Precios Hedónicos para Determinar</w:t>
        </w:r>
      </w:hyperlink>
      <w:r>
        <w:rPr/>
        <w:t> </w:t>
      </w:r>
      <w:hyperlink w:history="true" w:anchor="_bookmark35">
        <w:r>
          <w:rPr/>
          <w:t>la Influencia del Entorno en los Precios de los Inmuebles en Costa Rica 2000 – 2010.84</w:t>
        </w:r>
      </w:hyperlink>
      <w:r>
        <w:rPr/>
        <w:t> </w:t>
      </w:r>
      <w:hyperlink w:history="true" w:anchor="_bookmark36">
        <w:r>
          <w:rPr/>
          <w:t>Cuadro 11- Características del Inmueble y del Entorno Identificadas como Significativas</w:t>
        </w:r>
      </w:hyperlink>
      <w:r>
        <w:rPr/>
        <w:t> </w:t>
      </w:r>
      <w:hyperlink w:history="true" w:anchor="_bookmark36">
        <w:r>
          <w:rPr/>
          <w:t>para el Precio de los Inmuebles en 5 Zonas Urbanas en el Valle Central de Costa</w:t>
        </w:r>
        <w:r>
          <w:rPr>
            <w:spacing w:val="-41"/>
          </w:rPr>
          <w:t> </w:t>
        </w:r>
        <w:r>
          <w:rPr/>
          <w:t>Rica.</w:t>
        </w:r>
      </w:hyperlink>
    </w:p>
    <w:p>
      <w:pPr>
        <w:pStyle w:val="BodyText"/>
        <w:ind w:left="1256"/>
        <w:jc w:val="both"/>
      </w:pPr>
      <w:hyperlink w:history="true" w:anchor="_bookmark36">
        <w:r>
          <w:rPr/>
          <w:t>.................................................................................................................................... </w:t>
        </w:r>
        <w:r>
          <w:rPr>
            <w:spacing w:val="53"/>
          </w:rPr>
          <w:t> </w:t>
        </w:r>
        <w:r>
          <w:rPr/>
          <w:t>86</w:t>
        </w:r>
      </w:hyperlink>
    </w:p>
    <w:p>
      <w:pPr>
        <w:pStyle w:val="BodyText"/>
        <w:tabs>
          <w:tab w:pos="10287" w:val="left" w:leader="dot"/>
        </w:tabs>
        <w:spacing w:line="362" w:lineRule="auto" w:before="118"/>
        <w:ind w:left="1200" w:right="1206"/>
      </w:pPr>
      <w:hyperlink w:history="true" w:anchor="_bookmark41">
        <w:r>
          <w:rPr/>
          <w:t>Cuadro 12- Variables de los Modelos de Estimación Propuestos, Descripción y Fuentes</w:t>
        </w:r>
      </w:hyperlink>
      <w:r>
        <w:rPr/>
        <w:t> </w:t>
      </w:r>
      <w:hyperlink w:history="true" w:anchor="_bookmark41">
        <w:r>
          <w:rPr/>
          <w:t>de</w:t>
        </w:r>
        <w:r>
          <w:rPr>
            <w:spacing w:val="-4"/>
          </w:rPr>
          <w:t> </w:t>
        </w:r>
        <w:r>
          <w:rPr/>
          <w:t>Datos.</w:t>
          <w:tab/>
        </w:r>
        <w:r>
          <w:rPr>
            <w:spacing w:val="-10"/>
          </w:rPr>
          <w:t>94</w:t>
        </w:r>
      </w:hyperlink>
    </w:p>
    <w:p>
      <w:pPr>
        <w:pStyle w:val="BodyText"/>
        <w:tabs>
          <w:tab w:pos="10287" w:val="left" w:leader="dot"/>
        </w:tabs>
        <w:spacing w:line="360" w:lineRule="auto"/>
        <w:ind w:left="1200" w:right="1206"/>
      </w:pPr>
      <w:hyperlink w:history="true" w:anchor="_bookmark45">
        <w:r>
          <w:rPr/>
          <w:t>Cuadro 13- Deconstrucción Mejorada de los Elementos Constitutivos de la Deuda</w:t>
        </w:r>
      </w:hyperlink>
      <w:r>
        <w:rPr/>
        <w:t> </w:t>
      </w:r>
      <w:hyperlink w:history="true" w:anchor="_bookmark45">
        <w:r>
          <w:rPr/>
          <w:t>Ecológica en la Conflictividad Socio-Ecológico Distributiva de la Zona Protectora La</w:t>
        </w:r>
      </w:hyperlink>
      <w:r>
        <w:rPr/>
        <w:t> </w:t>
      </w:r>
      <w:hyperlink w:history="true" w:anchor="_bookmark45">
        <w:r>
          <w:rPr/>
          <w:t>Carpintera</w:t>
          <w:tab/>
        </w:r>
        <w:r>
          <w:rPr>
            <w:spacing w:val="-10"/>
          </w:rPr>
          <w:t>99</w:t>
        </w:r>
      </w:hyperlink>
    </w:p>
    <w:p>
      <w:pPr>
        <w:pStyle w:val="BodyText"/>
        <w:tabs>
          <w:tab w:pos="10155" w:val="left" w:leader="dot"/>
        </w:tabs>
        <w:spacing w:line="357" w:lineRule="auto"/>
        <w:ind w:left="1200" w:right="1206"/>
      </w:pPr>
      <w:hyperlink w:history="true" w:anchor="_bookmark47">
        <w:r>
          <w:rPr/>
          <w:t>Cuadro 14- Estimación de la Huella Ecológica en Hectáreas per Cápita por Año de las</w:t>
        </w:r>
      </w:hyperlink>
      <w:r>
        <w:rPr/>
        <w:t> </w:t>
      </w:r>
      <w:hyperlink w:history="true" w:anchor="_bookmark47">
        <w:r>
          <w:rPr/>
          <w:t>Comunidades Deudoras y Acreedoras en la ZPLC y su</w:t>
        </w:r>
        <w:r>
          <w:rPr>
            <w:spacing w:val="-24"/>
          </w:rPr>
          <w:t> </w:t>
        </w:r>
        <w:r>
          <w:rPr/>
          <w:t>Zonas</w:t>
        </w:r>
        <w:r>
          <w:rPr>
            <w:spacing w:val="-2"/>
          </w:rPr>
          <w:t> </w:t>
        </w:r>
        <w:r>
          <w:rPr/>
          <w:t>Cercanas.</w:t>
          <w:tab/>
        </w:r>
        <w:r>
          <w:rPr>
            <w:spacing w:val="-8"/>
          </w:rPr>
          <w:t>100</w:t>
        </w:r>
      </w:hyperlink>
    </w:p>
    <w:p>
      <w:pPr>
        <w:spacing w:after="0" w:line="357" w:lineRule="auto"/>
        <w:sectPr>
          <w:pgSz w:w="12240" w:h="15840"/>
          <w:pgMar w:header="0" w:footer="1062" w:top="1360" w:bottom="1260" w:left="240" w:right="240"/>
        </w:sectPr>
      </w:pPr>
    </w:p>
    <w:p>
      <w:pPr>
        <w:pStyle w:val="BodyText"/>
        <w:tabs>
          <w:tab w:pos="10155" w:val="left" w:leader="dot"/>
        </w:tabs>
        <w:spacing w:line="357" w:lineRule="auto" w:before="79"/>
        <w:ind w:left="1200" w:right="1206"/>
      </w:pPr>
      <w:hyperlink w:history="true" w:anchor="_bookmark48">
        <w:r>
          <w:rPr/>
          <w:t>Cuadro 15- Estimación de la Deuda y Acreencia Ecológica en Hectáreas per Cápita por</w:t>
        </w:r>
      </w:hyperlink>
      <w:r>
        <w:rPr/>
        <w:t> </w:t>
      </w:r>
      <w:hyperlink w:history="true" w:anchor="_bookmark48">
        <w:r>
          <w:rPr/>
          <w:t>Año de las</w:t>
        </w:r>
        <w:r>
          <w:rPr>
            <w:spacing w:val="-12"/>
          </w:rPr>
          <w:t> </w:t>
        </w:r>
        <w:r>
          <w:rPr/>
          <w:t>Zonas</w:t>
        </w:r>
        <w:r>
          <w:rPr>
            <w:spacing w:val="1"/>
          </w:rPr>
          <w:t> </w:t>
        </w:r>
        <w:r>
          <w:rPr/>
          <w:t>Muestreadas.</w:t>
          <w:tab/>
        </w:r>
        <w:r>
          <w:rPr>
            <w:spacing w:val="-8"/>
          </w:rPr>
          <w:t>101</w:t>
        </w:r>
      </w:hyperlink>
    </w:p>
    <w:p>
      <w:pPr>
        <w:pStyle w:val="BodyText"/>
        <w:tabs>
          <w:tab w:pos="10155" w:val="left" w:leader="dot"/>
        </w:tabs>
        <w:spacing w:line="360" w:lineRule="auto" w:before="6"/>
        <w:ind w:left="1200" w:right="1206"/>
      </w:pPr>
      <w:hyperlink w:history="true" w:anchor="_bookmark50">
        <w:r>
          <w:rPr/>
          <w:t>Cuadro 16- Análisis de T para las Medias de los Grupos de Viviendas que Anuncian el</w:t>
        </w:r>
      </w:hyperlink>
      <w:r>
        <w:rPr/>
        <w:t> </w:t>
      </w:r>
      <w:hyperlink w:history="true" w:anchor="_bookmark50">
        <w:r>
          <w:rPr/>
          <w:t>Servicio de Vista de la ZPLC Frente a los que No en los Sitios </w:t>
        </w:r>
        <w:r>
          <w:rPr>
            <w:spacing w:val="3"/>
          </w:rPr>
          <w:t>Web </w:t>
        </w:r>
        <w:r>
          <w:rPr/>
          <w:t>de Ventas de</w:t>
        </w:r>
      </w:hyperlink>
      <w:r>
        <w:rPr/>
        <w:t> </w:t>
      </w:r>
      <w:hyperlink w:history="true" w:anchor="_bookmark50">
        <w:r>
          <w:rPr/>
          <w:t>Inmuebles Consultados Abril 2016 –</w:t>
        </w:r>
        <w:r>
          <w:rPr>
            <w:spacing w:val="-9"/>
          </w:rPr>
          <w:t> </w:t>
        </w:r>
        <w:r>
          <w:rPr/>
          <w:t>Marzo</w:t>
        </w:r>
        <w:r>
          <w:rPr>
            <w:spacing w:val="-4"/>
          </w:rPr>
          <w:t> </w:t>
        </w:r>
        <w:r>
          <w:rPr/>
          <w:t>2017</w:t>
          <w:tab/>
        </w:r>
        <w:r>
          <w:rPr>
            <w:spacing w:val="-8"/>
          </w:rPr>
          <w:t>102</w:t>
        </w:r>
      </w:hyperlink>
    </w:p>
    <w:p>
      <w:pPr>
        <w:pStyle w:val="BodyText"/>
        <w:tabs>
          <w:tab w:pos="10155" w:val="left" w:leader="dot"/>
        </w:tabs>
        <w:spacing w:line="362" w:lineRule="auto"/>
        <w:ind w:left="1200" w:right="1206"/>
      </w:pPr>
      <w:hyperlink w:history="true" w:anchor="_bookmark51">
        <w:r>
          <w:rPr/>
          <w:t>Cuadro 17- -Matriz de Correlación de Pearson para las Variables del Modelo Original</w:t>
        </w:r>
      </w:hyperlink>
      <w:r>
        <w:rPr/>
        <w:t> </w:t>
      </w:r>
      <w:hyperlink w:history="true" w:anchor="_bookmark51">
        <w:r>
          <w:rPr/>
          <w:t>de</w:t>
        </w:r>
        <w:r>
          <w:rPr>
            <w:spacing w:val="-3"/>
          </w:rPr>
          <w:t> </w:t>
        </w:r>
        <w:r>
          <w:rPr/>
          <w:t>Estimación</w:t>
          <w:tab/>
        </w:r>
        <w:r>
          <w:rPr>
            <w:spacing w:val="-8"/>
          </w:rPr>
          <w:t>103</w:t>
        </w:r>
      </w:hyperlink>
    </w:p>
    <w:p>
      <w:pPr>
        <w:pStyle w:val="BodyText"/>
        <w:tabs>
          <w:tab w:pos="10155" w:val="left" w:leader="dot"/>
        </w:tabs>
        <w:spacing w:line="362" w:lineRule="auto"/>
        <w:ind w:left="1200" w:right="1206"/>
      </w:pPr>
      <w:hyperlink w:history="true" w:anchor="_bookmark52">
        <w:r>
          <w:rPr/>
          <w:t>Cuadro 18- Evaluación de Modelos de Estimación del Precio por Inmueble Incluyendo</w:t>
        </w:r>
      </w:hyperlink>
      <w:r>
        <w:rPr/>
        <w:t> </w:t>
      </w:r>
      <w:hyperlink w:history="true" w:anchor="_bookmark52">
        <w:r>
          <w:rPr/>
          <w:t>Coeficiente de Determinación y Evaluaciones de ACR, MCD</w:t>
        </w:r>
        <w:r>
          <w:rPr>
            <w:spacing w:val="-23"/>
          </w:rPr>
          <w:t> </w:t>
        </w:r>
        <w:r>
          <w:rPr/>
          <w:t>y</w:t>
        </w:r>
        <w:r>
          <w:rPr>
            <w:spacing w:val="-7"/>
          </w:rPr>
          <w:t> </w:t>
        </w:r>
        <w:r>
          <w:rPr/>
          <w:t>HCD</w:t>
          <w:tab/>
        </w:r>
        <w:r>
          <w:rPr>
            <w:spacing w:val="-8"/>
          </w:rPr>
          <w:t>104</w:t>
        </w:r>
      </w:hyperlink>
    </w:p>
    <w:p>
      <w:pPr>
        <w:pStyle w:val="BodyText"/>
        <w:tabs>
          <w:tab w:pos="10155" w:val="left" w:leader="dot"/>
        </w:tabs>
        <w:spacing w:line="362" w:lineRule="auto"/>
        <w:ind w:left="1200" w:right="1206"/>
      </w:pPr>
      <w:hyperlink w:history="true" w:anchor="_bookmark53">
        <w:r>
          <w:rPr/>
          <w:t>Cuadro 19- Coeficiente de Determinación R</w:t>
        </w:r>
        <w:r>
          <w:rPr>
            <w:position w:val="8"/>
            <w:sz w:val="16"/>
          </w:rPr>
          <w:t>2 </w:t>
        </w:r>
        <w:r>
          <w:rPr/>
          <w:t>de los Estudios Antecedentes en Costa</w:t>
        </w:r>
      </w:hyperlink>
      <w:r>
        <w:rPr/>
        <w:t> </w:t>
      </w:r>
      <w:hyperlink w:history="true" w:anchor="_bookmark53">
        <w:r>
          <w:rPr/>
          <w:t>Rica</w:t>
        </w:r>
        <w:r>
          <w:rPr>
            <w:spacing w:val="-5"/>
          </w:rPr>
          <w:t> </w:t>
        </w:r>
        <w:r>
          <w:rPr/>
          <w:t>Considerados.</w:t>
          <w:tab/>
        </w:r>
        <w:r>
          <w:rPr>
            <w:spacing w:val="-8"/>
          </w:rPr>
          <w:t>108</w:t>
        </w:r>
      </w:hyperlink>
    </w:p>
    <w:p>
      <w:pPr>
        <w:pStyle w:val="BodyText"/>
        <w:tabs>
          <w:tab w:pos="10155" w:val="left" w:leader="dot"/>
        </w:tabs>
        <w:spacing w:line="360" w:lineRule="auto"/>
        <w:ind w:left="1200" w:right="1206"/>
      </w:pPr>
      <w:hyperlink w:history="true" w:anchor="_bookmark54">
        <w:r>
          <w:rPr/>
          <w:t>Cuadro 20- Diferencias en la Estimación del Precio de las Casas y Condominios en las</w:t>
        </w:r>
      </w:hyperlink>
      <w:r>
        <w:rPr/>
        <w:t> </w:t>
      </w:r>
      <w:hyperlink w:history="true" w:anchor="_bookmark54">
        <w:r>
          <w:rPr/>
          <w:t>Zonas Deudoras en Relación a la Vista a la ZPLC de Conformidad con la Muestra</w:t>
        </w:r>
      </w:hyperlink>
      <w:r>
        <w:rPr/>
        <w:t> </w:t>
      </w:r>
      <w:hyperlink w:history="true" w:anchor="_bookmark54">
        <w:r>
          <w:rPr/>
          <w:t>Realizada y el Modelo de</w:t>
        </w:r>
        <w:r>
          <w:rPr>
            <w:spacing w:val="-17"/>
          </w:rPr>
          <w:t> </w:t>
        </w:r>
        <w:r>
          <w:rPr/>
          <w:t>Estimación Seleccionado</w:t>
          <w:tab/>
        </w:r>
        <w:r>
          <w:rPr>
            <w:spacing w:val="-8"/>
          </w:rPr>
          <w:t>108</w:t>
        </w:r>
      </w:hyperlink>
    </w:p>
    <w:p>
      <w:pPr>
        <w:pStyle w:val="BodyText"/>
        <w:tabs>
          <w:tab w:pos="10155" w:val="left" w:leader="dot"/>
        </w:tabs>
        <w:ind w:left="1200"/>
      </w:pPr>
      <w:hyperlink w:history="true" w:anchor="_bookmark57">
        <w:r>
          <w:rPr/>
          <w:t>Cuadro 21- Ejemplo de Matriz de Desempeño</w:t>
        </w:r>
        <w:r>
          <w:rPr>
            <w:spacing w:val="-20"/>
          </w:rPr>
          <w:t> </w:t>
        </w:r>
        <w:r>
          <w:rPr/>
          <w:t>o</w:t>
        </w:r>
        <w:r>
          <w:rPr>
            <w:spacing w:val="-3"/>
          </w:rPr>
          <w:t> </w:t>
        </w:r>
        <w:r>
          <w:rPr/>
          <w:t>Impacto</w:t>
          <w:tab/>
        </w:r>
        <w:r>
          <w:rPr>
            <w:spacing w:val="-2"/>
          </w:rPr>
          <w:t>113</w:t>
        </w:r>
      </w:hyperlink>
    </w:p>
    <w:p>
      <w:pPr>
        <w:pStyle w:val="BodyText"/>
        <w:tabs>
          <w:tab w:pos="10155" w:val="left" w:leader="dot"/>
        </w:tabs>
        <w:spacing w:line="362" w:lineRule="auto" w:before="116"/>
        <w:ind w:left="1200" w:right="1206"/>
      </w:pPr>
      <w:hyperlink w:history="true" w:anchor="_bookmark60">
        <w:r>
          <w:rPr/>
          <w:t>Cuadro 22- Estimación de los Servicios Ambientales Generados Anualmente en la</w:t>
        </w:r>
      </w:hyperlink>
      <w:r>
        <w:rPr/>
        <w:t> </w:t>
      </w:r>
      <w:hyperlink w:history="true" w:anchor="_bookmark60">
        <w:r>
          <w:rPr/>
          <w:t>Zona Protectora</w:t>
        </w:r>
        <w:r>
          <w:rPr>
            <w:spacing w:val="-9"/>
          </w:rPr>
          <w:t> </w:t>
        </w:r>
        <w:r>
          <w:rPr/>
          <w:t>La</w:t>
        </w:r>
        <w:r>
          <w:rPr>
            <w:spacing w:val="-4"/>
          </w:rPr>
          <w:t> </w:t>
        </w:r>
        <w:r>
          <w:rPr/>
          <w:t>Carpintera</w:t>
          <w:tab/>
        </w:r>
        <w:r>
          <w:rPr>
            <w:spacing w:val="-8"/>
          </w:rPr>
          <w:t>115</w:t>
        </w:r>
      </w:hyperlink>
    </w:p>
    <w:p>
      <w:pPr>
        <w:pStyle w:val="BodyText"/>
        <w:tabs>
          <w:tab w:pos="10155" w:val="left" w:leader="dot"/>
        </w:tabs>
        <w:spacing w:line="360" w:lineRule="auto"/>
        <w:ind w:left="1200" w:right="1206"/>
      </w:pPr>
      <w:hyperlink w:history="true" w:anchor="_bookmark61">
        <w:r>
          <w:rPr/>
          <w:t>Cuadro 23- Deconstrucción Completa de los Elementos Constitutivos de la Deuda</w:t>
        </w:r>
      </w:hyperlink>
      <w:r>
        <w:rPr/>
        <w:t> </w:t>
      </w:r>
      <w:hyperlink w:history="true" w:anchor="_bookmark61">
        <w:r>
          <w:rPr/>
          <w:t>Ecológica en la Conflictividad Socio-Ecológico Distributiva de la Zona Protectora La</w:t>
        </w:r>
      </w:hyperlink>
      <w:r>
        <w:rPr/>
        <w:t> </w:t>
      </w:r>
      <w:hyperlink w:history="true" w:anchor="_bookmark61">
        <w:r>
          <w:rPr/>
          <w:t>Carpintera</w:t>
          <w:tab/>
        </w:r>
        <w:r>
          <w:rPr>
            <w:spacing w:val="-8"/>
          </w:rPr>
          <w:t>119</w:t>
        </w:r>
      </w:hyperlink>
    </w:p>
    <w:p>
      <w:pPr>
        <w:spacing w:after="0" w:line="360" w:lineRule="auto"/>
        <w:sectPr>
          <w:pgSz w:w="12240" w:h="15840"/>
          <w:pgMar w:header="0" w:footer="1062" w:top="1360" w:bottom="1260" w:left="240" w:right="240"/>
        </w:sectPr>
      </w:pPr>
    </w:p>
    <w:p>
      <w:pPr>
        <w:pStyle w:val="Heading2"/>
      </w:pPr>
      <w:r>
        <w:rPr/>
        <w:t>Lista de Figuras</w:t>
      </w:r>
    </w:p>
    <w:p>
      <w:pPr>
        <w:pStyle w:val="BodyText"/>
        <w:spacing w:before="7"/>
        <w:rPr>
          <w:b/>
          <w:sz w:val="29"/>
        </w:rPr>
      </w:pPr>
    </w:p>
    <w:p>
      <w:pPr>
        <w:pStyle w:val="BodyText"/>
        <w:tabs>
          <w:tab w:pos="10423" w:val="left" w:leader="dot"/>
        </w:tabs>
        <w:spacing w:line="362" w:lineRule="auto"/>
        <w:ind w:left="1200" w:right="1201"/>
      </w:pPr>
      <w:hyperlink w:history="true" w:anchor="_bookmark3">
        <w:r>
          <w:rPr/>
          <w:t>Figura 1- División de Conflictos por País de América Central de Acuerdo con el</w:t>
        </w:r>
      </w:hyperlink>
      <w:r>
        <w:rPr/>
        <w:t> </w:t>
      </w:r>
      <w:hyperlink w:history="true" w:anchor="_bookmark3">
        <w:r>
          <w:rPr/>
          <w:t>EJATLAS.</w:t>
          <w:tab/>
        </w:r>
        <w:r>
          <w:rPr>
            <w:spacing w:val="-18"/>
          </w:rPr>
          <w:t>8</w:t>
        </w:r>
      </w:hyperlink>
    </w:p>
    <w:p>
      <w:pPr>
        <w:pStyle w:val="BodyText"/>
        <w:tabs>
          <w:tab w:pos="10423" w:val="left" w:leader="dot"/>
        </w:tabs>
        <w:spacing w:line="271" w:lineRule="exact"/>
        <w:ind w:left="1200"/>
      </w:pPr>
      <w:hyperlink w:history="true" w:anchor="_bookmark4">
        <w:r>
          <w:rPr/>
          <w:t>Figura 2 – CED por Grupo Afectado de Acuerdo con los Registros</w:t>
        </w:r>
        <w:r>
          <w:rPr>
            <w:spacing w:val="-27"/>
          </w:rPr>
          <w:t> </w:t>
        </w:r>
        <w:r>
          <w:rPr/>
          <w:t>del</w:t>
        </w:r>
        <w:r>
          <w:rPr>
            <w:spacing w:val="-3"/>
          </w:rPr>
          <w:t> </w:t>
        </w:r>
        <w:r>
          <w:rPr/>
          <w:t>EJATLAS.</w:t>
          <w:tab/>
          <w:t>9</w:t>
        </w:r>
      </w:hyperlink>
    </w:p>
    <w:p>
      <w:pPr>
        <w:pStyle w:val="BodyText"/>
        <w:tabs>
          <w:tab w:pos="10287" w:val="left" w:leader="dot"/>
        </w:tabs>
        <w:spacing w:before="140"/>
        <w:ind w:left="1200"/>
      </w:pPr>
      <w:r>
        <w:rPr/>
        <w:t>Figura 3- Acciones Colectivas, Total y en</w:t>
      </w:r>
      <w:r>
        <w:rPr>
          <w:spacing w:val="-23"/>
        </w:rPr>
        <w:t> </w:t>
      </w:r>
      <w:r>
        <w:rPr/>
        <w:t>Materia</w:t>
      </w:r>
      <w:r>
        <w:rPr>
          <w:spacing w:val="-4"/>
        </w:rPr>
        <w:t> </w:t>
      </w:r>
      <w:r>
        <w:rPr/>
        <w:t>Ambiental</w:t>
        <w:tab/>
        <w:t>10</w:t>
      </w:r>
    </w:p>
    <w:p>
      <w:pPr>
        <w:pStyle w:val="BodyText"/>
        <w:tabs>
          <w:tab w:pos="10287" w:val="left" w:leader="dot"/>
        </w:tabs>
        <w:spacing w:before="136"/>
        <w:ind w:left="1200"/>
      </w:pPr>
      <w:r>
        <w:rPr/>
        <w:t>Figura 4- Acciones Colectivas sobre Temas Ambientales,</w:t>
      </w:r>
      <w:r>
        <w:rPr>
          <w:spacing w:val="-19"/>
        </w:rPr>
        <w:t> </w:t>
      </w:r>
      <w:r>
        <w:rPr/>
        <w:t>por</w:t>
      </w:r>
      <w:r>
        <w:rPr>
          <w:spacing w:val="-2"/>
        </w:rPr>
        <w:t> </w:t>
      </w:r>
      <w:r>
        <w:rPr/>
        <w:t>Actor.</w:t>
        <w:tab/>
        <w:t>10</w:t>
      </w:r>
    </w:p>
    <w:p>
      <w:pPr>
        <w:pStyle w:val="BodyText"/>
        <w:tabs>
          <w:tab w:pos="10287" w:val="left" w:leader="dot"/>
        </w:tabs>
        <w:spacing w:line="357" w:lineRule="auto" w:before="140"/>
        <w:ind w:left="1200" w:right="1206"/>
      </w:pPr>
      <w:hyperlink w:history="true" w:anchor="_bookmark5">
        <w:r>
          <w:rPr/>
          <w:t>Figura</w:t>
        </w:r>
        <w:r>
          <w:rPr>
            <w:spacing w:val="-5"/>
          </w:rPr>
          <w:t> </w:t>
        </w:r>
        <w:r>
          <w:rPr/>
          <w:t>5-</w:t>
        </w:r>
        <w:r>
          <w:rPr>
            <w:spacing w:val="1"/>
          </w:rPr>
          <w:t> </w:t>
        </w:r>
        <w:r>
          <w:rPr/>
          <w:t>Mapa</w:t>
        </w:r>
        <w:r>
          <w:rPr>
            <w:spacing w:val="-5"/>
          </w:rPr>
          <w:t> </w:t>
        </w:r>
        <w:r>
          <w:rPr/>
          <w:t>del</w:t>
        </w:r>
        <w:r>
          <w:rPr>
            <w:spacing w:val="-4"/>
          </w:rPr>
          <w:t> </w:t>
        </w:r>
        <w:r>
          <w:rPr/>
          <w:t>Índice</w:t>
        </w:r>
        <w:r>
          <w:rPr>
            <w:spacing w:val="-5"/>
          </w:rPr>
          <w:t> </w:t>
        </w:r>
        <w:r>
          <w:rPr/>
          <w:t>de</w:t>
        </w:r>
        <w:r>
          <w:rPr>
            <w:spacing w:val="-4"/>
          </w:rPr>
          <w:t> </w:t>
        </w:r>
        <w:r>
          <w:rPr/>
          <w:t>Desarrollo</w:t>
        </w:r>
        <w:r>
          <w:rPr>
            <w:spacing w:val="-5"/>
          </w:rPr>
          <w:t> </w:t>
        </w:r>
        <w:r>
          <w:rPr/>
          <w:t>Social</w:t>
        </w:r>
        <w:r>
          <w:rPr>
            <w:spacing w:val="-5"/>
          </w:rPr>
          <w:t> </w:t>
        </w:r>
        <w:r>
          <w:rPr/>
          <w:t>Distrital y</w:t>
        </w:r>
        <w:r>
          <w:rPr>
            <w:spacing w:val="-8"/>
          </w:rPr>
          <w:t> </w:t>
        </w:r>
        <w:r>
          <w:rPr/>
          <w:t>Áreas</w:t>
        </w:r>
        <w:r>
          <w:rPr>
            <w:spacing w:val="-3"/>
          </w:rPr>
          <w:t> </w:t>
        </w:r>
        <w:r>
          <w:rPr/>
          <w:t>Silvestres</w:t>
        </w:r>
        <w:r>
          <w:rPr>
            <w:spacing w:val="-2"/>
          </w:rPr>
          <w:t> </w:t>
        </w:r>
        <w:r>
          <w:rPr/>
          <w:t>Protegidas.</w:t>
        </w:r>
        <w:r>
          <w:rPr>
            <w:spacing w:val="-44"/>
          </w:rPr>
          <w:t> </w:t>
        </w:r>
        <w:r>
          <w:rPr/>
          <w:t>12</w:t>
        </w:r>
      </w:hyperlink>
      <w:r>
        <w:rPr/>
        <w:t> Figura 6- Diagrama de la Cuenca del Río Grande de Tárcoles y</w:t>
      </w:r>
      <w:r>
        <w:rPr>
          <w:spacing w:val="-32"/>
        </w:rPr>
        <w:t> </w:t>
      </w:r>
      <w:r>
        <w:rPr/>
        <w:t>Zonas</w:t>
      </w:r>
      <w:r>
        <w:rPr>
          <w:spacing w:val="-1"/>
        </w:rPr>
        <w:t> </w:t>
      </w:r>
      <w:r>
        <w:rPr/>
        <w:t>Protectoras.</w:t>
        <w:tab/>
      </w:r>
      <w:r>
        <w:rPr>
          <w:spacing w:val="-10"/>
        </w:rPr>
        <w:t>23</w:t>
      </w:r>
    </w:p>
    <w:p>
      <w:pPr>
        <w:pStyle w:val="BodyText"/>
        <w:tabs>
          <w:tab w:pos="10287" w:val="left" w:leader="dot"/>
        </w:tabs>
        <w:spacing w:line="357" w:lineRule="auto" w:before="5"/>
        <w:ind w:left="1200" w:right="1206"/>
      </w:pPr>
      <w:hyperlink w:history="true" w:anchor="_bookmark9">
        <w:r>
          <w:rPr/>
          <w:t>Figura 7- Ubicación de la ZP La Carpintera dentro de la ACCVC (Hoy Área de</w:t>
        </w:r>
      </w:hyperlink>
      <w:r>
        <w:rPr/>
        <w:t> </w:t>
      </w:r>
      <w:hyperlink w:history="true" w:anchor="_bookmark9">
        <w:r>
          <w:rPr/>
          <w:t>Conservación</w:t>
        </w:r>
        <w:r>
          <w:rPr>
            <w:spacing w:val="-6"/>
          </w:rPr>
          <w:t> </w:t>
        </w:r>
        <w:r>
          <w:rPr/>
          <w:t>Central).</w:t>
          <w:tab/>
        </w:r>
        <w:r>
          <w:rPr>
            <w:spacing w:val="-10"/>
          </w:rPr>
          <w:t>25</w:t>
        </w:r>
      </w:hyperlink>
    </w:p>
    <w:p>
      <w:pPr>
        <w:pStyle w:val="BodyText"/>
        <w:tabs>
          <w:tab w:pos="10287" w:val="left" w:leader="dot"/>
        </w:tabs>
        <w:spacing w:line="357" w:lineRule="auto" w:before="6"/>
        <w:ind w:left="1200" w:right="1206"/>
      </w:pPr>
      <w:hyperlink w:history="true" w:anchor="_bookmark11">
        <w:r>
          <w:rPr/>
          <w:t>Figura 8 – Recopilación de Fotos de la ZPLC en su Frente Norte Comparando la</w:t>
        </w:r>
      </w:hyperlink>
      <w:r>
        <w:rPr/>
        <w:t> </w:t>
      </w:r>
      <w:hyperlink w:history="true" w:anchor="_bookmark11">
        <w:r>
          <w:rPr/>
          <w:t>Cobertura del Suelo entre la Mitad del Siglo XX y el Inicio de la</w:t>
        </w:r>
        <w:r>
          <w:rPr>
            <w:spacing w:val="-33"/>
          </w:rPr>
          <w:t> </w:t>
        </w:r>
        <w:r>
          <w:rPr/>
          <w:t>Presente</w:t>
        </w:r>
        <w:r>
          <w:rPr>
            <w:spacing w:val="-4"/>
          </w:rPr>
          <w:t> </w:t>
        </w:r>
        <w:r>
          <w:rPr/>
          <w:t>Década</w:t>
          <w:tab/>
        </w:r>
        <w:r>
          <w:rPr>
            <w:spacing w:val="-10"/>
          </w:rPr>
          <w:t>26</w:t>
        </w:r>
      </w:hyperlink>
    </w:p>
    <w:p>
      <w:pPr>
        <w:pStyle w:val="BodyText"/>
        <w:tabs>
          <w:tab w:pos="10287" w:val="left" w:leader="dot"/>
        </w:tabs>
        <w:spacing w:line="357" w:lineRule="auto" w:before="6"/>
        <w:ind w:left="1200" w:right="1206"/>
      </w:pPr>
      <w:hyperlink w:history="true" w:anchor="_bookmark12">
        <w:r>
          <w:rPr/>
          <w:t>Figura 9- Muestra de Utilización del Servicio Estético en el Flanco Norte de la ZPLC</w:t>
        </w:r>
      </w:hyperlink>
      <w:r>
        <w:rPr/>
        <w:t> </w:t>
      </w:r>
      <w:hyperlink w:history="true" w:anchor="_bookmark12">
        <w:r>
          <w:rPr/>
          <w:t>para Promocionar</w:t>
        </w:r>
        <w:r>
          <w:rPr>
            <w:spacing w:val="-8"/>
          </w:rPr>
          <w:t> </w:t>
        </w:r>
        <w:r>
          <w:rPr/>
          <w:t>Bienes</w:t>
        </w:r>
        <w:r>
          <w:rPr>
            <w:spacing w:val="-3"/>
          </w:rPr>
          <w:t> </w:t>
        </w:r>
        <w:r>
          <w:rPr/>
          <w:t>Raíces.</w:t>
          <w:tab/>
        </w:r>
        <w:r>
          <w:rPr>
            <w:spacing w:val="-10"/>
          </w:rPr>
          <w:t>27</w:t>
        </w:r>
      </w:hyperlink>
    </w:p>
    <w:p>
      <w:pPr>
        <w:pStyle w:val="BodyText"/>
        <w:tabs>
          <w:tab w:pos="10287" w:val="left" w:leader="dot"/>
        </w:tabs>
        <w:spacing w:before="6"/>
        <w:ind w:left="1200"/>
      </w:pPr>
      <w:hyperlink w:history="true" w:anchor="_bookmark14">
        <w:r>
          <w:rPr/>
          <w:t>Figura 10- Mapa de Usos del Suelo en</w:t>
        </w:r>
        <w:r>
          <w:rPr>
            <w:spacing w:val="-11"/>
          </w:rPr>
          <w:t> </w:t>
        </w:r>
        <w:r>
          <w:rPr/>
          <w:t>la</w:t>
        </w:r>
        <w:r>
          <w:rPr>
            <w:spacing w:val="-2"/>
          </w:rPr>
          <w:t> </w:t>
        </w:r>
        <w:r>
          <w:rPr/>
          <w:t>ZPLC</w:t>
          <w:tab/>
          <w:t>29</w:t>
        </w:r>
      </w:hyperlink>
    </w:p>
    <w:p>
      <w:pPr>
        <w:pStyle w:val="BodyText"/>
        <w:tabs>
          <w:tab w:pos="10287" w:val="left" w:leader="dot"/>
        </w:tabs>
        <w:spacing w:line="362" w:lineRule="auto" w:before="136"/>
        <w:ind w:left="1200" w:right="1206"/>
      </w:pPr>
      <w:r>
        <w:rPr/>
        <w:t>Figura 11- Impactos de las Actividades Mineras y de los Asentamientos Urbanos en la ZPLC</w:t>
        <w:tab/>
      </w:r>
      <w:r>
        <w:rPr>
          <w:spacing w:val="-10"/>
        </w:rPr>
        <w:t>31</w:t>
      </w:r>
    </w:p>
    <w:p>
      <w:pPr>
        <w:pStyle w:val="BodyText"/>
        <w:tabs>
          <w:tab w:pos="10287" w:val="left" w:leader="dot"/>
        </w:tabs>
        <w:spacing w:line="362" w:lineRule="auto"/>
        <w:ind w:left="1200" w:right="1206"/>
      </w:pPr>
      <w:r>
        <w:rPr/>
        <w:t>Figura 12 - Ubicación del Basurero de Río Azul dentro de la Esquina Noroeste de la ZPLC</w:t>
        <w:tab/>
      </w:r>
      <w:r>
        <w:rPr>
          <w:spacing w:val="-10"/>
        </w:rPr>
        <w:t>32</w:t>
      </w:r>
    </w:p>
    <w:p>
      <w:pPr>
        <w:pStyle w:val="BodyText"/>
        <w:tabs>
          <w:tab w:pos="10287" w:val="left" w:leader="dot"/>
        </w:tabs>
        <w:spacing w:line="362" w:lineRule="auto"/>
        <w:ind w:left="1200" w:right="1206"/>
      </w:pPr>
      <w:hyperlink w:history="true" w:anchor="_bookmark15">
        <w:r>
          <w:rPr/>
          <w:t>Figura 13 – Ubicación del Río o Quebrada Azul saliendo desde la Esquina Noroeste de</w:t>
        </w:r>
      </w:hyperlink>
      <w:r>
        <w:rPr/>
        <w:t> </w:t>
      </w:r>
      <w:hyperlink w:history="true" w:anchor="_bookmark15">
        <w:r>
          <w:rPr/>
          <w:t>la</w:t>
        </w:r>
        <w:r>
          <w:rPr>
            <w:spacing w:val="-2"/>
          </w:rPr>
          <w:t> </w:t>
        </w:r>
        <w:r>
          <w:rPr/>
          <w:t>ZPLC</w:t>
          <w:tab/>
        </w:r>
        <w:r>
          <w:rPr>
            <w:spacing w:val="-10"/>
          </w:rPr>
          <w:t>33</w:t>
        </w:r>
      </w:hyperlink>
    </w:p>
    <w:p>
      <w:pPr>
        <w:pStyle w:val="BodyText"/>
        <w:tabs>
          <w:tab w:pos="10287" w:val="left" w:leader="dot"/>
        </w:tabs>
        <w:spacing w:line="362" w:lineRule="auto"/>
        <w:ind w:left="1200" w:right="1206"/>
      </w:pPr>
      <w:hyperlink w:history="true" w:anchor="_bookmark16">
        <w:r>
          <w:rPr/>
          <w:t>Figura 14- Modelo Tridimensional del Relleno Sanitario de Río Azul con la ZPLC</w:t>
        </w:r>
      </w:hyperlink>
      <w:r>
        <w:rPr/>
        <w:t> </w:t>
      </w:r>
      <w:hyperlink w:history="true" w:anchor="_bookmark16">
        <w:r>
          <w:rPr/>
          <w:t>Delineada y Comunidades que se Extienden dentro de</w:t>
        </w:r>
        <w:r>
          <w:rPr>
            <w:spacing w:val="-24"/>
          </w:rPr>
          <w:t> </w:t>
        </w:r>
        <w:r>
          <w:rPr/>
          <w:t>la</w:t>
        </w:r>
        <w:r>
          <w:rPr>
            <w:spacing w:val="-4"/>
          </w:rPr>
          <w:t> </w:t>
        </w:r>
        <w:r>
          <w:rPr/>
          <w:t>ZP.</w:t>
          <w:tab/>
        </w:r>
        <w:r>
          <w:rPr>
            <w:spacing w:val="-10"/>
          </w:rPr>
          <w:t>34</w:t>
        </w:r>
      </w:hyperlink>
    </w:p>
    <w:p>
      <w:pPr>
        <w:pStyle w:val="BodyText"/>
        <w:tabs>
          <w:tab w:pos="10287" w:val="left" w:leader="dot"/>
        </w:tabs>
        <w:spacing w:line="271" w:lineRule="exact"/>
        <w:ind w:left="1200"/>
      </w:pPr>
      <w:hyperlink w:history="true" w:anchor="_bookmark17">
        <w:r>
          <w:rPr/>
          <w:t>Figura 15 Condición de las Calles en Barrio Los Ángeles</w:t>
        </w:r>
        <w:r>
          <w:rPr>
            <w:spacing w:val="-26"/>
          </w:rPr>
          <w:t> </w:t>
        </w:r>
        <w:r>
          <w:rPr/>
          <w:t>de</w:t>
        </w:r>
        <w:r>
          <w:rPr>
            <w:spacing w:val="-3"/>
          </w:rPr>
          <w:t> </w:t>
        </w:r>
        <w:r>
          <w:rPr/>
          <w:t>Patarrá</w:t>
          <w:tab/>
          <w:t>38</w:t>
        </w:r>
      </w:hyperlink>
    </w:p>
    <w:p>
      <w:pPr>
        <w:pStyle w:val="BodyText"/>
        <w:tabs>
          <w:tab w:pos="10287" w:val="left" w:leader="dot"/>
        </w:tabs>
        <w:spacing w:line="357" w:lineRule="auto" w:before="125"/>
        <w:ind w:left="1200" w:right="1206"/>
      </w:pPr>
      <w:r>
        <w:rPr/>
        <w:t>Figura 16- Visión Esquemática Conjunta de los Diversos Componentes del Capital en la Biosfera</w:t>
        <w:tab/>
      </w:r>
      <w:r>
        <w:rPr>
          <w:spacing w:val="-10"/>
        </w:rPr>
        <w:t>40</w:t>
      </w:r>
    </w:p>
    <w:p>
      <w:pPr>
        <w:pStyle w:val="BodyText"/>
        <w:tabs>
          <w:tab w:pos="10287" w:val="left" w:leader="dot"/>
        </w:tabs>
        <w:spacing w:line="357" w:lineRule="auto" w:before="5"/>
        <w:ind w:left="1200" w:right="1206"/>
      </w:pPr>
      <w:hyperlink w:history="true" w:anchor="_bookmark19">
        <w:r>
          <w:rPr/>
          <w:t>Figura 17- Síntesis del Informe TEEB de los Enfoques y Métodos para la Determinación</w:t>
        </w:r>
      </w:hyperlink>
      <w:r>
        <w:rPr/>
        <w:t> </w:t>
      </w:r>
      <w:hyperlink w:history="true" w:anchor="_bookmark19">
        <w:r>
          <w:rPr/>
          <w:t>del Valor de los Servicios Ecosistémicos desde una</w:t>
        </w:r>
        <w:r>
          <w:rPr>
            <w:spacing w:val="-26"/>
          </w:rPr>
          <w:t> </w:t>
        </w:r>
        <w:r>
          <w:rPr/>
          <w:t>Perspectiva</w:t>
        </w:r>
        <w:r>
          <w:rPr>
            <w:spacing w:val="-4"/>
          </w:rPr>
          <w:t> </w:t>
        </w:r>
        <w:r>
          <w:rPr/>
          <w:t>Integral</w:t>
          <w:tab/>
        </w:r>
        <w:r>
          <w:rPr>
            <w:spacing w:val="-10"/>
          </w:rPr>
          <w:t>42</w:t>
        </w:r>
      </w:hyperlink>
    </w:p>
    <w:p>
      <w:pPr>
        <w:pStyle w:val="BodyText"/>
        <w:tabs>
          <w:tab w:pos="10287" w:val="left" w:leader="dot"/>
        </w:tabs>
        <w:spacing w:line="357" w:lineRule="auto" w:before="6"/>
        <w:ind w:left="1200" w:right="1206"/>
      </w:pPr>
      <w:hyperlink w:history="true" w:anchor="_bookmark24">
        <w:r>
          <w:rPr/>
          <w:t>Figura 18 – Huella Ecológica Per Cápita de Diversos Países y Regiones del Mundo y</w:t>
        </w:r>
      </w:hyperlink>
      <w:r>
        <w:rPr/>
        <w:t> </w:t>
      </w:r>
      <w:hyperlink w:history="true" w:anchor="_bookmark24">
        <w:r>
          <w:rPr/>
          <w:t>Bio-capacidad</w:t>
        </w:r>
        <w:r>
          <w:rPr>
            <w:spacing w:val="-5"/>
          </w:rPr>
          <w:t> </w:t>
        </w:r>
        <w:r>
          <w:rPr/>
          <w:t>Promedio</w:t>
        </w:r>
        <w:r>
          <w:rPr>
            <w:spacing w:val="-5"/>
          </w:rPr>
          <w:t> </w:t>
        </w:r>
        <w:r>
          <w:rPr/>
          <w:t>Mundial</w:t>
          <w:tab/>
        </w:r>
        <w:r>
          <w:rPr>
            <w:spacing w:val="-10"/>
          </w:rPr>
          <w:t>56</w:t>
        </w:r>
      </w:hyperlink>
    </w:p>
    <w:p>
      <w:pPr>
        <w:spacing w:after="0" w:line="357" w:lineRule="auto"/>
        <w:sectPr>
          <w:pgSz w:w="12240" w:h="15840"/>
          <w:pgMar w:header="0" w:footer="1062" w:top="1360" w:bottom="1260" w:left="240" w:right="240"/>
        </w:sectPr>
      </w:pPr>
    </w:p>
    <w:p>
      <w:pPr>
        <w:pStyle w:val="BodyText"/>
        <w:tabs>
          <w:tab w:pos="10287" w:val="left" w:leader="dot"/>
        </w:tabs>
        <w:spacing w:line="357" w:lineRule="auto" w:before="79"/>
        <w:ind w:left="1200" w:right="1206"/>
      </w:pPr>
      <w:r>
        <w:rPr/>
        <w:t>Figura 19- Descomposición del concepto de Deuda Ecológica de la CDE (2003) y Pengue</w:t>
      </w:r>
      <w:r>
        <w:rPr>
          <w:spacing w:val="-4"/>
        </w:rPr>
        <w:t> </w:t>
      </w:r>
      <w:r>
        <w:rPr/>
        <w:t>(2008).</w:t>
        <w:tab/>
      </w:r>
      <w:r>
        <w:rPr>
          <w:spacing w:val="-10"/>
        </w:rPr>
        <w:t>64</w:t>
      </w:r>
    </w:p>
    <w:p>
      <w:pPr>
        <w:pStyle w:val="BodyText"/>
        <w:tabs>
          <w:tab w:pos="10287" w:val="left" w:leader="dot"/>
        </w:tabs>
        <w:spacing w:line="357" w:lineRule="auto" w:before="6"/>
        <w:ind w:left="1200" w:right="1206"/>
      </w:pPr>
      <w:r>
        <w:rPr/>
        <w:t>Figura 20- Síntesis de los elementos reconocidos en la literatura que constituyen la Deuda</w:t>
      </w:r>
      <w:r>
        <w:rPr>
          <w:spacing w:val="-4"/>
        </w:rPr>
        <w:t> </w:t>
      </w:r>
      <w:r>
        <w:rPr/>
        <w:t>Ecológica</w:t>
        <w:tab/>
      </w:r>
      <w:r>
        <w:rPr>
          <w:spacing w:val="-10"/>
        </w:rPr>
        <w:t>67</w:t>
      </w:r>
    </w:p>
    <w:p>
      <w:pPr>
        <w:pStyle w:val="BodyText"/>
        <w:tabs>
          <w:tab w:pos="10287" w:val="left" w:leader="dot"/>
        </w:tabs>
        <w:spacing w:line="357" w:lineRule="auto" w:before="6"/>
        <w:ind w:left="1200" w:right="1206"/>
      </w:pPr>
      <w:r>
        <w:rPr/>
        <w:t>Figura 21- Expansión del Objeto Conceptual de la Deuda Ecológica en Razón de la Exigibilidad Relacionada a las Inequidades Atribuibles</w:t>
      </w:r>
      <w:r>
        <w:rPr>
          <w:spacing w:val="-24"/>
        </w:rPr>
        <w:t> </w:t>
      </w:r>
      <w:r>
        <w:rPr/>
        <w:t>al</w:t>
      </w:r>
      <w:r>
        <w:rPr>
          <w:spacing w:val="-6"/>
        </w:rPr>
        <w:t> </w:t>
      </w:r>
      <w:r>
        <w:rPr/>
        <w:t>Neocolonialismo</w:t>
        <w:tab/>
      </w:r>
      <w:r>
        <w:rPr>
          <w:spacing w:val="-10"/>
        </w:rPr>
        <w:t>69</w:t>
      </w:r>
    </w:p>
    <w:p>
      <w:pPr>
        <w:pStyle w:val="BodyText"/>
        <w:tabs>
          <w:tab w:pos="10287" w:val="left" w:leader="dot"/>
        </w:tabs>
        <w:spacing w:line="357" w:lineRule="auto" w:before="5"/>
        <w:ind w:left="1200" w:right="1206"/>
      </w:pPr>
      <w:r>
        <w:rPr/>
        <w:t>Figura 22- Inequidades que Pueden Sustentar la Exigibilidad en un Concepto Amplio</w:t>
      </w:r>
      <w:r>
        <w:rPr>
          <w:spacing w:val="-39"/>
        </w:rPr>
        <w:t> </w:t>
      </w:r>
      <w:r>
        <w:rPr/>
        <w:t>de Deuda</w:t>
      </w:r>
      <w:r>
        <w:rPr>
          <w:spacing w:val="-4"/>
        </w:rPr>
        <w:t> </w:t>
      </w:r>
      <w:r>
        <w:rPr/>
        <w:t>Ecológica</w:t>
        <w:tab/>
      </w:r>
      <w:r>
        <w:rPr>
          <w:spacing w:val="-10"/>
        </w:rPr>
        <w:t>70</w:t>
      </w:r>
    </w:p>
    <w:p>
      <w:pPr>
        <w:pStyle w:val="BodyText"/>
        <w:tabs>
          <w:tab w:pos="10287" w:val="left" w:leader="dot"/>
        </w:tabs>
        <w:spacing w:line="357" w:lineRule="auto" w:before="6"/>
        <w:ind w:left="1200" w:right="1206"/>
      </w:pPr>
      <w:r>
        <w:rPr/>
        <w:t>Figura 23 - Ilustración Parcial de las Diferencias en la Tenencia de la Tierra dentro de la ZPLC</w:t>
        <w:tab/>
      </w:r>
      <w:r>
        <w:rPr>
          <w:spacing w:val="-10"/>
        </w:rPr>
        <w:t>76</w:t>
      </w:r>
    </w:p>
    <w:p>
      <w:pPr>
        <w:pStyle w:val="BodyText"/>
        <w:tabs>
          <w:tab w:pos="10287" w:val="left" w:leader="dot"/>
        </w:tabs>
        <w:spacing w:line="360" w:lineRule="auto" w:before="6"/>
        <w:ind w:left="1200" w:right="1202"/>
      </w:pPr>
      <w:hyperlink w:history="true" w:anchor="_bookmark30">
        <w:r>
          <w:rPr/>
          <w:t>Figura 24 – Huella Ecológica y Bio-Capacidad per Cápita de Costa Rica (1961-2013).78</w:t>
        </w:r>
      </w:hyperlink>
      <w:r>
        <w:rPr/>
        <w:t> Figura 25 - Mapa Presentando la Definición Inicial de Comunidades Incluidas en las Muestras de Comunidades Deudoras</w:t>
      </w:r>
      <w:r>
        <w:rPr>
          <w:spacing w:val="-9"/>
        </w:rPr>
        <w:t> </w:t>
      </w:r>
      <w:r>
        <w:rPr/>
        <w:t>y</w:t>
      </w:r>
      <w:r>
        <w:rPr>
          <w:spacing w:val="-7"/>
        </w:rPr>
        <w:t> </w:t>
      </w:r>
      <w:r>
        <w:rPr/>
        <w:t>Acreedoras.</w:t>
        <w:tab/>
      </w:r>
      <w:r>
        <w:rPr>
          <w:spacing w:val="-8"/>
        </w:rPr>
        <w:t>80</w:t>
      </w:r>
    </w:p>
    <w:p>
      <w:pPr>
        <w:pStyle w:val="BodyText"/>
        <w:tabs>
          <w:tab w:pos="10287" w:val="left" w:leader="dot"/>
        </w:tabs>
        <w:spacing w:line="362" w:lineRule="auto"/>
        <w:ind w:left="1200" w:right="1206"/>
      </w:pPr>
      <w:hyperlink w:history="true" w:anchor="_bookmark38">
        <w:r>
          <w:rPr/>
          <w:t>Figura 26- Ubicación Aproximada de la Cuenca de Vista Noroeste de la ZP La</w:t>
        </w:r>
      </w:hyperlink>
      <w:r>
        <w:rPr/>
        <w:t> </w:t>
      </w:r>
      <w:hyperlink w:history="true" w:anchor="_bookmark38">
        <w:r>
          <w:rPr/>
          <w:t>Carpintera</w:t>
          <w:tab/>
        </w:r>
        <w:r>
          <w:rPr>
            <w:spacing w:val="-10"/>
          </w:rPr>
          <w:t>90</w:t>
        </w:r>
      </w:hyperlink>
    </w:p>
    <w:p>
      <w:pPr>
        <w:pStyle w:val="BodyText"/>
        <w:tabs>
          <w:tab w:pos="10287" w:val="left" w:leader="dot"/>
        </w:tabs>
        <w:spacing w:line="362" w:lineRule="auto"/>
        <w:ind w:left="1200" w:right="1206"/>
      </w:pPr>
      <w:hyperlink w:history="true" w:anchor="_bookmark39">
        <w:r>
          <w:rPr/>
          <w:t>Figura 27- Ubicación Aproximada de la Cuenca de Vista Sureste de la ZP La</w:t>
        </w:r>
      </w:hyperlink>
      <w:r>
        <w:rPr/>
        <w:t>  </w:t>
      </w:r>
      <w:hyperlink w:history="true" w:anchor="_bookmark39">
        <w:r>
          <w:rPr/>
          <w:t>Carpintera</w:t>
          <w:tab/>
        </w:r>
        <w:r>
          <w:rPr>
            <w:spacing w:val="-10"/>
          </w:rPr>
          <w:t>91</w:t>
        </w:r>
      </w:hyperlink>
    </w:p>
    <w:p>
      <w:pPr>
        <w:pStyle w:val="BodyText"/>
        <w:tabs>
          <w:tab w:pos="10287" w:val="left" w:leader="dot"/>
        </w:tabs>
        <w:spacing w:line="362" w:lineRule="auto"/>
        <w:ind w:left="1200" w:right="1206"/>
      </w:pPr>
      <w:hyperlink w:history="true" w:anchor="_bookmark40">
        <w:r>
          <w:rPr/>
          <w:t>Figura 28-Ubicación de las Comunidades/Barrios Seleccionados para Obtener la</w:t>
        </w:r>
      </w:hyperlink>
      <w:r>
        <w:rPr/>
        <w:t> </w:t>
      </w:r>
      <w:hyperlink w:history="true" w:anchor="_bookmark40">
        <w:r>
          <w:rPr/>
          <w:t>Muestra de Inmuebles en Comunidades</w:t>
        </w:r>
        <w:r>
          <w:rPr>
            <w:spacing w:val="-21"/>
          </w:rPr>
          <w:t> </w:t>
        </w:r>
        <w:r>
          <w:rPr/>
          <w:t>Potencialmente</w:t>
        </w:r>
        <w:r>
          <w:rPr>
            <w:spacing w:val="-5"/>
          </w:rPr>
          <w:t> </w:t>
        </w:r>
        <w:r>
          <w:rPr/>
          <w:t>Deudoras.</w:t>
          <w:tab/>
        </w:r>
        <w:r>
          <w:rPr>
            <w:spacing w:val="-10"/>
          </w:rPr>
          <w:t>92</w:t>
        </w:r>
      </w:hyperlink>
    </w:p>
    <w:p>
      <w:pPr>
        <w:pStyle w:val="BodyText"/>
        <w:tabs>
          <w:tab w:pos="10155" w:val="left" w:leader="dot"/>
        </w:tabs>
        <w:spacing w:line="362" w:lineRule="auto"/>
        <w:ind w:left="1200" w:right="1206"/>
      </w:pPr>
      <w:hyperlink w:history="true" w:anchor="_bookmark56">
        <w:r>
          <w:rPr/>
          <w:t>Figura 29- Diagrama del Proceso Multicriterial que se Propone para Discutir Opciones</w:t>
        </w:r>
      </w:hyperlink>
      <w:r>
        <w:rPr/>
        <w:t> </w:t>
      </w:r>
      <w:hyperlink w:history="true" w:anchor="_bookmark56">
        <w:r>
          <w:rPr/>
          <w:t>para Compensar la Deuda Ecológica con</w:t>
        </w:r>
        <w:r>
          <w:rPr>
            <w:spacing w:val="-17"/>
          </w:rPr>
          <w:t> </w:t>
        </w:r>
        <w:r>
          <w:rPr/>
          <w:t>la</w:t>
        </w:r>
        <w:r>
          <w:rPr>
            <w:spacing w:val="-3"/>
          </w:rPr>
          <w:t> </w:t>
        </w:r>
        <w:r>
          <w:rPr/>
          <w:t>ZPLC</w:t>
          <w:tab/>
        </w:r>
        <w:r>
          <w:rPr>
            <w:spacing w:val="-8"/>
          </w:rPr>
          <w:t>112</w:t>
        </w:r>
      </w:hyperlink>
    </w:p>
    <w:p>
      <w:pPr>
        <w:pStyle w:val="BodyText"/>
        <w:tabs>
          <w:tab w:pos="10155" w:val="left" w:leader="dot"/>
        </w:tabs>
        <w:spacing w:line="270" w:lineRule="exact"/>
        <w:ind w:left="1200"/>
      </w:pPr>
      <w:hyperlink w:history="true" w:anchor="_bookmark58">
        <w:r>
          <w:rPr/>
          <w:t>Figura 30- Ejemplo de Resultados de Procesamiento</w:t>
        </w:r>
        <w:r>
          <w:rPr>
            <w:spacing w:val="-21"/>
          </w:rPr>
          <w:t> </w:t>
        </w:r>
        <w:r>
          <w:rPr/>
          <w:t>de</w:t>
        </w:r>
        <w:r>
          <w:rPr>
            <w:spacing w:val="-3"/>
          </w:rPr>
          <w:t> </w:t>
        </w:r>
        <w:r>
          <w:rPr/>
          <w:t>NAIADE.</w:t>
          <w:tab/>
        </w:r>
        <w:r>
          <w:rPr>
            <w:spacing w:val="-2"/>
          </w:rPr>
          <w:t>114</w:t>
        </w:r>
      </w:hyperlink>
    </w:p>
    <w:p>
      <w:pPr>
        <w:spacing w:after="0" w:line="270" w:lineRule="exact"/>
        <w:sectPr>
          <w:pgSz w:w="12240" w:h="15840"/>
          <w:pgMar w:header="0" w:footer="1062" w:top="1360" w:bottom="1260" w:left="240" w:right="240"/>
        </w:sectPr>
      </w:pPr>
    </w:p>
    <w:p>
      <w:pPr>
        <w:pStyle w:val="Heading2"/>
      </w:pPr>
      <w:bookmarkStart w:name="_bookmark0" w:id="1"/>
      <w:bookmarkEnd w:id="1"/>
      <w:r>
        <w:rPr>
          <w:b w:val="0"/>
        </w:rPr>
      </w:r>
      <w:r>
        <w:rPr/>
        <w:t>Resumen</w:t>
      </w:r>
    </w:p>
    <w:p>
      <w:pPr>
        <w:pStyle w:val="BodyText"/>
        <w:spacing w:before="2"/>
        <w:rPr>
          <w:b/>
          <w:sz w:val="36"/>
        </w:rPr>
      </w:pPr>
    </w:p>
    <w:p>
      <w:pPr>
        <w:pStyle w:val="BodyText"/>
        <w:spacing w:line="360" w:lineRule="auto"/>
        <w:ind w:left="1200" w:right="1191"/>
        <w:jc w:val="both"/>
      </w:pPr>
      <w:r>
        <w:rPr/>
        <w:t>Con el crecimiento de la urbanización en América Latina, muchas comunidades urbano marginales se encuentran en áreas que en un principio fueron reservadas para proteger los servicios ecosistémicos de importancia para esas ciudades. Con el fin de encontrar alternativas para este dilema socio-ecológico, este trabajo amplía la aplicabilidad del concepto</w:t>
      </w:r>
      <w:r>
        <w:rPr>
          <w:spacing w:val="-20"/>
        </w:rPr>
        <w:t> </w:t>
      </w:r>
      <w:r>
        <w:rPr/>
        <w:t>de</w:t>
      </w:r>
      <w:r>
        <w:rPr>
          <w:spacing w:val="-18"/>
        </w:rPr>
        <w:t> </w:t>
      </w:r>
      <w:r>
        <w:rPr/>
        <w:t>Deuda</w:t>
      </w:r>
      <w:r>
        <w:rPr>
          <w:spacing w:val="-19"/>
        </w:rPr>
        <w:t> </w:t>
      </w:r>
      <w:r>
        <w:rPr/>
        <w:t>Ecológica</w:t>
      </w:r>
      <w:r>
        <w:rPr>
          <w:spacing w:val="-17"/>
        </w:rPr>
        <w:t> </w:t>
      </w:r>
      <w:r>
        <w:rPr/>
        <w:t>a</w:t>
      </w:r>
      <w:r>
        <w:rPr>
          <w:spacing w:val="-15"/>
        </w:rPr>
        <w:t> </w:t>
      </w:r>
      <w:r>
        <w:rPr/>
        <w:t>un</w:t>
      </w:r>
      <w:r>
        <w:rPr>
          <w:spacing w:val="-19"/>
        </w:rPr>
        <w:t> </w:t>
      </w:r>
      <w:r>
        <w:rPr/>
        <w:t>rango</w:t>
      </w:r>
      <w:r>
        <w:rPr>
          <w:spacing w:val="-19"/>
        </w:rPr>
        <w:t> </w:t>
      </w:r>
      <w:r>
        <w:rPr/>
        <w:t>extendido</w:t>
      </w:r>
      <w:r>
        <w:rPr>
          <w:spacing w:val="-19"/>
        </w:rPr>
        <w:t> </w:t>
      </w:r>
      <w:r>
        <w:rPr/>
        <w:t>de</w:t>
      </w:r>
      <w:r>
        <w:rPr>
          <w:spacing w:val="-19"/>
        </w:rPr>
        <w:t> </w:t>
      </w:r>
      <w:r>
        <w:rPr/>
        <w:t>situaciones</w:t>
      </w:r>
      <w:r>
        <w:rPr>
          <w:spacing w:val="-17"/>
        </w:rPr>
        <w:t> </w:t>
      </w:r>
      <w:r>
        <w:rPr/>
        <w:t>de</w:t>
      </w:r>
      <w:r>
        <w:rPr>
          <w:spacing w:val="-15"/>
        </w:rPr>
        <w:t> </w:t>
      </w:r>
      <w:r>
        <w:rPr/>
        <w:t>injusticia</w:t>
      </w:r>
      <w:r>
        <w:rPr>
          <w:spacing w:val="-19"/>
        </w:rPr>
        <w:t> </w:t>
      </w:r>
      <w:r>
        <w:rPr/>
        <w:t>ambiental en estas áreas protegidas. Se enfoca en el caso de la Zona Protectora La Carpintera (ZPLC)</w:t>
      </w:r>
      <w:r>
        <w:rPr>
          <w:spacing w:val="-5"/>
        </w:rPr>
        <w:t> </w:t>
      </w:r>
      <w:r>
        <w:rPr/>
        <w:t>en</w:t>
      </w:r>
      <w:r>
        <w:rPr>
          <w:spacing w:val="-7"/>
        </w:rPr>
        <w:t> </w:t>
      </w:r>
      <w:r>
        <w:rPr/>
        <w:t>Costa</w:t>
      </w:r>
      <w:r>
        <w:rPr>
          <w:spacing w:val="-7"/>
        </w:rPr>
        <w:t> </w:t>
      </w:r>
      <w:r>
        <w:rPr/>
        <w:t>Rica,</w:t>
      </w:r>
      <w:r>
        <w:rPr>
          <w:spacing w:val="-3"/>
        </w:rPr>
        <w:t> </w:t>
      </w:r>
      <w:r>
        <w:rPr/>
        <w:t>en</w:t>
      </w:r>
      <w:r>
        <w:rPr>
          <w:spacing w:val="-3"/>
        </w:rPr>
        <w:t> </w:t>
      </w:r>
      <w:r>
        <w:rPr/>
        <w:t>la</w:t>
      </w:r>
      <w:r>
        <w:rPr>
          <w:spacing w:val="-7"/>
        </w:rPr>
        <w:t> </w:t>
      </w:r>
      <w:r>
        <w:rPr/>
        <w:t>parte</w:t>
      </w:r>
      <w:r>
        <w:rPr>
          <w:spacing w:val="-7"/>
        </w:rPr>
        <w:t> </w:t>
      </w:r>
      <w:r>
        <w:rPr/>
        <w:t>alta</w:t>
      </w:r>
      <w:r>
        <w:rPr>
          <w:spacing w:val="-3"/>
        </w:rPr>
        <w:t> </w:t>
      </w:r>
      <w:r>
        <w:rPr/>
        <w:t>de</w:t>
      </w:r>
      <w:r>
        <w:rPr>
          <w:spacing w:val="-6"/>
        </w:rPr>
        <w:t> </w:t>
      </w:r>
      <w:r>
        <w:rPr/>
        <w:t>la</w:t>
      </w:r>
      <w:r>
        <w:rPr>
          <w:spacing w:val="-3"/>
        </w:rPr>
        <w:t> </w:t>
      </w:r>
      <w:r>
        <w:rPr/>
        <w:t>Cuenca</w:t>
      </w:r>
      <w:r>
        <w:rPr>
          <w:spacing w:val="-3"/>
        </w:rPr>
        <w:t> </w:t>
      </w:r>
      <w:r>
        <w:rPr/>
        <w:t>del</w:t>
      </w:r>
      <w:r>
        <w:rPr>
          <w:spacing w:val="-3"/>
        </w:rPr>
        <w:t> </w:t>
      </w:r>
      <w:r>
        <w:rPr/>
        <w:t>Río</w:t>
      </w:r>
      <w:r>
        <w:rPr>
          <w:spacing w:val="-6"/>
        </w:rPr>
        <w:t> </w:t>
      </w:r>
      <w:r>
        <w:rPr/>
        <w:t>Grande</w:t>
      </w:r>
      <w:r>
        <w:rPr>
          <w:spacing w:val="-7"/>
        </w:rPr>
        <w:t> </w:t>
      </w:r>
      <w:r>
        <w:rPr/>
        <w:t>de</w:t>
      </w:r>
      <w:r>
        <w:rPr>
          <w:spacing w:val="-7"/>
        </w:rPr>
        <w:t> </w:t>
      </w:r>
      <w:r>
        <w:rPr/>
        <w:t>Tárcoles,</w:t>
      </w:r>
      <w:r>
        <w:rPr>
          <w:spacing w:val="-4"/>
        </w:rPr>
        <w:t> </w:t>
      </w:r>
      <w:r>
        <w:rPr/>
        <w:t>la</w:t>
      </w:r>
      <w:r>
        <w:rPr>
          <w:spacing w:val="-3"/>
        </w:rPr>
        <w:t> </w:t>
      </w:r>
      <w:r>
        <w:rPr/>
        <w:t>más importante para usos humanos en el país. En esta, ubica un proceso de inequidad o injusticia ambiental originado en condiciones limitantes de la calidad de vida de los habitantes de comunidades pobres como Río Azul, Linda Vista y otras que se originan en</w:t>
      </w:r>
      <w:r>
        <w:rPr>
          <w:spacing w:val="-12"/>
        </w:rPr>
        <w:t> </w:t>
      </w:r>
      <w:r>
        <w:rPr/>
        <w:t>una</w:t>
      </w:r>
      <w:r>
        <w:rPr>
          <w:spacing w:val="-11"/>
        </w:rPr>
        <w:t> </w:t>
      </w:r>
      <w:r>
        <w:rPr/>
        <w:t>historia</w:t>
      </w:r>
      <w:r>
        <w:rPr>
          <w:spacing w:val="-12"/>
        </w:rPr>
        <w:t> </w:t>
      </w:r>
      <w:r>
        <w:rPr/>
        <w:t>de</w:t>
      </w:r>
      <w:r>
        <w:rPr>
          <w:spacing w:val="-7"/>
        </w:rPr>
        <w:t> </w:t>
      </w:r>
      <w:r>
        <w:rPr/>
        <w:t>manejo</w:t>
      </w:r>
      <w:r>
        <w:rPr>
          <w:spacing w:val="-8"/>
        </w:rPr>
        <w:t> </w:t>
      </w:r>
      <w:r>
        <w:rPr/>
        <w:t>inadecuado</w:t>
      </w:r>
      <w:r>
        <w:rPr>
          <w:spacing w:val="-7"/>
        </w:rPr>
        <w:t> </w:t>
      </w:r>
      <w:r>
        <w:rPr/>
        <w:t>de</w:t>
      </w:r>
      <w:r>
        <w:rPr>
          <w:spacing w:val="-12"/>
        </w:rPr>
        <w:t> </w:t>
      </w:r>
      <w:r>
        <w:rPr/>
        <w:t>la</w:t>
      </w:r>
      <w:r>
        <w:rPr>
          <w:spacing w:val="-11"/>
        </w:rPr>
        <w:t> </w:t>
      </w:r>
      <w:r>
        <w:rPr/>
        <w:t>riqueza</w:t>
      </w:r>
      <w:r>
        <w:rPr>
          <w:spacing w:val="-12"/>
        </w:rPr>
        <w:t> </w:t>
      </w:r>
      <w:r>
        <w:rPr/>
        <w:t>natural</w:t>
      </w:r>
      <w:r>
        <w:rPr>
          <w:spacing w:val="-6"/>
        </w:rPr>
        <w:t> </w:t>
      </w:r>
      <w:r>
        <w:rPr/>
        <w:t>del</w:t>
      </w:r>
      <w:r>
        <w:rPr>
          <w:spacing w:val="-8"/>
        </w:rPr>
        <w:t> </w:t>
      </w:r>
      <w:r>
        <w:rPr/>
        <w:t>área,</w:t>
      </w:r>
      <w:r>
        <w:rPr>
          <w:spacing w:val="-8"/>
        </w:rPr>
        <w:t> </w:t>
      </w:r>
      <w:r>
        <w:rPr/>
        <w:t>en</w:t>
      </w:r>
      <w:r>
        <w:rPr>
          <w:spacing w:val="-2"/>
        </w:rPr>
        <w:t> </w:t>
      </w:r>
      <w:r>
        <w:rPr/>
        <w:t>las</w:t>
      </w:r>
      <w:r>
        <w:rPr>
          <w:spacing w:val="-10"/>
        </w:rPr>
        <w:t> </w:t>
      </w:r>
      <w:r>
        <w:rPr/>
        <w:t>regulaciones de conservación y en la actitud de la institucionalidad a cargo de los aspectos de infraestructura, ambientales, políticos, económicos y sociales en el área. A estas limitantes</w:t>
      </w:r>
      <w:r>
        <w:rPr>
          <w:spacing w:val="-12"/>
        </w:rPr>
        <w:t> </w:t>
      </w:r>
      <w:r>
        <w:rPr/>
        <w:t>se</w:t>
      </w:r>
      <w:r>
        <w:rPr>
          <w:spacing w:val="-14"/>
        </w:rPr>
        <w:t> </w:t>
      </w:r>
      <w:r>
        <w:rPr/>
        <w:t>contraponen</w:t>
      </w:r>
      <w:r>
        <w:rPr>
          <w:spacing w:val="-13"/>
        </w:rPr>
        <w:t> </w:t>
      </w:r>
      <w:r>
        <w:rPr/>
        <w:t>los</w:t>
      </w:r>
      <w:r>
        <w:rPr>
          <w:spacing w:val="-12"/>
        </w:rPr>
        <w:t> </w:t>
      </w:r>
      <w:r>
        <w:rPr/>
        <w:t>privilegios</w:t>
      </w:r>
      <w:r>
        <w:rPr>
          <w:spacing w:val="-11"/>
        </w:rPr>
        <w:t> </w:t>
      </w:r>
      <w:r>
        <w:rPr/>
        <w:t>derivados</w:t>
      </w:r>
      <w:r>
        <w:rPr>
          <w:spacing w:val="-12"/>
        </w:rPr>
        <w:t> </w:t>
      </w:r>
      <w:r>
        <w:rPr/>
        <w:t>de</w:t>
      </w:r>
      <w:r>
        <w:rPr>
          <w:spacing w:val="-13"/>
        </w:rPr>
        <w:t> </w:t>
      </w:r>
      <w:r>
        <w:rPr/>
        <w:t>externalidades</w:t>
      </w:r>
      <w:r>
        <w:rPr>
          <w:spacing w:val="-12"/>
        </w:rPr>
        <w:t> </w:t>
      </w:r>
      <w:r>
        <w:rPr/>
        <w:t>positivas</w:t>
      </w:r>
      <w:r>
        <w:rPr>
          <w:spacing w:val="-11"/>
        </w:rPr>
        <w:t> </w:t>
      </w:r>
      <w:r>
        <w:rPr/>
        <w:t>proveídas por el área que benefician la calidad de vida de comunidades afluentes que rodean el área</w:t>
      </w:r>
      <w:r>
        <w:rPr>
          <w:spacing w:val="-2"/>
        </w:rPr>
        <w:t> </w:t>
      </w:r>
      <w:r>
        <w:rPr/>
        <w:t>protegida.</w:t>
      </w:r>
    </w:p>
    <w:p>
      <w:pPr>
        <w:pStyle w:val="BodyText"/>
        <w:spacing w:line="360" w:lineRule="auto" w:before="202"/>
        <w:ind w:left="1200" w:right="1194"/>
        <w:jc w:val="both"/>
      </w:pPr>
      <w:r>
        <w:rPr/>
        <w:t>Para caracterizar, deconstruir y buscar alternativas para estas injusticias, esta tesis busca desarrollar un modelo de medición novedoso para Costa Rica y proponer un proceso participativo de seguimiento que permita utilizar la información generada con el fin de atenderlas. La tesis utiliza una metodología de Economía Ecológica y Ecología Política con tres componentes. Adapta el concepto de Deuda Ecológica al conflicto ecológico distributivo en examen, promoviendo un enfoque de derechos. Caracteriza la historia socio-ecológica de la ZPLC usando este marco partiendo de los procesos de población relacionados al establecimiento del botadero de Río Azul y el establecimiento del área protegida en los años 70 hasta la aprobación e implementación del Plan de Manejo en esta década. Las inequidades incluyen el celo de los grandes propietarios y la institucionalidad por la presencia de las comunidades marginales que en su visión atentan contra la provisión de servicios ambientales por la ZP:</w:t>
      </w:r>
    </w:p>
    <w:p>
      <w:pPr>
        <w:spacing w:after="0" w:line="360" w:lineRule="auto"/>
        <w:jc w:val="both"/>
        <w:sectPr>
          <w:footerReference w:type="default" r:id="rId15"/>
          <w:pgSz w:w="12240" w:h="15840"/>
          <w:pgMar w:footer="1062" w:header="0" w:top="1360" w:bottom="1260" w:left="240" w:right="240"/>
          <w:pgNumType w:start="1"/>
        </w:sectPr>
      </w:pPr>
    </w:p>
    <w:p>
      <w:pPr>
        <w:pStyle w:val="BodyText"/>
        <w:spacing w:line="360" w:lineRule="auto" w:before="79"/>
        <w:ind w:left="1200" w:right="1196"/>
        <w:jc w:val="both"/>
      </w:pPr>
      <w:r>
        <w:rPr>
          <w:spacing w:val="-2"/>
        </w:rPr>
        <w:t>Más </w:t>
      </w:r>
      <w:r>
        <w:rPr/>
        <w:t>allá, este trabajo adopta un marco multilingüe (biofísico, monetario y cualitativo) de valoración</w:t>
      </w:r>
      <w:r>
        <w:rPr>
          <w:spacing w:val="-12"/>
        </w:rPr>
        <w:t> </w:t>
      </w:r>
      <w:r>
        <w:rPr/>
        <w:t>para</w:t>
      </w:r>
      <w:r>
        <w:rPr>
          <w:spacing w:val="-12"/>
        </w:rPr>
        <w:t> </w:t>
      </w:r>
      <w:r>
        <w:rPr/>
        <w:t>estimar</w:t>
      </w:r>
      <w:r>
        <w:rPr>
          <w:spacing w:val="-10"/>
        </w:rPr>
        <w:t> </w:t>
      </w:r>
      <w:r>
        <w:rPr/>
        <w:t>la</w:t>
      </w:r>
      <w:r>
        <w:rPr>
          <w:spacing w:val="-12"/>
        </w:rPr>
        <w:t> </w:t>
      </w:r>
      <w:r>
        <w:rPr/>
        <w:t>magnitud</w:t>
      </w:r>
      <w:r>
        <w:rPr>
          <w:spacing w:val="-12"/>
        </w:rPr>
        <w:t> </w:t>
      </w:r>
      <w:r>
        <w:rPr/>
        <w:t>e</w:t>
      </w:r>
      <w:r>
        <w:rPr>
          <w:spacing w:val="-12"/>
        </w:rPr>
        <w:t> </w:t>
      </w:r>
      <w:r>
        <w:rPr/>
        <w:t>importancia</w:t>
      </w:r>
      <w:r>
        <w:rPr>
          <w:spacing w:val="-12"/>
        </w:rPr>
        <w:t> </w:t>
      </w:r>
      <w:r>
        <w:rPr/>
        <w:t>estadística</w:t>
      </w:r>
      <w:r>
        <w:rPr>
          <w:spacing w:val="-6"/>
        </w:rPr>
        <w:t> </w:t>
      </w:r>
      <w:r>
        <w:rPr/>
        <w:t>de</w:t>
      </w:r>
      <w:r>
        <w:rPr>
          <w:spacing w:val="-12"/>
        </w:rPr>
        <w:t> </w:t>
      </w:r>
      <w:r>
        <w:rPr/>
        <w:t>la</w:t>
      </w:r>
      <w:r>
        <w:rPr>
          <w:spacing w:val="-12"/>
        </w:rPr>
        <w:t> </w:t>
      </w:r>
      <w:r>
        <w:rPr/>
        <w:t>Deuda</w:t>
      </w:r>
      <w:r>
        <w:rPr>
          <w:spacing w:val="-12"/>
        </w:rPr>
        <w:t> </w:t>
      </w:r>
      <w:r>
        <w:rPr/>
        <w:t>Ecológica</w:t>
      </w:r>
      <w:r>
        <w:rPr>
          <w:spacing w:val="-11"/>
        </w:rPr>
        <w:t> </w:t>
      </w:r>
      <w:r>
        <w:rPr/>
        <w:t>que tienen las comunidades deudoras. Las metodologías usadas para este efecto incluyen una estimación comparativa de las huellas ecológicas comunitarias. Asimismo, incluyen una</w:t>
      </w:r>
      <w:r>
        <w:rPr>
          <w:spacing w:val="-18"/>
        </w:rPr>
        <w:t> </w:t>
      </w:r>
      <w:r>
        <w:rPr/>
        <w:t>estimación</w:t>
      </w:r>
      <w:r>
        <w:rPr>
          <w:spacing w:val="-17"/>
        </w:rPr>
        <w:t> </w:t>
      </w:r>
      <w:r>
        <w:rPr/>
        <w:t>mediante</w:t>
      </w:r>
      <w:r>
        <w:rPr>
          <w:spacing w:val="-17"/>
        </w:rPr>
        <w:t> </w:t>
      </w:r>
      <w:r>
        <w:rPr/>
        <w:t>el</w:t>
      </w:r>
      <w:r>
        <w:rPr>
          <w:spacing w:val="-16"/>
        </w:rPr>
        <w:t> </w:t>
      </w:r>
      <w:r>
        <w:rPr/>
        <w:t>método</w:t>
      </w:r>
      <w:r>
        <w:rPr>
          <w:spacing w:val="-17"/>
        </w:rPr>
        <w:t> </w:t>
      </w:r>
      <w:r>
        <w:rPr/>
        <w:t>de</w:t>
      </w:r>
      <w:r>
        <w:rPr>
          <w:spacing w:val="-13"/>
        </w:rPr>
        <w:t> </w:t>
      </w:r>
      <w:r>
        <w:rPr/>
        <w:t>precios</w:t>
      </w:r>
      <w:r>
        <w:rPr>
          <w:spacing w:val="-15"/>
        </w:rPr>
        <w:t> </w:t>
      </w:r>
      <w:r>
        <w:rPr/>
        <w:t>hedónicos</w:t>
      </w:r>
      <w:r>
        <w:rPr>
          <w:spacing w:val="-15"/>
        </w:rPr>
        <w:t> </w:t>
      </w:r>
      <w:r>
        <w:rPr/>
        <w:t>de</w:t>
      </w:r>
      <w:r>
        <w:rPr>
          <w:spacing w:val="-17"/>
        </w:rPr>
        <w:t> </w:t>
      </w:r>
      <w:r>
        <w:rPr/>
        <w:t>la</w:t>
      </w:r>
      <w:r>
        <w:rPr>
          <w:spacing w:val="-17"/>
        </w:rPr>
        <w:t> </w:t>
      </w:r>
      <w:r>
        <w:rPr/>
        <w:t>importancia</w:t>
      </w:r>
      <w:r>
        <w:rPr>
          <w:spacing w:val="-17"/>
        </w:rPr>
        <w:t> </w:t>
      </w:r>
      <w:r>
        <w:rPr/>
        <w:t>para</w:t>
      </w:r>
      <w:r>
        <w:rPr>
          <w:spacing w:val="-17"/>
        </w:rPr>
        <w:t> </w:t>
      </w:r>
      <w:r>
        <w:rPr/>
        <w:t>el</w:t>
      </w:r>
      <w:r>
        <w:rPr>
          <w:spacing w:val="-16"/>
        </w:rPr>
        <w:t> </w:t>
      </w:r>
      <w:r>
        <w:rPr/>
        <w:t>precio de las viviendas en las comunidades deudoras del servicio de vista no remunerado a la ZPLC.</w:t>
      </w:r>
    </w:p>
    <w:p>
      <w:pPr>
        <w:pStyle w:val="BodyText"/>
        <w:spacing w:line="360" w:lineRule="auto" w:before="199"/>
        <w:ind w:left="1200" w:right="1194"/>
        <w:jc w:val="both"/>
      </w:pPr>
      <w:r>
        <w:rPr/>
        <w:t>Los resultados presentan una deconstrucción identificando los componentes esenciales del conflicto (actores, contexto geográfico) y caracterizan las inequidades examinadas haciendo una evaluación de justicia distributiva y una evaluación compensatoria. Las comunidades deudoras muestran niveles de sobregiro por Huella Ecológica de un 7% mientras que las comunidades acreedoras tienen un superávit de más de un 20%. Entretanto, los valores fiscales de las propiedades que se benefician de las externalidades</w:t>
      </w:r>
      <w:r>
        <w:rPr>
          <w:spacing w:val="-7"/>
        </w:rPr>
        <w:t> </w:t>
      </w:r>
      <w:r>
        <w:rPr/>
        <w:t>positivas</w:t>
      </w:r>
      <w:r>
        <w:rPr>
          <w:spacing w:val="-7"/>
        </w:rPr>
        <w:t> </w:t>
      </w:r>
      <w:r>
        <w:rPr/>
        <w:t>no</w:t>
      </w:r>
      <w:r>
        <w:rPr>
          <w:spacing w:val="-9"/>
        </w:rPr>
        <w:t> </w:t>
      </w:r>
      <w:r>
        <w:rPr/>
        <w:t>compensadas</w:t>
      </w:r>
      <w:r>
        <w:rPr>
          <w:spacing w:val="-6"/>
        </w:rPr>
        <w:t> </w:t>
      </w:r>
      <w:r>
        <w:rPr/>
        <w:t>de</w:t>
      </w:r>
      <w:r>
        <w:rPr>
          <w:spacing w:val="-9"/>
        </w:rPr>
        <w:t> </w:t>
      </w:r>
      <w:r>
        <w:rPr/>
        <w:t>la</w:t>
      </w:r>
      <w:r>
        <w:rPr>
          <w:spacing w:val="-9"/>
        </w:rPr>
        <w:t> </w:t>
      </w:r>
      <w:r>
        <w:rPr/>
        <w:t>ZP</w:t>
      </w:r>
      <w:r>
        <w:rPr>
          <w:spacing w:val="-7"/>
        </w:rPr>
        <w:t> </w:t>
      </w:r>
      <w:r>
        <w:rPr/>
        <w:t>en</w:t>
      </w:r>
      <w:r>
        <w:rPr>
          <w:spacing w:val="-8"/>
        </w:rPr>
        <w:t> </w:t>
      </w:r>
      <w:r>
        <w:rPr/>
        <w:t>las</w:t>
      </w:r>
      <w:r>
        <w:rPr>
          <w:spacing w:val="-7"/>
        </w:rPr>
        <w:t> </w:t>
      </w:r>
      <w:r>
        <w:rPr/>
        <w:t>comunidades</w:t>
      </w:r>
      <w:r>
        <w:rPr>
          <w:spacing w:val="-7"/>
        </w:rPr>
        <w:t> </w:t>
      </w:r>
      <w:r>
        <w:rPr/>
        <w:t>deudoras,</w:t>
      </w:r>
      <w:r>
        <w:rPr>
          <w:spacing w:val="-6"/>
        </w:rPr>
        <w:t> </w:t>
      </w:r>
      <w:r>
        <w:rPr/>
        <w:t>como el servicio de vista, son sustancialmente mayores en comparación de los de las acreedoras. Estas últimas ven los valores de sus inmuebles afectados por las restricciones normativas e institucionales que caracterizan la habitación dentro de un área</w:t>
      </w:r>
      <w:r>
        <w:rPr>
          <w:spacing w:val="-18"/>
        </w:rPr>
        <w:t> </w:t>
      </w:r>
      <w:r>
        <w:rPr/>
        <w:t>protegida.</w:t>
      </w:r>
      <w:r>
        <w:rPr>
          <w:spacing w:val="39"/>
        </w:rPr>
        <w:t> </w:t>
      </w:r>
      <w:r>
        <w:rPr/>
        <w:t>El</w:t>
      </w:r>
      <w:r>
        <w:rPr>
          <w:spacing w:val="-21"/>
        </w:rPr>
        <w:t> </w:t>
      </w:r>
      <w:r>
        <w:rPr/>
        <w:t>servicio</w:t>
      </w:r>
      <w:r>
        <w:rPr>
          <w:spacing w:val="-17"/>
        </w:rPr>
        <w:t> </w:t>
      </w:r>
      <w:r>
        <w:rPr/>
        <w:t>de</w:t>
      </w:r>
      <w:r>
        <w:rPr>
          <w:spacing w:val="-21"/>
        </w:rPr>
        <w:t> </w:t>
      </w:r>
      <w:r>
        <w:rPr/>
        <w:t>vista</w:t>
      </w:r>
      <w:r>
        <w:rPr>
          <w:spacing w:val="-17"/>
        </w:rPr>
        <w:t> </w:t>
      </w:r>
      <w:r>
        <w:rPr/>
        <w:t>resulta</w:t>
      </w:r>
      <w:r>
        <w:rPr>
          <w:spacing w:val="-17"/>
        </w:rPr>
        <w:t> </w:t>
      </w:r>
      <w:r>
        <w:rPr/>
        <w:t>significativo</w:t>
      </w:r>
      <w:r>
        <w:rPr>
          <w:spacing w:val="-17"/>
        </w:rPr>
        <w:t> </w:t>
      </w:r>
      <w:r>
        <w:rPr/>
        <w:t>como</w:t>
      </w:r>
      <w:r>
        <w:rPr>
          <w:spacing w:val="-17"/>
        </w:rPr>
        <w:t> </w:t>
      </w:r>
      <w:r>
        <w:rPr/>
        <w:t>factor</w:t>
      </w:r>
      <w:r>
        <w:rPr>
          <w:spacing w:val="-15"/>
        </w:rPr>
        <w:t> </w:t>
      </w:r>
      <w:r>
        <w:rPr/>
        <w:t>que</w:t>
      </w:r>
      <w:r>
        <w:rPr>
          <w:spacing w:val="-17"/>
        </w:rPr>
        <w:t> </w:t>
      </w:r>
      <w:r>
        <w:rPr/>
        <w:t>afecta</w:t>
      </w:r>
      <w:r>
        <w:rPr>
          <w:spacing w:val="-18"/>
        </w:rPr>
        <w:t> </w:t>
      </w:r>
      <w:r>
        <w:rPr/>
        <w:t>los</w:t>
      </w:r>
      <w:r>
        <w:rPr>
          <w:spacing w:val="-15"/>
        </w:rPr>
        <w:t> </w:t>
      </w:r>
      <w:r>
        <w:rPr/>
        <w:t>precios de los inmuebles en las comunidades deudoras, beneficiándolas con una diferencia de precio comparativa de $99 por m</w:t>
      </w:r>
      <w:r>
        <w:rPr>
          <w:vertAlign w:val="superscript"/>
        </w:rPr>
        <w:t>2</w:t>
      </w:r>
      <w:r>
        <w:rPr>
          <w:vertAlign w:val="baseline"/>
        </w:rPr>
        <w:t> de construcción (cerca de $30.000 por</w:t>
      </w:r>
      <w:r>
        <w:rPr>
          <w:spacing w:val="-27"/>
          <w:vertAlign w:val="baseline"/>
        </w:rPr>
        <w:t> </w:t>
      </w:r>
      <w:r>
        <w:rPr>
          <w:vertAlign w:val="baseline"/>
        </w:rPr>
        <w:t>inmueble).</w:t>
      </w:r>
    </w:p>
    <w:p>
      <w:pPr>
        <w:pStyle w:val="BodyText"/>
        <w:spacing w:line="360" w:lineRule="auto" w:before="204"/>
        <w:ind w:left="1200" w:right="1197"/>
        <w:jc w:val="both"/>
      </w:pPr>
      <w:r>
        <w:rPr/>
        <w:t>Estos resultados pueden contribuir a encontrar formas de compensar y reducir esta Deuda Ecológica, haciendo que la conservación en la ZPLC sea </w:t>
      </w:r>
      <w:r>
        <w:rPr>
          <w:spacing w:val="-2"/>
        </w:rPr>
        <w:t>más </w:t>
      </w:r>
      <w:r>
        <w:rPr/>
        <w:t>sostenible y justa. Algunas soluciones viables pueden incluir la implementación de acciones de mejoramiento</w:t>
      </w:r>
      <w:r>
        <w:rPr>
          <w:spacing w:val="-5"/>
        </w:rPr>
        <w:t> </w:t>
      </w:r>
      <w:r>
        <w:rPr/>
        <w:t>de</w:t>
      </w:r>
      <w:r>
        <w:rPr>
          <w:spacing w:val="-5"/>
        </w:rPr>
        <w:t> </w:t>
      </w:r>
      <w:r>
        <w:rPr/>
        <w:t>la</w:t>
      </w:r>
      <w:r>
        <w:rPr>
          <w:spacing w:val="-5"/>
        </w:rPr>
        <w:t> </w:t>
      </w:r>
      <w:r>
        <w:rPr/>
        <w:t>calidad</w:t>
      </w:r>
      <w:r>
        <w:rPr>
          <w:spacing w:val="-4"/>
        </w:rPr>
        <w:t> </w:t>
      </w:r>
      <w:r>
        <w:rPr/>
        <w:t>de</w:t>
      </w:r>
      <w:r>
        <w:rPr>
          <w:spacing w:val="-5"/>
        </w:rPr>
        <w:t> </w:t>
      </w:r>
      <w:r>
        <w:rPr/>
        <w:t>vida</w:t>
      </w:r>
      <w:r>
        <w:rPr>
          <w:spacing w:val="-5"/>
        </w:rPr>
        <w:t> </w:t>
      </w:r>
      <w:r>
        <w:rPr/>
        <w:t>de</w:t>
      </w:r>
      <w:r>
        <w:rPr>
          <w:spacing w:val="-1"/>
        </w:rPr>
        <w:t> </w:t>
      </w:r>
      <w:r>
        <w:rPr/>
        <w:t>estas</w:t>
      </w:r>
      <w:r>
        <w:rPr>
          <w:spacing w:val="-2"/>
        </w:rPr>
        <w:t> </w:t>
      </w:r>
      <w:r>
        <w:rPr/>
        <w:t>comunidades</w:t>
      </w:r>
      <w:r>
        <w:rPr>
          <w:spacing w:val="-3"/>
        </w:rPr>
        <w:t> </w:t>
      </w:r>
      <w:r>
        <w:rPr/>
        <w:t>con</w:t>
      </w:r>
      <w:r>
        <w:rPr>
          <w:spacing w:val="-5"/>
        </w:rPr>
        <w:t> </w:t>
      </w:r>
      <w:r>
        <w:rPr/>
        <w:t>el</w:t>
      </w:r>
      <w:r>
        <w:rPr>
          <w:spacing w:val="-5"/>
        </w:rPr>
        <w:t> </w:t>
      </w:r>
      <w:r>
        <w:rPr/>
        <w:t>fin</w:t>
      </w:r>
      <w:r>
        <w:rPr>
          <w:spacing w:val="-4"/>
        </w:rPr>
        <w:t> </w:t>
      </w:r>
      <w:r>
        <w:rPr/>
        <w:t>de</w:t>
      </w:r>
      <w:r>
        <w:rPr>
          <w:spacing w:val="-5"/>
        </w:rPr>
        <w:t> </w:t>
      </w:r>
      <w:r>
        <w:rPr/>
        <w:t>resguardar</w:t>
      </w:r>
      <w:r>
        <w:rPr>
          <w:spacing w:val="-3"/>
        </w:rPr>
        <w:t> </w:t>
      </w:r>
      <w:r>
        <w:rPr/>
        <w:t>entre otros</w:t>
      </w:r>
      <w:r>
        <w:rPr>
          <w:spacing w:val="-7"/>
        </w:rPr>
        <w:t> </w:t>
      </w:r>
      <w:r>
        <w:rPr/>
        <w:t>el</w:t>
      </w:r>
      <w:r>
        <w:rPr>
          <w:spacing w:val="-8"/>
        </w:rPr>
        <w:t> </w:t>
      </w:r>
      <w:r>
        <w:rPr/>
        <w:t>servicio</w:t>
      </w:r>
      <w:r>
        <w:rPr>
          <w:spacing w:val="-9"/>
        </w:rPr>
        <w:t> </w:t>
      </w:r>
      <w:r>
        <w:rPr/>
        <w:t>de</w:t>
      </w:r>
      <w:r>
        <w:rPr>
          <w:spacing w:val="-12"/>
        </w:rPr>
        <w:t> </w:t>
      </w:r>
      <w:r>
        <w:rPr/>
        <w:t>vista</w:t>
      </w:r>
      <w:r>
        <w:rPr>
          <w:spacing w:val="-9"/>
        </w:rPr>
        <w:t> </w:t>
      </w:r>
      <w:r>
        <w:rPr/>
        <w:t>a</w:t>
      </w:r>
      <w:r>
        <w:rPr>
          <w:spacing w:val="-9"/>
        </w:rPr>
        <w:t> </w:t>
      </w:r>
      <w:r>
        <w:rPr/>
        <w:t>partir</w:t>
      </w:r>
      <w:r>
        <w:rPr>
          <w:spacing w:val="-10"/>
        </w:rPr>
        <w:t> </w:t>
      </w:r>
      <w:r>
        <w:rPr/>
        <w:t>de</w:t>
      </w:r>
      <w:r>
        <w:rPr>
          <w:spacing w:val="-9"/>
        </w:rPr>
        <w:t> </w:t>
      </w:r>
      <w:r>
        <w:rPr/>
        <w:t>los</w:t>
      </w:r>
      <w:r>
        <w:rPr>
          <w:spacing w:val="-7"/>
        </w:rPr>
        <w:t> </w:t>
      </w:r>
      <w:r>
        <w:rPr/>
        <w:t>recursos</w:t>
      </w:r>
      <w:r>
        <w:rPr>
          <w:spacing w:val="-7"/>
        </w:rPr>
        <w:t> </w:t>
      </w:r>
      <w:r>
        <w:rPr/>
        <w:t>generados</w:t>
      </w:r>
      <w:r>
        <w:rPr>
          <w:spacing w:val="-6"/>
        </w:rPr>
        <w:t> </w:t>
      </w:r>
      <w:r>
        <w:rPr/>
        <w:t>por</w:t>
      </w:r>
      <w:r>
        <w:rPr>
          <w:spacing w:val="-7"/>
        </w:rPr>
        <w:t> </w:t>
      </w:r>
      <w:r>
        <w:rPr/>
        <w:t>el</w:t>
      </w:r>
      <w:r>
        <w:rPr>
          <w:spacing w:val="-8"/>
        </w:rPr>
        <w:t> </w:t>
      </w:r>
      <w:r>
        <w:rPr/>
        <w:t>impuesto</w:t>
      </w:r>
      <w:r>
        <w:rPr>
          <w:spacing w:val="-9"/>
        </w:rPr>
        <w:t> </w:t>
      </w:r>
      <w:r>
        <w:rPr/>
        <w:t>territorial</w:t>
      </w:r>
      <w:r>
        <w:rPr>
          <w:spacing w:val="-5"/>
        </w:rPr>
        <w:t> </w:t>
      </w:r>
      <w:r>
        <w:rPr/>
        <w:t>que se cobra ya. Las reacciones y disponibilidad al seguimiento mediante un proceso participativo multicriterial recomendado por parte de los actores participantes en el taller de presentación de resultados confirman la utilidad de los</w:t>
      </w:r>
      <w:r>
        <w:rPr>
          <w:spacing w:val="-9"/>
        </w:rPr>
        <w:t> </w:t>
      </w:r>
      <w:r>
        <w:rPr/>
        <w:t>resultados.</w:t>
      </w:r>
    </w:p>
    <w:p>
      <w:pPr>
        <w:spacing w:after="0" w:line="360" w:lineRule="auto"/>
        <w:jc w:val="both"/>
        <w:sectPr>
          <w:pgSz w:w="12240" w:h="15840"/>
          <w:pgMar w:header="0" w:footer="1062" w:top="1360" w:bottom="1260" w:left="240" w:right="240"/>
        </w:sectPr>
      </w:pPr>
    </w:p>
    <w:p>
      <w:pPr>
        <w:pStyle w:val="BodyText"/>
        <w:rPr>
          <w:sz w:val="20"/>
        </w:rPr>
      </w:pPr>
    </w:p>
    <w:p>
      <w:pPr>
        <w:pStyle w:val="BodyText"/>
        <w:spacing w:before="6"/>
        <w:rPr>
          <w:sz w:val="19"/>
        </w:rPr>
      </w:pPr>
    </w:p>
    <w:p>
      <w:pPr>
        <w:pStyle w:val="Heading2"/>
        <w:spacing w:before="93"/>
      </w:pPr>
      <w:bookmarkStart w:name="_bookmark1" w:id="2"/>
      <w:bookmarkEnd w:id="2"/>
      <w:r>
        <w:rPr>
          <w:b w:val="0"/>
        </w:rPr>
      </w:r>
      <w:r>
        <w:rPr/>
        <w:t>Abstract</w:t>
      </w:r>
    </w:p>
    <w:p>
      <w:pPr>
        <w:pStyle w:val="BodyText"/>
        <w:spacing w:before="3"/>
        <w:rPr>
          <w:b/>
        </w:rPr>
      </w:pPr>
    </w:p>
    <w:p>
      <w:pPr>
        <w:pStyle w:val="BodyText"/>
        <w:spacing w:line="360" w:lineRule="auto" w:before="1"/>
        <w:ind w:left="1200" w:right="1193"/>
        <w:jc w:val="both"/>
      </w:pPr>
      <w:r>
        <w:rPr/>
        <w:t>With the growth of urbanization in Latin America, many marginal urban communities are located</w:t>
      </w:r>
      <w:r>
        <w:rPr>
          <w:spacing w:val="-5"/>
        </w:rPr>
        <w:t> </w:t>
      </w:r>
      <w:r>
        <w:rPr/>
        <w:t>in</w:t>
      </w:r>
      <w:r>
        <w:rPr>
          <w:spacing w:val="-5"/>
        </w:rPr>
        <w:t> </w:t>
      </w:r>
      <w:r>
        <w:rPr/>
        <w:t>areas</w:t>
      </w:r>
      <w:r>
        <w:rPr>
          <w:spacing w:val="-2"/>
        </w:rPr>
        <w:t> </w:t>
      </w:r>
      <w:r>
        <w:rPr/>
        <w:t>originally</w:t>
      </w:r>
      <w:r>
        <w:rPr>
          <w:spacing w:val="-7"/>
        </w:rPr>
        <w:t> </w:t>
      </w:r>
      <w:r>
        <w:rPr/>
        <w:t>reserved</w:t>
      </w:r>
      <w:r>
        <w:rPr>
          <w:spacing w:val="-5"/>
        </w:rPr>
        <w:t> </w:t>
      </w:r>
      <w:r>
        <w:rPr/>
        <w:t>to</w:t>
      </w:r>
      <w:r>
        <w:rPr>
          <w:spacing w:val="-8"/>
        </w:rPr>
        <w:t> </w:t>
      </w:r>
      <w:r>
        <w:rPr/>
        <w:t>protect</w:t>
      </w:r>
      <w:r>
        <w:rPr>
          <w:spacing w:val="-3"/>
        </w:rPr>
        <w:t> </w:t>
      </w:r>
      <w:r>
        <w:rPr/>
        <w:t>ecosystem</w:t>
      </w:r>
      <w:r>
        <w:rPr>
          <w:spacing w:val="-6"/>
        </w:rPr>
        <w:t> </w:t>
      </w:r>
      <w:r>
        <w:rPr/>
        <w:t>services</w:t>
      </w:r>
      <w:r>
        <w:rPr>
          <w:spacing w:val="-3"/>
        </w:rPr>
        <w:t> </w:t>
      </w:r>
      <w:r>
        <w:rPr/>
        <w:t>of</w:t>
      </w:r>
      <w:r>
        <w:rPr>
          <w:spacing w:val="-3"/>
        </w:rPr>
        <w:t> </w:t>
      </w:r>
      <w:r>
        <w:rPr/>
        <w:t>importance</w:t>
      </w:r>
      <w:r>
        <w:rPr>
          <w:spacing w:val="-5"/>
        </w:rPr>
        <w:t> </w:t>
      </w:r>
      <w:r>
        <w:rPr/>
        <w:t>to</w:t>
      </w:r>
      <w:r>
        <w:rPr>
          <w:spacing w:val="-4"/>
        </w:rPr>
        <w:t> </w:t>
      </w:r>
      <w:r>
        <w:rPr/>
        <w:t>these cities. In order to find alternatives for this socio-ecological dilemma, this work expands the applicability of the concept of Ecological Debt to an extended range of situations of environmental injustice in these protected areas. It focuses on the case </w:t>
      </w:r>
      <w:r>
        <w:rPr>
          <w:spacing w:val="3"/>
        </w:rPr>
        <w:t>of </w:t>
      </w:r>
      <w:r>
        <w:rPr/>
        <w:t>the La Carpintera Protected Zone (ZPLC) in Costa Rica, in the upper part of the Río Grande de Tárcoles Watershed, the most important for human uses in the country. It identifies a process</w:t>
      </w:r>
      <w:r>
        <w:rPr>
          <w:spacing w:val="-9"/>
        </w:rPr>
        <w:t> </w:t>
      </w:r>
      <w:r>
        <w:rPr/>
        <w:t>of</w:t>
      </w:r>
      <w:r>
        <w:rPr>
          <w:spacing w:val="-7"/>
        </w:rPr>
        <w:t> </w:t>
      </w:r>
      <w:r>
        <w:rPr/>
        <w:t>inequity</w:t>
      </w:r>
      <w:r>
        <w:rPr>
          <w:spacing w:val="-11"/>
        </w:rPr>
        <w:t> </w:t>
      </w:r>
      <w:r>
        <w:rPr/>
        <w:t>or</w:t>
      </w:r>
      <w:r>
        <w:rPr>
          <w:spacing w:val="-9"/>
        </w:rPr>
        <w:t> </w:t>
      </w:r>
      <w:r>
        <w:rPr/>
        <w:t>environmental</w:t>
      </w:r>
      <w:r>
        <w:rPr>
          <w:spacing w:val="-9"/>
        </w:rPr>
        <w:t> </w:t>
      </w:r>
      <w:r>
        <w:rPr/>
        <w:t>injustice</w:t>
      </w:r>
      <w:r>
        <w:rPr>
          <w:spacing w:val="-9"/>
        </w:rPr>
        <w:t> </w:t>
      </w:r>
      <w:r>
        <w:rPr/>
        <w:t>originated</w:t>
      </w:r>
      <w:r>
        <w:rPr>
          <w:spacing w:val="-10"/>
        </w:rPr>
        <w:t> </w:t>
      </w:r>
      <w:r>
        <w:rPr/>
        <w:t>in</w:t>
      </w:r>
      <w:r>
        <w:rPr>
          <w:spacing w:val="-10"/>
        </w:rPr>
        <w:t> </w:t>
      </w:r>
      <w:r>
        <w:rPr/>
        <w:t>conditions</w:t>
      </w:r>
      <w:r>
        <w:rPr>
          <w:spacing w:val="-8"/>
        </w:rPr>
        <w:t> </w:t>
      </w:r>
      <w:r>
        <w:rPr/>
        <w:t>that</w:t>
      </w:r>
      <w:r>
        <w:rPr>
          <w:spacing w:val="-7"/>
        </w:rPr>
        <w:t> </w:t>
      </w:r>
      <w:r>
        <w:rPr/>
        <w:t>limit</w:t>
      </w:r>
      <w:r>
        <w:rPr>
          <w:spacing w:val="-8"/>
        </w:rPr>
        <w:t> </w:t>
      </w:r>
      <w:r>
        <w:rPr/>
        <w:t>the</w:t>
      </w:r>
      <w:r>
        <w:rPr>
          <w:spacing w:val="-13"/>
        </w:rPr>
        <w:t> </w:t>
      </w:r>
      <w:r>
        <w:rPr/>
        <w:t>quality of life of the inhabitants of poor communities such as Río Azul, Linda Vista and others. These</w:t>
      </w:r>
      <w:r>
        <w:rPr>
          <w:spacing w:val="-5"/>
        </w:rPr>
        <w:t> </w:t>
      </w:r>
      <w:r>
        <w:rPr/>
        <w:t>originate</w:t>
      </w:r>
      <w:r>
        <w:rPr>
          <w:spacing w:val="-5"/>
        </w:rPr>
        <w:t> </w:t>
      </w:r>
      <w:r>
        <w:rPr/>
        <w:t>in</w:t>
      </w:r>
      <w:r>
        <w:rPr>
          <w:spacing w:val="-5"/>
        </w:rPr>
        <w:t> </w:t>
      </w:r>
      <w:r>
        <w:rPr/>
        <w:t>a</w:t>
      </w:r>
      <w:r>
        <w:rPr>
          <w:spacing w:val="-5"/>
        </w:rPr>
        <w:t> </w:t>
      </w:r>
      <w:r>
        <w:rPr/>
        <w:t>history</w:t>
      </w:r>
      <w:r>
        <w:rPr>
          <w:spacing w:val="-9"/>
        </w:rPr>
        <w:t> </w:t>
      </w:r>
      <w:r>
        <w:rPr/>
        <w:t>of</w:t>
      </w:r>
      <w:r>
        <w:rPr>
          <w:spacing w:val="-3"/>
        </w:rPr>
        <w:t> </w:t>
      </w:r>
      <w:r>
        <w:rPr/>
        <w:t>inadequate</w:t>
      </w:r>
      <w:r>
        <w:rPr>
          <w:spacing w:val="-5"/>
        </w:rPr>
        <w:t> </w:t>
      </w:r>
      <w:r>
        <w:rPr/>
        <w:t>management</w:t>
      </w:r>
      <w:r>
        <w:rPr>
          <w:spacing w:val="-3"/>
        </w:rPr>
        <w:t> </w:t>
      </w:r>
      <w:r>
        <w:rPr/>
        <w:t>of</w:t>
      </w:r>
      <w:r>
        <w:rPr>
          <w:spacing w:val="-4"/>
        </w:rPr>
        <w:t> </w:t>
      </w:r>
      <w:r>
        <w:rPr/>
        <w:t>the</w:t>
      </w:r>
      <w:r>
        <w:rPr>
          <w:spacing w:val="-5"/>
        </w:rPr>
        <w:t> </w:t>
      </w:r>
      <w:r>
        <w:rPr/>
        <w:t>natural</w:t>
      </w:r>
      <w:r>
        <w:rPr>
          <w:spacing w:val="-5"/>
        </w:rPr>
        <w:t> </w:t>
      </w:r>
      <w:r>
        <w:rPr/>
        <w:t>wealth</w:t>
      </w:r>
      <w:r>
        <w:rPr>
          <w:spacing w:val="-6"/>
        </w:rPr>
        <w:t> </w:t>
      </w:r>
      <w:r>
        <w:rPr/>
        <w:t>of</w:t>
      </w:r>
      <w:r>
        <w:rPr>
          <w:spacing w:val="7"/>
        </w:rPr>
        <w:t> </w:t>
      </w:r>
      <w:r>
        <w:rPr/>
        <w:t>the</w:t>
      </w:r>
      <w:r>
        <w:rPr>
          <w:spacing w:val="-5"/>
        </w:rPr>
        <w:t> </w:t>
      </w:r>
      <w:r>
        <w:rPr/>
        <w:t>area, in conservation regulations and in the attitude of the institutions in charge of the infrastructure, environmental, political, economic and social aspects of the area. These limitations contrast with the privileges derived from positive externalities provided by the area that benefit the quality of life of affluent communities that surround the</w:t>
      </w:r>
      <w:r>
        <w:rPr>
          <w:spacing w:val="-24"/>
        </w:rPr>
        <w:t> </w:t>
      </w:r>
      <w:r>
        <w:rPr/>
        <w:t>ZPLC.</w:t>
      </w:r>
    </w:p>
    <w:p>
      <w:pPr>
        <w:pStyle w:val="BodyText"/>
        <w:spacing w:line="360" w:lineRule="auto" w:before="202"/>
        <w:ind w:left="1200" w:right="1194"/>
        <w:jc w:val="both"/>
      </w:pPr>
      <w:r>
        <w:rPr>
          <w:spacing w:val="2"/>
        </w:rPr>
        <w:t>To </w:t>
      </w:r>
      <w:r>
        <w:rPr/>
        <w:t>characterize, deconstruct and seek alternatives for these injustices, this thesis seeks to develop a novel measurement model for Costa Rica and propose a participatory process</w:t>
      </w:r>
      <w:r>
        <w:rPr>
          <w:spacing w:val="-10"/>
        </w:rPr>
        <w:t> </w:t>
      </w:r>
      <w:r>
        <w:rPr/>
        <w:t>that</w:t>
      </w:r>
      <w:r>
        <w:rPr>
          <w:spacing w:val="-8"/>
        </w:rPr>
        <w:t> </w:t>
      </w:r>
      <w:r>
        <w:rPr/>
        <w:t>allows</w:t>
      </w:r>
      <w:r>
        <w:rPr>
          <w:spacing w:val="-9"/>
        </w:rPr>
        <w:t> </w:t>
      </w:r>
      <w:r>
        <w:rPr/>
        <w:t>the</w:t>
      </w:r>
      <w:r>
        <w:rPr>
          <w:spacing w:val="-11"/>
        </w:rPr>
        <w:t> </w:t>
      </w:r>
      <w:r>
        <w:rPr/>
        <w:t>use</w:t>
      </w:r>
      <w:r>
        <w:rPr>
          <w:spacing w:val="-10"/>
        </w:rPr>
        <w:t> </w:t>
      </w:r>
      <w:r>
        <w:rPr/>
        <w:t>of</w:t>
      </w:r>
      <w:r>
        <w:rPr>
          <w:spacing w:val="-8"/>
        </w:rPr>
        <w:t> </w:t>
      </w:r>
      <w:r>
        <w:rPr/>
        <w:t>the</w:t>
      </w:r>
      <w:r>
        <w:rPr>
          <w:spacing w:val="-11"/>
        </w:rPr>
        <w:t> </w:t>
      </w:r>
      <w:r>
        <w:rPr/>
        <w:t>information</w:t>
      </w:r>
      <w:r>
        <w:rPr>
          <w:spacing w:val="-11"/>
        </w:rPr>
        <w:t> </w:t>
      </w:r>
      <w:r>
        <w:rPr/>
        <w:t>generated</w:t>
      </w:r>
      <w:r>
        <w:rPr>
          <w:spacing w:val="-11"/>
        </w:rPr>
        <w:t> </w:t>
      </w:r>
      <w:r>
        <w:rPr/>
        <w:t>in</w:t>
      </w:r>
      <w:r>
        <w:rPr>
          <w:spacing w:val="-11"/>
        </w:rPr>
        <w:t> </w:t>
      </w:r>
      <w:r>
        <w:rPr/>
        <w:t>order</w:t>
      </w:r>
      <w:r>
        <w:rPr>
          <w:spacing w:val="-9"/>
        </w:rPr>
        <w:t> </w:t>
      </w:r>
      <w:r>
        <w:rPr/>
        <w:t>to</w:t>
      </w:r>
      <w:r>
        <w:rPr>
          <w:spacing w:val="-11"/>
        </w:rPr>
        <w:t> </w:t>
      </w:r>
      <w:r>
        <w:rPr/>
        <w:t>face</w:t>
      </w:r>
      <w:r>
        <w:rPr>
          <w:spacing w:val="-8"/>
        </w:rPr>
        <w:t> </w:t>
      </w:r>
      <w:r>
        <w:rPr/>
        <w:t>them.</w:t>
      </w:r>
      <w:r>
        <w:rPr>
          <w:spacing w:val="-12"/>
        </w:rPr>
        <w:t> </w:t>
      </w:r>
      <w:r>
        <w:rPr/>
        <w:t>The</w:t>
      </w:r>
      <w:r>
        <w:rPr>
          <w:spacing w:val="-11"/>
        </w:rPr>
        <w:t> </w:t>
      </w:r>
      <w:r>
        <w:rPr/>
        <w:t>thesis uses a methodology of Ecological Economics and Political Ecology with three components.</w:t>
      </w:r>
      <w:r>
        <w:rPr>
          <w:spacing w:val="-15"/>
        </w:rPr>
        <w:t> </w:t>
      </w:r>
      <w:r>
        <w:rPr/>
        <w:t>It</w:t>
      </w:r>
      <w:r>
        <w:rPr>
          <w:spacing w:val="-14"/>
        </w:rPr>
        <w:t> </w:t>
      </w:r>
      <w:r>
        <w:rPr/>
        <w:t>adapts</w:t>
      </w:r>
      <w:r>
        <w:rPr>
          <w:spacing w:val="-15"/>
        </w:rPr>
        <w:t> </w:t>
      </w:r>
      <w:r>
        <w:rPr/>
        <w:t>the</w:t>
      </w:r>
      <w:r>
        <w:rPr>
          <w:spacing w:val="-17"/>
        </w:rPr>
        <w:t> </w:t>
      </w:r>
      <w:r>
        <w:rPr/>
        <w:t>concept</w:t>
      </w:r>
      <w:r>
        <w:rPr>
          <w:spacing w:val="-14"/>
        </w:rPr>
        <w:t> </w:t>
      </w:r>
      <w:r>
        <w:rPr/>
        <w:t>of</w:t>
      </w:r>
      <w:r>
        <w:rPr>
          <w:spacing w:val="-14"/>
        </w:rPr>
        <w:t> </w:t>
      </w:r>
      <w:r>
        <w:rPr/>
        <w:t>Ecological</w:t>
      </w:r>
      <w:r>
        <w:rPr>
          <w:spacing w:val="-13"/>
        </w:rPr>
        <w:t> </w:t>
      </w:r>
      <w:r>
        <w:rPr/>
        <w:t>Debt</w:t>
      </w:r>
      <w:r>
        <w:rPr>
          <w:spacing w:val="-14"/>
        </w:rPr>
        <w:t> </w:t>
      </w:r>
      <w:r>
        <w:rPr/>
        <w:t>to</w:t>
      </w:r>
      <w:r>
        <w:rPr>
          <w:spacing w:val="-17"/>
        </w:rPr>
        <w:t> </w:t>
      </w:r>
      <w:r>
        <w:rPr/>
        <w:t>the</w:t>
      </w:r>
      <w:r>
        <w:rPr>
          <w:spacing w:val="-17"/>
        </w:rPr>
        <w:t> </w:t>
      </w:r>
      <w:r>
        <w:rPr/>
        <w:t>ecological</w:t>
      </w:r>
      <w:r>
        <w:rPr>
          <w:spacing w:val="-16"/>
        </w:rPr>
        <w:t> </w:t>
      </w:r>
      <w:r>
        <w:rPr/>
        <w:t>distributive</w:t>
      </w:r>
      <w:r>
        <w:rPr>
          <w:spacing w:val="-17"/>
        </w:rPr>
        <w:t> </w:t>
      </w:r>
      <w:r>
        <w:rPr/>
        <w:t>conflict under consideration, promoting a rights-based approach. It characterizes the socio- ecological history of the ZPLC using this framework, starting from the increased population of the area due to the establishment of the Rio Azul dump and the establishment of the protected area in the 70s until the approval and implementation of the Management Plan in this decade. Inequalities include the zeal of large landowners and</w:t>
      </w:r>
      <w:r>
        <w:rPr>
          <w:spacing w:val="-9"/>
        </w:rPr>
        <w:t> </w:t>
      </w:r>
      <w:r>
        <w:rPr/>
        <w:t>institutions</w:t>
      </w:r>
      <w:r>
        <w:rPr>
          <w:spacing w:val="-4"/>
        </w:rPr>
        <w:t> </w:t>
      </w:r>
      <w:r>
        <w:rPr/>
        <w:t>due</w:t>
      </w:r>
      <w:r>
        <w:rPr>
          <w:spacing w:val="-9"/>
        </w:rPr>
        <w:t> </w:t>
      </w:r>
      <w:r>
        <w:rPr/>
        <w:t>to</w:t>
      </w:r>
      <w:r>
        <w:rPr>
          <w:spacing w:val="-8"/>
        </w:rPr>
        <w:t> </w:t>
      </w:r>
      <w:r>
        <w:rPr/>
        <w:t>the</w:t>
      </w:r>
      <w:r>
        <w:rPr>
          <w:spacing w:val="-5"/>
        </w:rPr>
        <w:t> </w:t>
      </w:r>
      <w:r>
        <w:rPr/>
        <w:t>presence</w:t>
      </w:r>
      <w:r>
        <w:rPr>
          <w:spacing w:val="-4"/>
        </w:rPr>
        <w:t> </w:t>
      </w:r>
      <w:r>
        <w:rPr/>
        <w:t>of</w:t>
      </w:r>
      <w:r>
        <w:rPr>
          <w:spacing w:val="-6"/>
        </w:rPr>
        <w:t> </w:t>
      </w:r>
      <w:r>
        <w:rPr/>
        <w:t>marginal</w:t>
      </w:r>
      <w:r>
        <w:rPr>
          <w:spacing w:val="-7"/>
        </w:rPr>
        <w:t> </w:t>
      </w:r>
      <w:r>
        <w:rPr/>
        <w:t>communities</w:t>
      </w:r>
      <w:r>
        <w:rPr>
          <w:spacing w:val="-7"/>
        </w:rPr>
        <w:t> </w:t>
      </w:r>
      <w:r>
        <w:rPr/>
        <w:t>that,</w:t>
      </w:r>
      <w:r>
        <w:rPr>
          <w:spacing w:val="-5"/>
        </w:rPr>
        <w:t> </w:t>
      </w:r>
      <w:r>
        <w:rPr/>
        <w:t>in</w:t>
      </w:r>
      <w:r>
        <w:rPr>
          <w:spacing w:val="-8"/>
        </w:rPr>
        <w:t> </w:t>
      </w:r>
      <w:r>
        <w:rPr/>
        <w:t>their</w:t>
      </w:r>
      <w:r>
        <w:rPr>
          <w:spacing w:val="-7"/>
        </w:rPr>
        <w:t> </w:t>
      </w:r>
      <w:r>
        <w:rPr/>
        <w:t>vision,</w:t>
      </w:r>
      <w:r>
        <w:rPr>
          <w:spacing w:val="-5"/>
        </w:rPr>
        <w:t> </w:t>
      </w:r>
      <w:r>
        <w:rPr/>
        <w:t>attempt against the provision of environmental services by the</w:t>
      </w:r>
      <w:r>
        <w:rPr>
          <w:spacing w:val="-5"/>
        </w:rPr>
        <w:t> </w:t>
      </w:r>
      <w:r>
        <w:rPr/>
        <w:t>ZP:</w:t>
      </w:r>
    </w:p>
    <w:p>
      <w:pPr>
        <w:spacing w:after="0" w:line="360" w:lineRule="auto"/>
        <w:jc w:val="both"/>
        <w:sectPr>
          <w:pgSz w:w="12240" w:h="15840"/>
          <w:pgMar w:header="0" w:footer="1062" w:top="1500" w:bottom="1260" w:left="240" w:right="240"/>
        </w:sectPr>
      </w:pPr>
    </w:p>
    <w:p>
      <w:pPr>
        <w:pStyle w:val="BodyText"/>
        <w:spacing w:line="360" w:lineRule="auto" w:before="79"/>
        <w:ind w:left="1200" w:right="1197"/>
        <w:jc w:val="both"/>
      </w:pPr>
      <w:r>
        <w:rPr/>
        <w:t>Further, this work adopts a multilingual (biophysical, monetary and qualitative) assessment framework to estimate the magnitude and statistical importance of the Ecological Debt that the debtor communities have. The methodologies used for this purpose include a comparative estimation of community ecological footprints. Likewise, they include an estimate using the hedonic price method of the importance for the price of housing in the communities that are indebted from the uncompensated ecological services to the ZPLC.</w:t>
      </w:r>
    </w:p>
    <w:p>
      <w:pPr>
        <w:pStyle w:val="BodyText"/>
        <w:spacing w:line="360" w:lineRule="auto" w:before="199"/>
        <w:ind w:left="1200" w:right="1194"/>
        <w:jc w:val="both"/>
      </w:pPr>
      <w:r>
        <w:rPr/>
        <w:t>The results present a deconstruction identifying the essential components of the conflict (actors, geographical context) and characterize the inequities examined, making an assessment of distributive justice and a compensatory evaluation. The debtor communities show levels of overshoot by Ecological Footprint of 7% while the creditor communities have a surplus of more than 20%. Meanwhile, the tax values of the properties that benefit from the unpaid positive externalities of the ZP in the debtor communities, such as the view, are substantially higher compared to those of the creditors. The latter see the values of their properties affected by the regulatory and institutional restrictions that characterize inhabitation within a protected area. The view service</w:t>
      </w:r>
      <w:r>
        <w:rPr>
          <w:spacing w:val="-21"/>
        </w:rPr>
        <w:t> </w:t>
      </w:r>
      <w:r>
        <w:rPr/>
        <w:t>is</w:t>
      </w:r>
      <w:r>
        <w:rPr>
          <w:spacing w:val="-19"/>
        </w:rPr>
        <w:t> </w:t>
      </w:r>
      <w:r>
        <w:rPr/>
        <w:t>significant</w:t>
      </w:r>
      <w:r>
        <w:rPr>
          <w:spacing w:val="-17"/>
        </w:rPr>
        <w:t> </w:t>
      </w:r>
      <w:r>
        <w:rPr/>
        <w:t>as</w:t>
      </w:r>
      <w:r>
        <w:rPr>
          <w:spacing w:val="-19"/>
        </w:rPr>
        <w:t> </w:t>
      </w:r>
      <w:r>
        <w:rPr/>
        <w:t>a</w:t>
      </w:r>
      <w:r>
        <w:rPr>
          <w:spacing w:val="-21"/>
        </w:rPr>
        <w:t> </w:t>
      </w:r>
      <w:r>
        <w:rPr/>
        <w:t>factor</w:t>
      </w:r>
      <w:r>
        <w:rPr>
          <w:spacing w:val="-18"/>
        </w:rPr>
        <w:t> </w:t>
      </w:r>
      <w:r>
        <w:rPr/>
        <w:t>that</w:t>
      </w:r>
      <w:r>
        <w:rPr>
          <w:spacing w:val="-18"/>
        </w:rPr>
        <w:t> </w:t>
      </w:r>
      <w:r>
        <w:rPr/>
        <w:t>affects</w:t>
      </w:r>
      <w:r>
        <w:rPr>
          <w:spacing w:val="-19"/>
        </w:rPr>
        <w:t> </w:t>
      </w:r>
      <w:r>
        <w:rPr/>
        <w:t>the</w:t>
      </w:r>
      <w:r>
        <w:rPr>
          <w:spacing w:val="-20"/>
        </w:rPr>
        <w:t> </w:t>
      </w:r>
      <w:r>
        <w:rPr/>
        <w:t>prices</w:t>
      </w:r>
      <w:r>
        <w:rPr>
          <w:spacing w:val="-19"/>
        </w:rPr>
        <w:t> </w:t>
      </w:r>
      <w:r>
        <w:rPr/>
        <w:t>of</w:t>
      </w:r>
      <w:r>
        <w:rPr>
          <w:spacing w:val="-17"/>
        </w:rPr>
        <w:t> </w:t>
      </w:r>
      <w:r>
        <w:rPr/>
        <w:t>real</w:t>
      </w:r>
      <w:r>
        <w:rPr>
          <w:spacing w:val="-20"/>
        </w:rPr>
        <w:t> </w:t>
      </w:r>
      <w:r>
        <w:rPr/>
        <w:t>estate</w:t>
      </w:r>
      <w:r>
        <w:rPr>
          <w:spacing w:val="-21"/>
        </w:rPr>
        <w:t> </w:t>
      </w:r>
      <w:r>
        <w:rPr/>
        <w:t>in</w:t>
      </w:r>
      <w:r>
        <w:rPr>
          <w:spacing w:val="-20"/>
        </w:rPr>
        <w:t> </w:t>
      </w:r>
      <w:r>
        <w:rPr/>
        <w:t>debtor</w:t>
      </w:r>
      <w:r>
        <w:rPr>
          <w:spacing w:val="-19"/>
        </w:rPr>
        <w:t> </w:t>
      </w:r>
      <w:r>
        <w:rPr/>
        <w:t>communities, benefiting them with a comparative price difference of $ 99 per </w:t>
      </w:r>
      <w:r>
        <w:rPr>
          <w:spacing w:val="2"/>
        </w:rPr>
        <w:t>m</w:t>
      </w:r>
      <w:r>
        <w:rPr>
          <w:spacing w:val="2"/>
          <w:position w:val="8"/>
          <w:sz w:val="16"/>
        </w:rPr>
        <w:t>2 </w:t>
      </w:r>
      <w:r>
        <w:rPr/>
        <w:t>of construction</w:t>
      </w:r>
      <w:r>
        <w:rPr>
          <w:spacing w:val="-28"/>
        </w:rPr>
        <w:t> </w:t>
      </w:r>
      <w:r>
        <w:rPr/>
        <w:t>(about</w:t>
      </w:r>
    </w:p>
    <w:p>
      <w:pPr>
        <w:pStyle w:val="BodyText"/>
        <w:spacing w:line="274" w:lineRule="exact"/>
        <w:ind w:left="1200"/>
        <w:jc w:val="both"/>
      </w:pPr>
      <w:r>
        <w:rPr/>
        <w:t>$ 30,000 per property).</w:t>
      </w:r>
    </w:p>
    <w:p>
      <w:pPr>
        <w:pStyle w:val="BodyText"/>
        <w:spacing w:before="3"/>
        <w:rPr>
          <w:sz w:val="29"/>
        </w:rPr>
      </w:pPr>
    </w:p>
    <w:p>
      <w:pPr>
        <w:pStyle w:val="BodyText"/>
        <w:spacing w:line="360" w:lineRule="auto"/>
        <w:ind w:left="1200" w:right="1196"/>
        <w:jc w:val="both"/>
      </w:pPr>
      <w:r>
        <w:rPr/>
        <w:t>These</w:t>
      </w:r>
      <w:r>
        <w:rPr>
          <w:spacing w:val="-13"/>
        </w:rPr>
        <w:t> </w:t>
      </w:r>
      <w:r>
        <w:rPr/>
        <w:t>results</w:t>
      </w:r>
      <w:r>
        <w:rPr>
          <w:spacing w:val="-11"/>
        </w:rPr>
        <w:t> </w:t>
      </w:r>
      <w:r>
        <w:rPr/>
        <w:t>can</w:t>
      </w:r>
      <w:r>
        <w:rPr>
          <w:spacing w:val="-12"/>
        </w:rPr>
        <w:t> </w:t>
      </w:r>
      <w:r>
        <w:rPr/>
        <w:t>help</w:t>
      </w:r>
      <w:r>
        <w:rPr>
          <w:spacing w:val="-12"/>
        </w:rPr>
        <w:t> </w:t>
      </w:r>
      <w:r>
        <w:rPr/>
        <w:t>find</w:t>
      </w:r>
      <w:r>
        <w:rPr>
          <w:spacing w:val="-13"/>
        </w:rPr>
        <w:t> </w:t>
      </w:r>
      <w:r>
        <w:rPr/>
        <w:t>ways</w:t>
      </w:r>
      <w:r>
        <w:rPr>
          <w:spacing w:val="-10"/>
        </w:rPr>
        <w:t> </w:t>
      </w:r>
      <w:r>
        <w:rPr/>
        <w:t>to</w:t>
      </w:r>
      <w:r>
        <w:rPr>
          <w:spacing w:val="-13"/>
        </w:rPr>
        <w:t> </w:t>
      </w:r>
      <w:r>
        <w:rPr/>
        <w:t>compensate</w:t>
      </w:r>
      <w:r>
        <w:rPr>
          <w:spacing w:val="-12"/>
        </w:rPr>
        <w:t> </w:t>
      </w:r>
      <w:r>
        <w:rPr/>
        <w:t>and</w:t>
      </w:r>
      <w:r>
        <w:rPr>
          <w:spacing w:val="-13"/>
        </w:rPr>
        <w:t> </w:t>
      </w:r>
      <w:r>
        <w:rPr/>
        <w:t>reduce</w:t>
      </w:r>
      <w:r>
        <w:rPr>
          <w:spacing w:val="-12"/>
        </w:rPr>
        <w:t> </w:t>
      </w:r>
      <w:r>
        <w:rPr/>
        <w:t>this</w:t>
      </w:r>
      <w:r>
        <w:rPr>
          <w:spacing w:val="-11"/>
        </w:rPr>
        <w:t> </w:t>
      </w:r>
      <w:r>
        <w:rPr/>
        <w:t>Ecological</w:t>
      </w:r>
      <w:r>
        <w:rPr>
          <w:spacing w:val="-8"/>
        </w:rPr>
        <w:t> </w:t>
      </w:r>
      <w:r>
        <w:rPr/>
        <w:t>Debt,</w:t>
      </w:r>
      <w:r>
        <w:rPr>
          <w:spacing w:val="-9"/>
        </w:rPr>
        <w:t> </w:t>
      </w:r>
      <w:r>
        <w:rPr/>
        <w:t>making conservation in the ZPLC more sustainable and fair. Some viable solutions may include the implementation of actions to improve the quality of life of these communities in order to protect, among others, the view service from the resources generated by the property taxes already collected. The reactions and availability to the follow-up through a multicriterial</w:t>
      </w:r>
      <w:r>
        <w:rPr>
          <w:spacing w:val="-8"/>
        </w:rPr>
        <w:t> </w:t>
      </w:r>
      <w:r>
        <w:rPr/>
        <w:t>participatory</w:t>
      </w:r>
      <w:r>
        <w:rPr>
          <w:spacing w:val="-10"/>
        </w:rPr>
        <w:t> </w:t>
      </w:r>
      <w:r>
        <w:rPr/>
        <w:t>process</w:t>
      </w:r>
      <w:r>
        <w:rPr>
          <w:spacing w:val="-6"/>
        </w:rPr>
        <w:t> </w:t>
      </w:r>
      <w:r>
        <w:rPr/>
        <w:t>recommended</w:t>
      </w:r>
      <w:r>
        <w:rPr>
          <w:spacing w:val="-8"/>
        </w:rPr>
        <w:t> </w:t>
      </w:r>
      <w:r>
        <w:rPr/>
        <w:t>by</w:t>
      </w:r>
      <w:r>
        <w:rPr>
          <w:spacing w:val="-10"/>
        </w:rPr>
        <w:t> </w:t>
      </w:r>
      <w:r>
        <w:rPr/>
        <w:t>the</w:t>
      </w:r>
      <w:r>
        <w:rPr>
          <w:spacing w:val="-4"/>
        </w:rPr>
        <w:t> </w:t>
      </w:r>
      <w:r>
        <w:rPr/>
        <w:t>actors</w:t>
      </w:r>
      <w:r>
        <w:rPr>
          <w:spacing w:val="-7"/>
        </w:rPr>
        <w:t> </w:t>
      </w:r>
      <w:r>
        <w:rPr/>
        <w:t>participating</w:t>
      </w:r>
      <w:r>
        <w:rPr>
          <w:spacing w:val="-8"/>
        </w:rPr>
        <w:t> </w:t>
      </w:r>
      <w:r>
        <w:rPr/>
        <w:t>in</w:t>
      </w:r>
      <w:r>
        <w:rPr>
          <w:spacing w:val="-8"/>
        </w:rPr>
        <w:t> </w:t>
      </w:r>
      <w:r>
        <w:rPr/>
        <w:t>the</w:t>
      </w:r>
      <w:r>
        <w:rPr>
          <w:spacing w:val="-8"/>
        </w:rPr>
        <w:t> </w:t>
      </w:r>
      <w:r>
        <w:rPr/>
        <w:t>results presentation workshop confirm the usefulness of the</w:t>
      </w:r>
      <w:r>
        <w:rPr>
          <w:spacing w:val="-6"/>
        </w:rPr>
        <w:t> </w:t>
      </w:r>
      <w:r>
        <w:rPr/>
        <w:t>results.</w:t>
      </w:r>
    </w:p>
    <w:p>
      <w:pPr>
        <w:spacing w:after="0" w:line="360" w:lineRule="auto"/>
        <w:jc w:val="both"/>
        <w:sectPr>
          <w:pgSz w:w="12240" w:h="15840"/>
          <w:pgMar w:header="0" w:footer="1062" w:top="1360" w:bottom="1260" w:left="240" w:right="240"/>
        </w:sectPr>
      </w:pPr>
    </w:p>
    <w:p>
      <w:pPr>
        <w:pStyle w:val="Heading2"/>
        <w:numPr>
          <w:ilvl w:val="0"/>
          <w:numId w:val="2"/>
        </w:numPr>
        <w:tabs>
          <w:tab w:pos="1921" w:val="left" w:leader="none"/>
        </w:tabs>
        <w:spacing w:line="240" w:lineRule="auto" w:before="75" w:after="0"/>
        <w:ind w:left="1920" w:right="0" w:hanging="721"/>
        <w:jc w:val="both"/>
      </w:pPr>
      <w:bookmarkStart w:name="_bookmark2" w:id="3"/>
      <w:bookmarkEnd w:id="3"/>
      <w:r>
        <w:rPr>
          <w:b w:val="0"/>
        </w:rPr>
      </w:r>
      <w:bookmarkStart w:name="_bookmark2" w:id="4"/>
      <w:bookmarkEnd w:id="4"/>
      <w:r>
        <w:rPr/>
        <w:t>I</w:t>
      </w:r>
      <w:r>
        <w:rPr/>
        <w:t>ntroducción</w:t>
      </w:r>
    </w:p>
    <w:p>
      <w:pPr>
        <w:pStyle w:val="BodyText"/>
        <w:spacing w:line="360" w:lineRule="auto" w:before="204"/>
        <w:ind w:left="1200" w:right="1193"/>
        <w:jc w:val="both"/>
      </w:pPr>
      <w:r>
        <w:rPr/>
        <w:t>A nivel de la región latinoamericana Costa Rica ha sido uno de los países que ha desarrollado con mayor éxito una reputación por su desempeño ambiental. Esta reputación tiene su origen, según la literatura sobre la historia ambiental del país, en un proceso</w:t>
      </w:r>
      <w:r>
        <w:rPr>
          <w:spacing w:val="-4"/>
        </w:rPr>
        <w:t> </w:t>
      </w:r>
      <w:r>
        <w:rPr/>
        <w:t>que</w:t>
      </w:r>
      <w:r>
        <w:rPr>
          <w:spacing w:val="-7"/>
        </w:rPr>
        <w:t> </w:t>
      </w:r>
      <w:r>
        <w:rPr/>
        <w:t>se</w:t>
      </w:r>
      <w:r>
        <w:rPr>
          <w:spacing w:val="-7"/>
        </w:rPr>
        <w:t> </w:t>
      </w:r>
      <w:r>
        <w:rPr/>
        <w:t>inicia</w:t>
      </w:r>
      <w:r>
        <w:rPr>
          <w:spacing w:val="-7"/>
        </w:rPr>
        <w:t> </w:t>
      </w:r>
      <w:r>
        <w:rPr/>
        <w:t>con</w:t>
      </w:r>
      <w:r>
        <w:rPr>
          <w:spacing w:val="-7"/>
        </w:rPr>
        <w:t> </w:t>
      </w:r>
      <w:r>
        <w:rPr/>
        <w:t>el</w:t>
      </w:r>
      <w:r>
        <w:rPr>
          <w:spacing w:val="-6"/>
        </w:rPr>
        <w:t> </w:t>
      </w:r>
      <w:r>
        <w:rPr/>
        <w:t>trabajo</w:t>
      </w:r>
      <w:r>
        <w:rPr>
          <w:spacing w:val="-7"/>
        </w:rPr>
        <w:t> </w:t>
      </w:r>
      <w:r>
        <w:rPr/>
        <w:t>pionero</w:t>
      </w:r>
      <w:r>
        <w:rPr>
          <w:spacing w:val="-3"/>
        </w:rPr>
        <w:t> </w:t>
      </w:r>
      <w:r>
        <w:rPr/>
        <w:t>de</w:t>
      </w:r>
      <w:r>
        <w:rPr>
          <w:spacing w:val="-7"/>
        </w:rPr>
        <w:t> </w:t>
      </w:r>
      <w:r>
        <w:rPr/>
        <w:t>biólogos</w:t>
      </w:r>
      <w:r>
        <w:rPr>
          <w:spacing w:val="-5"/>
        </w:rPr>
        <w:t> </w:t>
      </w:r>
      <w:r>
        <w:rPr/>
        <w:t>y</w:t>
      </w:r>
      <w:r>
        <w:rPr>
          <w:spacing w:val="-6"/>
        </w:rPr>
        <w:t> </w:t>
      </w:r>
      <w:r>
        <w:rPr/>
        <w:t>naturalistas</w:t>
      </w:r>
      <w:r>
        <w:rPr>
          <w:spacing w:val="-5"/>
        </w:rPr>
        <w:t> </w:t>
      </w:r>
      <w:r>
        <w:rPr/>
        <w:t>que</w:t>
      </w:r>
      <w:r>
        <w:rPr>
          <w:spacing w:val="-7"/>
        </w:rPr>
        <w:t> </w:t>
      </w:r>
      <w:r>
        <w:rPr/>
        <w:t>desde</w:t>
      </w:r>
      <w:r>
        <w:rPr>
          <w:spacing w:val="-7"/>
        </w:rPr>
        <w:t> </w:t>
      </w:r>
      <w:r>
        <w:rPr/>
        <w:t>el</w:t>
      </w:r>
      <w:r>
        <w:rPr>
          <w:spacing w:val="-6"/>
        </w:rPr>
        <w:t> </w:t>
      </w:r>
      <w:r>
        <w:rPr/>
        <w:t>siglo XIX comenzaron a explorar y a documentar su riqueza natural. De allí se da </w:t>
      </w:r>
      <w:r>
        <w:rPr>
          <w:spacing w:val="-2"/>
        </w:rPr>
        <w:t>una </w:t>
      </w:r>
      <w:r>
        <w:rPr/>
        <w:t>evolución</w:t>
      </w:r>
      <w:r>
        <w:rPr>
          <w:spacing w:val="-13"/>
        </w:rPr>
        <w:t> </w:t>
      </w:r>
      <w:r>
        <w:rPr/>
        <w:t>que</w:t>
      </w:r>
      <w:r>
        <w:rPr>
          <w:spacing w:val="-12"/>
        </w:rPr>
        <w:t> </w:t>
      </w:r>
      <w:r>
        <w:rPr/>
        <w:t>señala</w:t>
      </w:r>
      <w:r>
        <w:rPr>
          <w:spacing w:val="-13"/>
        </w:rPr>
        <w:t> </w:t>
      </w:r>
      <w:r>
        <w:rPr/>
        <w:t>que</w:t>
      </w:r>
      <w:r>
        <w:rPr>
          <w:spacing w:val="-12"/>
        </w:rPr>
        <w:t> </w:t>
      </w:r>
      <w:r>
        <w:rPr/>
        <w:t>Costa</w:t>
      </w:r>
      <w:r>
        <w:rPr>
          <w:spacing w:val="-12"/>
        </w:rPr>
        <w:t> </w:t>
      </w:r>
      <w:r>
        <w:rPr/>
        <w:t>Rica,</w:t>
      </w:r>
      <w:r>
        <w:rPr>
          <w:spacing w:val="-10"/>
        </w:rPr>
        <w:t> </w:t>
      </w:r>
      <w:r>
        <w:rPr/>
        <w:t>gracias</w:t>
      </w:r>
      <w:r>
        <w:rPr>
          <w:spacing w:val="-7"/>
        </w:rPr>
        <w:t> </w:t>
      </w:r>
      <w:r>
        <w:rPr/>
        <w:t>al</w:t>
      </w:r>
      <w:r>
        <w:rPr>
          <w:spacing w:val="-11"/>
        </w:rPr>
        <w:t> </w:t>
      </w:r>
      <w:r>
        <w:rPr/>
        <w:t>trabajo</w:t>
      </w:r>
      <w:r>
        <w:rPr>
          <w:spacing w:val="-13"/>
        </w:rPr>
        <w:t> </w:t>
      </w:r>
      <w:r>
        <w:rPr/>
        <w:t>de</w:t>
      </w:r>
      <w:r>
        <w:rPr>
          <w:spacing w:val="-12"/>
        </w:rPr>
        <w:t> </w:t>
      </w:r>
      <w:r>
        <w:rPr/>
        <w:t>conservacionistas</w:t>
      </w:r>
      <w:r>
        <w:rPr>
          <w:spacing w:val="-10"/>
        </w:rPr>
        <w:t> </w:t>
      </w:r>
      <w:r>
        <w:rPr/>
        <w:t>nacionales e</w:t>
      </w:r>
      <w:r>
        <w:rPr>
          <w:spacing w:val="-21"/>
        </w:rPr>
        <w:t> </w:t>
      </w:r>
      <w:r>
        <w:rPr/>
        <w:t>instituciones</w:t>
      </w:r>
      <w:r>
        <w:rPr>
          <w:spacing w:val="-20"/>
        </w:rPr>
        <w:t> </w:t>
      </w:r>
      <w:r>
        <w:rPr/>
        <w:t>científicas</w:t>
      </w:r>
      <w:r>
        <w:rPr>
          <w:spacing w:val="-19"/>
        </w:rPr>
        <w:t> </w:t>
      </w:r>
      <w:r>
        <w:rPr/>
        <w:t>acompañadas</w:t>
      </w:r>
      <w:r>
        <w:rPr>
          <w:spacing w:val="-19"/>
        </w:rPr>
        <w:t> </w:t>
      </w:r>
      <w:r>
        <w:rPr/>
        <w:t>de</w:t>
      </w:r>
      <w:r>
        <w:rPr>
          <w:spacing w:val="-21"/>
        </w:rPr>
        <w:t> </w:t>
      </w:r>
      <w:r>
        <w:rPr/>
        <w:t>Organizaciones</w:t>
      </w:r>
      <w:r>
        <w:rPr>
          <w:spacing w:val="-19"/>
        </w:rPr>
        <w:t> </w:t>
      </w:r>
      <w:r>
        <w:rPr/>
        <w:t>No</w:t>
      </w:r>
      <w:r>
        <w:rPr>
          <w:spacing w:val="-21"/>
        </w:rPr>
        <w:t> </w:t>
      </w:r>
      <w:r>
        <w:rPr/>
        <w:t>Gubernamentales</w:t>
      </w:r>
      <w:r>
        <w:rPr>
          <w:spacing w:val="-19"/>
        </w:rPr>
        <w:t> </w:t>
      </w:r>
      <w:r>
        <w:rPr/>
        <w:t>(ONG), desarrolla</w:t>
      </w:r>
      <w:r>
        <w:rPr>
          <w:spacing w:val="-9"/>
        </w:rPr>
        <w:t> </w:t>
      </w:r>
      <w:r>
        <w:rPr/>
        <w:t>un</w:t>
      </w:r>
      <w:r>
        <w:rPr>
          <w:spacing w:val="-12"/>
        </w:rPr>
        <w:t> </w:t>
      </w:r>
      <w:r>
        <w:rPr/>
        <w:t>sistema</w:t>
      </w:r>
      <w:r>
        <w:rPr>
          <w:spacing w:val="-8"/>
        </w:rPr>
        <w:t> </w:t>
      </w:r>
      <w:r>
        <w:rPr/>
        <w:t>de</w:t>
      </w:r>
      <w:r>
        <w:rPr>
          <w:spacing w:val="-12"/>
        </w:rPr>
        <w:t> </w:t>
      </w:r>
      <w:r>
        <w:rPr/>
        <w:t>áreas</w:t>
      </w:r>
      <w:r>
        <w:rPr>
          <w:spacing w:val="-10"/>
        </w:rPr>
        <w:t> </w:t>
      </w:r>
      <w:r>
        <w:rPr/>
        <w:t>protegidas</w:t>
      </w:r>
      <w:r>
        <w:rPr>
          <w:spacing w:val="-10"/>
        </w:rPr>
        <w:t> </w:t>
      </w:r>
      <w:r>
        <w:rPr/>
        <w:t>que</w:t>
      </w:r>
      <w:r>
        <w:rPr>
          <w:spacing w:val="-12"/>
        </w:rPr>
        <w:t> </w:t>
      </w:r>
      <w:r>
        <w:rPr/>
        <w:t>cubre</w:t>
      </w:r>
      <w:r>
        <w:rPr>
          <w:spacing w:val="-8"/>
        </w:rPr>
        <w:t> </w:t>
      </w:r>
      <w:r>
        <w:rPr/>
        <w:t>un</w:t>
      </w:r>
      <w:r>
        <w:rPr>
          <w:spacing w:val="-12"/>
        </w:rPr>
        <w:t> </w:t>
      </w:r>
      <w:r>
        <w:rPr/>
        <w:t>gran</w:t>
      </w:r>
      <w:r>
        <w:rPr>
          <w:spacing w:val="-12"/>
        </w:rPr>
        <w:t> </w:t>
      </w:r>
      <w:r>
        <w:rPr/>
        <w:t>porcentaje</w:t>
      </w:r>
      <w:r>
        <w:rPr>
          <w:spacing w:val="-12"/>
        </w:rPr>
        <w:t> </w:t>
      </w:r>
      <w:r>
        <w:rPr/>
        <w:t>del</w:t>
      </w:r>
      <w:r>
        <w:rPr>
          <w:spacing w:val="-11"/>
        </w:rPr>
        <w:t> </w:t>
      </w:r>
      <w:r>
        <w:rPr/>
        <w:t>país</w:t>
      </w:r>
      <w:r>
        <w:rPr>
          <w:spacing w:val="-5"/>
        </w:rPr>
        <w:t> </w:t>
      </w:r>
      <w:r>
        <w:rPr/>
        <w:t>(Evans, 1999;</w:t>
      </w:r>
      <w:r>
        <w:rPr>
          <w:spacing w:val="-14"/>
        </w:rPr>
        <w:t> </w:t>
      </w:r>
      <w:r>
        <w:rPr/>
        <w:t>Boza,</w:t>
      </w:r>
      <w:r>
        <w:rPr>
          <w:spacing w:val="-13"/>
        </w:rPr>
        <w:t> </w:t>
      </w:r>
      <w:r>
        <w:rPr/>
        <w:t>2015;</w:t>
      </w:r>
      <w:r>
        <w:rPr>
          <w:spacing w:val="-14"/>
        </w:rPr>
        <w:t> </w:t>
      </w:r>
      <w:r>
        <w:rPr/>
        <w:t>Hilje,</w:t>
      </w:r>
      <w:r>
        <w:rPr>
          <w:spacing w:val="-13"/>
        </w:rPr>
        <w:t> </w:t>
      </w:r>
      <w:r>
        <w:rPr/>
        <w:t>2016).</w:t>
      </w:r>
      <w:r>
        <w:rPr>
          <w:spacing w:val="-14"/>
        </w:rPr>
        <w:t> </w:t>
      </w:r>
      <w:r>
        <w:rPr/>
        <w:t>Este</w:t>
      </w:r>
      <w:r>
        <w:rPr>
          <w:spacing w:val="-16"/>
        </w:rPr>
        <w:t> </w:t>
      </w:r>
      <w:r>
        <w:rPr/>
        <w:t>sistema</w:t>
      </w:r>
      <w:r>
        <w:rPr>
          <w:spacing w:val="-12"/>
        </w:rPr>
        <w:t> </w:t>
      </w:r>
      <w:r>
        <w:rPr/>
        <w:t>evoluciona</w:t>
      </w:r>
      <w:r>
        <w:rPr>
          <w:spacing w:val="-13"/>
        </w:rPr>
        <w:t> </w:t>
      </w:r>
      <w:r>
        <w:rPr/>
        <w:t>hacia</w:t>
      </w:r>
      <w:r>
        <w:rPr>
          <w:spacing w:val="-16"/>
        </w:rPr>
        <w:t> </w:t>
      </w:r>
      <w:r>
        <w:rPr/>
        <w:t>un</w:t>
      </w:r>
      <w:r>
        <w:rPr>
          <w:spacing w:val="-16"/>
        </w:rPr>
        <w:t> </w:t>
      </w:r>
      <w:r>
        <w:rPr/>
        <w:t>sistema</w:t>
      </w:r>
      <w:r>
        <w:rPr>
          <w:spacing w:val="-13"/>
        </w:rPr>
        <w:t> </w:t>
      </w:r>
      <w:r>
        <w:rPr/>
        <w:t>de</w:t>
      </w:r>
      <w:r>
        <w:rPr>
          <w:spacing w:val="-12"/>
        </w:rPr>
        <w:t> </w:t>
      </w:r>
      <w:r>
        <w:rPr/>
        <w:t>gobernanza ambiental participativa y descentralizada respondiendo a las críticas que apuntan a la ineficacia de una visión “parquista” tradicional. Posteriormente, la implementación de modelos de desarrollo sostenible en el turismo (sea ecoturismo, turismo naturalista</w:t>
      </w:r>
      <w:r>
        <w:rPr>
          <w:position w:val="8"/>
          <w:sz w:val="16"/>
        </w:rPr>
        <w:t>1 </w:t>
      </w:r>
      <w:r>
        <w:rPr/>
        <w:t>o rural comunitario</w:t>
      </w:r>
      <w:r>
        <w:rPr>
          <w:vertAlign w:val="superscript"/>
        </w:rPr>
        <w:t>2</w:t>
      </w:r>
      <w:r>
        <w:rPr>
          <w:vertAlign w:val="baseline"/>
        </w:rPr>
        <w:t>), el establecimiento de programas de pago por servicios ambientales (PSA) y la aplicación de tecnologías amigables con el ambiente en diversos sectores terminan</w:t>
      </w:r>
      <w:r>
        <w:rPr>
          <w:spacing w:val="-16"/>
          <w:vertAlign w:val="baseline"/>
        </w:rPr>
        <w:t> </w:t>
      </w:r>
      <w:r>
        <w:rPr>
          <w:vertAlign w:val="baseline"/>
        </w:rPr>
        <w:t>de</w:t>
      </w:r>
      <w:r>
        <w:rPr>
          <w:spacing w:val="-19"/>
          <w:vertAlign w:val="baseline"/>
        </w:rPr>
        <w:t> </w:t>
      </w:r>
      <w:r>
        <w:rPr>
          <w:vertAlign w:val="baseline"/>
        </w:rPr>
        <w:t>redondear</w:t>
      </w:r>
      <w:r>
        <w:rPr>
          <w:spacing w:val="-17"/>
          <w:vertAlign w:val="baseline"/>
        </w:rPr>
        <w:t> </w:t>
      </w:r>
      <w:r>
        <w:rPr>
          <w:vertAlign w:val="baseline"/>
        </w:rPr>
        <w:t>una</w:t>
      </w:r>
      <w:r>
        <w:rPr>
          <w:spacing w:val="-19"/>
          <w:vertAlign w:val="baseline"/>
        </w:rPr>
        <w:t> </w:t>
      </w:r>
      <w:r>
        <w:rPr>
          <w:vertAlign w:val="baseline"/>
        </w:rPr>
        <w:t>“marca</w:t>
      </w:r>
      <w:r>
        <w:rPr>
          <w:spacing w:val="-19"/>
          <w:vertAlign w:val="baseline"/>
        </w:rPr>
        <w:t> </w:t>
      </w:r>
      <w:r>
        <w:rPr>
          <w:vertAlign w:val="baseline"/>
        </w:rPr>
        <w:t>verde”</w:t>
      </w:r>
      <w:r>
        <w:rPr>
          <w:spacing w:val="-17"/>
          <w:vertAlign w:val="baseline"/>
        </w:rPr>
        <w:t> </w:t>
      </w:r>
      <w:r>
        <w:rPr>
          <w:vertAlign w:val="baseline"/>
        </w:rPr>
        <w:t>que</w:t>
      </w:r>
      <w:r>
        <w:rPr>
          <w:spacing w:val="-19"/>
          <w:vertAlign w:val="baseline"/>
        </w:rPr>
        <w:t> </w:t>
      </w:r>
      <w:r>
        <w:rPr>
          <w:vertAlign w:val="baseline"/>
        </w:rPr>
        <w:t>se</w:t>
      </w:r>
      <w:r>
        <w:rPr>
          <w:spacing w:val="-19"/>
          <w:vertAlign w:val="baseline"/>
        </w:rPr>
        <w:t> </w:t>
      </w:r>
      <w:r>
        <w:rPr>
          <w:vertAlign w:val="baseline"/>
        </w:rPr>
        <w:t>ofrece</w:t>
      </w:r>
      <w:r>
        <w:rPr>
          <w:spacing w:val="-19"/>
          <w:vertAlign w:val="baseline"/>
        </w:rPr>
        <w:t> </w:t>
      </w:r>
      <w:r>
        <w:rPr>
          <w:vertAlign w:val="baseline"/>
        </w:rPr>
        <w:t>como</w:t>
      </w:r>
      <w:r>
        <w:rPr>
          <w:spacing w:val="-19"/>
          <w:vertAlign w:val="baseline"/>
        </w:rPr>
        <w:t> </w:t>
      </w:r>
      <w:r>
        <w:rPr>
          <w:vertAlign w:val="baseline"/>
        </w:rPr>
        <w:t>ejemplo</w:t>
      </w:r>
      <w:r>
        <w:rPr>
          <w:spacing w:val="-19"/>
          <w:vertAlign w:val="baseline"/>
        </w:rPr>
        <w:t> </w:t>
      </w:r>
      <w:r>
        <w:rPr>
          <w:vertAlign w:val="baseline"/>
        </w:rPr>
        <w:t>ante</w:t>
      </w:r>
      <w:r>
        <w:rPr>
          <w:spacing w:val="-19"/>
          <w:vertAlign w:val="baseline"/>
        </w:rPr>
        <w:t> </w:t>
      </w:r>
      <w:r>
        <w:rPr>
          <w:vertAlign w:val="baseline"/>
        </w:rPr>
        <w:t>la</w:t>
      </w:r>
      <w:r>
        <w:rPr>
          <w:spacing w:val="-19"/>
          <w:vertAlign w:val="baseline"/>
        </w:rPr>
        <w:t> </w:t>
      </w:r>
      <w:r>
        <w:rPr>
          <w:vertAlign w:val="baseline"/>
        </w:rPr>
        <w:t>comunidad internacional,</w:t>
      </w:r>
      <w:r>
        <w:rPr>
          <w:spacing w:val="-14"/>
          <w:vertAlign w:val="baseline"/>
        </w:rPr>
        <w:t> </w:t>
      </w:r>
      <w:r>
        <w:rPr>
          <w:vertAlign w:val="baseline"/>
        </w:rPr>
        <w:t>resultando</w:t>
      </w:r>
      <w:r>
        <w:rPr>
          <w:spacing w:val="-12"/>
          <w:vertAlign w:val="baseline"/>
        </w:rPr>
        <w:t> </w:t>
      </w:r>
      <w:r>
        <w:rPr>
          <w:vertAlign w:val="baseline"/>
        </w:rPr>
        <w:t>hoy</w:t>
      </w:r>
      <w:r>
        <w:rPr>
          <w:spacing w:val="-18"/>
          <w:vertAlign w:val="baseline"/>
        </w:rPr>
        <w:t> </w:t>
      </w:r>
      <w:r>
        <w:rPr>
          <w:vertAlign w:val="baseline"/>
        </w:rPr>
        <w:t>día</w:t>
      </w:r>
      <w:r>
        <w:rPr>
          <w:spacing w:val="-12"/>
          <w:vertAlign w:val="baseline"/>
        </w:rPr>
        <w:t> </w:t>
      </w:r>
      <w:r>
        <w:rPr>
          <w:vertAlign w:val="baseline"/>
        </w:rPr>
        <w:t>en</w:t>
      </w:r>
      <w:r>
        <w:rPr>
          <w:spacing w:val="-12"/>
          <w:vertAlign w:val="baseline"/>
        </w:rPr>
        <w:t> </w:t>
      </w:r>
      <w:r>
        <w:rPr>
          <w:vertAlign w:val="baseline"/>
        </w:rPr>
        <w:t>hitos</w:t>
      </w:r>
      <w:r>
        <w:rPr>
          <w:spacing w:val="-14"/>
          <w:vertAlign w:val="baseline"/>
        </w:rPr>
        <w:t> </w:t>
      </w:r>
      <w:r>
        <w:rPr>
          <w:vertAlign w:val="baseline"/>
        </w:rPr>
        <w:t>como</w:t>
      </w:r>
      <w:r>
        <w:rPr>
          <w:spacing w:val="-13"/>
          <w:vertAlign w:val="baseline"/>
        </w:rPr>
        <w:t> </w:t>
      </w:r>
      <w:r>
        <w:rPr>
          <w:vertAlign w:val="baseline"/>
        </w:rPr>
        <w:t>la</w:t>
      </w:r>
      <w:r>
        <w:rPr>
          <w:spacing w:val="-16"/>
          <w:vertAlign w:val="baseline"/>
        </w:rPr>
        <w:t> </w:t>
      </w:r>
      <w:r>
        <w:rPr>
          <w:vertAlign w:val="baseline"/>
        </w:rPr>
        <w:t>reversión</w:t>
      </w:r>
      <w:r>
        <w:rPr>
          <w:spacing w:val="-16"/>
          <w:vertAlign w:val="baseline"/>
        </w:rPr>
        <w:t> </w:t>
      </w:r>
      <w:r>
        <w:rPr>
          <w:vertAlign w:val="baseline"/>
        </w:rPr>
        <w:t>del</w:t>
      </w:r>
      <w:r>
        <w:rPr>
          <w:spacing w:val="-15"/>
          <w:vertAlign w:val="baseline"/>
        </w:rPr>
        <w:t> </w:t>
      </w:r>
      <w:r>
        <w:rPr>
          <w:vertAlign w:val="baseline"/>
        </w:rPr>
        <w:t>proceso</w:t>
      </w:r>
      <w:r>
        <w:rPr>
          <w:spacing w:val="-12"/>
          <w:vertAlign w:val="baseline"/>
        </w:rPr>
        <w:t> </w:t>
      </w:r>
      <w:r>
        <w:rPr>
          <w:vertAlign w:val="baseline"/>
        </w:rPr>
        <w:t>de</w:t>
      </w:r>
      <w:r>
        <w:rPr>
          <w:spacing w:val="-12"/>
          <w:vertAlign w:val="baseline"/>
        </w:rPr>
        <w:t> </w:t>
      </w:r>
      <w:r>
        <w:rPr>
          <w:vertAlign w:val="baseline"/>
        </w:rPr>
        <w:t>deforestación que</w:t>
      </w:r>
      <w:r>
        <w:rPr>
          <w:spacing w:val="-5"/>
          <w:vertAlign w:val="baseline"/>
        </w:rPr>
        <w:t> </w:t>
      </w:r>
      <w:r>
        <w:rPr>
          <w:vertAlign w:val="baseline"/>
        </w:rPr>
        <w:t>caracterizó</w:t>
      </w:r>
      <w:r>
        <w:rPr>
          <w:spacing w:val="-5"/>
          <w:vertAlign w:val="baseline"/>
        </w:rPr>
        <w:t> </w:t>
      </w:r>
      <w:r>
        <w:rPr>
          <w:vertAlign w:val="baseline"/>
        </w:rPr>
        <w:t>al</w:t>
      </w:r>
      <w:r>
        <w:rPr>
          <w:spacing w:val="-4"/>
          <w:vertAlign w:val="baseline"/>
        </w:rPr>
        <w:t> </w:t>
      </w:r>
      <w:r>
        <w:rPr>
          <w:vertAlign w:val="baseline"/>
        </w:rPr>
        <w:t>país</w:t>
      </w:r>
      <w:r>
        <w:rPr>
          <w:spacing w:val="-3"/>
          <w:vertAlign w:val="baseline"/>
        </w:rPr>
        <w:t> </w:t>
      </w:r>
      <w:r>
        <w:rPr>
          <w:vertAlign w:val="baseline"/>
        </w:rPr>
        <w:t>hasta</w:t>
      </w:r>
      <w:r>
        <w:rPr>
          <w:spacing w:val="-4"/>
          <w:vertAlign w:val="baseline"/>
        </w:rPr>
        <w:t> </w:t>
      </w:r>
      <w:r>
        <w:rPr>
          <w:vertAlign w:val="baseline"/>
        </w:rPr>
        <w:t>mediados</w:t>
      </w:r>
      <w:r>
        <w:rPr>
          <w:spacing w:val="-3"/>
          <w:vertAlign w:val="baseline"/>
        </w:rPr>
        <w:t> </w:t>
      </w:r>
      <w:r>
        <w:rPr>
          <w:vertAlign w:val="baseline"/>
        </w:rPr>
        <w:t>de</w:t>
      </w:r>
      <w:r>
        <w:rPr>
          <w:spacing w:val="-5"/>
          <w:vertAlign w:val="baseline"/>
        </w:rPr>
        <w:t> </w:t>
      </w:r>
      <w:r>
        <w:rPr>
          <w:vertAlign w:val="baseline"/>
        </w:rPr>
        <w:t>la</w:t>
      </w:r>
      <w:r>
        <w:rPr>
          <w:spacing w:val="-4"/>
          <w:vertAlign w:val="baseline"/>
        </w:rPr>
        <w:t> </w:t>
      </w:r>
      <w:r>
        <w:rPr>
          <w:vertAlign w:val="baseline"/>
        </w:rPr>
        <w:t>década</w:t>
      </w:r>
      <w:r>
        <w:rPr>
          <w:spacing w:val="-5"/>
          <w:vertAlign w:val="baseline"/>
        </w:rPr>
        <w:t> </w:t>
      </w:r>
      <w:r>
        <w:rPr>
          <w:vertAlign w:val="baseline"/>
        </w:rPr>
        <w:t>de</w:t>
      </w:r>
      <w:r>
        <w:rPr>
          <w:spacing w:val="-4"/>
          <w:vertAlign w:val="baseline"/>
        </w:rPr>
        <w:t> </w:t>
      </w:r>
      <w:r>
        <w:rPr>
          <w:vertAlign w:val="baseline"/>
        </w:rPr>
        <w:t>los</w:t>
      </w:r>
      <w:r>
        <w:rPr>
          <w:spacing w:val="-3"/>
          <w:vertAlign w:val="baseline"/>
        </w:rPr>
        <w:t> </w:t>
      </w:r>
      <w:r>
        <w:rPr>
          <w:vertAlign w:val="baseline"/>
        </w:rPr>
        <w:t>80</w:t>
      </w:r>
      <w:r>
        <w:rPr>
          <w:spacing w:val="-5"/>
          <w:vertAlign w:val="baseline"/>
        </w:rPr>
        <w:t> </w:t>
      </w:r>
      <w:r>
        <w:rPr>
          <w:vertAlign w:val="baseline"/>
        </w:rPr>
        <w:t>en</w:t>
      </w:r>
      <w:r>
        <w:rPr>
          <w:spacing w:val="-4"/>
          <w:vertAlign w:val="baseline"/>
        </w:rPr>
        <w:t> </w:t>
      </w:r>
      <w:r>
        <w:rPr>
          <w:vertAlign w:val="baseline"/>
        </w:rPr>
        <w:t>el</w:t>
      </w:r>
      <w:r>
        <w:rPr>
          <w:spacing w:val="-5"/>
          <w:vertAlign w:val="baseline"/>
        </w:rPr>
        <w:t> </w:t>
      </w:r>
      <w:r>
        <w:rPr>
          <w:vertAlign w:val="baseline"/>
        </w:rPr>
        <w:t>Siglo</w:t>
      </w:r>
      <w:r>
        <w:rPr>
          <w:spacing w:val="-4"/>
          <w:vertAlign w:val="baseline"/>
        </w:rPr>
        <w:t> </w:t>
      </w:r>
      <w:r>
        <w:rPr>
          <w:vertAlign w:val="baseline"/>
        </w:rPr>
        <w:t>XX</w:t>
      </w:r>
      <w:r>
        <w:rPr>
          <w:spacing w:val="1"/>
          <w:vertAlign w:val="baseline"/>
        </w:rPr>
        <w:t> </w:t>
      </w:r>
      <w:r>
        <w:rPr>
          <w:vertAlign w:val="baseline"/>
        </w:rPr>
        <w:t>(Cuello,</w:t>
      </w:r>
      <w:r>
        <w:rPr>
          <w:spacing w:val="-3"/>
          <w:vertAlign w:val="baseline"/>
        </w:rPr>
        <w:t> </w:t>
      </w:r>
      <w:r>
        <w:rPr>
          <w:vertAlign w:val="baseline"/>
        </w:rPr>
        <w:t>et al., 1998; Evans, 1999; Brandon, 2004; Aguilar-González, et al., 2018). Desde la perspectiva de las corrientes del ambientalismo puede decirse que esta percepción</w:t>
      </w:r>
      <w:r>
        <w:rPr>
          <w:spacing w:val="6"/>
          <w:vertAlign w:val="baseline"/>
        </w:rPr>
        <w:t> </w:t>
      </w:r>
      <w:r>
        <w:rPr>
          <w:vertAlign w:val="baseline"/>
        </w:rPr>
        <w:t>del</w:t>
      </w:r>
    </w:p>
    <w:p>
      <w:pPr>
        <w:pStyle w:val="BodyText"/>
        <w:rPr>
          <w:sz w:val="20"/>
        </w:rPr>
      </w:pPr>
    </w:p>
    <w:p>
      <w:pPr>
        <w:pStyle w:val="BodyText"/>
        <w:rPr>
          <w:sz w:val="20"/>
        </w:rPr>
      </w:pPr>
    </w:p>
    <w:p>
      <w:pPr>
        <w:pStyle w:val="BodyText"/>
        <w:rPr>
          <w:sz w:val="20"/>
        </w:rPr>
      </w:pPr>
    </w:p>
    <w:p>
      <w:pPr>
        <w:pStyle w:val="BodyText"/>
        <w:spacing w:before="2"/>
        <w:rPr>
          <w:sz w:val="28"/>
        </w:rPr>
      </w:pPr>
      <w:r>
        <w:rPr/>
        <w:pict>
          <v:rect style="position:absolute;margin-left:72.025002pt;margin-top:18.169413pt;width:144.050pt;height:.60004pt;mso-position-horizontal-relative:page;mso-position-vertical-relative:paragraph;z-index:-15724544;mso-wrap-distance-left:0;mso-wrap-distance-right:0" filled="true" fillcolor="#000000" stroked="false">
            <v:fill type="solid"/>
            <w10:wrap type="topAndBottom"/>
          </v:rect>
        </w:pict>
      </w:r>
    </w:p>
    <w:p>
      <w:pPr>
        <w:spacing w:line="240" w:lineRule="auto" w:before="71"/>
        <w:ind w:left="1200" w:right="1191" w:firstLine="0"/>
        <w:jc w:val="both"/>
        <w:rPr>
          <w:sz w:val="20"/>
        </w:rPr>
      </w:pPr>
      <w:r>
        <w:rPr>
          <w:sz w:val="20"/>
          <w:vertAlign w:val="superscript"/>
        </w:rPr>
        <w:t>1</w:t>
      </w:r>
      <w:r>
        <w:rPr>
          <w:sz w:val="20"/>
          <w:vertAlign w:val="baseline"/>
        </w:rPr>
        <w:t> El turismo naturalista se define como la actividad de viajar a lugares prístinos, usualmente incluyendo algún tipo de actividad física, ubicándose su origen a principios del siglo XX en actividades como las expediciones organizadas por el Sierra Club a lugares </w:t>
      </w:r>
      <w:r>
        <w:rPr>
          <w:spacing w:val="-3"/>
          <w:sz w:val="20"/>
          <w:vertAlign w:val="baseline"/>
        </w:rPr>
        <w:t>como </w:t>
      </w:r>
      <w:r>
        <w:rPr>
          <w:sz w:val="20"/>
          <w:vertAlign w:val="baseline"/>
        </w:rPr>
        <w:t>los parques nacionales de los EEUU. El ecoturismo nace de un proceso de contraste entre las condiciones que llegaron a caracterizar al turismo naturalista en esas áreas como una forma de viaje recreativo con componentes de responsabilidad social y ambiental. Supone un proceso que involucra viajes a destinos natura que minimiza el impacto a los ecosistemas,</w:t>
      </w:r>
      <w:r>
        <w:rPr>
          <w:spacing w:val="-15"/>
          <w:sz w:val="20"/>
          <w:vertAlign w:val="baseline"/>
        </w:rPr>
        <w:t> </w:t>
      </w:r>
      <w:r>
        <w:rPr>
          <w:sz w:val="20"/>
          <w:vertAlign w:val="baseline"/>
        </w:rPr>
        <w:t>crea</w:t>
      </w:r>
      <w:r>
        <w:rPr>
          <w:spacing w:val="-14"/>
          <w:sz w:val="20"/>
          <w:vertAlign w:val="baseline"/>
        </w:rPr>
        <w:t> </w:t>
      </w:r>
      <w:r>
        <w:rPr>
          <w:sz w:val="20"/>
          <w:vertAlign w:val="baseline"/>
        </w:rPr>
        <w:t>conciencia</w:t>
      </w:r>
      <w:r>
        <w:rPr>
          <w:spacing w:val="-14"/>
          <w:sz w:val="20"/>
          <w:vertAlign w:val="baseline"/>
        </w:rPr>
        <w:t> </w:t>
      </w:r>
      <w:r>
        <w:rPr>
          <w:sz w:val="20"/>
          <w:vertAlign w:val="baseline"/>
        </w:rPr>
        <w:t>ambiental,</w:t>
      </w:r>
      <w:r>
        <w:rPr>
          <w:spacing w:val="-18"/>
          <w:sz w:val="20"/>
          <w:vertAlign w:val="baseline"/>
        </w:rPr>
        <w:t> </w:t>
      </w:r>
      <w:r>
        <w:rPr>
          <w:sz w:val="20"/>
          <w:vertAlign w:val="baseline"/>
        </w:rPr>
        <w:t>provee</w:t>
      </w:r>
      <w:r>
        <w:rPr>
          <w:spacing w:val="-14"/>
          <w:sz w:val="20"/>
          <w:vertAlign w:val="baseline"/>
        </w:rPr>
        <w:t> </w:t>
      </w:r>
      <w:r>
        <w:rPr>
          <w:sz w:val="20"/>
          <w:vertAlign w:val="baseline"/>
        </w:rPr>
        <w:t>beneficios</w:t>
      </w:r>
      <w:r>
        <w:rPr>
          <w:spacing w:val="-19"/>
          <w:sz w:val="20"/>
          <w:vertAlign w:val="baseline"/>
        </w:rPr>
        <w:t> </w:t>
      </w:r>
      <w:r>
        <w:rPr>
          <w:sz w:val="20"/>
          <w:vertAlign w:val="baseline"/>
        </w:rPr>
        <w:t>financieros</w:t>
      </w:r>
      <w:r>
        <w:rPr>
          <w:spacing w:val="-14"/>
          <w:sz w:val="20"/>
          <w:vertAlign w:val="baseline"/>
        </w:rPr>
        <w:t> </w:t>
      </w:r>
      <w:r>
        <w:rPr>
          <w:sz w:val="20"/>
          <w:vertAlign w:val="baseline"/>
        </w:rPr>
        <w:t>directos</w:t>
      </w:r>
      <w:r>
        <w:rPr>
          <w:spacing w:val="-15"/>
          <w:sz w:val="20"/>
          <w:vertAlign w:val="baseline"/>
        </w:rPr>
        <w:t> </w:t>
      </w:r>
      <w:r>
        <w:rPr>
          <w:sz w:val="20"/>
          <w:vertAlign w:val="baseline"/>
        </w:rPr>
        <w:t>para</w:t>
      </w:r>
      <w:r>
        <w:rPr>
          <w:spacing w:val="-18"/>
          <w:sz w:val="20"/>
          <w:vertAlign w:val="baseline"/>
        </w:rPr>
        <w:t> </w:t>
      </w:r>
      <w:r>
        <w:rPr>
          <w:sz w:val="20"/>
          <w:vertAlign w:val="baseline"/>
        </w:rPr>
        <w:t>la</w:t>
      </w:r>
      <w:r>
        <w:rPr>
          <w:spacing w:val="-13"/>
          <w:sz w:val="20"/>
          <w:vertAlign w:val="baseline"/>
        </w:rPr>
        <w:t> </w:t>
      </w:r>
      <w:r>
        <w:rPr>
          <w:sz w:val="20"/>
          <w:vertAlign w:val="baseline"/>
        </w:rPr>
        <w:t>conservación</w:t>
      </w:r>
      <w:r>
        <w:rPr>
          <w:spacing w:val="-14"/>
          <w:sz w:val="20"/>
          <w:vertAlign w:val="baseline"/>
        </w:rPr>
        <w:t> </w:t>
      </w:r>
      <w:r>
        <w:rPr>
          <w:sz w:val="20"/>
          <w:vertAlign w:val="baseline"/>
        </w:rPr>
        <w:t>y</w:t>
      </w:r>
      <w:r>
        <w:rPr>
          <w:spacing w:val="-15"/>
          <w:sz w:val="20"/>
          <w:vertAlign w:val="baseline"/>
        </w:rPr>
        <w:t> </w:t>
      </w:r>
      <w:r>
        <w:rPr>
          <w:sz w:val="20"/>
          <w:vertAlign w:val="baseline"/>
        </w:rPr>
        <w:t>para las comunidades locales. Asimismo promueve el empoderamiento de </w:t>
      </w:r>
      <w:r>
        <w:rPr>
          <w:spacing w:val="4"/>
          <w:sz w:val="20"/>
          <w:vertAlign w:val="baseline"/>
        </w:rPr>
        <w:t>las </w:t>
      </w:r>
      <w:r>
        <w:rPr>
          <w:sz w:val="20"/>
          <w:vertAlign w:val="baseline"/>
        </w:rPr>
        <w:t>comunidades, respeta la cultura local y promueve los derechos humanos y los movimientos democráticos (Honey,</w:t>
      </w:r>
      <w:r>
        <w:rPr>
          <w:spacing w:val="-10"/>
          <w:sz w:val="20"/>
          <w:vertAlign w:val="baseline"/>
        </w:rPr>
        <w:t> </w:t>
      </w:r>
      <w:r>
        <w:rPr>
          <w:sz w:val="20"/>
          <w:vertAlign w:val="baseline"/>
        </w:rPr>
        <w:t>1999).</w:t>
      </w:r>
    </w:p>
    <w:p>
      <w:pPr>
        <w:spacing w:line="240" w:lineRule="auto" w:before="0"/>
        <w:ind w:left="1200" w:right="1194" w:firstLine="0"/>
        <w:jc w:val="both"/>
        <w:rPr>
          <w:sz w:val="20"/>
        </w:rPr>
      </w:pPr>
      <w:r>
        <w:rPr>
          <w:sz w:val="20"/>
          <w:vertAlign w:val="superscript"/>
        </w:rPr>
        <w:t>2</w:t>
      </w:r>
      <w:r>
        <w:rPr>
          <w:sz w:val="20"/>
          <w:vertAlign w:val="baseline"/>
        </w:rPr>
        <w:t> Los investigadores en la materia han asegurado que el desarrollo de turismo en los espacios rurales de Costa</w:t>
      </w:r>
      <w:r>
        <w:rPr>
          <w:spacing w:val="-6"/>
          <w:sz w:val="20"/>
          <w:vertAlign w:val="baseline"/>
        </w:rPr>
        <w:t> </w:t>
      </w:r>
      <w:r>
        <w:rPr>
          <w:sz w:val="20"/>
          <w:vertAlign w:val="baseline"/>
        </w:rPr>
        <w:t>Rica</w:t>
      </w:r>
      <w:r>
        <w:rPr>
          <w:spacing w:val="-6"/>
          <w:sz w:val="20"/>
          <w:vertAlign w:val="baseline"/>
        </w:rPr>
        <w:t> </w:t>
      </w:r>
      <w:r>
        <w:rPr>
          <w:sz w:val="20"/>
          <w:vertAlign w:val="baseline"/>
        </w:rPr>
        <w:t>ha</w:t>
      </w:r>
      <w:r>
        <w:rPr>
          <w:spacing w:val="-10"/>
          <w:sz w:val="20"/>
          <w:vertAlign w:val="baseline"/>
        </w:rPr>
        <w:t> </w:t>
      </w:r>
      <w:r>
        <w:rPr>
          <w:sz w:val="20"/>
          <w:vertAlign w:val="baseline"/>
        </w:rPr>
        <w:t>sido</w:t>
      </w:r>
      <w:r>
        <w:rPr>
          <w:spacing w:val="-9"/>
          <w:sz w:val="20"/>
          <w:vertAlign w:val="baseline"/>
        </w:rPr>
        <w:t> </w:t>
      </w:r>
      <w:r>
        <w:rPr>
          <w:sz w:val="20"/>
          <w:vertAlign w:val="baseline"/>
        </w:rPr>
        <w:t>implementado</w:t>
      </w:r>
      <w:r>
        <w:rPr>
          <w:spacing w:val="-6"/>
          <w:sz w:val="20"/>
          <w:vertAlign w:val="baseline"/>
        </w:rPr>
        <w:t> </w:t>
      </w:r>
      <w:r>
        <w:rPr>
          <w:sz w:val="20"/>
          <w:vertAlign w:val="baseline"/>
        </w:rPr>
        <w:t>principalmente</w:t>
      </w:r>
      <w:r>
        <w:rPr>
          <w:spacing w:val="-6"/>
          <w:sz w:val="20"/>
          <w:vertAlign w:val="baseline"/>
        </w:rPr>
        <w:t> </w:t>
      </w:r>
      <w:r>
        <w:rPr>
          <w:sz w:val="20"/>
          <w:vertAlign w:val="baseline"/>
        </w:rPr>
        <w:t>con</w:t>
      </w:r>
      <w:r>
        <w:rPr>
          <w:spacing w:val="-10"/>
          <w:sz w:val="20"/>
          <w:vertAlign w:val="baseline"/>
        </w:rPr>
        <w:t> </w:t>
      </w:r>
      <w:r>
        <w:rPr>
          <w:sz w:val="20"/>
          <w:vertAlign w:val="baseline"/>
        </w:rPr>
        <w:t>la</w:t>
      </w:r>
      <w:r>
        <w:rPr>
          <w:spacing w:val="-6"/>
          <w:sz w:val="20"/>
          <w:vertAlign w:val="baseline"/>
        </w:rPr>
        <w:t> </w:t>
      </w:r>
      <w:r>
        <w:rPr>
          <w:sz w:val="20"/>
          <w:vertAlign w:val="baseline"/>
        </w:rPr>
        <w:t>participación</w:t>
      </w:r>
      <w:r>
        <w:rPr>
          <w:spacing w:val="-10"/>
          <w:sz w:val="20"/>
          <w:vertAlign w:val="baseline"/>
        </w:rPr>
        <w:t> </w:t>
      </w:r>
      <w:r>
        <w:rPr>
          <w:sz w:val="20"/>
          <w:vertAlign w:val="baseline"/>
        </w:rPr>
        <w:t>de</w:t>
      </w:r>
      <w:r>
        <w:rPr>
          <w:spacing w:val="-6"/>
          <w:sz w:val="20"/>
          <w:vertAlign w:val="baseline"/>
        </w:rPr>
        <w:t> </w:t>
      </w:r>
      <w:r>
        <w:rPr>
          <w:sz w:val="20"/>
          <w:vertAlign w:val="baseline"/>
        </w:rPr>
        <w:t>organizaciones</w:t>
      </w:r>
      <w:r>
        <w:rPr>
          <w:spacing w:val="-6"/>
          <w:sz w:val="20"/>
          <w:vertAlign w:val="baseline"/>
        </w:rPr>
        <w:t> </w:t>
      </w:r>
      <w:r>
        <w:rPr>
          <w:sz w:val="20"/>
          <w:vertAlign w:val="baseline"/>
        </w:rPr>
        <w:t>comunitarias,</w:t>
      </w:r>
      <w:r>
        <w:rPr>
          <w:spacing w:val="-11"/>
          <w:sz w:val="20"/>
          <w:vertAlign w:val="baseline"/>
        </w:rPr>
        <w:t> </w:t>
      </w:r>
      <w:r>
        <w:rPr>
          <w:sz w:val="20"/>
          <w:vertAlign w:val="baseline"/>
        </w:rPr>
        <w:t>con lo cual ha surgido en el país este término. El mismo ha sido definido por el Instituto Costarricense de Turismo</w:t>
      </w:r>
      <w:r>
        <w:rPr>
          <w:spacing w:val="-14"/>
          <w:sz w:val="20"/>
          <w:vertAlign w:val="baseline"/>
        </w:rPr>
        <w:t> </w:t>
      </w:r>
      <w:r>
        <w:rPr>
          <w:sz w:val="20"/>
          <w:vertAlign w:val="baseline"/>
        </w:rPr>
        <w:t>y</w:t>
      </w:r>
      <w:r>
        <w:rPr>
          <w:spacing w:val="-15"/>
          <w:sz w:val="20"/>
          <w:vertAlign w:val="baseline"/>
        </w:rPr>
        <w:t> </w:t>
      </w:r>
      <w:r>
        <w:rPr>
          <w:sz w:val="20"/>
          <w:vertAlign w:val="baseline"/>
        </w:rPr>
        <w:t>la</w:t>
      </w:r>
      <w:r>
        <w:rPr>
          <w:spacing w:val="-18"/>
          <w:sz w:val="20"/>
          <w:vertAlign w:val="baseline"/>
        </w:rPr>
        <w:t> </w:t>
      </w:r>
      <w:r>
        <w:rPr>
          <w:sz w:val="20"/>
          <w:vertAlign w:val="baseline"/>
        </w:rPr>
        <w:t>Alianza</w:t>
      </w:r>
      <w:r>
        <w:rPr>
          <w:spacing w:val="-18"/>
          <w:sz w:val="20"/>
          <w:vertAlign w:val="baseline"/>
        </w:rPr>
        <w:t> </w:t>
      </w:r>
      <w:r>
        <w:rPr>
          <w:sz w:val="20"/>
          <w:vertAlign w:val="baseline"/>
        </w:rPr>
        <w:t>para</w:t>
      </w:r>
      <w:r>
        <w:rPr>
          <w:spacing w:val="-17"/>
          <w:sz w:val="20"/>
          <w:vertAlign w:val="baseline"/>
        </w:rPr>
        <w:t> </w:t>
      </w:r>
      <w:r>
        <w:rPr>
          <w:sz w:val="20"/>
          <w:vertAlign w:val="baseline"/>
        </w:rPr>
        <w:t>el</w:t>
      </w:r>
      <w:r>
        <w:rPr>
          <w:spacing w:val="-16"/>
          <w:sz w:val="20"/>
          <w:vertAlign w:val="baseline"/>
        </w:rPr>
        <w:t> </w:t>
      </w:r>
      <w:r>
        <w:rPr>
          <w:sz w:val="20"/>
          <w:vertAlign w:val="baseline"/>
        </w:rPr>
        <w:t>Fortalecimiento</w:t>
      </w:r>
      <w:r>
        <w:rPr>
          <w:spacing w:val="-14"/>
          <w:sz w:val="20"/>
          <w:vertAlign w:val="baseline"/>
        </w:rPr>
        <w:t> </w:t>
      </w:r>
      <w:r>
        <w:rPr>
          <w:sz w:val="20"/>
          <w:vertAlign w:val="baseline"/>
        </w:rPr>
        <w:t>del</w:t>
      </w:r>
      <w:r>
        <w:rPr>
          <w:spacing w:val="-16"/>
          <w:sz w:val="20"/>
          <w:vertAlign w:val="baseline"/>
        </w:rPr>
        <w:t> </w:t>
      </w:r>
      <w:r>
        <w:rPr>
          <w:sz w:val="20"/>
          <w:vertAlign w:val="baseline"/>
        </w:rPr>
        <w:t>Turismo</w:t>
      </w:r>
      <w:r>
        <w:rPr>
          <w:spacing w:val="-14"/>
          <w:sz w:val="20"/>
          <w:vertAlign w:val="baseline"/>
        </w:rPr>
        <w:t> </w:t>
      </w:r>
      <w:r>
        <w:rPr>
          <w:sz w:val="20"/>
          <w:vertAlign w:val="baseline"/>
        </w:rPr>
        <w:t>Rural</w:t>
      </w:r>
      <w:r>
        <w:rPr>
          <w:spacing w:val="-11"/>
          <w:sz w:val="20"/>
          <w:vertAlign w:val="baseline"/>
        </w:rPr>
        <w:t> </w:t>
      </w:r>
      <w:r>
        <w:rPr>
          <w:sz w:val="20"/>
          <w:vertAlign w:val="baseline"/>
        </w:rPr>
        <w:t>Comunitario</w:t>
      </w:r>
      <w:r>
        <w:rPr>
          <w:spacing w:val="-15"/>
          <w:sz w:val="20"/>
          <w:vertAlign w:val="baseline"/>
        </w:rPr>
        <w:t> </w:t>
      </w:r>
      <w:r>
        <w:rPr>
          <w:sz w:val="20"/>
          <w:vertAlign w:val="baseline"/>
        </w:rPr>
        <w:t>como</w:t>
      </w:r>
      <w:r>
        <w:rPr>
          <w:spacing w:val="-14"/>
          <w:sz w:val="20"/>
          <w:vertAlign w:val="baseline"/>
        </w:rPr>
        <w:t> </w:t>
      </w:r>
      <w:r>
        <w:rPr>
          <w:sz w:val="20"/>
          <w:vertAlign w:val="baseline"/>
        </w:rPr>
        <w:t>las</w:t>
      </w:r>
      <w:r>
        <w:rPr>
          <w:spacing w:val="-19"/>
          <w:sz w:val="20"/>
          <w:vertAlign w:val="baseline"/>
        </w:rPr>
        <w:t> </w:t>
      </w:r>
      <w:r>
        <w:rPr>
          <w:sz w:val="20"/>
          <w:vertAlign w:val="baseline"/>
        </w:rPr>
        <w:t>experiencias</w:t>
      </w:r>
      <w:r>
        <w:rPr>
          <w:spacing w:val="-18"/>
          <w:sz w:val="20"/>
          <w:vertAlign w:val="baseline"/>
        </w:rPr>
        <w:t> </w:t>
      </w:r>
      <w:r>
        <w:rPr>
          <w:sz w:val="20"/>
          <w:vertAlign w:val="baseline"/>
        </w:rPr>
        <w:t>turísticas planificadas e integradas sosteniblemente al medio rural y desarrolladas por los pobladores locales organizados para beneficio de la comunidad (González,</w:t>
      </w:r>
      <w:r>
        <w:rPr>
          <w:spacing w:val="2"/>
          <w:sz w:val="20"/>
          <w:vertAlign w:val="baseline"/>
        </w:rPr>
        <w:t> </w:t>
      </w:r>
      <w:r>
        <w:rPr>
          <w:sz w:val="20"/>
          <w:vertAlign w:val="baseline"/>
        </w:rPr>
        <w:t>2010).</w:t>
      </w:r>
    </w:p>
    <w:p>
      <w:pPr>
        <w:spacing w:after="0" w:line="240" w:lineRule="auto"/>
        <w:jc w:val="both"/>
        <w:rPr>
          <w:sz w:val="20"/>
        </w:rPr>
        <w:sectPr>
          <w:pgSz w:w="12240" w:h="15840"/>
          <w:pgMar w:header="0" w:footer="1062" w:top="1360" w:bottom="1260" w:left="240" w:right="240"/>
        </w:sectPr>
      </w:pPr>
    </w:p>
    <w:p>
      <w:pPr>
        <w:pStyle w:val="BodyText"/>
        <w:spacing w:line="355" w:lineRule="auto" w:before="79"/>
        <w:ind w:left="1200" w:right="1196"/>
        <w:jc w:val="both"/>
      </w:pPr>
      <w:r>
        <w:rPr/>
        <w:t>país se ubica dentro de las tendencias que Martínez-Alier ha llamado “Culto a la Naturaleza” y de la tecno eficiencia</w:t>
      </w:r>
      <w:r>
        <w:rPr>
          <w:position w:val="8"/>
          <w:sz w:val="16"/>
        </w:rPr>
        <w:t>3 </w:t>
      </w:r>
      <w:r>
        <w:rPr/>
        <w:t>(Guha. &amp; Martínez-Alier, 2000).</w:t>
      </w:r>
    </w:p>
    <w:p>
      <w:pPr>
        <w:pStyle w:val="BodyText"/>
        <w:spacing w:line="360" w:lineRule="auto" w:before="206"/>
        <w:ind w:left="1200" w:right="1197"/>
        <w:jc w:val="both"/>
      </w:pPr>
      <w:r>
        <w:rPr/>
        <w:t>Sin</w:t>
      </w:r>
      <w:r>
        <w:rPr>
          <w:spacing w:val="-15"/>
        </w:rPr>
        <w:t> </w:t>
      </w:r>
      <w:r>
        <w:rPr/>
        <w:t>embargo,</w:t>
      </w:r>
      <w:r>
        <w:rPr>
          <w:spacing w:val="-12"/>
        </w:rPr>
        <w:t> </w:t>
      </w:r>
      <w:r>
        <w:rPr/>
        <w:t>el</w:t>
      </w:r>
      <w:r>
        <w:rPr>
          <w:spacing w:val="-10"/>
        </w:rPr>
        <w:t> </w:t>
      </w:r>
      <w:r>
        <w:rPr/>
        <w:t>modelo</w:t>
      </w:r>
      <w:r>
        <w:rPr>
          <w:spacing w:val="-14"/>
        </w:rPr>
        <w:t> </w:t>
      </w:r>
      <w:r>
        <w:rPr/>
        <w:t>de</w:t>
      </w:r>
      <w:r>
        <w:rPr>
          <w:spacing w:val="-15"/>
        </w:rPr>
        <w:t> </w:t>
      </w:r>
      <w:r>
        <w:rPr/>
        <w:t>relación</w:t>
      </w:r>
      <w:r>
        <w:rPr>
          <w:spacing w:val="-14"/>
        </w:rPr>
        <w:t> </w:t>
      </w:r>
      <w:r>
        <w:rPr/>
        <w:t>entre</w:t>
      </w:r>
      <w:r>
        <w:rPr>
          <w:spacing w:val="-15"/>
        </w:rPr>
        <w:t> </w:t>
      </w:r>
      <w:r>
        <w:rPr/>
        <w:t>desarrollo</w:t>
      </w:r>
      <w:r>
        <w:rPr>
          <w:spacing w:val="-11"/>
        </w:rPr>
        <w:t> </w:t>
      </w:r>
      <w:r>
        <w:rPr/>
        <w:t>y</w:t>
      </w:r>
      <w:r>
        <w:rPr>
          <w:spacing w:val="-16"/>
        </w:rPr>
        <w:t> </w:t>
      </w:r>
      <w:r>
        <w:rPr/>
        <w:t>conservación</w:t>
      </w:r>
      <w:r>
        <w:rPr>
          <w:spacing w:val="-15"/>
        </w:rPr>
        <w:t> </w:t>
      </w:r>
      <w:r>
        <w:rPr/>
        <w:t>del</w:t>
      </w:r>
      <w:r>
        <w:rPr>
          <w:spacing w:val="-14"/>
        </w:rPr>
        <w:t> </w:t>
      </w:r>
      <w:r>
        <w:rPr/>
        <w:t>país</w:t>
      </w:r>
      <w:r>
        <w:rPr>
          <w:spacing w:val="-12"/>
        </w:rPr>
        <w:t> </w:t>
      </w:r>
      <w:r>
        <w:rPr/>
        <w:t>ha</w:t>
      </w:r>
      <w:r>
        <w:rPr>
          <w:spacing w:val="-15"/>
        </w:rPr>
        <w:t> </w:t>
      </w:r>
      <w:r>
        <w:rPr/>
        <w:t>generado análisis críticos desde las perspectivas de la Economía Ecológica y de la Ecología Política (Fallas Baldi, 1993; Karliner, 1993; Vandermeer &amp; Perfecto, 1995; van den Hombergh,</w:t>
      </w:r>
      <w:r>
        <w:rPr>
          <w:spacing w:val="-18"/>
        </w:rPr>
        <w:t> </w:t>
      </w:r>
      <w:r>
        <w:rPr/>
        <w:t>1999;</w:t>
      </w:r>
      <w:r>
        <w:rPr>
          <w:spacing w:val="-18"/>
        </w:rPr>
        <w:t> </w:t>
      </w:r>
      <w:r>
        <w:rPr/>
        <w:t>Hall,</w:t>
      </w:r>
      <w:r>
        <w:rPr>
          <w:spacing w:val="-18"/>
        </w:rPr>
        <w:t> </w:t>
      </w:r>
      <w:r>
        <w:rPr/>
        <w:t>2000;</w:t>
      </w:r>
      <w:r>
        <w:rPr>
          <w:spacing w:val="-17"/>
        </w:rPr>
        <w:t> </w:t>
      </w:r>
      <w:r>
        <w:rPr/>
        <w:t>Isla,</w:t>
      </w:r>
      <w:r>
        <w:rPr>
          <w:spacing w:val="-18"/>
        </w:rPr>
        <w:t> </w:t>
      </w:r>
      <w:r>
        <w:rPr/>
        <w:t>2016).</w:t>
      </w:r>
      <w:r>
        <w:rPr>
          <w:spacing w:val="-18"/>
        </w:rPr>
        <w:t> </w:t>
      </w:r>
      <w:r>
        <w:rPr/>
        <w:t>La</w:t>
      </w:r>
      <w:r>
        <w:rPr>
          <w:spacing w:val="-20"/>
        </w:rPr>
        <w:t> </w:t>
      </w:r>
      <w:r>
        <w:rPr/>
        <w:t>vigencia</w:t>
      </w:r>
      <w:r>
        <w:rPr>
          <w:spacing w:val="-20"/>
        </w:rPr>
        <w:t> </w:t>
      </w:r>
      <w:r>
        <w:rPr/>
        <w:t>del</w:t>
      </w:r>
      <w:r>
        <w:rPr>
          <w:spacing w:val="-19"/>
        </w:rPr>
        <w:t> </w:t>
      </w:r>
      <w:r>
        <w:rPr/>
        <w:t>enfoque</w:t>
      </w:r>
      <w:r>
        <w:rPr>
          <w:spacing w:val="-21"/>
        </w:rPr>
        <w:t> </w:t>
      </w:r>
      <w:r>
        <w:rPr/>
        <w:t>crítico</w:t>
      </w:r>
      <w:r>
        <w:rPr>
          <w:spacing w:val="-20"/>
        </w:rPr>
        <w:t> </w:t>
      </w:r>
      <w:r>
        <w:rPr/>
        <w:t>de</w:t>
      </w:r>
      <w:r>
        <w:rPr>
          <w:spacing w:val="-21"/>
        </w:rPr>
        <w:t> </w:t>
      </w:r>
      <w:r>
        <w:rPr/>
        <w:t>estos</w:t>
      </w:r>
      <w:r>
        <w:rPr>
          <w:spacing w:val="-19"/>
        </w:rPr>
        <w:t> </w:t>
      </w:r>
      <w:r>
        <w:rPr/>
        <w:t>estudios ha tomado especial importancia en la coyuntura actual de Costa Rica y la región centroamericana.</w:t>
      </w:r>
    </w:p>
    <w:p>
      <w:pPr>
        <w:pStyle w:val="BodyText"/>
        <w:spacing w:line="360" w:lineRule="auto" w:before="201"/>
        <w:ind w:left="1200" w:right="1197"/>
        <w:jc w:val="both"/>
      </w:pPr>
      <w:r>
        <w:rPr/>
        <w:t>A pesar de ser pequeña, Centroamérica tiene gran importancia geopolítica por la ubicación</w:t>
      </w:r>
      <w:r>
        <w:rPr>
          <w:spacing w:val="-17"/>
        </w:rPr>
        <w:t> </w:t>
      </w:r>
      <w:r>
        <w:rPr/>
        <w:t>y</w:t>
      </w:r>
      <w:r>
        <w:rPr>
          <w:spacing w:val="-20"/>
        </w:rPr>
        <w:t> </w:t>
      </w:r>
      <w:r>
        <w:rPr/>
        <w:t>naturaleza</w:t>
      </w:r>
      <w:r>
        <w:rPr>
          <w:spacing w:val="-15"/>
        </w:rPr>
        <w:t> </w:t>
      </w:r>
      <w:r>
        <w:rPr/>
        <w:t>de</w:t>
      </w:r>
      <w:r>
        <w:rPr>
          <w:spacing w:val="-18"/>
        </w:rPr>
        <w:t> </w:t>
      </w:r>
      <w:r>
        <w:rPr/>
        <w:t>sus</w:t>
      </w:r>
      <w:r>
        <w:rPr>
          <w:spacing w:val="-16"/>
        </w:rPr>
        <w:t> </w:t>
      </w:r>
      <w:r>
        <w:rPr/>
        <w:t>recursos.</w:t>
      </w:r>
      <w:r>
        <w:rPr>
          <w:spacing w:val="-13"/>
        </w:rPr>
        <w:t> </w:t>
      </w:r>
      <w:r>
        <w:rPr/>
        <w:t>Es</w:t>
      </w:r>
      <w:r>
        <w:rPr>
          <w:spacing w:val="-19"/>
        </w:rPr>
        <w:t> </w:t>
      </w:r>
      <w:r>
        <w:rPr/>
        <w:t>una</w:t>
      </w:r>
      <w:r>
        <w:rPr>
          <w:spacing w:val="-18"/>
        </w:rPr>
        <w:t> </w:t>
      </w:r>
      <w:r>
        <w:rPr/>
        <w:t>zona</w:t>
      </w:r>
      <w:r>
        <w:rPr>
          <w:spacing w:val="-17"/>
        </w:rPr>
        <w:t> </w:t>
      </w:r>
      <w:r>
        <w:rPr/>
        <w:t>de</w:t>
      </w:r>
      <w:r>
        <w:rPr>
          <w:spacing w:val="-18"/>
        </w:rPr>
        <w:t> </w:t>
      </w:r>
      <w:r>
        <w:rPr/>
        <w:t>reservas</w:t>
      </w:r>
      <w:r>
        <w:rPr>
          <w:spacing w:val="-16"/>
        </w:rPr>
        <w:t> </w:t>
      </w:r>
      <w:r>
        <w:rPr/>
        <w:t>mundiales</w:t>
      </w:r>
      <w:r>
        <w:rPr>
          <w:spacing w:val="-15"/>
        </w:rPr>
        <w:t> </w:t>
      </w:r>
      <w:r>
        <w:rPr/>
        <w:t>significativas en</w:t>
      </w:r>
      <w:r>
        <w:rPr>
          <w:spacing w:val="-9"/>
        </w:rPr>
        <w:t> </w:t>
      </w:r>
      <w:r>
        <w:rPr/>
        <w:t>términos</w:t>
      </w:r>
      <w:r>
        <w:rPr>
          <w:spacing w:val="-7"/>
        </w:rPr>
        <w:t> </w:t>
      </w:r>
      <w:r>
        <w:rPr/>
        <w:t>de</w:t>
      </w:r>
      <w:r>
        <w:rPr>
          <w:spacing w:val="-8"/>
        </w:rPr>
        <w:t> </w:t>
      </w:r>
      <w:r>
        <w:rPr/>
        <w:t>recursos</w:t>
      </w:r>
      <w:r>
        <w:rPr>
          <w:spacing w:val="-3"/>
        </w:rPr>
        <w:t> </w:t>
      </w:r>
      <w:r>
        <w:rPr/>
        <w:t>genéticos,</w:t>
      </w:r>
      <w:r>
        <w:rPr>
          <w:spacing w:val="-6"/>
        </w:rPr>
        <w:t> </w:t>
      </w:r>
      <w:r>
        <w:rPr/>
        <w:t>hídricos,</w:t>
      </w:r>
      <w:r>
        <w:rPr>
          <w:spacing w:val="-5"/>
        </w:rPr>
        <w:t> </w:t>
      </w:r>
      <w:r>
        <w:rPr/>
        <w:t>forestales,</w:t>
      </w:r>
      <w:r>
        <w:rPr>
          <w:spacing w:val="-6"/>
        </w:rPr>
        <w:t> </w:t>
      </w:r>
      <w:r>
        <w:rPr/>
        <w:t>mineros,</w:t>
      </w:r>
      <w:r>
        <w:rPr>
          <w:spacing w:val="-5"/>
        </w:rPr>
        <w:t> </w:t>
      </w:r>
      <w:r>
        <w:rPr/>
        <w:t>etc.</w:t>
      </w:r>
      <w:r>
        <w:rPr>
          <w:spacing w:val="-6"/>
        </w:rPr>
        <w:t> </w:t>
      </w:r>
      <w:r>
        <w:rPr/>
        <w:t>Su</w:t>
      </w:r>
      <w:r>
        <w:rPr>
          <w:spacing w:val="-9"/>
        </w:rPr>
        <w:t> </w:t>
      </w:r>
      <w:r>
        <w:rPr/>
        <w:t>gran</w:t>
      </w:r>
      <w:r>
        <w:rPr>
          <w:spacing w:val="-8"/>
        </w:rPr>
        <w:t> </w:t>
      </w:r>
      <w:r>
        <w:rPr/>
        <w:t>diversidad biológica y cultural en un espacio relativamente pequeño, la hace muy atractiva para la actividad</w:t>
      </w:r>
      <w:r>
        <w:rPr>
          <w:spacing w:val="-16"/>
        </w:rPr>
        <w:t> </w:t>
      </w:r>
      <w:r>
        <w:rPr/>
        <w:t>turística.</w:t>
      </w:r>
      <w:r>
        <w:rPr>
          <w:spacing w:val="-12"/>
        </w:rPr>
        <w:t> </w:t>
      </w:r>
      <w:r>
        <w:rPr/>
        <w:t>Asimismo,</w:t>
      </w:r>
      <w:r>
        <w:rPr>
          <w:spacing w:val="-13"/>
        </w:rPr>
        <w:t> </w:t>
      </w:r>
      <w:r>
        <w:rPr/>
        <w:t>su</w:t>
      </w:r>
      <w:r>
        <w:rPr>
          <w:spacing w:val="-11"/>
        </w:rPr>
        <w:t> </w:t>
      </w:r>
      <w:r>
        <w:rPr/>
        <w:t>ubicación</w:t>
      </w:r>
      <w:r>
        <w:rPr>
          <w:spacing w:val="-12"/>
        </w:rPr>
        <w:t> </w:t>
      </w:r>
      <w:r>
        <w:rPr/>
        <w:t>y</w:t>
      </w:r>
      <w:r>
        <w:rPr>
          <w:spacing w:val="-17"/>
        </w:rPr>
        <w:t> </w:t>
      </w:r>
      <w:r>
        <w:rPr/>
        <w:t>características</w:t>
      </w:r>
      <w:r>
        <w:rPr>
          <w:spacing w:val="-14"/>
        </w:rPr>
        <w:t> </w:t>
      </w:r>
      <w:r>
        <w:rPr/>
        <w:t>ístmicas</w:t>
      </w:r>
      <w:r>
        <w:rPr>
          <w:spacing w:val="-9"/>
        </w:rPr>
        <w:t> </w:t>
      </w:r>
      <w:r>
        <w:rPr/>
        <w:t>la</w:t>
      </w:r>
      <w:r>
        <w:rPr>
          <w:spacing w:val="-16"/>
        </w:rPr>
        <w:t> </w:t>
      </w:r>
      <w:r>
        <w:rPr/>
        <w:t>convierten</w:t>
      </w:r>
      <w:r>
        <w:rPr>
          <w:spacing w:val="-15"/>
        </w:rPr>
        <w:t> </w:t>
      </w:r>
      <w:r>
        <w:rPr/>
        <w:t>en</w:t>
      </w:r>
      <w:r>
        <w:rPr>
          <w:spacing w:val="-16"/>
        </w:rPr>
        <w:t> </w:t>
      </w:r>
      <w:r>
        <w:rPr/>
        <w:t>uno de los puntos </w:t>
      </w:r>
      <w:r>
        <w:rPr>
          <w:spacing w:val="-2"/>
        </w:rPr>
        <w:t>más </w:t>
      </w:r>
      <w:r>
        <w:rPr/>
        <w:t>importantes para facilitar el tránsito de mercancías para el comercio mundial</w:t>
      </w:r>
      <w:r>
        <w:rPr>
          <w:spacing w:val="-14"/>
        </w:rPr>
        <w:t> </w:t>
      </w:r>
      <w:r>
        <w:rPr/>
        <w:t>(Toledo,</w:t>
      </w:r>
      <w:r>
        <w:rPr>
          <w:spacing w:val="-12"/>
        </w:rPr>
        <w:t> </w:t>
      </w:r>
      <w:r>
        <w:rPr/>
        <w:t>et</w:t>
      </w:r>
      <w:r>
        <w:rPr>
          <w:spacing w:val="-11"/>
        </w:rPr>
        <w:t> </w:t>
      </w:r>
      <w:r>
        <w:rPr/>
        <w:t>al.,</w:t>
      </w:r>
      <w:r>
        <w:rPr>
          <w:spacing w:val="-15"/>
        </w:rPr>
        <w:t> </w:t>
      </w:r>
      <w:r>
        <w:rPr/>
        <w:t>2001;</w:t>
      </w:r>
      <w:r>
        <w:rPr>
          <w:spacing w:val="-12"/>
        </w:rPr>
        <w:t> </w:t>
      </w:r>
      <w:r>
        <w:rPr/>
        <w:t>Roque,</w:t>
      </w:r>
      <w:r>
        <w:rPr>
          <w:spacing w:val="-12"/>
        </w:rPr>
        <w:t> </w:t>
      </w:r>
      <w:r>
        <w:rPr/>
        <w:t>2015;</w:t>
      </w:r>
      <w:r>
        <w:rPr>
          <w:spacing w:val="-11"/>
        </w:rPr>
        <w:t> </w:t>
      </w:r>
      <w:r>
        <w:rPr/>
        <w:t>Saubes</w:t>
      </w:r>
      <w:r>
        <w:rPr>
          <w:spacing w:val="-13"/>
        </w:rPr>
        <w:t> </w:t>
      </w:r>
      <w:r>
        <w:rPr/>
        <w:t>&amp;</w:t>
      </w:r>
      <w:r>
        <w:rPr>
          <w:spacing w:val="-12"/>
        </w:rPr>
        <w:t> </w:t>
      </w:r>
      <w:r>
        <w:rPr/>
        <w:t>Gálvez,</w:t>
      </w:r>
      <w:r>
        <w:rPr>
          <w:spacing w:val="-8"/>
        </w:rPr>
        <w:t> </w:t>
      </w:r>
      <w:r>
        <w:rPr/>
        <w:t>2015).</w:t>
      </w:r>
      <w:r>
        <w:rPr>
          <w:spacing w:val="27"/>
        </w:rPr>
        <w:t> </w:t>
      </w:r>
      <w:r>
        <w:rPr/>
        <w:t>El</w:t>
      </w:r>
      <w:r>
        <w:rPr>
          <w:spacing w:val="-14"/>
        </w:rPr>
        <w:t> </w:t>
      </w:r>
      <w:r>
        <w:rPr/>
        <w:t>establecimiento del</w:t>
      </w:r>
      <w:r>
        <w:rPr>
          <w:spacing w:val="-17"/>
        </w:rPr>
        <w:t> </w:t>
      </w:r>
      <w:r>
        <w:rPr/>
        <w:t>neo-extractivismo</w:t>
      </w:r>
      <w:r>
        <w:rPr>
          <w:position w:val="8"/>
          <w:sz w:val="16"/>
        </w:rPr>
        <w:t>4</w:t>
      </w:r>
      <w:r>
        <w:rPr>
          <w:spacing w:val="5"/>
          <w:position w:val="8"/>
          <w:sz w:val="16"/>
        </w:rPr>
        <w:t> </w:t>
      </w:r>
      <w:r>
        <w:rPr/>
        <w:t>en</w:t>
      </w:r>
      <w:r>
        <w:rPr>
          <w:spacing w:val="-17"/>
        </w:rPr>
        <w:t> </w:t>
      </w:r>
      <w:r>
        <w:rPr/>
        <w:t>la</w:t>
      </w:r>
      <w:r>
        <w:rPr>
          <w:spacing w:val="-18"/>
        </w:rPr>
        <w:t> </w:t>
      </w:r>
      <w:r>
        <w:rPr/>
        <w:t>región</w:t>
      </w:r>
      <w:r>
        <w:rPr>
          <w:spacing w:val="-18"/>
        </w:rPr>
        <w:t> </w:t>
      </w:r>
      <w:r>
        <w:rPr/>
        <w:t>latinoamericana</w:t>
      </w:r>
      <w:r>
        <w:rPr>
          <w:spacing w:val="-17"/>
        </w:rPr>
        <w:t> </w:t>
      </w:r>
      <w:r>
        <w:rPr/>
        <w:t>provocó</w:t>
      </w:r>
      <w:r>
        <w:rPr>
          <w:spacing w:val="-18"/>
        </w:rPr>
        <w:t> </w:t>
      </w:r>
      <w:r>
        <w:rPr/>
        <w:t>un</w:t>
      </w:r>
      <w:r>
        <w:rPr>
          <w:spacing w:val="-17"/>
        </w:rPr>
        <w:t> </w:t>
      </w:r>
      <w:r>
        <w:rPr/>
        <w:t>aumento</w:t>
      </w:r>
      <w:r>
        <w:rPr>
          <w:spacing w:val="-18"/>
        </w:rPr>
        <w:t> </w:t>
      </w:r>
      <w:r>
        <w:rPr/>
        <w:t>de</w:t>
      </w:r>
      <w:r>
        <w:rPr>
          <w:spacing w:val="-17"/>
        </w:rPr>
        <w:t> </w:t>
      </w:r>
      <w:r>
        <w:rPr/>
        <w:t>las</w:t>
      </w:r>
      <w:r>
        <w:rPr>
          <w:spacing w:val="-16"/>
        </w:rPr>
        <w:t> </w:t>
      </w:r>
      <w:r>
        <w:rPr/>
        <w:t>presiones ambientales con una sobre explotación de los recursos naturales y una creciente desigualdad social, agravando la inequidad en la distribución del acceso al Espacio Ambiental (Svampa, 2013). Toda esta problemática se ve reflejada en una</w:t>
      </w:r>
      <w:r>
        <w:rPr>
          <w:spacing w:val="34"/>
        </w:rPr>
        <w:t> </w:t>
      </w:r>
      <w:r>
        <w:rPr/>
        <w:t>interrelación</w:t>
      </w:r>
    </w:p>
    <w:p>
      <w:pPr>
        <w:pStyle w:val="BodyText"/>
        <w:rPr>
          <w:sz w:val="20"/>
        </w:rPr>
      </w:pPr>
    </w:p>
    <w:p>
      <w:pPr>
        <w:pStyle w:val="BodyText"/>
        <w:spacing w:before="6"/>
        <w:rPr>
          <w:sz w:val="14"/>
        </w:rPr>
      </w:pPr>
      <w:r>
        <w:rPr/>
        <w:pict>
          <v:rect style="position:absolute;margin-left:72.025002pt;margin-top:10.320225pt;width:144.050pt;height:.600010pt;mso-position-horizontal-relative:page;mso-position-vertical-relative:paragraph;z-index:-15724032;mso-wrap-distance-left:0;mso-wrap-distance-right:0" filled="true" fillcolor="#000000" stroked="false">
            <v:fill type="solid"/>
            <w10:wrap type="topAndBottom"/>
          </v:rect>
        </w:pict>
      </w:r>
    </w:p>
    <w:p>
      <w:pPr>
        <w:spacing w:line="240" w:lineRule="auto" w:before="71"/>
        <w:ind w:left="1200" w:right="1193" w:firstLine="0"/>
        <w:jc w:val="both"/>
        <w:rPr>
          <w:sz w:val="20"/>
        </w:rPr>
      </w:pPr>
      <w:r>
        <w:rPr>
          <w:sz w:val="20"/>
          <w:vertAlign w:val="superscript"/>
        </w:rPr>
        <w:t>3</w:t>
      </w:r>
      <w:r>
        <w:rPr>
          <w:sz w:val="20"/>
          <w:vertAlign w:val="baseline"/>
        </w:rPr>
        <w:t> Los autores señalan que el culto a lo silvestre o culto a la naturaleza es una corriente promovida desde principios del Siglo XX por organizaciones conservacionistas, en muchos casos del norte global, como el Sierra Club. Su enfoque se centra en la preservación de la naturaleza salvaje, intacta, así como la restauración</w:t>
      </w:r>
      <w:r>
        <w:rPr>
          <w:spacing w:val="-11"/>
          <w:sz w:val="20"/>
          <w:vertAlign w:val="baseline"/>
        </w:rPr>
        <w:t> </w:t>
      </w:r>
      <w:r>
        <w:rPr>
          <w:sz w:val="20"/>
          <w:vertAlign w:val="baseline"/>
        </w:rPr>
        <w:t>de</w:t>
      </w:r>
      <w:r>
        <w:rPr>
          <w:spacing w:val="-11"/>
          <w:sz w:val="20"/>
          <w:vertAlign w:val="baseline"/>
        </w:rPr>
        <w:t> </w:t>
      </w:r>
      <w:r>
        <w:rPr>
          <w:sz w:val="20"/>
          <w:vertAlign w:val="baseline"/>
        </w:rPr>
        <w:t>áreas</w:t>
      </w:r>
      <w:r>
        <w:rPr>
          <w:spacing w:val="-11"/>
          <w:sz w:val="20"/>
          <w:vertAlign w:val="baseline"/>
        </w:rPr>
        <w:t> </w:t>
      </w:r>
      <w:r>
        <w:rPr>
          <w:sz w:val="20"/>
          <w:vertAlign w:val="baseline"/>
        </w:rPr>
        <w:t>degradadas.</w:t>
      </w:r>
      <w:r>
        <w:rPr>
          <w:spacing w:val="-7"/>
          <w:sz w:val="20"/>
          <w:vertAlign w:val="baseline"/>
        </w:rPr>
        <w:t> </w:t>
      </w:r>
      <w:r>
        <w:rPr>
          <w:sz w:val="20"/>
          <w:vertAlign w:val="baseline"/>
        </w:rPr>
        <w:t>No</w:t>
      </w:r>
      <w:r>
        <w:rPr>
          <w:spacing w:val="-15"/>
          <w:sz w:val="20"/>
          <w:vertAlign w:val="baseline"/>
        </w:rPr>
        <w:t> </w:t>
      </w:r>
      <w:r>
        <w:rPr>
          <w:sz w:val="20"/>
          <w:vertAlign w:val="baseline"/>
        </w:rPr>
        <w:t>plantea</w:t>
      </w:r>
      <w:r>
        <w:rPr>
          <w:spacing w:val="-14"/>
          <w:sz w:val="20"/>
          <w:vertAlign w:val="baseline"/>
        </w:rPr>
        <w:t> </w:t>
      </w:r>
      <w:r>
        <w:rPr>
          <w:sz w:val="20"/>
          <w:vertAlign w:val="baseline"/>
        </w:rPr>
        <w:t>un</w:t>
      </w:r>
      <w:r>
        <w:rPr>
          <w:spacing w:val="-10"/>
          <w:sz w:val="20"/>
          <w:vertAlign w:val="baseline"/>
        </w:rPr>
        <w:t> </w:t>
      </w:r>
      <w:r>
        <w:rPr>
          <w:sz w:val="20"/>
          <w:vertAlign w:val="baseline"/>
        </w:rPr>
        <w:t>cuestionamiento</w:t>
      </w:r>
      <w:r>
        <w:rPr>
          <w:spacing w:val="-11"/>
          <w:sz w:val="20"/>
          <w:vertAlign w:val="baseline"/>
        </w:rPr>
        <w:t> </w:t>
      </w:r>
      <w:r>
        <w:rPr>
          <w:sz w:val="20"/>
          <w:vertAlign w:val="baseline"/>
        </w:rPr>
        <w:t>al</w:t>
      </w:r>
      <w:r>
        <w:rPr>
          <w:spacing w:val="-9"/>
          <w:sz w:val="20"/>
          <w:vertAlign w:val="baseline"/>
        </w:rPr>
        <w:t> </w:t>
      </w:r>
      <w:r>
        <w:rPr>
          <w:sz w:val="20"/>
          <w:vertAlign w:val="baseline"/>
        </w:rPr>
        <w:t>crecimiento</w:t>
      </w:r>
      <w:r>
        <w:rPr>
          <w:spacing w:val="-10"/>
          <w:sz w:val="20"/>
          <w:vertAlign w:val="baseline"/>
        </w:rPr>
        <w:t> </w:t>
      </w:r>
      <w:r>
        <w:rPr>
          <w:sz w:val="20"/>
          <w:vertAlign w:val="baseline"/>
        </w:rPr>
        <w:t>económico</w:t>
      </w:r>
      <w:r>
        <w:rPr>
          <w:spacing w:val="-11"/>
          <w:sz w:val="20"/>
          <w:vertAlign w:val="baseline"/>
        </w:rPr>
        <w:t> </w:t>
      </w:r>
      <w:r>
        <w:rPr>
          <w:sz w:val="20"/>
          <w:vertAlign w:val="baseline"/>
        </w:rPr>
        <w:t>en</w:t>
      </w:r>
      <w:r>
        <w:rPr>
          <w:spacing w:val="-11"/>
          <w:sz w:val="20"/>
          <w:vertAlign w:val="baseline"/>
        </w:rPr>
        <w:t> </w:t>
      </w:r>
      <w:r>
        <w:rPr>
          <w:sz w:val="20"/>
          <w:vertAlign w:val="baseline"/>
        </w:rPr>
        <w:t>su</w:t>
      </w:r>
      <w:r>
        <w:rPr>
          <w:spacing w:val="-10"/>
          <w:sz w:val="20"/>
          <w:vertAlign w:val="baseline"/>
        </w:rPr>
        <w:t> </w:t>
      </w:r>
      <w:r>
        <w:rPr>
          <w:sz w:val="20"/>
          <w:vertAlign w:val="baseline"/>
        </w:rPr>
        <w:t>sentido tradicional, pero busca la preservación de la naturaleza sustrayéndola del mercado. La corriente de la tecno</w:t>
      </w:r>
      <w:r>
        <w:rPr>
          <w:spacing w:val="-6"/>
          <w:sz w:val="20"/>
          <w:vertAlign w:val="baseline"/>
        </w:rPr>
        <w:t> </w:t>
      </w:r>
      <w:r>
        <w:rPr>
          <w:sz w:val="20"/>
          <w:vertAlign w:val="baseline"/>
        </w:rPr>
        <w:t>eficiencia</w:t>
      </w:r>
      <w:r>
        <w:rPr>
          <w:spacing w:val="-5"/>
          <w:sz w:val="20"/>
          <w:vertAlign w:val="baseline"/>
        </w:rPr>
        <w:t> </w:t>
      </w:r>
      <w:r>
        <w:rPr>
          <w:sz w:val="20"/>
          <w:vertAlign w:val="baseline"/>
        </w:rPr>
        <w:t>se</w:t>
      </w:r>
      <w:r>
        <w:rPr>
          <w:spacing w:val="-9"/>
          <w:sz w:val="20"/>
          <w:vertAlign w:val="baseline"/>
        </w:rPr>
        <w:t> </w:t>
      </w:r>
      <w:r>
        <w:rPr>
          <w:sz w:val="20"/>
          <w:vertAlign w:val="baseline"/>
        </w:rPr>
        <w:t>fortalece</w:t>
      </w:r>
      <w:r>
        <w:rPr>
          <w:spacing w:val="-9"/>
          <w:sz w:val="20"/>
          <w:vertAlign w:val="baseline"/>
        </w:rPr>
        <w:t> </w:t>
      </w:r>
      <w:r>
        <w:rPr>
          <w:sz w:val="20"/>
          <w:vertAlign w:val="baseline"/>
        </w:rPr>
        <w:t>en</w:t>
      </w:r>
      <w:r>
        <w:rPr>
          <w:spacing w:val="-12"/>
          <w:sz w:val="20"/>
          <w:vertAlign w:val="baseline"/>
        </w:rPr>
        <w:t> </w:t>
      </w:r>
      <w:r>
        <w:rPr>
          <w:sz w:val="20"/>
          <w:vertAlign w:val="baseline"/>
        </w:rPr>
        <w:t>los</w:t>
      </w:r>
      <w:r>
        <w:rPr>
          <w:spacing w:val="-6"/>
          <w:sz w:val="20"/>
          <w:vertAlign w:val="baseline"/>
        </w:rPr>
        <w:t> </w:t>
      </w:r>
      <w:r>
        <w:rPr>
          <w:sz w:val="20"/>
          <w:vertAlign w:val="baseline"/>
        </w:rPr>
        <w:t>años</w:t>
      </w:r>
      <w:r>
        <w:rPr>
          <w:spacing w:val="-6"/>
          <w:sz w:val="20"/>
          <w:vertAlign w:val="baseline"/>
        </w:rPr>
        <w:t> </w:t>
      </w:r>
      <w:r>
        <w:rPr>
          <w:sz w:val="20"/>
          <w:vertAlign w:val="baseline"/>
        </w:rPr>
        <w:t>80</w:t>
      </w:r>
      <w:r>
        <w:rPr>
          <w:spacing w:val="-6"/>
          <w:sz w:val="20"/>
          <w:vertAlign w:val="baseline"/>
        </w:rPr>
        <w:t> </w:t>
      </w:r>
      <w:r>
        <w:rPr>
          <w:sz w:val="20"/>
          <w:vertAlign w:val="baseline"/>
        </w:rPr>
        <w:t>y</w:t>
      </w:r>
      <w:r>
        <w:rPr>
          <w:spacing w:val="-13"/>
          <w:sz w:val="20"/>
          <w:vertAlign w:val="baseline"/>
        </w:rPr>
        <w:t> </w:t>
      </w:r>
      <w:r>
        <w:rPr>
          <w:sz w:val="20"/>
          <w:vertAlign w:val="baseline"/>
        </w:rPr>
        <w:t>90</w:t>
      </w:r>
      <w:r>
        <w:rPr>
          <w:spacing w:val="-5"/>
          <w:sz w:val="20"/>
          <w:vertAlign w:val="baseline"/>
        </w:rPr>
        <w:t> </w:t>
      </w:r>
      <w:r>
        <w:rPr>
          <w:sz w:val="20"/>
          <w:vertAlign w:val="baseline"/>
        </w:rPr>
        <w:t>con</w:t>
      </w:r>
      <w:r>
        <w:rPr>
          <w:spacing w:val="-9"/>
          <w:sz w:val="20"/>
          <w:vertAlign w:val="baseline"/>
        </w:rPr>
        <w:t> </w:t>
      </w:r>
      <w:r>
        <w:rPr>
          <w:sz w:val="20"/>
          <w:vertAlign w:val="baseline"/>
        </w:rPr>
        <w:t>el</w:t>
      </w:r>
      <w:r>
        <w:rPr>
          <w:spacing w:val="-7"/>
          <w:sz w:val="20"/>
          <w:vertAlign w:val="baseline"/>
        </w:rPr>
        <w:t> </w:t>
      </w:r>
      <w:r>
        <w:rPr>
          <w:sz w:val="20"/>
          <w:vertAlign w:val="baseline"/>
        </w:rPr>
        <w:t>impulso</w:t>
      </w:r>
      <w:r>
        <w:rPr>
          <w:spacing w:val="-9"/>
          <w:sz w:val="20"/>
          <w:vertAlign w:val="baseline"/>
        </w:rPr>
        <w:t> </w:t>
      </w:r>
      <w:r>
        <w:rPr>
          <w:sz w:val="20"/>
          <w:vertAlign w:val="baseline"/>
        </w:rPr>
        <w:t>del</w:t>
      </w:r>
      <w:r>
        <w:rPr>
          <w:spacing w:val="-3"/>
          <w:sz w:val="20"/>
          <w:vertAlign w:val="baseline"/>
        </w:rPr>
        <w:t> </w:t>
      </w:r>
      <w:r>
        <w:rPr>
          <w:sz w:val="20"/>
          <w:vertAlign w:val="baseline"/>
        </w:rPr>
        <w:t>concepto</w:t>
      </w:r>
      <w:r>
        <w:rPr>
          <w:spacing w:val="-9"/>
          <w:sz w:val="20"/>
          <w:vertAlign w:val="baseline"/>
        </w:rPr>
        <w:t> </w:t>
      </w:r>
      <w:r>
        <w:rPr>
          <w:sz w:val="20"/>
          <w:vertAlign w:val="baseline"/>
        </w:rPr>
        <w:t>de</w:t>
      </w:r>
      <w:r>
        <w:rPr>
          <w:spacing w:val="-9"/>
          <w:sz w:val="20"/>
          <w:vertAlign w:val="baseline"/>
        </w:rPr>
        <w:t> </w:t>
      </w:r>
      <w:r>
        <w:rPr>
          <w:sz w:val="20"/>
          <w:vertAlign w:val="baseline"/>
        </w:rPr>
        <w:t>desarrollo</w:t>
      </w:r>
      <w:r>
        <w:rPr>
          <w:spacing w:val="-9"/>
          <w:sz w:val="20"/>
          <w:vertAlign w:val="baseline"/>
        </w:rPr>
        <w:t> </w:t>
      </w:r>
      <w:r>
        <w:rPr>
          <w:sz w:val="20"/>
          <w:vertAlign w:val="baseline"/>
        </w:rPr>
        <w:t>sostenible.</w:t>
      </w:r>
      <w:r>
        <w:rPr>
          <w:spacing w:val="-6"/>
          <w:sz w:val="20"/>
          <w:vertAlign w:val="baseline"/>
        </w:rPr>
        <w:t> </w:t>
      </w:r>
      <w:r>
        <w:rPr>
          <w:sz w:val="20"/>
          <w:vertAlign w:val="baseline"/>
        </w:rPr>
        <w:t>Esta postura tampoco se opone crecimiento económico. Más bien promueve un aprovechamiento racional/eficiente de los recursos. No incluye apreciaciones de la naturaleza en términos de sacralidad. Sus propuestas se centran en nociones </w:t>
      </w:r>
      <w:r>
        <w:rPr>
          <w:spacing w:val="-3"/>
          <w:sz w:val="20"/>
          <w:vertAlign w:val="baseline"/>
        </w:rPr>
        <w:t>como </w:t>
      </w:r>
      <w:r>
        <w:rPr>
          <w:sz w:val="20"/>
          <w:vertAlign w:val="baseline"/>
        </w:rPr>
        <w:t>las “certezas científicas”, los “expertos técnicos” y la “innovación tecnológica” (Guha. &amp; Martínez-Alier,</w:t>
      </w:r>
      <w:r>
        <w:rPr>
          <w:spacing w:val="-3"/>
          <w:sz w:val="20"/>
          <w:vertAlign w:val="baseline"/>
        </w:rPr>
        <w:t> </w:t>
      </w:r>
      <w:r>
        <w:rPr>
          <w:sz w:val="20"/>
          <w:vertAlign w:val="baseline"/>
        </w:rPr>
        <w:t>2000).</w:t>
      </w:r>
    </w:p>
    <w:p>
      <w:pPr>
        <w:spacing w:line="240" w:lineRule="auto" w:before="1"/>
        <w:ind w:left="1200" w:right="1191" w:firstLine="0"/>
        <w:jc w:val="both"/>
        <w:rPr>
          <w:sz w:val="20"/>
        </w:rPr>
      </w:pPr>
      <w:r>
        <w:rPr>
          <w:sz w:val="20"/>
          <w:vertAlign w:val="superscript"/>
        </w:rPr>
        <w:t>4</w:t>
      </w:r>
      <w:r>
        <w:rPr>
          <w:spacing w:val="-6"/>
          <w:sz w:val="20"/>
          <w:vertAlign w:val="baseline"/>
        </w:rPr>
        <w:t> </w:t>
      </w:r>
      <w:r>
        <w:rPr>
          <w:sz w:val="20"/>
          <w:vertAlign w:val="baseline"/>
        </w:rPr>
        <w:t>Se</w:t>
      </w:r>
      <w:r>
        <w:rPr>
          <w:spacing w:val="-3"/>
          <w:sz w:val="20"/>
          <w:vertAlign w:val="baseline"/>
        </w:rPr>
        <w:t> </w:t>
      </w:r>
      <w:r>
        <w:rPr>
          <w:sz w:val="20"/>
          <w:vertAlign w:val="baseline"/>
        </w:rPr>
        <w:t>trata</w:t>
      </w:r>
      <w:r>
        <w:rPr>
          <w:spacing w:val="-3"/>
          <w:sz w:val="20"/>
          <w:vertAlign w:val="baseline"/>
        </w:rPr>
        <w:t> </w:t>
      </w:r>
      <w:r>
        <w:rPr>
          <w:sz w:val="20"/>
          <w:vertAlign w:val="baseline"/>
        </w:rPr>
        <w:t>de</w:t>
      </w:r>
      <w:r>
        <w:rPr>
          <w:spacing w:val="-3"/>
          <w:sz w:val="20"/>
          <w:vertAlign w:val="baseline"/>
        </w:rPr>
        <w:t> </w:t>
      </w:r>
      <w:r>
        <w:rPr>
          <w:sz w:val="20"/>
          <w:vertAlign w:val="baseline"/>
        </w:rPr>
        <w:t>la</w:t>
      </w:r>
      <w:r>
        <w:rPr>
          <w:spacing w:val="-3"/>
          <w:sz w:val="20"/>
          <w:vertAlign w:val="baseline"/>
        </w:rPr>
        <w:t> </w:t>
      </w:r>
      <w:r>
        <w:rPr>
          <w:sz w:val="20"/>
          <w:vertAlign w:val="baseline"/>
        </w:rPr>
        <w:t>coyuntura</w:t>
      </w:r>
      <w:r>
        <w:rPr>
          <w:spacing w:val="-3"/>
          <w:sz w:val="20"/>
          <w:vertAlign w:val="baseline"/>
        </w:rPr>
        <w:t> </w:t>
      </w:r>
      <w:r>
        <w:rPr>
          <w:sz w:val="20"/>
          <w:vertAlign w:val="baseline"/>
        </w:rPr>
        <w:t>que</w:t>
      </w:r>
      <w:r>
        <w:rPr>
          <w:spacing w:val="-3"/>
          <w:sz w:val="20"/>
          <w:vertAlign w:val="baseline"/>
        </w:rPr>
        <w:t> </w:t>
      </w:r>
      <w:r>
        <w:rPr>
          <w:sz w:val="20"/>
          <w:vertAlign w:val="baseline"/>
        </w:rPr>
        <w:t>se</w:t>
      </w:r>
      <w:r>
        <w:rPr>
          <w:spacing w:val="1"/>
          <w:sz w:val="20"/>
          <w:vertAlign w:val="baseline"/>
        </w:rPr>
        <w:t> </w:t>
      </w:r>
      <w:r>
        <w:rPr>
          <w:sz w:val="20"/>
          <w:vertAlign w:val="baseline"/>
        </w:rPr>
        <w:t>ubica</w:t>
      </w:r>
      <w:r>
        <w:rPr>
          <w:spacing w:val="-3"/>
          <w:sz w:val="20"/>
          <w:vertAlign w:val="baseline"/>
        </w:rPr>
        <w:t> </w:t>
      </w:r>
      <w:r>
        <w:rPr>
          <w:sz w:val="20"/>
          <w:vertAlign w:val="baseline"/>
        </w:rPr>
        <w:t>con</w:t>
      </w:r>
      <w:r>
        <w:rPr>
          <w:spacing w:val="-3"/>
          <w:sz w:val="20"/>
          <w:vertAlign w:val="baseline"/>
        </w:rPr>
        <w:t> </w:t>
      </w:r>
      <w:r>
        <w:rPr>
          <w:sz w:val="20"/>
          <w:vertAlign w:val="baseline"/>
        </w:rPr>
        <w:t>mayor</w:t>
      </w:r>
      <w:r>
        <w:rPr>
          <w:spacing w:val="-3"/>
          <w:sz w:val="20"/>
          <w:vertAlign w:val="baseline"/>
        </w:rPr>
        <w:t> </w:t>
      </w:r>
      <w:r>
        <w:rPr>
          <w:sz w:val="20"/>
          <w:vertAlign w:val="baseline"/>
        </w:rPr>
        <w:t>claridad</w:t>
      </w:r>
      <w:r>
        <w:rPr>
          <w:spacing w:val="-3"/>
          <w:sz w:val="20"/>
          <w:vertAlign w:val="baseline"/>
        </w:rPr>
        <w:t> </w:t>
      </w:r>
      <w:r>
        <w:rPr>
          <w:sz w:val="20"/>
          <w:vertAlign w:val="baseline"/>
        </w:rPr>
        <w:t>a</w:t>
      </w:r>
      <w:r>
        <w:rPr>
          <w:spacing w:val="-3"/>
          <w:sz w:val="20"/>
          <w:vertAlign w:val="baseline"/>
        </w:rPr>
        <w:t> </w:t>
      </w:r>
      <w:r>
        <w:rPr>
          <w:sz w:val="20"/>
          <w:vertAlign w:val="baseline"/>
        </w:rPr>
        <w:t>mediados</w:t>
      </w:r>
      <w:r>
        <w:rPr>
          <w:spacing w:val="-4"/>
          <w:sz w:val="20"/>
          <w:vertAlign w:val="baseline"/>
        </w:rPr>
        <w:t> </w:t>
      </w:r>
      <w:r>
        <w:rPr>
          <w:sz w:val="20"/>
          <w:vertAlign w:val="baseline"/>
        </w:rPr>
        <w:t>y</w:t>
      </w:r>
      <w:r>
        <w:rPr>
          <w:spacing w:val="-4"/>
          <w:sz w:val="20"/>
          <w:vertAlign w:val="baseline"/>
        </w:rPr>
        <w:t> </w:t>
      </w:r>
      <w:r>
        <w:rPr>
          <w:sz w:val="20"/>
          <w:vertAlign w:val="baseline"/>
        </w:rPr>
        <w:t>fines</w:t>
      </w:r>
      <w:r>
        <w:rPr>
          <w:spacing w:val="-4"/>
          <w:sz w:val="20"/>
          <w:vertAlign w:val="baseline"/>
        </w:rPr>
        <w:t> </w:t>
      </w:r>
      <w:r>
        <w:rPr>
          <w:sz w:val="20"/>
          <w:vertAlign w:val="baseline"/>
        </w:rPr>
        <w:t>de</w:t>
      </w:r>
      <w:r>
        <w:rPr>
          <w:spacing w:val="-7"/>
          <w:sz w:val="20"/>
          <w:vertAlign w:val="baseline"/>
        </w:rPr>
        <w:t> </w:t>
      </w:r>
      <w:r>
        <w:rPr>
          <w:sz w:val="20"/>
          <w:vertAlign w:val="baseline"/>
        </w:rPr>
        <w:t>la</w:t>
      </w:r>
      <w:r>
        <w:rPr>
          <w:spacing w:val="-3"/>
          <w:sz w:val="20"/>
          <w:vertAlign w:val="baseline"/>
        </w:rPr>
        <w:t> </w:t>
      </w:r>
      <w:r>
        <w:rPr>
          <w:sz w:val="20"/>
          <w:vertAlign w:val="baseline"/>
        </w:rPr>
        <w:t>década</w:t>
      </w:r>
      <w:r>
        <w:rPr>
          <w:spacing w:val="-3"/>
          <w:sz w:val="20"/>
          <w:vertAlign w:val="baseline"/>
        </w:rPr>
        <w:t> </w:t>
      </w:r>
      <w:r>
        <w:rPr>
          <w:sz w:val="20"/>
          <w:vertAlign w:val="baseline"/>
        </w:rPr>
        <w:t>2000-2010</w:t>
      </w:r>
      <w:r>
        <w:rPr>
          <w:spacing w:val="-2"/>
          <w:sz w:val="20"/>
          <w:vertAlign w:val="baseline"/>
        </w:rPr>
        <w:t> </w:t>
      </w:r>
      <w:r>
        <w:rPr>
          <w:sz w:val="20"/>
          <w:vertAlign w:val="baseline"/>
        </w:rPr>
        <w:t>en la cual, junto a la crisis financiera internacional que se origina entre otras causas en la caída del mercado inmobiliario</w:t>
      </w:r>
      <w:r>
        <w:rPr>
          <w:spacing w:val="-14"/>
          <w:sz w:val="20"/>
          <w:vertAlign w:val="baseline"/>
        </w:rPr>
        <w:t> </w:t>
      </w:r>
      <w:r>
        <w:rPr>
          <w:sz w:val="20"/>
          <w:vertAlign w:val="baseline"/>
        </w:rPr>
        <w:t>de</w:t>
      </w:r>
      <w:r>
        <w:rPr>
          <w:spacing w:val="-14"/>
          <w:sz w:val="20"/>
          <w:vertAlign w:val="baseline"/>
        </w:rPr>
        <w:t> </w:t>
      </w:r>
      <w:r>
        <w:rPr>
          <w:sz w:val="20"/>
          <w:vertAlign w:val="baseline"/>
        </w:rPr>
        <w:t>los</w:t>
      </w:r>
      <w:r>
        <w:rPr>
          <w:spacing w:val="-11"/>
          <w:sz w:val="20"/>
          <w:vertAlign w:val="baseline"/>
        </w:rPr>
        <w:t> </w:t>
      </w:r>
      <w:r>
        <w:rPr>
          <w:sz w:val="20"/>
          <w:vertAlign w:val="baseline"/>
        </w:rPr>
        <w:t>Estados</w:t>
      </w:r>
      <w:r>
        <w:rPr>
          <w:spacing w:val="-15"/>
          <w:sz w:val="20"/>
          <w:vertAlign w:val="baseline"/>
        </w:rPr>
        <w:t> </w:t>
      </w:r>
      <w:r>
        <w:rPr>
          <w:sz w:val="20"/>
          <w:vertAlign w:val="baseline"/>
        </w:rPr>
        <w:t>Unidos,</w:t>
      </w:r>
      <w:r>
        <w:rPr>
          <w:spacing w:val="-15"/>
          <w:sz w:val="20"/>
          <w:vertAlign w:val="baseline"/>
        </w:rPr>
        <w:t> </w:t>
      </w:r>
      <w:r>
        <w:rPr>
          <w:sz w:val="20"/>
          <w:vertAlign w:val="baseline"/>
        </w:rPr>
        <w:t>naciones</w:t>
      </w:r>
      <w:r>
        <w:rPr>
          <w:spacing w:val="-10"/>
          <w:sz w:val="20"/>
          <w:vertAlign w:val="baseline"/>
        </w:rPr>
        <w:t> </w:t>
      </w:r>
      <w:r>
        <w:rPr>
          <w:sz w:val="20"/>
          <w:vertAlign w:val="baseline"/>
        </w:rPr>
        <w:t>con</w:t>
      </w:r>
      <w:r>
        <w:rPr>
          <w:spacing w:val="-11"/>
          <w:sz w:val="20"/>
          <w:vertAlign w:val="baseline"/>
        </w:rPr>
        <w:t> </w:t>
      </w:r>
      <w:r>
        <w:rPr>
          <w:sz w:val="20"/>
          <w:vertAlign w:val="baseline"/>
        </w:rPr>
        <w:t>economías</w:t>
      </w:r>
      <w:r>
        <w:rPr>
          <w:spacing w:val="-10"/>
          <w:sz w:val="20"/>
          <w:vertAlign w:val="baseline"/>
        </w:rPr>
        <w:t> </w:t>
      </w:r>
      <w:r>
        <w:rPr>
          <w:sz w:val="20"/>
          <w:vertAlign w:val="baseline"/>
        </w:rPr>
        <w:t>emergentes</w:t>
      </w:r>
      <w:r>
        <w:rPr>
          <w:spacing w:val="-11"/>
          <w:sz w:val="20"/>
          <w:vertAlign w:val="baseline"/>
        </w:rPr>
        <w:t> </w:t>
      </w:r>
      <w:r>
        <w:rPr>
          <w:sz w:val="20"/>
          <w:vertAlign w:val="baseline"/>
        </w:rPr>
        <w:t>como</w:t>
      </w:r>
      <w:r>
        <w:rPr>
          <w:spacing w:val="-3"/>
          <w:sz w:val="20"/>
          <w:vertAlign w:val="baseline"/>
        </w:rPr>
        <w:t> </w:t>
      </w:r>
      <w:r>
        <w:rPr>
          <w:sz w:val="20"/>
          <w:vertAlign w:val="baseline"/>
        </w:rPr>
        <w:t>Brasil,</w:t>
      </w:r>
      <w:r>
        <w:rPr>
          <w:spacing w:val="-11"/>
          <w:sz w:val="20"/>
          <w:vertAlign w:val="baseline"/>
        </w:rPr>
        <w:t> </w:t>
      </w:r>
      <w:r>
        <w:rPr>
          <w:sz w:val="20"/>
          <w:vertAlign w:val="baseline"/>
        </w:rPr>
        <w:t>Rusia,</w:t>
      </w:r>
      <w:r>
        <w:rPr>
          <w:spacing w:val="-11"/>
          <w:sz w:val="20"/>
          <w:vertAlign w:val="baseline"/>
        </w:rPr>
        <w:t> </w:t>
      </w:r>
      <w:r>
        <w:rPr>
          <w:sz w:val="20"/>
          <w:vertAlign w:val="baseline"/>
        </w:rPr>
        <w:t>India</w:t>
      </w:r>
      <w:r>
        <w:rPr>
          <w:spacing w:val="-14"/>
          <w:sz w:val="20"/>
          <w:vertAlign w:val="baseline"/>
        </w:rPr>
        <w:t> </w:t>
      </w:r>
      <w:r>
        <w:rPr>
          <w:sz w:val="20"/>
          <w:vertAlign w:val="baseline"/>
        </w:rPr>
        <w:t>y</w:t>
      </w:r>
      <w:r>
        <w:rPr>
          <w:spacing w:val="-11"/>
          <w:sz w:val="20"/>
          <w:vertAlign w:val="baseline"/>
        </w:rPr>
        <w:t> </w:t>
      </w:r>
      <w:r>
        <w:rPr>
          <w:sz w:val="20"/>
          <w:vertAlign w:val="baseline"/>
        </w:rPr>
        <w:t>China ganan prevalencia en el escenario económico internacional. Sus economías crecen a tasas relativamente altas. Para sustentar ese crecimiento demandan a su interno e internacionalmente de cantidades crecientes de materias primas. Esa demanda se ubica en un porcentaje significativo en América Latina y trae consigo una reconfiguración estructural socio-ecológica que afecta en diversas formas a todos los países de la</w:t>
      </w:r>
      <w:r>
        <w:rPr>
          <w:spacing w:val="-6"/>
          <w:sz w:val="20"/>
          <w:vertAlign w:val="baseline"/>
        </w:rPr>
        <w:t> </w:t>
      </w:r>
      <w:r>
        <w:rPr>
          <w:sz w:val="20"/>
          <w:vertAlign w:val="baseline"/>
        </w:rPr>
        <w:t>región.</w:t>
      </w:r>
    </w:p>
    <w:p>
      <w:pPr>
        <w:spacing w:after="0" w:line="240" w:lineRule="auto"/>
        <w:jc w:val="both"/>
        <w:rPr>
          <w:sz w:val="20"/>
        </w:rPr>
        <w:sectPr>
          <w:pgSz w:w="12240" w:h="15840"/>
          <w:pgMar w:header="0" w:footer="1062" w:top="1360" w:bottom="1260" w:left="240" w:right="240"/>
        </w:sectPr>
      </w:pPr>
    </w:p>
    <w:p>
      <w:pPr>
        <w:pStyle w:val="BodyText"/>
        <w:spacing w:line="357" w:lineRule="auto" w:before="79"/>
        <w:ind w:left="1200" w:right="1199"/>
        <w:jc w:val="both"/>
      </w:pPr>
      <w:r>
        <w:rPr/>
        <w:t>dinámica</w:t>
      </w:r>
      <w:r>
        <w:rPr>
          <w:spacing w:val="-9"/>
        </w:rPr>
        <w:t> </w:t>
      </w:r>
      <w:r>
        <w:rPr/>
        <w:t>que</w:t>
      </w:r>
      <w:r>
        <w:rPr>
          <w:spacing w:val="-9"/>
        </w:rPr>
        <w:t> </w:t>
      </w:r>
      <w:r>
        <w:rPr/>
        <w:t>provoco</w:t>
      </w:r>
      <w:r>
        <w:rPr>
          <w:spacing w:val="-9"/>
        </w:rPr>
        <w:t> </w:t>
      </w:r>
      <w:r>
        <w:rPr/>
        <w:t>el</w:t>
      </w:r>
      <w:r>
        <w:rPr>
          <w:spacing w:val="-8"/>
        </w:rPr>
        <w:t> </w:t>
      </w:r>
      <w:r>
        <w:rPr/>
        <w:t>aumento</w:t>
      </w:r>
      <w:r>
        <w:rPr>
          <w:spacing w:val="-8"/>
        </w:rPr>
        <w:t> </w:t>
      </w:r>
      <w:r>
        <w:rPr/>
        <w:t>significativo</w:t>
      </w:r>
      <w:r>
        <w:rPr>
          <w:spacing w:val="-9"/>
        </w:rPr>
        <w:t> </w:t>
      </w:r>
      <w:r>
        <w:rPr/>
        <w:t>de</w:t>
      </w:r>
      <w:r>
        <w:rPr>
          <w:spacing w:val="-9"/>
        </w:rPr>
        <w:t> </w:t>
      </w:r>
      <w:r>
        <w:rPr/>
        <w:t>la</w:t>
      </w:r>
      <w:r>
        <w:rPr>
          <w:spacing w:val="-9"/>
        </w:rPr>
        <w:t> </w:t>
      </w:r>
      <w:r>
        <w:rPr/>
        <w:t>conflictividad</w:t>
      </w:r>
      <w:r>
        <w:rPr>
          <w:spacing w:val="-9"/>
        </w:rPr>
        <w:t> </w:t>
      </w:r>
      <w:r>
        <w:rPr/>
        <w:t>socio-ambiental</w:t>
      </w:r>
      <w:r>
        <w:rPr>
          <w:spacing w:val="-7"/>
        </w:rPr>
        <w:t> </w:t>
      </w:r>
      <w:r>
        <w:rPr/>
        <w:t>(CSA) alrededor del planeta y en particular en la</w:t>
      </w:r>
      <w:r>
        <w:rPr>
          <w:spacing w:val="-10"/>
        </w:rPr>
        <w:t> </w:t>
      </w:r>
      <w:r>
        <w:rPr/>
        <w:t>región.</w:t>
      </w:r>
    </w:p>
    <w:p>
      <w:pPr>
        <w:pStyle w:val="BodyText"/>
        <w:spacing w:line="360" w:lineRule="auto" w:before="206"/>
        <w:ind w:left="1200" w:right="1195"/>
        <w:jc w:val="both"/>
      </w:pPr>
      <w:r>
        <w:rPr/>
        <w:t>La CSA se documenta desde hace pocos años a nivel regional en Centroamérica. El Atlas Mundial de Justicia Ambiental (EJATLAS-</w:t>
      </w:r>
      <w:hyperlink r:id="rId16">
        <w:r>
          <w:rPr>
            <w:color w:val="0000FF"/>
            <w:u w:val="single" w:color="0000FF"/>
          </w:rPr>
          <w:t>http://ejatlas.org</w:t>
        </w:r>
      </w:hyperlink>
      <w:r>
        <w:rPr/>
        <w:t>) ha liderado ese esfuerzo (Temper, et al., 2015). El concepto de conflicto utilizado coincide con lo que Martínez-Alier</w:t>
      </w:r>
      <w:r>
        <w:rPr>
          <w:spacing w:val="-12"/>
        </w:rPr>
        <w:t> </w:t>
      </w:r>
      <w:r>
        <w:rPr/>
        <w:t>llama</w:t>
      </w:r>
      <w:r>
        <w:rPr>
          <w:spacing w:val="-13"/>
        </w:rPr>
        <w:t> </w:t>
      </w:r>
      <w:r>
        <w:rPr/>
        <w:t>Conflictos</w:t>
      </w:r>
      <w:r>
        <w:rPr>
          <w:spacing w:val="-11"/>
        </w:rPr>
        <w:t> </w:t>
      </w:r>
      <w:r>
        <w:rPr/>
        <w:t>Ecológico-Distributivos</w:t>
      </w:r>
      <w:r>
        <w:rPr>
          <w:spacing w:val="-12"/>
        </w:rPr>
        <w:t> </w:t>
      </w:r>
      <w:r>
        <w:rPr/>
        <w:t>(CED).</w:t>
      </w:r>
      <w:r>
        <w:rPr>
          <w:spacing w:val="-10"/>
        </w:rPr>
        <w:t> </w:t>
      </w:r>
      <w:r>
        <w:rPr/>
        <w:t>Se</w:t>
      </w:r>
      <w:r>
        <w:rPr>
          <w:spacing w:val="-13"/>
        </w:rPr>
        <w:t> </w:t>
      </w:r>
      <w:r>
        <w:rPr/>
        <w:t>refiere</w:t>
      </w:r>
      <w:r>
        <w:rPr>
          <w:spacing w:val="-14"/>
        </w:rPr>
        <w:t> </w:t>
      </w:r>
      <w:r>
        <w:rPr/>
        <w:t>a</w:t>
      </w:r>
      <w:r>
        <w:rPr>
          <w:spacing w:val="-13"/>
        </w:rPr>
        <w:t> </w:t>
      </w:r>
      <w:r>
        <w:rPr/>
        <w:t>ellos</w:t>
      </w:r>
      <w:r>
        <w:rPr>
          <w:spacing w:val="-11"/>
        </w:rPr>
        <w:t> </w:t>
      </w:r>
      <w:r>
        <w:rPr/>
        <w:t>como</w:t>
      </w:r>
      <w:r>
        <w:rPr>
          <w:spacing w:val="-13"/>
        </w:rPr>
        <w:t> </w:t>
      </w:r>
      <w:r>
        <w:rPr/>
        <w:t>las luchas</w:t>
      </w:r>
      <w:r>
        <w:rPr>
          <w:spacing w:val="-19"/>
        </w:rPr>
        <w:t> </w:t>
      </w:r>
      <w:r>
        <w:rPr/>
        <w:t>sobre</w:t>
      </w:r>
      <w:r>
        <w:rPr>
          <w:spacing w:val="-20"/>
        </w:rPr>
        <w:t> </w:t>
      </w:r>
      <w:r>
        <w:rPr/>
        <w:t>los</w:t>
      </w:r>
      <w:r>
        <w:rPr>
          <w:spacing w:val="-14"/>
        </w:rPr>
        <w:t> </w:t>
      </w:r>
      <w:r>
        <w:rPr/>
        <w:t>efectos</w:t>
      </w:r>
      <w:r>
        <w:rPr>
          <w:spacing w:val="-18"/>
        </w:rPr>
        <w:t> </w:t>
      </w:r>
      <w:r>
        <w:rPr/>
        <w:t>de</w:t>
      </w:r>
      <w:r>
        <w:rPr>
          <w:spacing w:val="-16"/>
        </w:rPr>
        <w:t> </w:t>
      </w:r>
      <w:r>
        <w:rPr/>
        <w:t>la</w:t>
      </w:r>
      <w:r>
        <w:rPr>
          <w:spacing w:val="-20"/>
        </w:rPr>
        <w:t> </w:t>
      </w:r>
      <w:r>
        <w:rPr/>
        <w:t>contaminación</w:t>
      </w:r>
      <w:r>
        <w:rPr>
          <w:spacing w:val="-20"/>
        </w:rPr>
        <w:t> </w:t>
      </w:r>
      <w:r>
        <w:rPr/>
        <w:t>u</w:t>
      </w:r>
      <w:r>
        <w:rPr>
          <w:spacing w:val="-16"/>
        </w:rPr>
        <w:t> </w:t>
      </w:r>
      <w:r>
        <w:rPr/>
        <w:t>otros</w:t>
      </w:r>
      <w:r>
        <w:rPr>
          <w:spacing w:val="-18"/>
        </w:rPr>
        <w:t> </w:t>
      </w:r>
      <w:r>
        <w:rPr/>
        <w:t>sacrificios</w:t>
      </w:r>
      <w:r>
        <w:rPr>
          <w:spacing w:val="-18"/>
        </w:rPr>
        <w:t> </w:t>
      </w:r>
      <w:r>
        <w:rPr/>
        <w:t>que</w:t>
      </w:r>
      <w:r>
        <w:rPr>
          <w:spacing w:val="-16"/>
        </w:rPr>
        <w:t> </w:t>
      </w:r>
      <w:r>
        <w:rPr/>
        <w:t>se</w:t>
      </w:r>
      <w:r>
        <w:rPr>
          <w:spacing w:val="-16"/>
        </w:rPr>
        <w:t> </w:t>
      </w:r>
      <w:r>
        <w:rPr/>
        <w:t>hacen</w:t>
      </w:r>
      <w:r>
        <w:rPr>
          <w:spacing w:val="-16"/>
        </w:rPr>
        <w:t> </w:t>
      </w:r>
      <w:r>
        <w:rPr/>
        <w:t>para</w:t>
      </w:r>
      <w:r>
        <w:rPr>
          <w:spacing w:val="-20"/>
        </w:rPr>
        <w:t> </w:t>
      </w:r>
      <w:r>
        <w:rPr/>
        <w:t>extraer recursos,</w:t>
      </w:r>
      <w:r>
        <w:rPr>
          <w:spacing w:val="-10"/>
        </w:rPr>
        <w:t> </w:t>
      </w:r>
      <w:r>
        <w:rPr/>
        <w:t>que</w:t>
      </w:r>
      <w:r>
        <w:rPr>
          <w:spacing w:val="-12"/>
        </w:rPr>
        <w:t> </w:t>
      </w:r>
      <w:r>
        <w:rPr/>
        <w:t>se</w:t>
      </w:r>
      <w:r>
        <w:rPr>
          <w:spacing w:val="-13"/>
        </w:rPr>
        <w:t> </w:t>
      </w:r>
      <w:r>
        <w:rPr/>
        <w:t>originan</w:t>
      </w:r>
      <w:r>
        <w:rPr>
          <w:spacing w:val="-12"/>
        </w:rPr>
        <w:t> </w:t>
      </w:r>
      <w:r>
        <w:rPr/>
        <w:t>en</w:t>
      </w:r>
      <w:r>
        <w:rPr>
          <w:spacing w:val="-12"/>
        </w:rPr>
        <w:t> </w:t>
      </w:r>
      <w:r>
        <w:rPr/>
        <w:t>las</w:t>
      </w:r>
      <w:r>
        <w:rPr>
          <w:spacing w:val="-11"/>
        </w:rPr>
        <w:t> </w:t>
      </w:r>
      <w:r>
        <w:rPr/>
        <w:t>inequidades</w:t>
      </w:r>
      <w:r>
        <w:rPr>
          <w:spacing w:val="-10"/>
        </w:rPr>
        <w:t> </w:t>
      </w:r>
      <w:r>
        <w:rPr/>
        <w:t>de</w:t>
      </w:r>
      <w:r>
        <w:rPr>
          <w:spacing w:val="-13"/>
        </w:rPr>
        <w:t> </w:t>
      </w:r>
      <w:r>
        <w:rPr/>
        <w:t>la</w:t>
      </w:r>
      <w:r>
        <w:rPr>
          <w:spacing w:val="-12"/>
        </w:rPr>
        <w:t> </w:t>
      </w:r>
      <w:r>
        <w:rPr/>
        <w:t>distribución</w:t>
      </w:r>
      <w:r>
        <w:rPr>
          <w:spacing w:val="-12"/>
        </w:rPr>
        <w:t> </w:t>
      </w:r>
      <w:r>
        <w:rPr/>
        <w:t>del</w:t>
      </w:r>
      <w:r>
        <w:rPr>
          <w:spacing w:val="-8"/>
        </w:rPr>
        <w:t> </w:t>
      </w:r>
      <w:r>
        <w:rPr/>
        <w:t>Espacio</w:t>
      </w:r>
      <w:r>
        <w:rPr>
          <w:spacing w:val="-12"/>
        </w:rPr>
        <w:t> </w:t>
      </w:r>
      <w:r>
        <w:rPr/>
        <w:t>Ambiental,</w:t>
      </w:r>
      <w:r>
        <w:rPr>
          <w:spacing w:val="-10"/>
        </w:rPr>
        <w:t> </w:t>
      </w:r>
      <w:r>
        <w:rPr/>
        <w:t>en el poder, la titularidad, el uso, y los ingresos económicos por parte de actores sociales en la prevalencia de los lenguajes de valoración monetarios sobre otros lenguajes (Martínez-Alier, 2004; Walter, 2009). El enfoque en estas inequidades caracteriza el surgimiento de la tercera corriente del ambientalismo que reconocen Martínez-Alier y otros:</w:t>
      </w:r>
      <w:r>
        <w:rPr>
          <w:spacing w:val="-10"/>
        </w:rPr>
        <w:t> </w:t>
      </w:r>
      <w:r>
        <w:rPr/>
        <w:t>el</w:t>
      </w:r>
      <w:r>
        <w:rPr>
          <w:spacing w:val="-12"/>
        </w:rPr>
        <w:t> </w:t>
      </w:r>
      <w:r>
        <w:rPr/>
        <w:t>ecologismo</w:t>
      </w:r>
      <w:r>
        <w:rPr>
          <w:spacing w:val="-13"/>
        </w:rPr>
        <w:t> </w:t>
      </w:r>
      <w:r>
        <w:rPr/>
        <w:t>de</w:t>
      </w:r>
      <w:r>
        <w:rPr>
          <w:spacing w:val="-13"/>
        </w:rPr>
        <w:t> </w:t>
      </w:r>
      <w:r>
        <w:rPr/>
        <w:t>los</w:t>
      </w:r>
      <w:r>
        <w:rPr>
          <w:spacing w:val="-10"/>
        </w:rPr>
        <w:t> </w:t>
      </w:r>
      <w:r>
        <w:rPr/>
        <w:t>pobres</w:t>
      </w:r>
      <w:r>
        <w:rPr>
          <w:spacing w:val="-11"/>
        </w:rPr>
        <w:t> </w:t>
      </w:r>
      <w:r>
        <w:rPr/>
        <w:t>o</w:t>
      </w:r>
      <w:r>
        <w:rPr>
          <w:spacing w:val="-13"/>
        </w:rPr>
        <w:t> </w:t>
      </w:r>
      <w:r>
        <w:rPr/>
        <w:t>ambientalismo</w:t>
      </w:r>
      <w:r>
        <w:rPr>
          <w:spacing w:val="-13"/>
        </w:rPr>
        <w:t> </w:t>
      </w:r>
      <w:r>
        <w:rPr/>
        <w:t>social</w:t>
      </w:r>
      <w:r>
        <w:rPr>
          <w:spacing w:val="-9"/>
        </w:rPr>
        <w:t> </w:t>
      </w:r>
      <w:r>
        <w:rPr/>
        <w:t>(Guha.</w:t>
      </w:r>
      <w:r>
        <w:rPr>
          <w:spacing w:val="-10"/>
        </w:rPr>
        <w:t> </w:t>
      </w:r>
      <w:r>
        <w:rPr/>
        <w:t>&amp;</w:t>
      </w:r>
      <w:r>
        <w:rPr>
          <w:spacing w:val="-11"/>
        </w:rPr>
        <w:t> </w:t>
      </w:r>
      <w:r>
        <w:rPr/>
        <w:t>Martínez-Alier,</w:t>
      </w:r>
      <w:r>
        <w:rPr>
          <w:spacing w:val="-10"/>
        </w:rPr>
        <w:t> </w:t>
      </w:r>
      <w:r>
        <w:rPr/>
        <w:t>2000; Martínez-Alier,</w:t>
      </w:r>
      <w:r>
        <w:rPr>
          <w:spacing w:val="-10"/>
        </w:rPr>
        <w:t> </w:t>
      </w:r>
      <w:r>
        <w:rPr/>
        <w:t>2011).</w:t>
      </w:r>
      <w:r>
        <w:rPr>
          <w:spacing w:val="-10"/>
        </w:rPr>
        <w:t> </w:t>
      </w:r>
      <w:r>
        <w:rPr/>
        <w:t>Los</w:t>
      </w:r>
      <w:r>
        <w:rPr>
          <w:spacing w:val="-10"/>
        </w:rPr>
        <w:t> </w:t>
      </w:r>
      <w:r>
        <w:rPr/>
        <w:t>CED</w:t>
      </w:r>
      <w:r>
        <w:rPr>
          <w:spacing w:val="-9"/>
        </w:rPr>
        <w:t> </w:t>
      </w:r>
      <w:r>
        <w:rPr/>
        <w:t>pueden</w:t>
      </w:r>
      <w:r>
        <w:rPr>
          <w:spacing w:val="-13"/>
        </w:rPr>
        <w:t> </w:t>
      </w:r>
      <w:r>
        <w:rPr/>
        <w:t>ser</w:t>
      </w:r>
      <w:r>
        <w:rPr>
          <w:spacing w:val="-10"/>
        </w:rPr>
        <w:t> </w:t>
      </w:r>
      <w:r>
        <w:rPr/>
        <w:t>considerados</w:t>
      </w:r>
      <w:r>
        <w:rPr>
          <w:spacing w:val="-11"/>
        </w:rPr>
        <w:t> </w:t>
      </w:r>
      <w:r>
        <w:rPr/>
        <w:t>como</w:t>
      </w:r>
      <w:r>
        <w:rPr>
          <w:spacing w:val="-12"/>
        </w:rPr>
        <w:t> </w:t>
      </w:r>
      <w:r>
        <w:rPr/>
        <w:t>parte</w:t>
      </w:r>
      <w:r>
        <w:rPr>
          <w:spacing w:val="-13"/>
        </w:rPr>
        <w:t> </w:t>
      </w:r>
      <w:r>
        <w:rPr/>
        <w:t>de</w:t>
      </w:r>
      <w:r>
        <w:rPr>
          <w:spacing w:val="-9"/>
        </w:rPr>
        <w:t> </w:t>
      </w:r>
      <w:r>
        <w:rPr/>
        <w:t>los</w:t>
      </w:r>
      <w:r>
        <w:rPr>
          <w:spacing w:val="-7"/>
        </w:rPr>
        <w:t> </w:t>
      </w:r>
      <w:r>
        <w:rPr/>
        <w:t>procesos</w:t>
      </w:r>
      <w:r>
        <w:rPr>
          <w:spacing w:val="-6"/>
        </w:rPr>
        <w:t> </w:t>
      </w:r>
      <w:r>
        <w:rPr/>
        <w:t>de destrucción creativa que conceptualizó Schumpeter en 1942</w:t>
      </w:r>
      <w:r>
        <w:rPr>
          <w:position w:val="8"/>
          <w:sz w:val="16"/>
        </w:rPr>
        <w:t>5 </w:t>
      </w:r>
      <w:r>
        <w:rPr/>
        <w:t>en tanto facilitan la transformación de los modelos de sociedad, no limitándose a inducir la innovación tecnológica</w:t>
      </w:r>
      <w:r>
        <w:rPr>
          <w:spacing w:val="-14"/>
        </w:rPr>
        <w:t> </w:t>
      </w:r>
      <w:r>
        <w:rPr/>
        <w:t>mediante</w:t>
      </w:r>
      <w:r>
        <w:rPr>
          <w:spacing w:val="-13"/>
        </w:rPr>
        <w:t> </w:t>
      </w:r>
      <w:r>
        <w:rPr/>
        <w:t>la</w:t>
      </w:r>
      <w:r>
        <w:rPr>
          <w:spacing w:val="-13"/>
        </w:rPr>
        <w:t> </w:t>
      </w:r>
      <w:r>
        <w:rPr/>
        <w:t>acción</w:t>
      </w:r>
      <w:r>
        <w:rPr>
          <w:spacing w:val="-13"/>
        </w:rPr>
        <w:t> </w:t>
      </w:r>
      <w:r>
        <w:rPr/>
        <w:t>de</w:t>
      </w:r>
      <w:r>
        <w:rPr>
          <w:spacing w:val="-14"/>
        </w:rPr>
        <w:t> </w:t>
      </w:r>
      <w:r>
        <w:rPr/>
        <w:t>los</w:t>
      </w:r>
      <w:r>
        <w:rPr>
          <w:spacing w:val="-7"/>
        </w:rPr>
        <w:t> </w:t>
      </w:r>
      <w:r>
        <w:rPr/>
        <w:t>consumidores</w:t>
      </w:r>
      <w:r>
        <w:rPr>
          <w:spacing w:val="-12"/>
        </w:rPr>
        <w:t> </w:t>
      </w:r>
      <w:r>
        <w:rPr/>
        <w:t>conforme</w:t>
      </w:r>
      <w:r>
        <w:rPr>
          <w:spacing w:val="-13"/>
        </w:rPr>
        <w:t> </w:t>
      </w:r>
      <w:r>
        <w:rPr/>
        <w:t>lo</w:t>
      </w:r>
      <w:r>
        <w:rPr>
          <w:spacing w:val="-13"/>
        </w:rPr>
        <w:t> </w:t>
      </w:r>
      <w:r>
        <w:rPr/>
        <w:t>proponen</w:t>
      </w:r>
      <w:r>
        <w:rPr>
          <w:spacing w:val="-13"/>
        </w:rPr>
        <w:t> </w:t>
      </w:r>
      <w:r>
        <w:rPr/>
        <w:t>ciertas</w:t>
      </w:r>
      <w:r>
        <w:rPr>
          <w:spacing w:val="-12"/>
        </w:rPr>
        <w:t> </w:t>
      </w:r>
      <w:r>
        <w:rPr/>
        <w:t>ramas de la economía hoy día sino planteando procesos de innovación social profunda (Ayestarán, 2011) que generan alternativas de cambio o evolución frente a las condiciones estructurales que provocan la injusticia ambiental y por ello afectan profundamente la estabilidad social (Kallis, et al., 2012; Kitgaard &amp; Krall,</w:t>
      </w:r>
      <w:r>
        <w:rPr>
          <w:spacing w:val="-13"/>
        </w:rPr>
        <w:t> </w:t>
      </w:r>
      <w:r>
        <w:rPr/>
        <w:t>2012).</w:t>
      </w:r>
    </w:p>
    <w:p>
      <w:pPr>
        <w:pStyle w:val="BodyText"/>
        <w:spacing w:line="362" w:lineRule="auto" w:before="195"/>
        <w:ind w:left="1200" w:right="1206"/>
        <w:jc w:val="both"/>
      </w:pPr>
      <w:r>
        <w:rPr/>
        <w:t>El concepto de justicia ambiental que se utiliza en el Atlas y se adopta aquí parte de la noción desarrollada a partir de varios movimientos sociales en los EEUU entre los</w:t>
      </w:r>
      <w:r>
        <w:rPr>
          <w:spacing w:val="5"/>
        </w:rPr>
        <w:t> </w:t>
      </w:r>
      <w:r>
        <w:rPr/>
        <w:t>años</w:t>
      </w:r>
    </w:p>
    <w:p>
      <w:pPr>
        <w:pStyle w:val="BodyText"/>
        <w:spacing w:line="360" w:lineRule="auto"/>
        <w:ind w:left="1200" w:right="1198"/>
        <w:jc w:val="both"/>
      </w:pPr>
      <w:r>
        <w:rPr/>
        <w:t>70 y 80 como resultado de movimientos populares en contra de la ubicación de vertederos de desechos tóxicos en áreas habitadas por minorías raciales o clases sociales de poca afluencia económica. Producto de estos movimientos la Agencia de Protección</w:t>
      </w:r>
      <w:r>
        <w:rPr>
          <w:spacing w:val="-7"/>
        </w:rPr>
        <w:t> </w:t>
      </w:r>
      <w:r>
        <w:rPr/>
        <w:t>Ambiental</w:t>
      </w:r>
      <w:r>
        <w:rPr>
          <w:spacing w:val="-6"/>
        </w:rPr>
        <w:t> </w:t>
      </w:r>
      <w:r>
        <w:rPr/>
        <w:t>(EPA)</w:t>
      </w:r>
      <w:r>
        <w:rPr>
          <w:spacing w:val="-5"/>
        </w:rPr>
        <w:t> </w:t>
      </w:r>
      <w:r>
        <w:rPr/>
        <w:t>de</w:t>
      </w:r>
      <w:r>
        <w:rPr>
          <w:spacing w:val="-7"/>
        </w:rPr>
        <w:t> </w:t>
      </w:r>
      <w:r>
        <w:rPr/>
        <w:t>los</w:t>
      </w:r>
      <w:r>
        <w:rPr>
          <w:spacing w:val="-5"/>
        </w:rPr>
        <w:t> </w:t>
      </w:r>
      <w:r>
        <w:rPr/>
        <w:t>EEUU</w:t>
      </w:r>
      <w:r>
        <w:rPr>
          <w:spacing w:val="-6"/>
        </w:rPr>
        <w:t> </w:t>
      </w:r>
      <w:r>
        <w:rPr/>
        <w:t>ha</w:t>
      </w:r>
      <w:r>
        <w:rPr>
          <w:spacing w:val="-7"/>
        </w:rPr>
        <w:t> </w:t>
      </w:r>
      <w:r>
        <w:rPr/>
        <w:t>llegado</w:t>
      </w:r>
      <w:r>
        <w:rPr>
          <w:spacing w:val="-6"/>
        </w:rPr>
        <w:t> </w:t>
      </w:r>
      <w:r>
        <w:rPr/>
        <w:t>a</w:t>
      </w:r>
      <w:r>
        <w:rPr>
          <w:spacing w:val="-7"/>
        </w:rPr>
        <w:t> </w:t>
      </w:r>
      <w:r>
        <w:rPr/>
        <w:t>aceptar</w:t>
      </w:r>
      <w:r>
        <w:rPr>
          <w:spacing w:val="-5"/>
        </w:rPr>
        <w:t> </w:t>
      </w:r>
      <w:r>
        <w:rPr/>
        <w:t>que</w:t>
      </w:r>
      <w:r>
        <w:rPr>
          <w:spacing w:val="-7"/>
        </w:rPr>
        <w:t> </w:t>
      </w:r>
      <w:r>
        <w:rPr/>
        <w:t>se</w:t>
      </w:r>
      <w:r>
        <w:rPr>
          <w:spacing w:val="-7"/>
        </w:rPr>
        <w:t> </w:t>
      </w:r>
      <w:r>
        <w:rPr/>
        <w:t>entiende</w:t>
      </w:r>
      <w:r>
        <w:rPr>
          <w:spacing w:val="-7"/>
        </w:rPr>
        <w:t> </w:t>
      </w:r>
      <w:r>
        <w:rPr/>
        <w:t>en</w:t>
      </w:r>
      <w:r>
        <w:rPr>
          <w:spacing w:val="-3"/>
        </w:rPr>
        <w:t> </w:t>
      </w:r>
      <w:r>
        <w:rPr/>
        <w:t>estos contextos</w:t>
      </w:r>
      <w:r>
        <w:rPr>
          <w:spacing w:val="-3"/>
        </w:rPr>
        <w:t> </w:t>
      </w:r>
      <w:r>
        <w:rPr/>
        <w:t>la</w:t>
      </w:r>
      <w:r>
        <w:rPr>
          <w:spacing w:val="-5"/>
        </w:rPr>
        <w:t> </w:t>
      </w:r>
      <w:r>
        <w:rPr/>
        <w:t>justicia</w:t>
      </w:r>
      <w:r>
        <w:rPr>
          <w:spacing w:val="-5"/>
        </w:rPr>
        <w:t> </w:t>
      </w:r>
      <w:r>
        <w:rPr/>
        <w:t>ambiental</w:t>
      </w:r>
      <w:r>
        <w:rPr>
          <w:spacing w:val="-4"/>
        </w:rPr>
        <w:t> </w:t>
      </w:r>
      <w:r>
        <w:rPr/>
        <w:t>como</w:t>
      </w:r>
      <w:r>
        <w:rPr>
          <w:spacing w:val="-1"/>
        </w:rPr>
        <w:t> </w:t>
      </w:r>
      <w:r>
        <w:rPr/>
        <w:t>el</w:t>
      </w:r>
      <w:r>
        <w:rPr>
          <w:spacing w:val="-1"/>
        </w:rPr>
        <w:t> </w:t>
      </w:r>
      <w:r>
        <w:rPr/>
        <w:t>trato</w:t>
      </w:r>
      <w:r>
        <w:rPr>
          <w:spacing w:val="-5"/>
        </w:rPr>
        <w:t> </w:t>
      </w:r>
      <w:r>
        <w:rPr/>
        <w:t>justo</w:t>
      </w:r>
      <w:r>
        <w:rPr>
          <w:spacing w:val="-5"/>
        </w:rPr>
        <w:t> </w:t>
      </w:r>
      <w:r>
        <w:rPr/>
        <w:t>y</w:t>
      </w:r>
      <w:r>
        <w:rPr>
          <w:spacing w:val="-7"/>
        </w:rPr>
        <w:t> </w:t>
      </w:r>
      <w:r>
        <w:rPr/>
        <w:t>la</w:t>
      </w:r>
      <w:r>
        <w:rPr>
          <w:spacing w:val="-5"/>
        </w:rPr>
        <w:t> </w:t>
      </w:r>
      <w:r>
        <w:rPr/>
        <w:t>participación</w:t>
      </w:r>
      <w:r>
        <w:rPr>
          <w:spacing w:val="-5"/>
        </w:rPr>
        <w:t> </w:t>
      </w:r>
      <w:r>
        <w:rPr/>
        <w:t>significativa</w:t>
      </w:r>
      <w:r>
        <w:rPr>
          <w:spacing w:val="-4"/>
        </w:rPr>
        <w:t> </w:t>
      </w:r>
      <w:r>
        <w:rPr/>
        <w:t>de</w:t>
      </w:r>
      <w:r>
        <w:rPr>
          <w:spacing w:val="-5"/>
        </w:rPr>
        <w:t> </w:t>
      </w:r>
      <w:r>
        <w:rPr/>
        <w:t>todas</w:t>
      </w:r>
    </w:p>
    <w:p>
      <w:pPr>
        <w:pStyle w:val="BodyText"/>
        <w:spacing w:before="9"/>
        <w:rPr>
          <w:sz w:val="10"/>
        </w:rPr>
      </w:pPr>
      <w:r>
        <w:rPr/>
        <w:pict>
          <v:rect style="position:absolute;margin-left:72.025002pt;margin-top:8.181191pt;width:144.050pt;height:.599980pt;mso-position-horizontal-relative:page;mso-position-vertical-relative:paragraph;z-index:-15723520;mso-wrap-distance-left:0;mso-wrap-distance-right:0" filled="true" fillcolor="#000000" stroked="false">
            <v:fill type="solid"/>
            <w10:wrap type="topAndBottom"/>
          </v:rect>
        </w:pict>
      </w:r>
    </w:p>
    <w:p>
      <w:pPr>
        <w:spacing w:line="240" w:lineRule="auto" w:before="71"/>
        <w:ind w:left="1200" w:right="1516" w:firstLine="0"/>
        <w:jc w:val="both"/>
        <w:rPr>
          <w:sz w:val="20"/>
        </w:rPr>
      </w:pPr>
      <w:r>
        <w:rPr>
          <w:sz w:val="20"/>
          <w:vertAlign w:val="superscript"/>
        </w:rPr>
        <w:t>5</w:t>
      </w:r>
      <w:r>
        <w:rPr>
          <w:sz w:val="20"/>
          <w:vertAlign w:val="baseline"/>
        </w:rPr>
        <w:t> Schumpeter lo caracteriza </w:t>
      </w:r>
      <w:r>
        <w:rPr>
          <w:spacing w:val="-3"/>
          <w:sz w:val="20"/>
          <w:vertAlign w:val="baseline"/>
        </w:rPr>
        <w:t>como </w:t>
      </w:r>
      <w:r>
        <w:rPr>
          <w:sz w:val="20"/>
          <w:vertAlign w:val="baseline"/>
        </w:rPr>
        <w:t>el proceso de cambio que incesantemente revoluciona la estructura económica</w:t>
      </w:r>
      <w:r>
        <w:rPr>
          <w:spacing w:val="-3"/>
          <w:sz w:val="20"/>
          <w:vertAlign w:val="baseline"/>
        </w:rPr>
        <w:t> </w:t>
      </w:r>
      <w:r>
        <w:rPr>
          <w:sz w:val="20"/>
          <w:vertAlign w:val="baseline"/>
        </w:rPr>
        <w:t>desde</w:t>
      </w:r>
      <w:r>
        <w:rPr>
          <w:spacing w:val="-3"/>
          <w:sz w:val="20"/>
          <w:vertAlign w:val="baseline"/>
        </w:rPr>
        <w:t> </w:t>
      </w:r>
      <w:r>
        <w:rPr>
          <w:sz w:val="20"/>
          <w:vertAlign w:val="baseline"/>
        </w:rPr>
        <w:t>dentro,</w:t>
      </w:r>
      <w:r>
        <w:rPr>
          <w:spacing w:val="-3"/>
          <w:sz w:val="20"/>
          <w:vertAlign w:val="baseline"/>
        </w:rPr>
        <w:t> </w:t>
      </w:r>
      <w:r>
        <w:rPr>
          <w:sz w:val="20"/>
          <w:vertAlign w:val="baseline"/>
        </w:rPr>
        <w:t>destruyendo</w:t>
      </w:r>
      <w:r>
        <w:rPr>
          <w:spacing w:val="-7"/>
          <w:sz w:val="20"/>
          <w:vertAlign w:val="baseline"/>
        </w:rPr>
        <w:t> </w:t>
      </w:r>
      <w:r>
        <w:rPr>
          <w:sz w:val="20"/>
          <w:vertAlign w:val="baseline"/>
        </w:rPr>
        <w:t>la</w:t>
      </w:r>
      <w:r>
        <w:rPr>
          <w:spacing w:val="-3"/>
          <w:sz w:val="20"/>
          <w:vertAlign w:val="baseline"/>
        </w:rPr>
        <w:t> </w:t>
      </w:r>
      <w:r>
        <w:rPr>
          <w:sz w:val="20"/>
          <w:vertAlign w:val="baseline"/>
        </w:rPr>
        <w:t>vieja</w:t>
      </w:r>
      <w:r>
        <w:rPr>
          <w:spacing w:val="-2"/>
          <w:sz w:val="20"/>
          <w:vertAlign w:val="baseline"/>
        </w:rPr>
        <w:t> </w:t>
      </w:r>
      <w:r>
        <w:rPr>
          <w:sz w:val="20"/>
          <w:vertAlign w:val="baseline"/>
        </w:rPr>
        <w:t>y</w:t>
      </w:r>
      <w:r>
        <w:rPr>
          <w:spacing w:val="-3"/>
          <w:sz w:val="20"/>
          <w:vertAlign w:val="baseline"/>
        </w:rPr>
        <w:t> </w:t>
      </w:r>
      <w:r>
        <w:rPr>
          <w:sz w:val="20"/>
          <w:vertAlign w:val="baseline"/>
        </w:rPr>
        <w:t>creando</w:t>
      </w:r>
      <w:r>
        <w:rPr>
          <w:spacing w:val="-3"/>
          <w:sz w:val="20"/>
          <w:vertAlign w:val="baseline"/>
        </w:rPr>
        <w:t> </w:t>
      </w:r>
      <w:r>
        <w:rPr>
          <w:sz w:val="20"/>
          <w:vertAlign w:val="baseline"/>
        </w:rPr>
        <w:t>una</w:t>
      </w:r>
      <w:r>
        <w:rPr>
          <w:spacing w:val="-6"/>
          <w:sz w:val="20"/>
          <w:vertAlign w:val="baseline"/>
        </w:rPr>
        <w:t> </w:t>
      </w:r>
      <w:r>
        <w:rPr>
          <w:sz w:val="20"/>
          <w:vertAlign w:val="baseline"/>
        </w:rPr>
        <w:t>nueva</w:t>
      </w:r>
      <w:r>
        <w:rPr>
          <w:spacing w:val="-3"/>
          <w:sz w:val="20"/>
          <w:vertAlign w:val="baseline"/>
        </w:rPr>
        <w:t> </w:t>
      </w:r>
      <w:r>
        <w:rPr>
          <w:sz w:val="20"/>
          <w:vertAlign w:val="baseline"/>
        </w:rPr>
        <w:t>en</w:t>
      </w:r>
      <w:r>
        <w:rPr>
          <w:spacing w:val="-2"/>
          <w:sz w:val="20"/>
          <w:vertAlign w:val="baseline"/>
        </w:rPr>
        <w:t> </w:t>
      </w:r>
      <w:r>
        <w:rPr>
          <w:sz w:val="20"/>
          <w:vertAlign w:val="baseline"/>
        </w:rPr>
        <w:t>su</w:t>
      </w:r>
      <w:r>
        <w:rPr>
          <w:spacing w:val="-2"/>
          <w:sz w:val="20"/>
          <w:vertAlign w:val="baseline"/>
        </w:rPr>
        <w:t> </w:t>
      </w:r>
      <w:r>
        <w:rPr>
          <w:sz w:val="20"/>
          <w:vertAlign w:val="baseline"/>
        </w:rPr>
        <w:t>obra</w:t>
      </w:r>
      <w:r>
        <w:rPr>
          <w:spacing w:val="-3"/>
          <w:sz w:val="20"/>
          <w:vertAlign w:val="baseline"/>
        </w:rPr>
        <w:t> </w:t>
      </w:r>
      <w:r>
        <w:rPr>
          <w:sz w:val="20"/>
          <w:vertAlign w:val="baseline"/>
        </w:rPr>
        <w:t>editada</w:t>
      </w:r>
      <w:r>
        <w:rPr>
          <w:spacing w:val="-3"/>
          <w:sz w:val="20"/>
          <w:vertAlign w:val="baseline"/>
        </w:rPr>
        <w:t> </w:t>
      </w:r>
      <w:r>
        <w:rPr>
          <w:sz w:val="20"/>
          <w:vertAlign w:val="baseline"/>
        </w:rPr>
        <w:t>repetidamente hasta hoy día “Capitalismo, Socialismo y Democracia” (Schumpeter,</w:t>
      </w:r>
      <w:r>
        <w:rPr>
          <w:spacing w:val="1"/>
          <w:sz w:val="20"/>
          <w:vertAlign w:val="baseline"/>
        </w:rPr>
        <w:t> </w:t>
      </w:r>
      <w:r>
        <w:rPr>
          <w:sz w:val="20"/>
          <w:vertAlign w:val="baseline"/>
        </w:rPr>
        <w:t>2012).</w:t>
      </w:r>
    </w:p>
    <w:p>
      <w:pPr>
        <w:spacing w:after="0" w:line="240" w:lineRule="auto"/>
        <w:jc w:val="both"/>
        <w:rPr>
          <w:sz w:val="20"/>
        </w:rPr>
        <w:sectPr>
          <w:pgSz w:w="12240" w:h="15840"/>
          <w:pgMar w:header="0" w:footer="1062" w:top="1360" w:bottom="1260" w:left="240" w:right="240"/>
        </w:sectPr>
      </w:pPr>
    </w:p>
    <w:p>
      <w:pPr>
        <w:pStyle w:val="BodyText"/>
        <w:spacing w:line="360" w:lineRule="auto" w:before="79"/>
        <w:ind w:left="1200" w:right="1198"/>
        <w:jc w:val="both"/>
      </w:pPr>
      <w:r>
        <w:rPr/>
        <w:t>las</w:t>
      </w:r>
      <w:r>
        <w:rPr>
          <w:spacing w:val="-7"/>
        </w:rPr>
        <w:t> </w:t>
      </w:r>
      <w:r>
        <w:rPr/>
        <w:t>personas</w:t>
      </w:r>
      <w:r>
        <w:rPr>
          <w:spacing w:val="-7"/>
        </w:rPr>
        <w:t> </w:t>
      </w:r>
      <w:r>
        <w:rPr/>
        <w:t>sin</w:t>
      </w:r>
      <w:r>
        <w:rPr>
          <w:spacing w:val="-9"/>
        </w:rPr>
        <w:t> </w:t>
      </w:r>
      <w:r>
        <w:rPr/>
        <w:t>distinción</w:t>
      </w:r>
      <w:r>
        <w:rPr>
          <w:spacing w:val="-9"/>
        </w:rPr>
        <w:t> </w:t>
      </w:r>
      <w:r>
        <w:rPr/>
        <w:t>de</w:t>
      </w:r>
      <w:r>
        <w:rPr>
          <w:spacing w:val="-8"/>
        </w:rPr>
        <w:t> </w:t>
      </w:r>
      <w:r>
        <w:rPr/>
        <w:t>raza,</w:t>
      </w:r>
      <w:r>
        <w:rPr>
          <w:spacing w:val="-6"/>
        </w:rPr>
        <w:t> </w:t>
      </w:r>
      <w:r>
        <w:rPr/>
        <w:t>color,</w:t>
      </w:r>
      <w:r>
        <w:rPr>
          <w:spacing w:val="-6"/>
        </w:rPr>
        <w:t> </w:t>
      </w:r>
      <w:r>
        <w:rPr/>
        <w:t>origen</w:t>
      </w:r>
      <w:r>
        <w:rPr>
          <w:spacing w:val="-9"/>
        </w:rPr>
        <w:t> </w:t>
      </w:r>
      <w:r>
        <w:rPr/>
        <w:t>o</w:t>
      </w:r>
      <w:r>
        <w:rPr>
          <w:spacing w:val="-9"/>
        </w:rPr>
        <w:t> </w:t>
      </w:r>
      <w:r>
        <w:rPr/>
        <w:t>ingresos</w:t>
      </w:r>
      <w:r>
        <w:rPr>
          <w:spacing w:val="-7"/>
        </w:rPr>
        <w:t> </w:t>
      </w:r>
      <w:r>
        <w:rPr/>
        <w:t>en</w:t>
      </w:r>
      <w:r>
        <w:rPr>
          <w:spacing w:val="-8"/>
        </w:rPr>
        <w:t> </w:t>
      </w:r>
      <w:r>
        <w:rPr/>
        <w:t>relación</w:t>
      </w:r>
      <w:r>
        <w:rPr>
          <w:spacing w:val="-9"/>
        </w:rPr>
        <w:t> </w:t>
      </w:r>
      <w:r>
        <w:rPr/>
        <w:t>con</w:t>
      </w:r>
      <w:r>
        <w:rPr>
          <w:spacing w:val="-9"/>
        </w:rPr>
        <w:t> </w:t>
      </w:r>
      <w:r>
        <w:rPr/>
        <w:t>el</w:t>
      </w:r>
      <w:r>
        <w:rPr>
          <w:spacing w:val="-8"/>
        </w:rPr>
        <w:t> </w:t>
      </w:r>
      <w:r>
        <w:rPr/>
        <w:t>desarrollo, la implementación y el cumplimiento de leyes, reglamentos y políticas en materia socio- ambiental (Nicole, 2013; Ramírez, et al., 2015; Martinez-Alier, et al., 2016). La importancia</w:t>
      </w:r>
      <w:r>
        <w:rPr>
          <w:spacing w:val="-12"/>
        </w:rPr>
        <w:t> </w:t>
      </w:r>
      <w:r>
        <w:rPr/>
        <w:t>de</w:t>
      </w:r>
      <w:r>
        <w:rPr>
          <w:spacing w:val="-11"/>
        </w:rPr>
        <w:t> </w:t>
      </w:r>
      <w:r>
        <w:rPr/>
        <w:t>su</w:t>
      </w:r>
      <w:r>
        <w:rPr>
          <w:spacing w:val="-12"/>
        </w:rPr>
        <w:t> </w:t>
      </w:r>
      <w:r>
        <w:rPr/>
        <w:t>consideración</w:t>
      </w:r>
      <w:r>
        <w:rPr>
          <w:spacing w:val="-11"/>
        </w:rPr>
        <w:t> </w:t>
      </w:r>
      <w:r>
        <w:rPr/>
        <w:t>hoy</w:t>
      </w:r>
      <w:r>
        <w:rPr>
          <w:spacing w:val="-14"/>
        </w:rPr>
        <w:t> </w:t>
      </w:r>
      <w:r>
        <w:rPr/>
        <w:t>día</w:t>
      </w:r>
      <w:r>
        <w:rPr>
          <w:spacing w:val="-11"/>
        </w:rPr>
        <w:t> </w:t>
      </w:r>
      <w:r>
        <w:rPr/>
        <w:t>ha</w:t>
      </w:r>
      <w:r>
        <w:rPr>
          <w:spacing w:val="-12"/>
        </w:rPr>
        <w:t> </w:t>
      </w:r>
      <w:r>
        <w:rPr/>
        <w:t>sido</w:t>
      </w:r>
      <w:r>
        <w:rPr>
          <w:spacing w:val="-11"/>
        </w:rPr>
        <w:t> </w:t>
      </w:r>
      <w:r>
        <w:rPr/>
        <w:t>reafirmada</w:t>
      </w:r>
      <w:r>
        <w:rPr>
          <w:spacing w:val="-12"/>
        </w:rPr>
        <w:t> </w:t>
      </w:r>
      <w:r>
        <w:rPr/>
        <w:t>por</w:t>
      </w:r>
      <w:r>
        <w:rPr>
          <w:spacing w:val="-5"/>
        </w:rPr>
        <w:t> </w:t>
      </w:r>
      <w:r>
        <w:rPr/>
        <w:t>diferentes</w:t>
      </w:r>
      <w:r>
        <w:rPr>
          <w:spacing w:val="-10"/>
        </w:rPr>
        <w:t> </w:t>
      </w:r>
      <w:r>
        <w:rPr/>
        <w:t>foros</w:t>
      </w:r>
      <w:r>
        <w:rPr>
          <w:spacing w:val="-10"/>
        </w:rPr>
        <w:t> </w:t>
      </w:r>
      <w:r>
        <w:rPr/>
        <w:t>y</w:t>
      </w:r>
      <w:r>
        <w:rPr>
          <w:spacing w:val="-13"/>
        </w:rPr>
        <w:t> </w:t>
      </w:r>
      <w:r>
        <w:rPr/>
        <w:t>líderes de opinión mundial, como es el caso de la Encíclica Laudato Si en la que el Papa Francisco plantea que la noción del bien común, dentro de la cual la justicia distributiva se encuentra como requisito del logro de la paz social, es parte del enfoque de ecología integral que prescribe como camino para el cuidado de nuestro planeta</w:t>
      </w:r>
      <w:r>
        <w:rPr>
          <w:position w:val="8"/>
          <w:sz w:val="16"/>
        </w:rPr>
        <w:t>6 </w:t>
      </w:r>
      <w:r>
        <w:rPr/>
        <w:t>(Francisco, 2015).</w:t>
      </w:r>
    </w:p>
    <w:p>
      <w:pPr>
        <w:pStyle w:val="BodyText"/>
        <w:spacing w:line="360" w:lineRule="auto" w:before="194"/>
        <w:ind w:left="1200" w:right="1195"/>
        <w:jc w:val="both"/>
      </w:pPr>
      <w:r>
        <w:rPr/>
        <w:pict>
          <v:group style="position:absolute;margin-left:157.479996pt;margin-top:97.68589pt;width:301.350pt;height:83.2pt;mso-position-horizontal-relative:page;mso-position-vertical-relative:paragraph;z-index:-30040576" coordorigin="3150,1954" coordsize="6027,1664">
            <v:shape style="position:absolute;left:3149;top:2133;width:6007;height:1176" coordorigin="3150,2134" coordsize="6007,1176" path="m3150,3310l9157,3310m3150,3014l9157,3014m3150,2426l9157,2426m3150,2134l9157,2134e" filled="false" stroked="true" strokeweight=".75pt" strokecolor="#dfe4eb">
              <v:path arrowok="t"/>
              <v:stroke dashstyle="solid"/>
            </v:shape>
            <v:shape style="position:absolute;left:3268;top:1953;width:5765;height:1664" type="#_x0000_t75" stroked="false">
              <v:imagedata r:id="rId17" o:title=""/>
            </v:shape>
            <v:shape style="position:absolute;left:3268;top:1985;width:509;height:1632" type="#_x0000_t75" stroked="false">
              <v:imagedata r:id="rId18" o:title=""/>
            </v:shape>
            <v:shape style="position:absolute;left:4020;top:2501;width:509;height:1116" type="#_x0000_t75" stroked="false">
              <v:imagedata r:id="rId19" o:title=""/>
            </v:shape>
            <v:shape style="position:absolute;left:4772;top:2573;width:509;height:1044" type="#_x0000_t75" stroked="false">
              <v:imagedata r:id="rId20" o:title=""/>
            </v:shape>
            <v:shape style="position:absolute;left:5520;top:2793;width:509;height:824" type="#_x0000_t75" stroked="false">
              <v:imagedata r:id="rId21" o:title=""/>
            </v:shape>
            <v:shape style="position:absolute;left:6272;top:3005;width:509;height:612" type="#_x0000_t75" stroked="false">
              <v:imagedata r:id="rId22" o:title=""/>
            </v:shape>
            <v:shape style="position:absolute;left:7024;top:3149;width:509;height:468" type="#_x0000_t75" stroked="false">
              <v:imagedata r:id="rId23" o:title=""/>
            </v:shape>
            <v:shape style="position:absolute;left:7776;top:3361;width:505;height:256" type="#_x0000_t75" stroked="false">
              <v:imagedata r:id="rId24" o:title=""/>
            </v:shape>
            <v:shape style="position:absolute;left:8524;top:3501;width:509;height:116" type="#_x0000_t75" stroked="false">
              <v:imagedata r:id="rId25" o:title=""/>
            </v:shape>
            <v:shape style="position:absolute;left:3337;top:2050;width:376;height:1555" type="#_x0000_t75" stroked="false">
              <v:imagedata r:id="rId26" o:title=""/>
            </v:shape>
            <v:shape style="position:absolute;left:4088;top:2544;width:376;height:1060" type="#_x0000_t75" stroked="false">
              <v:imagedata r:id="rId27" o:title=""/>
            </v:shape>
            <v:shape style="position:absolute;left:4839;top:2615;width:376;height:990" type="#_x0000_t75" stroked="false">
              <v:imagedata r:id="rId28" o:title=""/>
            </v:shape>
            <v:shape style="position:absolute;left:6340;top:3039;width:376;height:566" type="#_x0000_t75" stroked="false">
              <v:imagedata r:id="rId29" o:title=""/>
            </v:shape>
            <v:shape style="position:absolute;left:5590;top:2827;width:376;height:778" type="#_x0000_t75" stroked="false">
              <v:imagedata r:id="rId30" o:title=""/>
            </v:shape>
            <v:shape style="position:absolute;left:7091;top:3180;width:376;height:424" type="#_x0000_t75" stroked="false">
              <v:imagedata r:id="rId31" o:title=""/>
            </v:shape>
            <v:shape style="position:absolute;left:7842;top:3392;width:376;height:212" type="#_x0000_t75" stroked="false">
              <v:imagedata r:id="rId32" o:title=""/>
            </v:shape>
            <v:line style="position:absolute" from="3150,3604" to="9157,3604" stroked="true" strokeweight=".75pt" strokecolor="#dfe4eb">
              <v:stroke dashstyle="solid"/>
            </v:line>
            <v:shape style="position:absolute;left:4044;top:2126;width:1228;height:211" type="#_x0000_t202" filled="false" stroked="false">
              <v:textbox inset="0,0,0,0">
                <w:txbxContent>
                  <w:p>
                    <w:pPr>
                      <w:tabs>
                        <w:tab w:pos="759" w:val="left" w:leader="none"/>
                      </w:tabs>
                      <w:spacing w:line="187" w:lineRule="auto" w:before="0"/>
                      <w:ind w:left="0" w:right="0" w:firstLine="0"/>
                      <w:jc w:val="left"/>
                      <w:rPr>
                        <w:rFonts w:ascii="Carlito"/>
                        <w:sz w:val="18"/>
                      </w:rPr>
                    </w:pPr>
                    <w:r>
                      <w:rPr>
                        <w:rFonts w:ascii="Carlito"/>
                        <w:color w:val="44536A"/>
                        <w:sz w:val="18"/>
                      </w:rPr>
                      <w:t>18.8%</w:t>
                      <w:tab/>
                    </w:r>
                    <w:r>
                      <w:rPr>
                        <w:rFonts w:ascii="Carlito"/>
                        <w:color w:val="44536A"/>
                        <w:position w:val="-2"/>
                        <w:sz w:val="18"/>
                      </w:rPr>
                      <w:t>17.5%</w:t>
                    </w:r>
                  </w:p>
                </w:txbxContent>
              </v:textbox>
              <w10:wrap type="none"/>
            </v:shape>
            <v:shape style="position:absolute;left:3149;top:2401;width:6027;height:401" type="#_x0000_t202" filled="false" stroked="false">
              <v:textbox inset="0,0,0,0">
                <w:txbxContent>
                  <w:p>
                    <w:pPr>
                      <w:spacing w:line="183" w:lineRule="exact" w:before="0"/>
                      <w:ind w:left="2386" w:right="3152" w:firstLine="0"/>
                      <w:jc w:val="center"/>
                      <w:rPr>
                        <w:rFonts w:ascii="Carlito"/>
                        <w:sz w:val="18"/>
                      </w:rPr>
                    </w:pPr>
                    <w:r>
                      <w:rPr>
                        <w:rFonts w:ascii="Carlito"/>
                        <w:color w:val="44536A"/>
                        <w:sz w:val="18"/>
                      </w:rPr>
                      <w:t>13.8%</w:t>
                    </w:r>
                  </w:p>
                  <w:p>
                    <w:pPr>
                      <w:tabs>
                        <w:tab w:pos="3156" w:val="left" w:leader="none"/>
                        <w:tab w:pos="6006" w:val="left" w:leader="none"/>
                      </w:tabs>
                      <w:spacing w:line="216" w:lineRule="exact" w:before="0"/>
                      <w:ind w:left="-1" w:right="18" w:firstLine="0"/>
                      <w:jc w:val="center"/>
                      <w:rPr>
                        <w:rFonts w:ascii="Carlito"/>
                        <w:sz w:val="18"/>
                      </w:rPr>
                    </w:pPr>
                    <w:r>
                      <w:rPr>
                        <w:rFonts w:ascii="Carlito"/>
                        <w:strike/>
                        <w:color w:val="44536A"/>
                        <w:sz w:val="18"/>
                      </w:rPr>
                      <w:t> </w:t>
                      <w:tab/>
                      <w:t>10.0%</w:t>
                      <w:tab/>
                    </w:r>
                  </w:p>
                </w:txbxContent>
              </v:textbox>
              <w10:wrap type="none"/>
            </v:shape>
            <v:shape style="position:absolute;left:3433;top:2756;width:4044;height:201" type="#_x0000_t202" filled="false" stroked="false">
              <v:textbox inset="0,0,0,0">
                <w:txbxContent>
                  <w:p>
                    <w:pPr>
                      <w:tabs>
                        <w:tab w:pos="3667" w:val="left" w:leader="none"/>
                      </w:tabs>
                      <w:spacing w:line="201" w:lineRule="exact" w:before="0"/>
                      <w:ind w:left="0" w:right="0" w:firstLine="0"/>
                      <w:jc w:val="left"/>
                      <w:rPr>
                        <w:rFonts w:ascii="Carlito"/>
                        <w:sz w:val="18"/>
                      </w:rPr>
                    </w:pPr>
                    <w:r>
                      <w:rPr>
                        <w:rFonts w:ascii="Carlito"/>
                        <w:color w:val="44536A"/>
                        <w:position w:val="2"/>
                        <w:sz w:val="18"/>
                      </w:rPr>
                      <w:t>22</w:t>
                      <w:tab/>
                    </w:r>
                    <w:r>
                      <w:rPr>
                        <w:rFonts w:ascii="Carlito"/>
                        <w:color w:val="44536A"/>
                        <w:sz w:val="18"/>
                      </w:rPr>
                      <w:t>7.5%</w:t>
                    </w:r>
                  </w:p>
                </w:txbxContent>
              </v:textbox>
              <w10:wrap type="none"/>
            </v:shape>
            <v:shape style="position:absolute;left:4184;top:3003;width:204;height:180" type="#_x0000_t202" filled="false" stroked="false">
              <v:textbox inset="0,0,0,0">
                <w:txbxContent>
                  <w:p>
                    <w:pPr>
                      <w:spacing w:line="180" w:lineRule="exact" w:before="0"/>
                      <w:ind w:left="0" w:right="0" w:firstLine="0"/>
                      <w:jc w:val="left"/>
                      <w:rPr>
                        <w:rFonts w:ascii="Carlito"/>
                        <w:sz w:val="18"/>
                      </w:rPr>
                    </w:pPr>
                    <w:r>
                      <w:rPr>
                        <w:rFonts w:ascii="Carlito"/>
                        <w:color w:val="44536A"/>
                        <w:sz w:val="18"/>
                      </w:rPr>
                      <w:t>15</w:t>
                    </w:r>
                  </w:p>
                </w:txbxContent>
              </v:textbox>
              <w10:wrap type="none"/>
            </v:shape>
            <v:shape style="position:absolute;left:4936;top:3038;width:204;height:180" type="#_x0000_t202" filled="false" stroked="false">
              <v:textbox inset="0,0,0,0">
                <w:txbxContent>
                  <w:p>
                    <w:pPr>
                      <w:spacing w:line="180" w:lineRule="exact" w:before="0"/>
                      <w:ind w:left="0" w:right="0" w:firstLine="0"/>
                      <w:jc w:val="left"/>
                      <w:rPr>
                        <w:rFonts w:ascii="Carlito"/>
                        <w:sz w:val="18"/>
                      </w:rPr>
                    </w:pPr>
                    <w:r>
                      <w:rPr>
                        <w:rFonts w:ascii="Carlito"/>
                        <w:color w:val="44536A"/>
                        <w:sz w:val="18"/>
                      </w:rPr>
                      <w:t>14</w:t>
                    </w:r>
                  </w:p>
                </w:txbxContent>
              </v:textbox>
              <w10:wrap type="none"/>
            </v:shape>
            <v:shape style="position:absolute;left:7852;top:3005;width:377;height:180" type="#_x0000_t202" filled="false" stroked="false">
              <v:textbox inset="0,0,0,0">
                <w:txbxContent>
                  <w:p>
                    <w:pPr>
                      <w:spacing w:line="180" w:lineRule="exact" w:before="0"/>
                      <w:ind w:left="0" w:right="0" w:firstLine="0"/>
                      <w:jc w:val="left"/>
                      <w:rPr>
                        <w:rFonts w:ascii="Carlito"/>
                        <w:sz w:val="18"/>
                      </w:rPr>
                    </w:pPr>
                    <w:r>
                      <w:rPr>
                        <w:rFonts w:ascii="Carlito"/>
                        <w:color w:val="44536A"/>
                        <w:sz w:val="18"/>
                      </w:rPr>
                      <w:t>3.8%</w:t>
                    </w:r>
                  </w:p>
                </w:txbxContent>
              </v:textbox>
              <w10:wrap type="none"/>
            </v:shape>
            <v:shape style="position:absolute;left:8593;top:3145;width:396;height:463" type="#_x0000_t202" filled="false" stroked="false">
              <v:textbox inset="0,0,0,0">
                <w:txbxContent>
                  <w:p>
                    <w:pPr>
                      <w:spacing w:line="183" w:lineRule="exact" w:before="0"/>
                      <w:ind w:left="10" w:right="0" w:firstLine="0"/>
                      <w:jc w:val="left"/>
                      <w:rPr>
                        <w:rFonts w:ascii="Carlito"/>
                        <w:sz w:val="18"/>
                      </w:rPr>
                    </w:pPr>
                    <w:r>
                      <w:rPr>
                        <w:rFonts w:ascii="Carlito"/>
                        <w:color w:val="44536A"/>
                        <w:sz w:val="18"/>
                      </w:rPr>
                      <w:t>1.3%</w:t>
                    </w:r>
                  </w:p>
                  <w:p>
                    <w:pPr>
                      <w:spacing w:line="216" w:lineRule="exact" w:before="63"/>
                      <w:ind w:left="0" w:right="0" w:firstLine="0"/>
                      <w:jc w:val="left"/>
                      <w:rPr>
                        <w:rFonts w:ascii="Carlito"/>
                        <w:sz w:val="18"/>
                      </w:rPr>
                    </w:pPr>
                    <w:r>
                      <w:rPr>
                        <w:rFonts w:ascii="Carlito"/>
                        <w:color w:val="44536A"/>
                        <w:sz w:val="18"/>
                        <w:u w:val="thick" w:color="000000"/>
                      </w:rPr>
                      <w:t>   1 </w:t>
                    </w:r>
                  </w:p>
                </w:txbxContent>
              </v:textbox>
              <w10:wrap type="none"/>
            </v:shape>
            <v:shape style="position:absolute;left:6340;top:3317;width:376;height:280" type="#_x0000_t202" filled="false" stroked="false">
              <v:textbox inset="0,0,0,0">
                <w:txbxContent>
                  <w:p>
                    <w:pPr>
                      <w:spacing w:line="117" w:lineRule="exact" w:before="0"/>
                      <w:ind w:left="0" w:right="1" w:firstLine="0"/>
                      <w:jc w:val="center"/>
                      <w:rPr>
                        <w:rFonts w:ascii="Carlito"/>
                        <w:sz w:val="18"/>
                      </w:rPr>
                    </w:pPr>
                    <w:r>
                      <w:rPr>
                        <w:rFonts w:ascii="Carlito"/>
                        <w:color w:val="44536A"/>
                        <w:sz w:val="18"/>
                      </w:rPr>
                      <w:t>8</w:t>
                    </w:r>
                  </w:p>
                </w:txbxContent>
              </v:textbox>
              <w10:wrap type="none"/>
            </v:shape>
            <v:shape style="position:absolute;left:5590;top:2827;width:376;height:778" type="#_x0000_t202" filled="false" stroked="false">
              <v:textbox inset="0,0,0,0">
                <w:txbxContent>
                  <w:p>
                    <w:pPr>
                      <w:spacing w:line="240" w:lineRule="auto" w:before="5"/>
                      <w:rPr>
                        <w:sz w:val="24"/>
                      </w:rPr>
                    </w:pPr>
                  </w:p>
                  <w:p>
                    <w:pPr>
                      <w:spacing w:before="0"/>
                      <w:ind w:left="97" w:right="0" w:firstLine="0"/>
                      <w:jc w:val="left"/>
                      <w:rPr>
                        <w:rFonts w:ascii="Carlito"/>
                        <w:sz w:val="18"/>
                      </w:rPr>
                    </w:pPr>
                    <w:r>
                      <w:rPr>
                        <w:rFonts w:ascii="Carlito"/>
                        <w:color w:val="44536A"/>
                        <w:sz w:val="18"/>
                      </w:rPr>
                      <w:t>11</w:t>
                    </w:r>
                  </w:p>
                </w:txbxContent>
              </v:textbox>
              <w10:wrap type="none"/>
            </v:shape>
            <v:shape style="position:absolute;left:7842;top:3392;width:376;height:212" type="#_x0000_t202" filled="false" stroked="false">
              <v:textbox inset="0,0,0,0">
                <w:txbxContent>
                  <w:p>
                    <w:pPr>
                      <w:spacing w:line="125" w:lineRule="exact" w:before="0"/>
                      <w:ind w:left="0" w:right="1" w:firstLine="0"/>
                      <w:jc w:val="center"/>
                      <w:rPr>
                        <w:rFonts w:ascii="Carlito"/>
                        <w:sz w:val="18"/>
                      </w:rPr>
                    </w:pPr>
                    <w:r>
                      <w:rPr>
                        <w:rFonts w:ascii="Carlito"/>
                        <w:color w:val="44536A"/>
                        <w:sz w:val="18"/>
                      </w:rPr>
                      <w:t>3</w:t>
                    </w:r>
                  </w:p>
                </w:txbxContent>
              </v:textbox>
              <w10:wrap type="none"/>
            </v:shape>
            <v:shape style="position:absolute;left:7091;top:3180;width:376;height:424" type="#_x0000_t202" filled="false" stroked="false">
              <v:textbox inset="0,0,0,0">
                <w:txbxContent>
                  <w:p>
                    <w:pPr>
                      <w:spacing w:before="105"/>
                      <w:ind w:left="0" w:right="1" w:firstLine="0"/>
                      <w:jc w:val="center"/>
                      <w:rPr>
                        <w:rFonts w:ascii="Carlito"/>
                        <w:sz w:val="18"/>
                      </w:rPr>
                    </w:pPr>
                    <w:r>
                      <w:rPr>
                        <w:rFonts w:ascii="Carlito"/>
                        <w:color w:val="44536A"/>
                        <w:sz w:val="18"/>
                      </w:rPr>
                      <w:t>6</w:t>
                    </w:r>
                  </w:p>
                </w:txbxContent>
              </v:textbox>
              <w10:wrap type="none"/>
            </v:shape>
            <w10:wrap type="none"/>
          </v:group>
        </w:pict>
      </w:r>
      <w:r>
        <w:rPr/>
        <w:t>El Atlas registra a la fecha de redacción de este documento 87 conflictos en América Central distribuidos entre los diferentes países de la región. La distribución puede verse en la Figura 1.</w:t>
      </w:r>
    </w:p>
    <w:p>
      <w:pPr>
        <w:pStyle w:val="BodyText"/>
        <w:ind w:left="2257"/>
        <w:rPr>
          <w:sz w:val="20"/>
        </w:rPr>
      </w:pPr>
      <w:r>
        <w:rPr>
          <w:sz w:val="20"/>
        </w:rPr>
        <w:pict>
          <v:group style="width:361.05pt;height:200.05pt;mso-position-horizontal-relative:char;mso-position-vertical-relative:line" coordorigin="0,0" coordsize="7221,4001">
            <v:shape style="position:absolute;left:6829;top:680;width:204;height:1594" type="#_x0000_t202" filled="false" stroked="false">
              <v:textbox inset="0,0,0,0">
                <w:txbxContent>
                  <w:p>
                    <w:pPr>
                      <w:spacing w:line="183" w:lineRule="exact" w:before="0"/>
                      <w:ind w:left="0" w:right="0" w:firstLine="0"/>
                      <w:jc w:val="left"/>
                      <w:rPr>
                        <w:rFonts w:ascii="Carlito"/>
                        <w:sz w:val="18"/>
                      </w:rPr>
                    </w:pPr>
                    <w:r>
                      <w:rPr>
                        <w:rFonts w:ascii="Carlito"/>
                        <w:color w:val="44536A"/>
                        <w:sz w:val="18"/>
                      </w:rPr>
                      <w:t>20</w:t>
                    </w:r>
                  </w:p>
                  <w:p>
                    <w:pPr>
                      <w:spacing w:before="133"/>
                      <w:ind w:left="0" w:right="0" w:firstLine="0"/>
                      <w:jc w:val="left"/>
                      <w:rPr>
                        <w:rFonts w:ascii="Carlito"/>
                        <w:sz w:val="18"/>
                      </w:rPr>
                    </w:pPr>
                    <w:r>
                      <w:rPr>
                        <w:rFonts w:ascii="Carlito"/>
                        <w:color w:val="44536A"/>
                        <w:sz w:val="18"/>
                      </w:rPr>
                      <w:t>15</w:t>
                    </w:r>
                  </w:p>
                  <w:p>
                    <w:pPr>
                      <w:spacing w:before="134"/>
                      <w:ind w:left="0" w:right="0" w:firstLine="0"/>
                      <w:jc w:val="left"/>
                      <w:rPr>
                        <w:rFonts w:ascii="Carlito"/>
                        <w:sz w:val="18"/>
                      </w:rPr>
                    </w:pPr>
                    <w:r>
                      <w:rPr>
                        <w:rFonts w:ascii="Carlito"/>
                        <w:color w:val="44536A"/>
                        <w:sz w:val="18"/>
                      </w:rPr>
                      <w:t>10</w:t>
                    </w:r>
                  </w:p>
                  <w:p>
                    <w:pPr>
                      <w:spacing w:before="134"/>
                      <w:ind w:left="0" w:right="0" w:firstLine="0"/>
                      <w:jc w:val="left"/>
                      <w:rPr>
                        <w:rFonts w:ascii="Carlito"/>
                        <w:sz w:val="18"/>
                      </w:rPr>
                    </w:pPr>
                    <w:r>
                      <w:rPr>
                        <w:rFonts w:ascii="Carlito"/>
                        <w:color w:val="44536A"/>
                        <w:sz w:val="18"/>
                      </w:rPr>
                      <w:t>5</w:t>
                    </w:r>
                  </w:p>
                  <w:p>
                    <w:pPr>
                      <w:spacing w:line="216" w:lineRule="exact" w:before="133"/>
                      <w:ind w:left="0" w:right="0" w:firstLine="0"/>
                      <w:jc w:val="left"/>
                      <w:rPr>
                        <w:rFonts w:ascii="Carlito"/>
                        <w:sz w:val="18"/>
                      </w:rPr>
                    </w:pPr>
                    <w:r>
                      <w:rPr>
                        <w:rFonts w:ascii="Carlito"/>
                        <w:color w:val="44536A"/>
                        <w:sz w:val="18"/>
                      </w:rPr>
                      <w:t>0</w:t>
                    </w:r>
                  </w:p>
                </w:txbxContent>
              </v:textbox>
              <w10:wrap type="none"/>
            </v:shape>
            <v:shape style="position:absolute;left:6829;top:327;width:204;height:180" type="#_x0000_t202" filled="false" stroked="false">
              <v:textbox inset="0,0,0,0">
                <w:txbxContent>
                  <w:p>
                    <w:pPr>
                      <w:spacing w:line="180" w:lineRule="exact" w:before="0"/>
                      <w:ind w:left="0" w:right="0" w:firstLine="0"/>
                      <w:jc w:val="left"/>
                      <w:rPr>
                        <w:rFonts w:ascii="Carlito"/>
                        <w:sz w:val="18"/>
                      </w:rPr>
                    </w:pPr>
                    <w:r>
                      <w:rPr>
                        <w:rFonts w:ascii="Carlito"/>
                        <w:color w:val="44536A"/>
                        <w:sz w:val="18"/>
                      </w:rPr>
                      <w:t>25</w:t>
                    </w:r>
                  </w:p>
                </w:txbxContent>
              </v:textbox>
              <w10:wrap type="none"/>
            </v:shape>
            <v:shape style="position:absolute;left:652;top:249;width:6027;height:180" type="#_x0000_t202" filled="false" stroked="false">
              <v:textbox inset="0,0,0,0">
                <w:txbxContent>
                  <w:p>
                    <w:pPr>
                      <w:tabs>
                        <w:tab w:pos="6006" w:val="left" w:leader="none"/>
                      </w:tabs>
                      <w:spacing w:line="180" w:lineRule="exact" w:before="0"/>
                      <w:ind w:left="0" w:right="0" w:firstLine="0"/>
                      <w:jc w:val="left"/>
                      <w:rPr>
                        <w:rFonts w:ascii="Carlito"/>
                        <w:sz w:val="18"/>
                      </w:rPr>
                    </w:pPr>
                    <w:r>
                      <w:rPr>
                        <w:rFonts w:ascii="Carlito"/>
                        <w:color w:val="44536A"/>
                        <w:sz w:val="18"/>
                        <w:u w:val="single" w:color="DFE4EB"/>
                      </w:rPr>
                      <w:t>  </w:t>
                    </w:r>
                    <w:r>
                      <w:rPr>
                        <w:rFonts w:ascii="Carlito"/>
                        <w:color w:val="44536A"/>
                        <w:spacing w:val="13"/>
                        <w:sz w:val="18"/>
                        <w:u w:val="single" w:color="DFE4EB"/>
                      </w:rPr>
                      <w:t> </w:t>
                    </w:r>
                    <w:r>
                      <w:rPr>
                        <w:rFonts w:ascii="Carlito"/>
                        <w:color w:val="44536A"/>
                        <w:sz w:val="18"/>
                        <w:u w:val="single" w:color="DFE4EB"/>
                      </w:rPr>
                      <w:t>27.5%</w:t>
                      <w:tab/>
                    </w:r>
                  </w:p>
                </w:txbxContent>
              </v:textbox>
              <w10:wrap type="none"/>
            </v:shape>
            <v:shape style="position:absolute;left:38;top:327;width:469;height:1947" type="#_x0000_t202" filled="false" stroked="false">
              <v:textbox inset="0,0,0,0">
                <w:txbxContent>
                  <w:p>
                    <w:pPr>
                      <w:spacing w:line="183" w:lineRule="exact" w:before="0"/>
                      <w:ind w:left="0" w:right="0" w:firstLine="0"/>
                      <w:jc w:val="left"/>
                      <w:rPr>
                        <w:rFonts w:ascii="Carlito"/>
                        <w:sz w:val="18"/>
                      </w:rPr>
                    </w:pPr>
                    <w:r>
                      <w:rPr>
                        <w:rFonts w:ascii="Carlito"/>
                        <w:color w:val="44536A"/>
                        <w:sz w:val="18"/>
                      </w:rPr>
                      <w:t>30.0%</w:t>
                    </w:r>
                  </w:p>
                  <w:p>
                    <w:pPr>
                      <w:spacing w:before="74"/>
                      <w:ind w:left="0" w:right="0" w:firstLine="0"/>
                      <w:jc w:val="left"/>
                      <w:rPr>
                        <w:rFonts w:ascii="Carlito"/>
                        <w:sz w:val="18"/>
                      </w:rPr>
                    </w:pPr>
                    <w:r>
                      <w:rPr>
                        <w:rFonts w:ascii="Carlito"/>
                        <w:color w:val="44536A"/>
                        <w:sz w:val="18"/>
                      </w:rPr>
                      <w:t>25.0%</w:t>
                    </w:r>
                  </w:p>
                  <w:p>
                    <w:pPr>
                      <w:spacing w:before="75"/>
                      <w:ind w:left="0" w:right="0" w:firstLine="0"/>
                      <w:jc w:val="left"/>
                      <w:rPr>
                        <w:rFonts w:ascii="Carlito"/>
                        <w:sz w:val="18"/>
                      </w:rPr>
                    </w:pPr>
                    <w:r>
                      <w:rPr>
                        <w:rFonts w:ascii="Carlito"/>
                        <w:color w:val="44536A"/>
                        <w:sz w:val="18"/>
                      </w:rPr>
                      <w:t>20.0%</w:t>
                    </w:r>
                  </w:p>
                  <w:p>
                    <w:pPr>
                      <w:spacing w:before="75"/>
                      <w:ind w:left="0" w:right="0" w:firstLine="0"/>
                      <w:jc w:val="left"/>
                      <w:rPr>
                        <w:rFonts w:ascii="Carlito"/>
                        <w:sz w:val="18"/>
                      </w:rPr>
                    </w:pPr>
                    <w:r>
                      <w:rPr>
                        <w:rFonts w:ascii="Carlito"/>
                        <w:color w:val="44536A"/>
                        <w:sz w:val="18"/>
                      </w:rPr>
                      <w:t>15.0%</w:t>
                    </w:r>
                  </w:p>
                  <w:p>
                    <w:pPr>
                      <w:spacing w:before="74"/>
                      <w:ind w:left="0" w:right="0" w:firstLine="0"/>
                      <w:jc w:val="left"/>
                      <w:rPr>
                        <w:rFonts w:ascii="Carlito"/>
                        <w:sz w:val="18"/>
                      </w:rPr>
                    </w:pPr>
                    <w:r>
                      <w:rPr>
                        <w:rFonts w:ascii="Carlito"/>
                        <w:color w:val="44536A"/>
                        <w:sz w:val="18"/>
                      </w:rPr>
                      <w:t>10.0%</w:t>
                    </w:r>
                  </w:p>
                  <w:p>
                    <w:pPr>
                      <w:spacing w:before="75"/>
                      <w:ind w:left="90" w:right="0" w:firstLine="0"/>
                      <w:jc w:val="left"/>
                      <w:rPr>
                        <w:rFonts w:ascii="Carlito"/>
                        <w:sz w:val="18"/>
                      </w:rPr>
                    </w:pPr>
                    <w:r>
                      <w:rPr>
                        <w:rFonts w:ascii="Carlito"/>
                        <w:color w:val="44536A"/>
                        <w:sz w:val="18"/>
                      </w:rPr>
                      <w:t>5.0%</w:t>
                    </w:r>
                  </w:p>
                  <w:p>
                    <w:pPr>
                      <w:spacing w:line="216" w:lineRule="exact" w:before="75"/>
                      <w:ind w:left="90" w:right="0" w:firstLine="0"/>
                      <w:jc w:val="left"/>
                      <w:rPr>
                        <w:rFonts w:ascii="Carlito"/>
                        <w:sz w:val="18"/>
                      </w:rPr>
                    </w:pPr>
                    <w:r>
                      <w:rPr>
                        <w:rFonts w:ascii="Carlito"/>
                        <w:color w:val="44536A"/>
                        <w:sz w:val="18"/>
                      </w:rPr>
                      <w:t>0.0%</w:t>
                    </w:r>
                  </w:p>
                </w:txbxContent>
              </v:textbox>
              <w10:wrap type="none"/>
            </v:shape>
            <v:shape style="position:absolute;left:339;top:2379;width:709;height:448" type="#_x0000_t75" stroked="false">
              <v:imagedata r:id="rId33" o:title=""/>
            </v:shape>
            <v:shape style="position:absolute;left:1260;top:2379;width:538;height:353" type="#_x0000_t75" stroked="false">
              <v:imagedata r:id="rId34" o:title=""/>
            </v:shape>
            <v:shape style="position:absolute;left:2636;top:2380;width:664;height:422" type="#_x0000_t75" stroked="false">
              <v:imagedata r:id="rId35" o:title=""/>
            </v:shape>
            <v:shape style="position:absolute;left:1907;top:2374;width:640;height:419" type="#_x0000_t75" stroked="false">
              <v:imagedata r:id="rId36" o:title=""/>
            </v:shape>
            <v:shape style="position:absolute;left:3389;top:2369;width:2914;height:1528" type="#_x0000_t75" stroked="false">
              <v:imagedata r:id="rId37" o:title=""/>
            </v:shape>
            <v:rect style="position:absolute;left:7;top:7;width:7206;height:3986" filled="false" stroked="true" strokeweight=".75pt" strokecolor="#dfe4eb">
              <v:stroke dashstyle="solid"/>
            </v:rect>
            <v:shape style="position:absolute;left:5049;top:2979;width:840;height:627" type="#_x0000_t75" stroked="false">
              <v:imagedata r:id="rId38" o:title=""/>
            </v:shape>
          </v:group>
        </w:pict>
      </w:r>
      <w:r>
        <w:rPr>
          <w:sz w:val="20"/>
        </w:rPr>
      </w:r>
    </w:p>
    <w:p>
      <w:pPr>
        <w:spacing w:before="104"/>
        <w:ind w:left="4885" w:right="1870" w:hanging="2997"/>
        <w:jc w:val="left"/>
        <w:rPr>
          <w:i/>
          <w:sz w:val="20"/>
        </w:rPr>
      </w:pPr>
      <w:bookmarkStart w:name="_bookmark3" w:id="5"/>
      <w:bookmarkEnd w:id="5"/>
      <w:r>
        <w:rPr/>
      </w:r>
      <w:r>
        <w:rPr>
          <w:i/>
          <w:sz w:val="20"/>
        </w:rPr>
        <w:t>Figura 1- División de Conflictos por País de América Central de Acuerdo con el EJATLAS. </w:t>
      </w:r>
      <w:r>
        <w:rPr>
          <w:i/>
          <w:sz w:val="20"/>
        </w:rPr>
        <w:t>Fuente: Navas (2016).</w:t>
      </w:r>
    </w:p>
    <w:p>
      <w:pPr>
        <w:pStyle w:val="BodyText"/>
        <w:rPr>
          <w:i/>
          <w:sz w:val="20"/>
        </w:rPr>
      </w:pPr>
    </w:p>
    <w:p>
      <w:pPr>
        <w:pStyle w:val="BodyText"/>
        <w:spacing w:before="8"/>
        <w:rPr>
          <w:i/>
          <w:sz w:val="25"/>
        </w:rPr>
      </w:pPr>
      <w:r>
        <w:rPr/>
        <w:pict>
          <v:rect style="position:absolute;margin-left:72.025002pt;margin-top:16.725996pt;width:144.050pt;height:.599980pt;mso-position-horizontal-relative:page;mso-position-vertical-relative:paragraph;z-index:-15720448;mso-wrap-distance-left:0;mso-wrap-distance-right:0" filled="true" fillcolor="#000000" stroked="false">
            <v:fill type="solid"/>
            <w10:wrap type="topAndBottom"/>
          </v:rect>
        </w:pict>
      </w:r>
    </w:p>
    <w:p>
      <w:pPr>
        <w:spacing w:line="240" w:lineRule="auto" w:before="71"/>
        <w:ind w:left="1200" w:right="1247" w:firstLine="0"/>
        <w:jc w:val="left"/>
        <w:rPr>
          <w:sz w:val="20"/>
        </w:rPr>
      </w:pPr>
      <w:r>
        <w:rPr>
          <w:sz w:val="20"/>
          <w:vertAlign w:val="superscript"/>
        </w:rPr>
        <w:t>6</w:t>
      </w:r>
      <w:r>
        <w:rPr>
          <w:sz w:val="20"/>
          <w:vertAlign w:val="baseline"/>
        </w:rPr>
        <w:t> El enfoque de la ecología integral combina primeramente componentes de ecología ambiental, social y económica que buscan la armonía entre los seres vivientes y su entorno mediante el logro de las condiciones de vida que permitan la supervivencia de la sociedad. Ello requiere un análisis integral y una visión de solidaridad y justicia, un enfoque de economía integral que reconoce el valor intrínseco y el valor de uso de las cosas y una ecología social que reconoce el papel de las instituciones en el alcance de estas metas. Asimismo, se considera una ecología capaz de garantizar el cuidado de las riquezas culturales en su sentido </w:t>
      </w:r>
      <w:r>
        <w:rPr>
          <w:spacing w:val="-3"/>
          <w:sz w:val="20"/>
          <w:vertAlign w:val="baseline"/>
        </w:rPr>
        <w:t>más </w:t>
      </w:r>
      <w:r>
        <w:rPr>
          <w:sz w:val="20"/>
          <w:vertAlign w:val="baseline"/>
        </w:rPr>
        <w:t>amplio. Se promueve también una ecología de la vida cotidiana enfocada en la calidad de vida en la vivienda y en las ciudades. Todas estas dimensiones son informadas por el principio del bien común que plantea como obligación de la sociedad y especialmente del Estado el</w:t>
      </w:r>
      <w:r>
        <w:rPr>
          <w:spacing w:val="-36"/>
          <w:sz w:val="20"/>
          <w:vertAlign w:val="baseline"/>
        </w:rPr>
        <w:t> </w:t>
      </w:r>
      <w:r>
        <w:rPr>
          <w:sz w:val="20"/>
          <w:vertAlign w:val="baseline"/>
        </w:rPr>
        <w:t>logro del bienestar y la paz social con justicia distributiva. Es decir, no hay seres descartables. Esta justicia distributiva tiene también un alcance intergeneracional (Francisco,</w:t>
      </w:r>
      <w:r>
        <w:rPr>
          <w:spacing w:val="-2"/>
          <w:sz w:val="20"/>
          <w:vertAlign w:val="baseline"/>
        </w:rPr>
        <w:t> </w:t>
      </w:r>
      <w:r>
        <w:rPr>
          <w:sz w:val="20"/>
          <w:vertAlign w:val="baseline"/>
        </w:rPr>
        <w:t>2015).</w:t>
      </w:r>
    </w:p>
    <w:p>
      <w:pPr>
        <w:spacing w:after="0" w:line="240" w:lineRule="auto"/>
        <w:jc w:val="left"/>
        <w:rPr>
          <w:sz w:val="20"/>
        </w:rPr>
        <w:sectPr>
          <w:pgSz w:w="12240" w:h="15840"/>
          <w:pgMar w:header="0" w:footer="1062" w:top="1360" w:bottom="1260" w:left="240" w:right="240"/>
        </w:sectPr>
      </w:pPr>
    </w:p>
    <w:p>
      <w:pPr>
        <w:pStyle w:val="BodyText"/>
        <w:spacing w:line="360" w:lineRule="auto" w:before="79"/>
        <w:ind w:left="1200" w:right="1200"/>
        <w:jc w:val="both"/>
      </w:pPr>
      <w:r>
        <w:rPr/>
        <w:t>El análisis estadístico de la información generada ha permitido sustentar tendencias respecto</w:t>
      </w:r>
      <w:r>
        <w:rPr>
          <w:spacing w:val="-18"/>
        </w:rPr>
        <w:t> </w:t>
      </w:r>
      <w:r>
        <w:rPr/>
        <w:t>a</w:t>
      </w:r>
      <w:r>
        <w:rPr>
          <w:spacing w:val="-18"/>
        </w:rPr>
        <w:t> </w:t>
      </w:r>
      <w:r>
        <w:rPr/>
        <w:t>la</w:t>
      </w:r>
      <w:r>
        <w:rPr>
          <w:spacing w:val="-18"/>
        </w:rPr>
        <w:t> </w:t>
      </w:r>
      <w:r>
        <w:rPr/>
        <w:t>inequidad</w:t>
      </w:r>
      <w:r>
        <w:rPr>
          <w:spacing w:val="-17"/>
        </w:rPr>
        <w:t> </w:t>
      </w:r>
      <w:r>
        <w:rPr/>
        <w:t>ambiental</w:t>
      </w:r>
      <w:r>
        <w:rPr>
          <w:spacing w:val="-17"/>
        </w:rPr>
        <w:t> </w:t>
      </w:r>
      <w:r>
        <w:rPr/>
        <w:t>que</w:t>
      </w:r>
      <w:r>
        <w:rPr>
          <w:spacing w:val="-18"/>
        </w:rPr>
        <w:t> </w:t>
      </w:r>
      <w:r>
        <w:rPr/>
        <w:t>están</w:t>
      </w:r>
      <w:r>
        <w:rPr>
          <w:spacing w:val="-17"/>
        </w:rPr>
        <w:t> </w:t>
      </w:r>
      <w:r>
        <w:rPr/>
        <w:t>siendo</w:t>
      </w:r>
      <w:r>
        <w:rPr>
          <w:spacing w:val="-18"/>
        </w:rPr>
        <w:t> </w:t>
      </w:r>
      <w:r>
        <w:rPr/>
        <w:t>analizadas</w:t>
      </w:r>
      <w:r>
        <w:rPr>
          <w:spacing w:val="-16"/>
        </w:rPr>
        <w:t> </w:t>
      </w:r>
      <w:r>
        <w:rPr/>
        <w:t>desde</w:t>
      </w:r>
      <w:r>
        <w:rPr>
          <w:spacing w:val="-18"/>
        </w:rPr>
        <w:t> </w:t>
      </w:r>
      <w:r>
        <w:rPr/>
        <w:t>la</w:t>
      </w:r>
      <w:r>
        <w:rPr>
          <w:spacing w:val="-17"/>
        </w:rPr>
        <w:t> </w:t>
      </w:r>
      <w:r>
        <w:rPr/>
        <w:t>Ecología</w:t>
      </w:r>
      <w:r>
        <w:rPr>
          <w:spacing w:val="-18"/>
        </w:rPr>
        <w:t> </w:t>
      </w:r>
      <w:r>
        <w:rPr/>
        <w:t>Política en temas como racismo ambiental, impactos socio-ecológicos de las actividades prevalentes en la realidad neo-extractivista (minería, plantaciones, proyectos hidroeléctricos, etc.), intensidad de los conflictos y violencia etc (Holden &amp; Jacobson, 2008;</w:t>
      </w:r>
      <w:r>
        <w:rPr>
          <w:spacing w:val="-8"/>
        </w:rPr>
        <w:t> </w:t>
      </w:r>
      <w:r>
        <w:rPr/>
        <w:t>Laplante</w:t>
      </w:r>
      <w:r>
        <w:rPr>
          <w:spacing w:val="-10"/>
        </w:rPr>
        <w:t> </w:t>
      </w:r>
      <w:r>
        <w:rPr/>
        <w:t>&amp;</w:t>
      </w:r>
      <w:r>
        <w:rPr>
          <w:spacing w:val="-8"/>
        </w:rPr>
        <w:t> </w:t>
      </w:r>
      <w:r>
        <w:rPr/>
        <w:t>Nolin,</w:t>
      </w:r>
      <w:r>
        <w:rPr>
          <w:spacing w:val="-7"/>
        </w:rPr>
        <w:t> </w:t>
      </w:r>
      <w:r>
        <w:rPr/>
        <w:t>2014;</w:t>
      </w:r>
      <w:r>
        <w:rPr>
          <w:spacing w:val="-7"/>
        </w:rPr>
        <w:t> </w:t>
      </w:r>
      <w:r>
        <w:rPr/>
        <w:t>Shipton,</w:t>
      </w:r>
      <w:r>
        <w:rPr>
          <w:spacing w:val="-8"/>
        </w:rPr>
        <w:t> </w:t>
      </w:r>
      <w:r>
        <w:rPr/>
        <w:t>2017;</w:t>
      </w:r>
      <w:r>
        <w:rPr>
          <w:spacing w:val="-11"/>
        </w:rPr>
        <w:t> </w:t>
      </w:r>
      <w:r>
        <w:rPr/>
        <w:t>Walter</w:t>
      </w:r>
      <w:r>
        <w:rPr>
          <w:spacing w:val="-8"/>
        </w:rPr>
        <w:t> </w:t>
      </w:r>
      <w:r>
        <w:rPr/>
        <w:t>&amp;</w:t>
      </w:r>
      <w:r>
        <w:rPr>
          <w:spacing w:val="-12"/>
        </w:rPr>
        <w:t> </w:t>
      </w:r>
      <w:r>
        <w:rPr/>
        <w:t>Urkidi,</w:t>
      </w:r>
      <w:r>
        <w:rPr>
          <w:spacing w:val="-7"/>
        </w:rPr>
        <w:t> </w:t>
      </w:r>
      <w:r>
        <w:rPr/>
        <w:t>2017;</w:t>
      </w:r>
      <w:r>
        <w:rPr>
          <w:spacing w:val="-7"/>
        </w:rPr>
        <w:t> </w:t>
      </w:r>
      <w:r>
        <w:rPr/>
        <w:t>Aguilar-González,</w:t>
      </w:r>
      <w:r>
        <w:rPr>
          <w:spacing w:val="-7"/>
        </w:rPr>
        <w:t> </w:t>
      </w:r>
      <w:r>
        <w:rPr/>
        <w:t>et al., 2018b; Navas, et al., 2018). Por ejemplo, la Figura 2 nos refleja que los grupos mayormente afectados por los CED en Centroamérica son los indígenas y los campesinos (Navas,</w:t>
      </w:r>
      <w:r>
        <w:rPr>
          <w:spacing w:val="3"/>
        </w:rPr>
        <w:t> </w:t>
      </w:r>
      <w:r>
        <w:rPr/>
        <w:t>2016).</w:t>
      </w:r>
    </w:p>
    <w:p>
      <w:pPr>
        <w:pStyle w:val="BodyText"/>
        <w:spacing w:before="1"/>
        <w:rPr>
          <w:sz w:val="15"/>
        </w:rPr>
      </w:pPr>
      <w:r>
        <w:rPr/>
        <w:pict>
          <v:group style="position:absolute;margin-left:135.375pt;margin-top:10.67082pt;width:341.25pt;height:135.75pt;mso-position-horizontal-relative:page;mso-position-vertical-relative:paragraph;z-index:-15711232;mso-wrap-distance-left:0;mso-wrap-distance-right:0" coordorigin="2708,213" coordsize="6825,2715">
            <v:shape style="position:absolute;left:5617;top:482;width:3493;height:1952" type="#_x0000_t75" stroked="false">
              <v:imagedata r:id="rId39" o:title=""/>
            </v:shape>
            <v:shape style="position:absolute;left:2715;top:220;width:6810;height:2700" coordorigin="2715,221" coordsize="6810,2700" path="m5634,2420l5634,2477m6196,2420l6196,2477m6760,2420l6760,2477m7320,2420l7320,2477m7884,2420l7884,2477m8448,2420l8448,2477m9009,2420l9009,2477m2715,2921l9525,2921,9525,221,2715,221,2715,2921xe" filled="false" stroked="true" strokeweight=".75pt" strokecolor="#d9d9d9">
              <v:path arrowok="t"/>
              <v:stroke dashstyle="solid"/>
            </v:shape>
            <v:shape style="position:absolute;left:2932;top:574;width:3167;height:1478" type="#_x0000_t202" filled="false" stroked="false">
              <v:textbox inset="0,0,0,0">
                <w:txbxContent>
                  <w:p>
                    <w:pPr>
                      <w:spacing w:line="158" w:lineRule="exact" w:before="0"/>
                      <w:ind w:left="0" w:right="309" w:firstLine="0"/>
                      <w:jc w:val="right"/>
                      <w:rPr>
                        <w:rFonts w:ascii="Carlito"/>
                        <w:b/>
                        <w:sz w:val="16"/>
                      </w:rPr>
                    </w:pPr>
                    <w:r>
                      <w:rPr>
                        <w:rFonts w:ascii="Carlito"/>
                        <w:b/>
                        <w:color w:val="FFFFFF"/>
                        <w:sz w:val="16"/>
                      </w:rPr>
                      <w:t>3</w:t>
                    </w:r>
                  </w:p>
                  <w:p>
                    <w:pPr>
                      <w:tabs>
                        <w:tab w:pos="2773" w:val="left" w:leader="none"/>
                      </w:tabs>
                      <w:spacing w:line="195" w:lineRule="exact" w:before="0"/>
                      <w:ind w:left="0" w:right="0" w:firstLine="0"/>
                      <w:jc w:val="left"/>
                      <w:rPr>
                        <w:rFonts w:ascii="Carlito"/>
                        <w:b/>
                        <w:sz w:val="16"/>
                      </w:rPr>
                    </w:pPr>
                    <w:r>
                      <w:rPr>
                        <w:rFonts w:ascii="Carlito"/>
                        <w:color w:val="585858"/>
                        <w:sz w:val="16"/>
                      </w:rPr>
                      <w:t>T</w:t>
                    </w:r>
                    <w:r>
                      <w:rPr>
                        <w:rFonts w:ascii="Carlito"/>
                        <w:color w:val="585858"/>
                        <w:spacing w:val="-11"/>
                        <w:sz w:val="16"/>
                      </w:rPr>
                      <w:t> </w:t>
                    </w:r>
                    <w:r>
                      <w:rPr>
                        <w:rFonts w:ascii="Carlito"/>
                        <w:color w:val="585858"/>
                        <w:sz w:val="16"/>
                      </w:rPr>
                      <w:t>R</w:t>
                    </w:r>
                    <w:r>
                      <w:rPr>
                        <w:rFonts w:ascii="Carlito"/>
                        <w:color w:val="585858"/>
                        <w:spacing w:val="-12"/>
                        <w:sz w:val="16"/>
                      </w:rPr>
                      <w:t> </w:t>
                    </w:r>
                    <w:r>
                      <w:rPr>
                        <w:rFonts w:ascii="Carlito"/>
                        <w:color w:val="585858"/>
                        <w:sz w:val="16"/>
                      </w:rPr>
                      <w:t>A</w:t>
                    </w:r>
                    <w:r>
                      <w:rPr>
                        <w:rFonts w:ascii="Carlito"/>
                        <w:color w:val="585858"/>
                        <w:spacing w:val="-13"/>
                        <w:sz w:val="16"/>
                      </w:rPr>
                      <w:t> </w:t>
                    </w:r>
                    <w:r>
                      <w:rPr>
                        <w:rFonts w:ascii="Carlito"/>
                        <w:color w:val="585858"/>
                        <w:sz w:val="16"/>
                      </w:rPr>
                      <w:t>B</w:t>
                    </w:r>
                    <w:r>
                      <w:rPr>
                        <w:rFonts w:ascii="Carlito"/>
                        <w:color w:val="585858"/>
                        <w:spacing w:val="-12"/>
                        <w:sz w:val="16"/>
                      </w:rPr>
                      <w:t> </w:t>
                    </w:r>
                    <w:r>
                      <w:rPr>
                        <w:rFonts w:ascii="Carlito"/>
                        <w:color w:val="585858"/>
                        <w:sz w:val="16"/>
                      </w:rPr>
                      <w:t>A</w:t>
                    </w:r>
                    <w:r>
                      <w:rPr>
                        <w:rFonts w:ascii="Carlito"/>
                        <w:color w:val="585858"/>
                        <w:spacing w:val="-13"/>
                        <w:sz w:val="16"/>
                      </w:rPr>
                      <w:t> </w:t>
                    </w:r>
                    <w:r>
                      <w:rPr>
                        <w:rFonts w:ascii="Carlito"/>
                        <w:color w:val="585858"/>
                        <w:sz w:val="16"/>
                      </w:rPr>
                      <w:t>J</w:t>
                    </w:r>
                    <w:r>
                      <w:rPr>
                        <w:rFonts w:ascii="Carlito"/>
                        <w:color w:val="585858"/>
                        <w:spacing w:val="-12"/>
                        <w:sz w:val="16"/>
                      </w:rPr>
                      <w:t> </w:t>
                    </w:r>
                    <w:r>
                      <w:rPr>
                        <w:rFonts w:ascii="Carlito"/>
                        <w:color w:val="585858"/>
                        <w:sz w:val="16"/>
                      </w:rPr>
                      <w:t>A</w:t>
                    </w:r>
                    <w:r>
                      <w:rPr>
                        <w:rFonts w:ascii="Carlito"/>
                        <w:color w:val="585858"/>
                        <w:spacing w:val="-13"/>
                        <w:sz w:val="16"/>
                      </w:rPr>
                      <w:t> </w:t>
                    </w:r>
                    <w:r>
                      <w:rPr>
                        <w:rFonts w:ascii="Carlito"/>
                        <w:color w:val="585858"/>
                        <w:sz w:val="16"/>
                      </w:rPr>
                      <w:t>D</w:t>
                    </w:r>
                    <w:r>
                      <w:rPr>
                        <w:rFonts w:ascii="Carlito"/>
                        <w:color w:val="585858"/>
                        <w:spacing w:val="-11"/>
                        <w:sz w:val="16"/>
                      </w:rPr>
                      <w:t> </w:t>
                    </w:r>
                    <w:r>
                      <w:rPr>
                        <w:rFonts w:ascii="Carlito"/>
                        <w:color w:val="585858"/>
                        <w:sz w:val="16"/>
                      </w:rPr>
                      <w:t>O</w:t>
                    </w:r>
                    <w:r>
                      <w:rPr>
                        <w:rFonts w:ascii="Carlito"/>
                        <w:color w:val="585858"/>
                        <w:spacing w:val="-15"/>
                        <w:sz w:val="16"/>
                      </w:rPr>
                      <w:t> </w:t>
                    </w:r>
                    <w:r>
                      <w:rPr>
                        <w:rFonts w:ascii="Carlito"/>
                        <w:color w:val="585858"/>
                        <w:sz w:val="16"/>
                      </w:rPr>
                      <w:t>R</w:t>
                    </w:r>
                    <w:r>
                      <w:rPr>
                        <w:rFonts w:ascii="Carlito"/>
                        <w:color w:val="585858"/>
                        <w:spacing w:val="-12"/>
                        <w:sz w:val="16"/>
                      </w:rPr>
                      <w:t> </w:t>
                    </w:r>
                    <w:r>
                      <w:rPr>
                        <w:rFonts w:ascii="Carlito"/>
                        <w:color w:val="585858"/>
                        <w:sz w:val="16"/>
                      </w:rPr>
                      <w:t>E</w:t>
                    </w:r>
                    <w:r>
                      <w:rPr>
                        <w:rFonts w:ascii="Carlito"/>
                        <w:color w:val="585858"/>
                        <w:spacing w:val="-11"/>
                        <w:sz w:val="16"/>
                      </w:rPr>
                      <w:t> </w:t>
                    </w:r>
                    <w:r>
                      <w:rPr>
                        <w:rFonts w:ascii="Carlito"/>
                        <w:color w:val="585858"/>
                        <w:sz w:val="16"/>
                      </w:rPr>
                      <w:t>S </w:t>
                    </w:r>
                    <w:r>
                      <w:rPr>
                        <w:rFonts w:ascii="Carlito"/>
                        <w:color w:val="585858"/>
                        <w:spacing w:val="5"/>
                        <w:sz w:val="16"/>
                      </w:rPr>
                      <w:t> </w:t>
                    </w:r>
                    <w:r>
                      <w:rPr>
                        <w:rFonts w:ascii="Carlito"/>
                        <w:color w:val="585858"/>
                        <w:sz w:val="16"/>
                      </w:rPr>
                      <w:t>D</w:t>
                    </w:r>
                    <w:r>
                      <w:rPr>
                        <w:rFonts w:ascii="Carlito"/>
                        <w:color w:val="585858"/>
                        <w:spacing w:val="-11"/>
                        <w:sz w:val="16"/>
                      </w:rPr>
                      <w:t> </w:t>
                    </w:r>
                    <w:r>
                      <w:rPr>
                        <w:rFonts w:ascii="Carlito"/>
                        <w:color w:val="585858"/>
                        <w:sz w:val="16"/>
                      </w:rPr>
                      <w:t>E </w:t>
                    </w:r>
                    <w:r>
                      <w:rPr>
                        <w:rFonts w:ascii="Carlito"/>
                        <w:color w:val="585858"/>
                        <w:spacing w:val="9"/>
                        <w:sz w:val="16"/>
                      </w:rPr>
                      <w:t> </w:t>
                    </w:r>
                    <w:r>
                      <w:rPr>
                        <w:rFonts w:ascii="Carlito"/>
                        <w:color w:val="585858"/>
                        <w:sz w:val="16"/>
                      </w:rPr>
                      <w:t>E</w:t>
                    </w:r>
                    <w:r>
                      <w:rPr>
                        <w:rFonts w:ascii="Carlito"/>
                        <w:color w:val="585858"/>
                        <w:spacing w:val="-11"/>
                        <w:sz w:val="16"/>
                      </w:rPr>
                      <w:t> </w:t>
                    </w:r>
                    <w:r>
                      <w:rPr>
                        <w:rFonts w:ascii="Carlito"/>
                        <w:color w:val="585858"/>
                        <w:sz w:val="16"/>
                      </w:rPr>
                      <w:t>M</w:t>
                    </w:r>
                    <w:r>
                      <w:rPr>
                        <w:rFonts w:ascii="Carlito"/>
                        <w:color w:val="585858"/>
                        <w:spacing w:val="-14"/>
                        <w:sz w:val="16"/>
                      </w:rPr>
                      <w:t> </w:t>
                    </w:r>
                    <w:r>
                      <w:rPr>
                        <w:rFonts w:ascii="Carlito"/>
                        <w:color w:val="585858"/>
                        <w:sz w:val="16"/>
                      </w:rPr>
                      <w:t>P</w:t>
                    </w:r>
                    <w:r>
                      <w:rPr>
                        <w:rFonts w:ascii="Carlito"/>
                        <w:color w:val="585858"/>
                        <w:spacing w:val="-11"/>
                        <w:sz w:val="16"/>
                      </w:rPr>
                      <w:t> </w:t>
                    </w:r>
                    <w:r>
                      <w:rPr>
                        <w:rFonts w:ascii="Carlito"/>
                        <w:color w:val="585858"/>
                        <w:sz w:val="16"/>
                      </w:rPr>
                      <w:t>R</w:t>
                    </w:r>
                    <w:r>
                      <w:rPr>
                        <w:rFonts w:ascii="Carlito"/>
                        <w:color w:val="585858"/>
                        <w:spacing w:val="-12"/>
                        <w:sz w:val="16"/>
                      </w:rPr>
                      <w:t> </w:t>
                    </w:r>
                    <w:r>
                      <w:rPr>
                        <w:rFonts w:ascii="Carlito"/>
                        <w:color w:val="585858"/>
                        <w:sz w:val="16"/>
                      </w:rPr>
                      <w:t>E</w:t>
                    </w:r>
                    <w:r>
                      <w:rPr>
                        <w:rFonts w:ascii="Carlito"/>
                        <w:color w:val="585858"/>
                        <w:spacing w:val="-11"/>
                        <w:sz w:val="16"/>
                      </w:rPr>
                      <w:t> </w:t>
                    </w:r>
                    <w:r>
                      <w:rPr>
                        <w:rFonts w:ascii="Carlito"/>
                        <w:color w:val="585858"/>
                        <w:sz w:val="16"/>
                      </w:rPr>
                      <w:t>S</w:t>
                    </w:r>
                    <w:r>
                      <w:rPr>
                        <w:rFonts w:ascii="Carlito"/>
                        <w:color w:val="585858"/>
                        <w:spacing w:val="-14"/>
                        <w:sz w:val="16"/>
                      </w:rPr>
                      <w:t> </w:t>
                    </w:r>
                    <w:r>
                      <w:rPr>
                        <w:rFonts w:ascii="Carlito"/>
                        <w:color w:val="585858"/>
                        <w:sz w:val="16"/>
                      </w:rPr>
                      <w:t>A</w:t>
                    </w:r>
                    <w:r>
                      <w:rPr>
                        <w:rFonts w:ascii="Carlito"/>
                        <w:color w:val="585858"/>
                        <w:spacing w:val="-13"/>
                        <w:sz w:val="16"/>
                      </w:rPr>
                      <w:t> </w:t>
                    </w:r>
                    <w:r>
                      <w:rPr>
                        <w:rFonts w:ascii="Carlito"/>
                        <w:color w:val="585858"/>
                        <w:sz w:val="16"/>
                      </w:rPr>
                      <w:t>S</w:t>
                      <w:tab/>
                    </w:r>
                    <w:r>
                      <w:rPr>
                        <w:rFonts w:ascii="Carlito"/>
                        <w:b/>
                        <w:color w:val="FFFFFF"/>
                        <w:position w:val="2"/>
                        <w:sz w:val="16"/>
                      </w:rPr>
                      <w:t>3</w:t>
                    </w:r>
                  </w:p>
                  <w:p>
                    <w:pPr>
                      <w:spacing w:line="175" w:lineRule="exact" w:before="0"/>
                      <w:ind w:left="0" w:right="253" w:firstLine="0"/>
                      <w:jc w:val="right"/>
                      <w:rPr>
                        <w:rFonts w:ascii="Carlito"/>
                        <w:b/>
                        <w:sz w:val="16"/>
                      </w:rPr>
                    </w:pPr>
                    <w:r>
                      <w:rPr>
                        <w:rFonts w:ascii="Carlito"/>
                        <w:b/>
                        <w:color w:val="FFFFFF"/>
                        <w:sz w:val="16"/>
                      </w:rPr>
                      <w:t>5</w:t>
                    </w:r>
                  </w:p>
                  <w:p>
                    <w:pPr>
                      <w:tabs>
                        <w:tab w:pos="2829" w:val="left" w:leader="none"/>
                      </w:tabs>
                      <w:spacing w:line="195" w:lineRule="exact" w:before="0"/>
                      <w:ind w:left="6" w:right="0" w:firstLine="0"/>
                      <w:jc w:val="left"/>
                      <w:rPr>
                        <w:rFonts w:ascii="Carlito"/>
                        <w:b/>
                        <w:sz w:val="16"/>
                      </w:rPr>
                    </w:pPr>
                    <w:r>
                      <w:rPr>
                        <w:rFonts w:ascii="Carlito"/>
                        <w:color w:val="585858"/>
                        <w:sz w:val="16"/>
                      </w:rPr>
                      <w:t>A</w:t>
                    </w:r>
                    <w:r>
                      <w:rPr>
                        <w:rFonts w:ascii="Carlito"/>
                        <w:color w:val="585858"/>
                        <w:spacing w:val="-14"/>
                        <w:sz w:val="16"/>
                      </w:rPr>
                      <w:t> </w:t>
                    </w:r>
                    <w:r>
                      <w:rPr>
                        <w:rFonts w:ascii="Carlito"/>
                        <w:color w:val="585858"/>
                        <w:sz w:val="16"/>
                      </w:rPr>
                      <w:t>G</w:t>
                    </w:r>
                    <w:r>
                      <w:rPr>
                        <w:rFonts w:ascii="Carlito"/>
                        <w:color w:val="585858"/>
                        <w:spacing w:val="-14"/>
                        <w:sz w:val="16"/>
                      </w:rPr>
                      <w:t> </w:t>
                    </w:r>
                    <w:r>
                      <w:rPr>
                        <w:rFonts w:ascii="Carlito"/>
                        <w:color w:val="585858"/>
                        <w:sz w:val="16"/>
                      </w:rPr>
                      <w:t>R</w:t>
                    </w:r>
                    <w:r>
                      <w:rPr>
                        <w:rFonts w:ascii="Carlito"/>
                        <w:color w:val="585858"/>
                        <w:spacing w:val="-12"/>
                        <w:sz w:val="16"/>
                      </w:rPr>
                      <w:t> </w:t>
                    </w:r>
                    <w:r>
                      <w:rPr>
                        <w:rFonts w:ascii="Carlito"/>
                        <w:color w:val="585858"/>
                        <w:sz w:val="16"/>
                      </w:rPr>
                      <w:t>I</w:t>
                    </w:r>
                    <w:r>
                      <w:rPr>
                        <w:rFonts w:ascii="Carlito"/>
                        <w:color w:val="585858"/>
                        <w:spacing w:val="-13"/>
                        <w:sz w:val="16"/>
                      </w:rPr>
                      <w:t> </w:t>
                    </w:r>
                    <w:r>
                      <w:rPr>
                        <w:rFonts w:ascii="Carlito"/>
                        <w:color w:val="585858"/>
                        <w:sz w:val="16"/>
                      </w:rPr>
                      <w:t>C</w:t>
                    </w:r>
                    <w:r>
                      <w:rPr>
                        <w:rFonts w:ascii="Carlito"/>
                        <w:color w:val="585858"/>
                        <w:spacing w:val="-13"/>
                        <w:sz w:val="16"/>
                      </w:rPr>
                      <w:t> </w:t>
                    </w:r>
                    <w:r>
                      <w:rPr>
                        <w:rFonts w:ascii="Carlito"/>
                        <w:color w:val="585858"/>
                        <w:sz w:val="16"/>
                      </w:rPr>
                      <w:t>U</w:t>
                    </w:r>
                    <w:r>
                      <w:rPr>
                        <w:rFonts w:ascii="Carlito"/>
                        <w:color w:val="585858"/>
                        <w:spacing w:val="-12"/>
                        <w:sz w:val="16"/>
                      </w:rPr>
                      <w:t> </w:t>
                    </w:r>
                    <w:r>
                      <w:rPr>
                        <w:rFonts w:ascii="Carlito"/>
                        <w:color w:val="585858"/>
                        <w:sz w:val="16"/>
                      </w:rPr>
                      <w:t>L</w:t>
                    </w:r>
                    <w:r>
                      <w:rPr>
                        <w:rFonts w:ascii="Carlito"/>
                        <w:color w:val="585858"/>
                        <w:spacing w:val="-12"/>
                        <w:sz w:val="16"/>
                      </w:rPr>
                      <w:t> </w:t>
                    </w:r>
                    <w:r>
                      <w:rPr>
                        <w:rFonts w:ascii="Carlito"/>
                        <w:color w:val="585858"/>
                        <w:sz w:val="16"/>
                      </w:rPr>
                      <w:t>T</w:t>
                    </w:r>
                    <w:r>
                      <w:rPr>
                        <w:rFonts w:ascii="Carlito"/>
                        <w:color w:val="585858"/>
                        <w:spacing w:val="-11"/>
                        <w:sz w:val="16"/>
                      </w:rPr>
                      <w:t> </w:t>
                    </w:r>
                    <w:r>
                      <w:rPr>
                        <w:rFonts w:ascii="Carlito"/>
                        <w:color w:val="585858"/>
                        <w:sz w:val="16"/>
                      </w:rPr>
                      <w:t>O</w:t>
                    </w:r>
                    <w:r>
                      <w:rPr>
                        <w:rFonts w:ascii="Carlito"/>
                        <w:color w:val="585858"/>
                        <w:spacing w:val="-15"/>
                        <w:sz w:val="16"/>
                      </w:rPr>
                      <w:t> </w:t>
                    </w:r>
                    <w:r>
                      <w:rPr>
                        <w:rFonts w:ascii="Carlito"/>
                        <w:color w:val="585858"/>
                        <w:sz w:val="16"/>
                      </w:rPr>
                      <w:t>R</w:t>
                    </w:r>
                    <w:r>
                      <w:rPr>
                        <w:rFonts w:ascii="Carlito"/>
                        <w:color w:val="585858"/>
                        <w:spacing w:val="-11"/>
                        <w:sz w:val="16"/>
                      </w:rPr>
                      <w:t> </w:t>
                    </w:r>
                    <w:r>
                      <w:rPr>
                        <w:rFonts w:ascii="Carlito"/>
                        <w:color w:val="585858"/>
                        <w:sz w:val="16"/>
                      </w:rPr>
                      <w:t>E</w:t>
                    </w:r>
                    <w:r>
                      <w:rPr>
                        <w:rFonts w:ascii="Carlito"/>
                        <w:color w:val="585858"/>
                        <w:spacing w:val="-11"/>
                        <w:sz w:val="16"/>
                      </w:rPr>
                      <w:t> </w:t>
                    </w:r>
                    <w:r>
                      <w:rPr>
                        <w:rFonts w:ascii="Carlito"/>
                        <w:color w:val="585858"/>
                        <w:sz w:val="16"/>
                      </w:rPr>
                      <w:t>S </w:t>
                    </w:r>
                    <w:r>
                      <w:rPr>
                        <w:rFonts w:ascii="Carlito"/>
                        <w:color w:val="585858"/>
                        <w:spacing w:val="10"/>
                        <w:sz w:val="16"/>
                      </w:rPr>
                      <w:t> </w:t>
                    </w:r>
                    <w:r>
                      <w:rPr>
                        <w:rFonts w:ascii="Carlito"/>
                        <w:color w:val="585858"/>
                        <w:sz w:val="16"/>
                      </w:rPr>
                      <w:t>E</w:t>
                    </w:r>
                    <w:r>
                      <w:rPr>
                        <w:rFonts w:ascii="Carlito"/>
                        <w:color w:val="585858"/>
                        <w:spacing w:val="-11"/>
                        <w:sz w:val="16"/>
                      </w:rPr>
                      <w:t> </w:t>
                    </w:r>
                    <w:r>
                      <w:rPr>
                        <w:rFonts w:ascii="Carlito"/>
                        <w:color w:val="585858"/>
                        <w:sz w:val="16"/>
                      </w:rPr>
                      <w:t>M</w:t>
                    </w:r>
                    <w:r>
                      <w:rPr>
                        <w:rFonts w:ascii="Carlito"/>
                        <w:color w:val="585858"/>
                        <w:spacing w:val="-14"/>
                        <w:sz w:val="16"/>
                      </w:rPr>
                      <w:t> </w:t>
                    </w:r>
                    <w:r>
                      <w:rPr>
                        <w:rFonts w:ascii="Carlito"/>
                        <w:color w:val="585858"/>
                        <w:sz w:val="16"/>
                      </w:rPr>
                      <w:t>P</w:t>
                    </w:r>
                    <w:r>
                      <w:rPr>
                        <w:rFonts w:ascii="Carlito"/>
                        <w:color w:val="585858"/>
                        <w:spacing w:val="-12"/>
                        <w:sz w:val="16"/>
                      </w:rPr>
                      <w:t> </w:t>
                    </w:r>
                    <w:r>
                      <w:rPr>
                        <w:rFonts w:ascii="Carlito"/>
                        <w:color w:val="585858"/>
                        <w:sz w:val="16"/>
                      </w:rPr>
                      <w:t>R</w:t>
                    </w:r>
                    <w:r>
                      <w:rPr>
                        <w:rFonts w:ascii="Carlito"/>
                        <w:color w:val="585858"/>
                        <w:spacing w:val="-12"/>
                        <w:sz w:val="16"/>
                      </w:rPr>
                      <w:t> </w:t>
                    </w:r>
                    <w:r>
                      <w:rPr>
                        <w:rFonts w:ascii="Carlito"/>
                        <w:color w:val="585858"/>
                        <w:sz w:val="16"/>
                      </w:rPr>
                      <w:t>E</w:t>
                    </w:r>
                    <w:r>
                      <w:rPr>
                        <w:rFonts w:ascii="Carlito"/>
                        <w:color w:val="585858"/>
                        <w:spacing w:val="-10"/>
                        <w:sz w:val="16"/>
                      </w:rPr>
                      <w:t> </w:t>
                    </w:r>
                    <w:r>
                      <w:rPr>
                        <w:rFonts w:ascii="Carlito"/>
                        <w:color w:val="585858"/>
                        <w:sz w:val="16"/>
                      </w:rPr>
                      <w:t>S</w:t>
                    </w:r>
                    <w:r>
                      <w:rPr>
                        <w:rFonts w:ascii="Carlito"/>
                        <w:color w:val="585858"/>
                        <w:spacing w:val="-15"/>
                        <w:sz w:val="16"/>
                      </w:rPr>
                      <w:t> </w:t>
                    </w:r>
                    <w:r>
                      <w:rPr>
                        <w:rFonts w:ascii="Carlito"/>
                        <w:color w:val="585858"/>
                        <w:sz w:val="16"/>
                      </w:rPr>
                      <w:t>A</w:t>
                    </w:r>
                    <w:r>
                      <w:rPr>
                        <w:rFonts w:ascii="Carlito"/>
                        <w:color w:val="585858"/>
                        <w:spacing w:val="-14"/>
                        <w:sz w:val="16"/>
                      </w:rPr>
                      <w:t> </w:t>
                    </w:r>
                    <w:r>
                      <w:rPr>
                        <w:rFonts w:ascii="Carlito"/>
                        <w:color w:val="585858"/>
                        <w:sz w:val="16"/>
                      </w:rPr>
                      <w:t>R</w:t>
                    </w:r>
                    <w:r>
                      <w:rPr>
                        <w:rFonts w:ascii="Carlito"/>
                        <w:color w:val="585858"/>
                        <w:spacing w:val="-12"/>
                        <w:sz w:val="16"/>
                      </w:rPr>
                      <w:t> </w:t>
                    </w:r>
                    <w:r>
                      <w:rPr>
                        <w:rFonts w:ascii="Carlito"/>
                        <w:color w:val="585858"/>
                        <w:sz w:val="16"/>
                      </w:rPr>
                      <w:t>I</w:t>
                    </w:r>
                    <w:r>
                      <w:rPr>
                        <w:rFonts w:ascii="Carlito"/>
                        <w:color w:val="585858"/>
                        <w:spacing w:val="-13"/>
                        <w:sz w:val="16"/>
                      </w:rPr>
                      <w:t> </w:t>
                    </w:r>
                    <w:r>
                      <w:rPr>
                        <w:rFonts w:ascii="Carlito"/>
                        <w:color w:val="585858"/>
                        <w:sz w:val="16"/>
                      </w:rPr>
                      <w:t>O</w:t>
                    </w:r>
                    <w:r>
                      <w:rPr>
                        <w:rFonts w:ascii="Carlito"/>
                        <w:color w:val="585858"/>
                        <w:spacing w:val="-14"/>
                        <w:sz w:val="16"/>
                      </w:rPr>
                      <w:t> </w:t>
                    </w:r>
                    <w:r>
                      <w:rPr>
                        <w:rFonts w:ascii="Carlito"/>
                        <w:color w:val="585858"/>
                        <w:sz w:val="16"/>
                      </w:rPr>
                      <w:t>S</w:t>
                      <w:tab/>
                    </w:r>
                    <w:r>
                      <w:rPr>
                        <w:rFonts w:ascii="Carlito"/>
                        <w:b/>
                        <w:color w:val="FFFFFF"/>
                        <w:position w:val="2"/>
                        <w:sz w:val="16"/>
                      </w:rPr>
                      <w:t>5</w:t>
                    </w:r>
                  </w:p>
                  <w:p>
                    <w:pPr>
                      <w:spacing w:line="175" w:lineRule="exact" w:before="0"/>
                      <w:ind w:left="0" w:right="225" w:firstLine="0"/>
                      <w:jc w:val="right"/>
                      <w:rPr>
                        <w:rFonts w:ascii="Carlito"/>
                        <w:b/>
                        <w:sz w:val="16"/>
                      </w:rPr>
                    </w:pPr>
                    <w:r>
                      <w:rPr>
                        <w:rFonts w:ascii="Carlito"/>
                        <w:b/>
                        <w:color w:val="FFFFFF"/>
                        <w:sz w:val="16"/>
                      </w:rPr>
                      <w:t>6</w:t>
                    </w:r>
                  </w:p>
                  <w:p>
                    <w:pPr>
                      <w:tabs>
                        <w:tab w:pos="3023" w:val="right" w:leader="none"/>
                      </w:tabs>
                      <w:spacing w:line="196" w:lineRule="exact" w:before="0"/>
                      <w:ind w:left="281" w:right="0" w:firstLine="0"/>
                      <w:jc w:val="left"/>
                      <w:rPr>
                        <w:rFonts w:ascii="Carlito"/>
                        <w:b/>
                        <w:sz w:val="16"/>
                      </w:rPr>
                    </w:pPr>
                    <w:r>
                      <w:rPr>
                        <w:rFonts w:ascii="Carlito"/>
                        <w:color w:val="585858"/>
                        <w:sz w:val="16"/>
                      </w:rPr>
                      <w:t>H</w:t>
                    </w:r>
                    <w:r>
                      <w:rPr>
                        <w:rFonts w:ascii="Carlito"/>
                        <w:color w:val="585858"/>
                        <w:spacing w:val="-13"/>
                        <w:sz w:val="16"/>
                      </w:rPr>
                      <w:t> </w:t>
                    </w:r>
                    <w:r>
                      <w:rPr>
                        <w:rFonts w:ascii="Carlito"/>
                        <w:color w:val="585858"/>
                        <w:sz w:val="16"/>
                      </w:rPr>
                      <w:t>A</w:t>
                    </w:r>
                    <w:r>
                      <w:rPr>
                        <w:rFonts w:ascii="Carlito"/>
                        <w:color w:val="585858"/>
                        <w:spacing w:val="-13"/>
                        <w:sz w:val="16"/>
                      </w:rPr>
                      <w:t> </w:t>
                    </w:r>
                    <w:r>
                      <w:rPr>
                        <w:rFonts w:ascii="Carlito"/>
                        <w:color w:val="585858"/>
                        <w:sz w:val="16"/>
                      </w:rPr>
                      <w:t>B</w:t>
                    </w:r>
                    <w:r>
                      <w:rPr>
                        <w:rFonts w:ascii="Carlito"/>
                        <w:color w:val="585858"/>
                        <w:spacing w:val="-12"/>
                        <w:sz w:val="16"/>
                      </w:rPr>
                      <w:t> </w:t>
                    </w:r>
                    <w:r>
                      <w:rPr>
                        <w:rFonts w:ascii="Carlito"/>
                        <w:color w:val="585858"/>
                        <w:sz w:val="16"/>
                      </w:rPr>
                      <w:t>I</w:t>
                    </w:r>
                    <w:r>
                      <w:rPr>
                        <w:rFonts w:ascii="Carlito"/>
                        <w:color w:val="585858"/>
                        <w:spacing w:val="-13"/>
                        <w:sz w:val="16"/>
                      </w:rPr>
                      <w:t> </w:t>
                    </w:r>
                    <w:r>
                      <w:rPr>
                        <w:rFonts w:ascii="Carlito"/>
                        <w:color w:val="585858"/>
                        <w:sz w:val="16"/>
                      </w:rPr>
                      <w:t>T</w:t>
                    </w:r>
                    <w:r>
                      <w:rPr>
                        <w:rFonts w:ascii="Carlito"/>
                        <w:color w:val="585858"/>
                        <w:spacing w:val="-11"/>
                        <w:sz w:val="16"/>
                      </w:rPr>
                      <w:t> </w:t>
                    </w:r>
                    <w:r>
                      <w:rPr>
                        <w:rFonts w:ascii="Carlito"/>
                        <w:color w:val="585858"/>
                        <w:sz w:val="16"/>
                      </w:rPr>
                      <w:t>A</w:t>
                    </w:r>
                    <w:r>
                      <w:rPr>
                        <w:rFonts w:ascii="Carlito"/>
                        <w:color w:val="585858"/>
                        <w:spacing w:val="-13"/>
                        <w:sz w:val="16"/>
                      </w:rPr>
                      <w:t> </w:t>
                    </w:r>
                    <w:r>
                      <w:rPr>
                        <w:rFonts w:ascii="Carlito"/>
                        <w:color w:val="585858"/>
                        <w:sz w:val="16"/>
                      </w:rPr>
                      <w:t>N</w:t>
                    </w:r>
                    <w:r>
                      <w:rPr>
                        <w:rFonts w:ascii="Carlito"/>
                        <w:color w:val="585858"/>
                        <w:spacing w:val="-12"/>
                        <w:sz w:val="16"/>
                      </w:rPr>
                      <w:t> </w:t>
                    </w:r>
                    <w:r>
                      <w:rPr>
                        <w:rFonts w:ascii="Carlito"/>
                        <w:color w:val="585858"/>
                        <w:sz w:val="16"/>
                      </w:rPr>
                      <w:t>T</w:t>
                    </w:r>
                    <w:r>
                      <w:rPr>
                        <w:rFonts w:ascii="Carlito"/>
                        <w:color w:val="585858"/>
                        <w:spacing w:val="-11"/>
                        <w:sz w:val="16"/>
                      </w:rPr>
                      <w:t> </w:t>
                    </w:r>
                    <w:r>
                      <w:rPr>
                        <w:rFonts w:ascii="Carlito"/>
                        <w:color w:val="585858"/>
                        <w:sz w:val="16"/>
                      </w:rPr>
                      <w:t>E</w:t>
                    </w:r>
                    <w:r>
                      <w:rPr>
                        <w:rFonts w:ascii="Carlito"/>
                        <w:color w:val="585858"/>
                        <w:spacing w:val="-11"/>
                        <w:sz w:val="16"/>
                      </w:rPr>
                      <w:t> </w:t>
                    </w:r>
                    <w:r>
                      <w:rPr>
                        <w:rFonts w:ascii="Carlito"/>
                        <w:color w:val="585858"/>
                        <w:sz w:val="16"/>
                      </w:rPr>
                      <w:t>S</w:t>
                    </w:r>
                    <w:r>
                      <w:rPr>
                        <w:rFonts w:ascii="Carlito"/>
                        <w:color w:val="585858"/>
                        <w:spacing w:val="5"/>
                        <w:sz w:val="16"/>
                      </w:rPr>
                      <w:t> </w:t>
                    </w:r>
                    <w:r>
                      <w:rPr>
                        <w:rFonts w:ascii="Carlito"/>
                        <w:color w:val="585858"/>
                        <w:sz w:val="16"/>
                      </w:rPr>
                      <w:t>D</w:t>
                    </w:r>
                    <w:r>
                      <w:rPr>
                        <w:rFonts w:ascii="Carlito"/>
                        <w:color w:val="585858"/>
                        <w:spacing w:val="-11"/>
                        <w:sz w:val="16"/>
                      </w:rPr>
                      <w:t> </w:t>
                    </w:r>
                    <w:r>
                      <w:rPr>
                        <w:rFonts w:ascii="Carlito"/>
                        <w:color w:val="585858"/>
                        <w:sz w:val="16"/>
                      </w:rPr>
                      <w:t>E</w:t>
                    </w:r>
                    <w:r>
                      <w:rPr>
                        <w:rFonts w:ascii="Carlito"/>
                        <w:color w:val="585858"/>
                        <w:spacing w:val="9"/>
                        <w:sz w:val="16"/>
                      </w:rPr>
                      <w:t> </w:t>
                    </w:r>
                    <w:r>
                      <w:rPr>
                        <w:rFonts w:ascii="Carlito"/>
                        <w:color w:val="585858"/>
                        <w:sz w:val="16"/>
                      </w:rPr>
                      <w:t>C</w:t>
                    </w:r>
                    <w:r>
                      <w:rPr>
                        <w:rFonts w:ascii="Carlito"/>
                        <w:color w:val="585858"/>
                        <w:spacing w:val="-14"/>
                        <w:sz w:val="16"/>
                      </w:rPr>
                      <w:t> </w:t>
                    </w:r>
                    <w:r>
                      <w:rPr>
                        <w:rFonts w:ascii="Carlito"/>
                        <w:color w:val="585858"/>
                        <w:sz w:val="16"/>
                      </w:rPr>
                      <w:t>I</w:t>
                    </w:r>
                    <w:r>
                      <w:rPr>
                        <w:rFonts w:ascii="Carlito"/>
                        <w:color w:val="585858"/>
                        <w:spacing w:val="-13"/>
                        <w:sz w:val="16"/>
                      </w:rPr>
                      <w:t> </w:t>
                    </w:r>
                    <w:r>
                      <w:rPr>
                        <w:rFonts w:ascii="Carlito"/>
                        <w:color w:val="585858"/>
                        <w:sz w:val="16"/>
                      </w:rPr>
                      <w:t>U</w:t>
                    </w:r>
                    <w:r>
                      <w:rPr>
                        <w:rFonts w:ascii="Carlito"/>
                        <w:color w:val="585858"/>
                        <w:spacing w:val="-11"/>
                        <w:sz w:val="16"/>
                      </w:rPr>
                      <w:t> </w:t>
                    </w:r>
                    <w:r>
                      <w:rPr>
                        <w:rFonts w:ascii="Carlito"/>
                        <w:color w:val="585858"/>
                        <w:sz w:val="16"/>
                      </w:rPr>
                      <w:t>D</w:t>
                    </w:r>
                    <w:r>
                      <w:rPr>
                        <w:rFonts w:ascii="Carlito"/>
                        <w:color w:val="585858"/>
                        <w:spacing w:val="-11"/>
                        <w:sz w:val="16"/>
                      </w:rPr>
                      <w:t> </w:t>
                    </w:r>
                    <w:r>
                      <w:rPr>
                        <w:rFonts w:ascii="Carlito"/>
                        <w:color w:val="585858"/>
                        <w:sz w:val="16"/>
                      </w:rPr>
                      <w:t>A</w:t>
                    </w:r>
                    <w:r>
                      <w:rPr>
                        <w:rFonts w:ascii="Carlito"/>
                        <w:color w:val="585858"/>
                        <w:spacing w:val="-13"/>
                        <w:sz w:val="16"/>
                      </w:rPr>
                      <w:t> </w:t>
                    </w:r>
                    <w:r>
                      <w:rPr>
                        <w:rFonts w:ascii="Carlito"/>
                        <w:color w:val="585858"/>
                        <w:sz w:val="16"/>
                      </w:rPr>
                      <w:t>D</w:t>
                    </w:r>
                    <w:r>
                      <w:rPr>
                        <w:rFonts w:ascii="Carlito"/>
                        <w:color w:val="585858"/>
                        <w:spacing w:val="-11"/>
                        <w:sz w:val="16"/>
                      </w:rPr>
                      <w:t> </w:t>
                    </w:r>
                    <w:r>
                      <w:rPr>
                        <w:rFonts w:ascii="Carlito"/>
                        <w:color w:val="585858"/>
                        <w:sz w:val="16"/>
                      </w:rPr>
                      <w:t>E</w:t>
                    </w:r>
                    <w:r>
                      <w:rPr>
                        <w:rFonts w:ascii="Carlito"/>
                        <w:color w:val="585858"/>
                        <w:spacing w:val="-11"/>
                        <w:sz w:val="16"/>
                      </w:rPr>
                      <w:t> </w:t>
                    </w:r>
                    <w:r>
                      <w:rPr>
                        <w:rFonts w:ascii="Carlito"/>
                        <w:color w:val="585858"/>
                        <w:sz w:val="16"/>
                      </w:rPr>
                      <w:t>S</w:t>
                      <w:tab/>
                    </w:r>
                    <w:r>
                      <w:rPr>
                        <w:rFonts w:ascii="Carlito"/>
                        <w:b/>
                        <w:color w:val="FFFFFF"/>
                        <w:position w:val="2"/>
                        <w:sz w:val="16"/>
                      </w:rPr>
                      <w:t>9</w:t>
                    </w:r>
                  </w:p>
                  <w:p>
                    <w:pPr>
                      <w:spacing w:line="176" w:lineRule="exact" w:before="0"/>
                      <w:ind w:left="0" w:right="46" w:firstLine="0"/>
                      <w:jc w:val="right"/>
                      <w:rPr>
                        <w:rFonts w:ascii="Carlito"/>
                        <w:b/>
                        <w:sz w:val="16"/>
                      </w:rPr>
                    </w:pPr>
                    <w:r>
                      <w:rPr>
                        <w:rFonts w:ascii="Carlito"/>
                        <w:b/>
                        <w:color w:val="FFFFFF"/>
                        <w:spacing w:val="-3"/>
                        <w:sz w:val="16"/>
                      </w:rPr>
                      <w:t>11</w:t>
                    </w:r>
                  </w:p>
                  <w:p>
                    <w:pPr>
                      <w:tabs>
                        <w:tab w:pos="3146" w:val="right" w:leader="none"/>
                      </w:tabs>
                      <w:spacing w:line="207" w:lineRule="exact" w:before="0"/>
                      <w:ind w:left="1456" w:right="0" w:firstLine="0"/>
                      <w:jc w:val="left"/>
                      <w:rPr>
                        <w:rFonts w:ascii="Carlito"/>
                        <w:b/>
                        <w:sz w:val="16"/>
                      </w:rPr>
                    </w:pPr>
                    <w:r>
                      <w:rPr>
                        <w:rFonts w:ascii="Carlito"/>
                        <w:color w:val="585858"/>
                        <w:sz w:val="16"/>
                      </w:rPr>
                      <w:t>P</w:t>
                    </w:r>
                    <w:r>
                      <w:rPr>
                        <w:rFonts w:ascii="Carlito"/>
                        <w:color w:val="585858"/>
                        <w:spacing w:val="-12"/>
                        <w:sz w:val="16"/>
                      </w:rPr>
                      <w:t> </w:t>
                    </w:r>
                    <w:r>
                      <w:rPr>
                        <w:rFonts w:ascii="Carlito"/>
                        <w:color w:val="585858"/>
                        <w:sz w:val="16"/>
                      </w:rPr>
                      <w:t>E</w:t>
                    </w:r>
                    <w:r>
                      <w:rPr>
                        <w:rFonts w:ascii="Carlito"/>
                        <w:color w:val="585858"/>
                        <w:spacing w:val="-11"/>
                        <w:sz w:val="16"/>
                      </w:rPr>
                      <w:t> </w:t>
                    </w:r>
                    <w:r>
                      <w:rPr>
                        <w:rFonts w:ascii="Carlito"/>
                        <w:color w:val="585858"/>
                        <w:sz w:val="16"/>
                      </w:rPr>
                      <w:t>S</w:t>
                    </w:r>
                    <w:r>
                      <w:rPr>
                        <w:rFonts w:ascii="Carlito"/>
                        <w:color w:val="585858"/>
                        <w:spacing w:val="-14"/>
                        <w:sz w:val="16"/>
                      </w:rPr>
                      <w:t> </w:t>
                    </w:r>
                    <w:r>
                      <w:rPr>
                        <w:rFonts w:ascii="Carlito"/>
                        <w:color w:val="585858"/>
                        <w:sz w:val="16"/>
                      </w:rPr>
                      <w:t>C</w:t>
                    </w:r>
                    <w:r>
                      <w:rPr>
                        <w:rFonts w:ascii="Carlito"/>
                        <w:color w:val="585858"/>
                        <w:spacing w:val="-14"/>
                        <w:sz w:val="16"/>
                      </w:rPr>
                      <w:t> </w:t>
                    </w:r>
                    <w:r>
                      <w:rPr>
                        <w:rFonts w:ascii="Carlito"/>
                        <w:color w:val="585858"/>
                        <w:sz w:val="16"/>
                      </w:rPr>
                      <w:t>A</w:t>
                    </w:r>
                    <w:r>
                      <w:rPr>
                        <w:rFonts w:ascii="Carlito"/>
                        <w:color w:val="585858"/>
                        <w:spacing w:val="-13"/>
                        <w:sz w:val="16"/>
                      </w:rPr>
                      <w:t> </w:t>
                    </w:r>
                    <w:r>
                      <w:rPr>
                        <w:rFonts w:ascii="Carlito"/>
                        <w:color w:val="585858"/>
                        <w:sz w:val="16"/>
                      </w:rPr>
                      <w:t>D</w:t>
                    </w:r>
                    <w:r>
                      <w:rPr>
                        <w:rFonts w:ascii="Carlito"/>
                        <w:color w:val="585858"/>
                        <w:spacing w:val="-11"/>
                        <w:sz w:val="16"/>
                      </w:rPr>
                      <w:t> </w:t>
                    </w:r>
                    <w:r>
                      <w:rPr>
                        <w:rFonts w:ascii="Carlito"/>
                        <w:color w:val="585858"/>
                        <w:sz w:val="16"/>
                      </w:rPr>
                      <w:t>O</w:t>
                    </w:r>
                    <w:r>
                      <w:rPr>
                        <w:rFonts w:ascii="Carlito"/>
                        <w:color w:val="585858"/>
                        <w:spacing w:val="-15"/>
                        <w:sz w:val="16"/>
                      </w:rPr>
                      <w:t> </w:t>
                    </w:r>
                    <w:r>
                      <w:rPr>
                        <w:rFonts w:ascii="Carlito"/>
                        <w:color w:val="585858"/>
                        <w:sz w:val="16"/>
                      </w:rPr>
                      <w:t>R</w:t>
                    </w:r>
                    <w:r>
                      <w:rPr>
                        <w:rFonts w:ascii="Carlito"/>
                        <w:color w:val="585858"/>
                        <w:spacing w:val="-13"/>
                        <w:sz w:val="16"/>
                      </w:rPr>
                      <w:t> </w:t>
                    </w:r>
                    <w:r>
                      <w:rPr>
                        <w:rFonts w:ascii="Carlito"/>
                        <w:color w:val="585858"/>
                        <w:sz w:val="16"/>
                      </w:rPr>
                      <w:t>E</w:t>
                    </w:r>
                    <w:r>
                      <w:rPr>
                        <w:rFonts w:ascii="Carlito"/>
                        <w:color w:val="585858"/>
                        <w:spacing w:val="-11"/>
                        <w:sz w:val="16"/>
                      </w:rPr>
                      <w:t> </w:t>
                    </w:r>
                    <w:r>
                      <w:rPr>
                        <w:rFonts w:ascii="Carlito"/>
                        <w:color w:val="585858"/>
                        <w:sz w:val="16"/>
                      </w:rPr>
                      <w:t>S</w:t>
                      <w:tab/>
                    </w:r>
                    <w:r>
                      <w:rPr>
                        <w:rFonts w:ascii="Carlito"/>
                        <w:b/>
                        <w:color w:val="FFFFFF"/>
                        <w:position w:val="2"/>
                        <w:sz w:val="16"/>
                      </w:rPr>
                      <w:t>12</w:t>
                    </w:r>
                  </w:p>
                </w:txbxContent>
              </v:textbox>
              <w10:wrap type="none"/>
            </v:shape>
            <v:shape style="position:absolute;left:6453;top:2057;width:180;height:160" type="#_x0000_t202" filled="false" stroked="false">
              <v:textbox inset="0,0,0,0">
                <w:txbxContent>
                  <w:p>
                    <w:pPr>
                      <w:spacing w:line="160" w:lineRule="exact" w:before="0"/>
                      <w:ind w:left="0" w:right="0" w:firstLine="0"/>
                      <w:jc w:val="left"/>
                      <w:rPr>
                        <w:rFonts w:ascii="Carlito"/>
                        <w:b/>
                        <w:sz w:val="16"/>
                      </w:rPr>
                    </w:pPr>
                    <w:r>
                      <w:rPr>
                        <w:rFonts w:ascii="Carlito"/>
                        <w:b/>
                        <w:color w:val="FFFFFF"/>
                        <w:sz w:val="16"/>
                      </w:rPr>
                      <w:t>31</w:t>
                    </w:r>
                  </w:p>
                </w:txbxContent>
              </v:textbox>
              <w10:wrap type="none"/>
            </v:shape>
            <v:shape style="position:absolute;left:4538;top:2263;width:945;height:160" type="#_x0000_t202" filled="false" stroked="false">
              <v:textbox inset="0,0,0,0">
                <w:txbxContent>
                  <w:p>
                    <w:pPr>
                      <w:spacing w:line="160" w:lineRule="exact" w:before="0"/>
                      <w:ind w:left="0" w:right="0" w:firstLine="0"/>
                      <w:jc w:val="left"/>
                      <w:rPr>
                        <w:rFonts w:ascii="Carlito"/>
                        <w:sz w:val="16"/>
                      </w:rPr>
                    </w:pPr>
                    <w:r>
                      <w:rPr>
                        <w:rFonts w:ascii="Carlito"/>
                        <w:color w:val="585858"/>
                        <w:sz w:val="16"/>
                      </w:rPr>
                      <w:t>I</w:t>
                    </w:r>
                    <w:r>
                      <w:rPr>
                        <w:rFonts w:ascii="Carlito"/>
                        <w:color w:val="585858"/>
                        <w:spacing w:val="-13"/>
                        <w:sz w:val="16"/>
                      </w:rPr>
                      <w:t> </w:t>
                    </w:r>
                    <w:r>
                      <w:rPr>
                        <w:rFonts w:ascii="Carlito"/>
                        <w:color w:val="585858"/>
                        <w:sz w:val="16"/>
                      </w:rPr>
                      <w:t>N</w:t>
                    </w:r>
                    <w:r>
                      <w:rPr>
                        <w:rFonts w:ascii="Carlito"/>
                        <w:color w:val="585858"/>
                        <w:spacing w:val="-12"/>
                        <w:sz w:val="16"/>
                      </w:rPr>
                      <w:t> </w:t>
                    </w:r>
                    <w:r>
                      <w:rPr>
                        <w:rFonts w:ascii="Carlito"/>
                        <w:color w:val="585858"/>
                        <w:sz w:val="16"/>
                      </w:rPr>
                      <w:t>D</w:t>
                    </w:r>
                    <w:r>
                      <w:rPr>
                        <w:rFonts w:ascii="Carlito"/>
                        <w:color w:val="585858"/>
                        <w:spacing w:val="-11"/>
                        <w:sz w:val="16"/>
                      </w:rPr>
                      <w:t> </w:t>
                    </w:r>
                    <w:r>
                      <w:rPr>
                        <w:rFonts w:ascii="Carlito"/>
                        <w:color w:val="585858"/>
                        <w:sz w:val="16"/>
                      </w:rPr>
                      <w:t>I</w:t>
                    </w:r>
                    <w:r>
                      <w:rPr>
                        <w:rFonts w:ascii="Carlito"/>
                        <w:color w:val="585858"/>
                        <w:spacing w:val="-13"/>
                        <w:sz w:val="16"/>
                      </w:rPr>
                      <w:t> </w:t>
                    </w:r>
                    <w:r>
                      <w:rPr>
                        <w:rFonts w:ascii="Carlito"/>
                        <w:color w:val="585858"/>
                        <w:sz w:val="16"/>
                      </w:rPr>
                      <w:t>G</w:t>
                    </w:r>
                    <w:r>
                      <w:rPr>
                        <w:rFonts w:ascii="Carlito"/>
                        <w:color w:val="585858"/>
                        <w:spacing w:val="-14"/>
                        <w:sz w:val="16"/>
                      </w:rPr>
                      <w:t> </w:t>
                    </w:r>
                    <w:r>
                      <w:rPr>
                        <w:rFonts w:ascii="Carlito"/>
                        <w:color w:val="585858"/>
                        <w:sz w:val="16"/>
                      </w:rPr>
                      <w:t>E</w:t>
                    </w:r>
                    <w:r>
                      <w:rPr>
                        <w:rFonts w:ascii="Carlito"/>
                        <w:color w:val="585858"/>
                        <w:spacing w:val="-11"/>
                        <w:sz w:val="16"/>
                      </w:rPr>
                      <w:t> </w:t>
                    </w:r>
                    <w:r>
                      <w:rPr>
                        <w:rFonts w:ascii="Carlito"/>
                        <w:color w:val="585858"/>
                        <w:sz w:val="16"/>
                      </w:rPr>
                      <w:t>N</w:t>
                    </w:r>
                    <w:r>
                      <w:rPr>
                        <w:rFonts w:ascii="Carlito"/>
                        <w:color w:val="585858"/>
                        <w:spacing w:val="-12"/>
                        <w:sz w:val="16"/>
                      </w:rPr>
                      <w:t> </w:t>
                    </w:r>
                    <w:r>
                      <w:rPr>
                        <w:rFonts w:ascii="Carlito"/>
                        <w:color w:val="585858"/>
                        <w:sz w:val="16"/>
                      </w:rPr>
                      <w:t>A</w:t>
                    </w:r>
                    <w:r>
                      <w:rPr>
                        <w:rFonts w:ascii="Carlito"/>
                        <w:color w:val="585858"/>
                        <w:spacing w:val="-13"/>
                        <w:sz w:val="16"/>
                      </w:rPr>
                      <w:t> </w:t>
                    </w:r>
                    <w:r>
                      <w:rPr>
                        <w:rFonts w:ascii="Carlito"/>
                        <w:color w:val="585858"/>
                        <w:sz w:val="16"/>
                      </w:rPr>
                      <w:t>S</w:t>
                    </w:r>
                  </w:p>
                </w:txbxContent>
              </v:textbox>
              <w10:wrap type="none"/>
            </v:shape>
            <v:shape style="position:absolute;left:7015;top:2243;width:180;height:160" type="#_x0000_t202" filled="false" stroked="false">
              <v:textbox inset="0,0,0,0">
                <w:txbxContent>
                  <w:p>
                    <w:pPr>
                      <w:spacing w:line="160" w:lineRule="exact" w:before="0"/>
                      <w:ind w:left="0" w:right="0" w:firstLine="0"/>
                      <w:jc w:val="left"/>
                      <w:rPr>
                        <w:rFonts w:ascii="Carlito"/>
                        <w:b/>
                        <w:sz w:val="16"/>
                      </w:rPr>
                    </w:pPr>
                    <w:r>
                      <w:rPr>
                        <w:rFonts w:ascii="Carlito"/>
                        <w:b/>
                        <w:color w:val="FFFFFF"/>
                        <w:sz w:val="16"/>
                      </w:rPr>
                      <w:t>51</w:t>
                    </w:r>
                  </w:p>
                </w:txbxContent>
              </v:textbox>
              <w10:wrap type="none"/>
            </v:shape>
            <v:shape style="position:absolute;left:5589;top:2573;width:3535;height:180" type="#_x0000_t202" filled="false" stroked="false">
              <v:textbox inset="0,0,0,0">
                <w:txbxContent>
                  <w:p>
                    <w:pPr>
                      <w:tabs>
                        <w:tab w:pos="517" w:val="left" w:leader="none"/>
                        <w:tab w:pos="1079" w:val="left" w:leader="none"/>
                        <w:tab w:pos="1642" w:val="left" w:leader="none"/>
                        <w:tab w:pos="2205" w:val="left" w:leader="none"/>
                        <w:tab w:pos="2767" w:val="left" w:leader="none"/>
                        <w:tab w:pos="3330" w:val="left" w:leader="none"/>
                      </w:tabs>
                      <w:spacing w:line="180" w:lineRule="exact" w:before="0"/>
                      <w:ind w:left="0" w:right="0" w:firstLine="0"/>
                      <w:jc w:val="left"/>
                      <w:rPr>
                        <w:rFonts w:ascii="Carlito"/>
                        <w:sz w:val="18"/>
                      </w:rPr>
                    </w:pPr>
                    <w:r>
                      <w:rPr>
                        <w:rFonts w:ascii="Carlito"/>
                        <w:color w:val="585858"/>
                        <w:sz w:val="18"/>
                      </w:rPr>
                      <w:t>0</w:t>
                      <w:tab/>
                      <w:t>10</w:t>
                      <w:tab/>
                      <w:t>20</w:t>
                      <w:tab/>
                      <w:t>30</w:t>
                      <w:tab/>
                      <w:t>40</w:t>
                      <w:tab/>
                      <w:t>50</w:t>
                      <w:tab/>
                      <w:t>60</w:t>
                    </w:r>
                  </w:p>
                </w:txbxContent>
              </v:textbox>
              <w10:wrap type="none"/>
            </v:shape>
            <w10:wrap type="topAndBottom"/>
          </v:group>
        </w:pict>
      </w:r>
    </w:p>
    <w:p>
      <w:pPr>
        <w:spacing w:before="128"/>
        <w:ind w:left="4061" w:right="2287" w:hanging="1757"/>
        <w:jc w:val="left"/>
        <w:rPr>
          <w:i/>
          <w:sz w:val="20"/>
        </w:rPr>
      </w:pPr>
      <w:bookmarkStart w:name="_bookmark4" w:id="6"/>
      <w:bookmarkEnd w:id="6"/>
      <w:r>
        <w:rPr/>
      </w:r>
      <w:r>
        <w:rPr>
          <w:i/>
          <w:sz w:val="20"/>
        </w:rPr>
        <w:t>Figura 2 – CED por Grupo Afectado de Acuerdo con los Registros del EJATLAS. </w:t>
      </w:r>
      <w:r>
        <w:rPr>
          <w:i/>
          <w:sz w:val="20"/>
        </w:rPr>
        <w:t>Fuente: Navas (2016) y MESOCA-ANCA</w:t>
      </w:r>
    </w:p>
    <w:p>
      <w:pPr>
        <w:pStyle w:val="BodyText"/>
        <w:spacing w:before="7"/>
        <w:rPr>
          <w:i/>
          <w:sz w:val="27"/>
        </w:rPr>
      </w:pPr>
    </w:p>
    <w:p>
      <w:pPr>
        <w:pStyle w:val="BodyText"/>
        <w:spacing w:line="360" w:lineRule="auto" w:before="1"/>
        <w:ind w:left="1200" w:right="1195"/>
        <w:jc w:val="both"/>
      </w:pPr>
      <w:r>
        <w:rPr/>
        <w:t>El</w:t>
      </w:r>
      <w:r>
        <w:rPr>
          <w:spacing w:val="-7"/>
        </w:rPr>
        <w:t> </w:t>
      </w:r>
      <w:r>
        <w:rPr/>
        <w:t>patrimonio</w:t>
      </w:r>
      <w:r>
        <w:rPr>
          <w:spacing w:val="-7"/>
        </w:rPr>
        <w:t> </w:t>
      </w:r>
      <w:r>
        <w:rPr/>
        <w:t>común</w:t>
      </w:r>
      <w:r>
        <w:rPr>
          <w:spacing w:val="-7"/>
        </w:rPr>
        <w:t> </w:t>
      </w:r>
      <w:r>
        <w:rPr/>
        <w:t>que</w:t>
      </w:r>
      <w:r>
        <w:rPr>
          <w:spacing w:val="-7"/>
        </w:rPr>
        <w:t> </w:t>
      </w:r>
      <w:r>
        <w:rPr/>
        <w:t>se</w:t>
      </w:r>
      <w:r>
        <w:rPr>
          <w:spacing w:val="-7"/>
        </w:rPr>
        <w:t> </w:t>
      </w:r>
      <w:r>
        <w:rPr/>
        <w:t>denomina Espacio</w:t>
      </w:r>
      <w:r>
        <w:rPr>
          <w:spacing w:val="-7"/>
        </w:rPr>
        <w:t> </w:t>
      </w:r>
      <w:r>
        <w:rPr/>
        <w:t>Ambiental</w:t>
      </w:r>
      <w:r>
        <w:rPr>
          <w:spacing w:val="-6"/>
        </w:rPr>
        <w:t> </w:t>
      </w:r>
      <w:r>
        <w:rPr/>
        <w:t>introduce</w:t>
      </w:r>
      <w:r>
        <w:rPr>
          <w:spacing w:val="-3"/>
        </w:rPr>
        <w:t> </w:t>
      </w:r>
      <w:r>
        <w:rPr/>
        <w:t>en</w:t>
      </w:r>
      <w:r>
        <w:rPr>
          <w:spacing w:val="-7"/>
        </w:rPr>
        <w:t> </w:t>
      </w:r>
      <w:r>
        <w:rPr/>
        <w:t>la</w:t>
      </w:r>
      <w:r>
        <w:rPr>
          <w:spacing w:val="-6"/>
        </w:rPr>
        <w:t> </w:t>
      </w:r>
      <w:r>
        <w:rPr/>
        <w:t>medición</w:t>
      </w:r>
      <w:r>
        <w:rPr>
          <w:spacing w:val="-7"/>
        </w:rPr>
        <w:t> </w:t>
      </w:r>
      <w:r>
        <w:rPr/>
        <w:t>de</w:t>
      </w:r>
      <w:r>
        <w:rPr>
          <w:spacing w:val="-7"/>
        </w:rPr>
        <w:t> </w:t>
      </w:r>
      <w:r>
        <w:rPr/>
        <w:t>la equidad, el reconocimiento del derecho de todo ser humano al acceso y disfrute de los beneficios de los servicios ambientales que proveen las funciones ecosistémicas (Aguilar-González, et al., 2018). Ese derecho está consagrado en el artículo 50 de la Constitución</w:t>
      </w:r>
      <w:r>
        <w:rPr>
          <w:spacing w:val="-3"/>
        </w:rPr>
        <w:t> </w:t>
      </w:r>
      <w:r>
        <w:rPr/>
        <w:t>Política</w:t>
      </w:r>
      <w:r>
        <w:rPr>
          <w:spacing w:val="-4"/>
        </w:rPr>
        <w:t> </w:t>
      </w:r>
      <w:r>
        <w:rPr/>
        <w:t>de</w:t>
      </w:r>
      <w:r>
        <w:rPr>
          <w:spacing w:val="-5"/>
        </w:rPr>
        <w:t> </w:t>
      </w:r>
      <w:r>
        <w:rPr/>
        <w:t>Costa</w:t>
      </w:r>
      <w:r>
        <w:rPr>
          <w:spacing w:val="-5"/>
        </w:rPr>
        <w:t> </w:t>
      </w:r>
      <w:r>
        <w:rPr/>
        <w:t>Rica.</w:t>
      </w:r>
      <w:r>
        <w:rPr>
          <w:spacing w:val="-3"/>
        </w:rPr>
        <w:t> </w:t>
      </w:r>
      <w:r>
        <w:rPr/>
        <w:t>Incluye</w:t>
      </w:r>
      <w:r>
        <w:rPr>
          <w:spacing w:val="-5"/>
        </w:rPr>
        <w:t> </w:t>
      </w:r>
      <w:r>
        <w:rPr/>
        <w:t>los</w:t>
      </w:r>
      <w:r>
        <w:rPr>
          <w:spacing w:val="-3"/>
        </w:rPr>
        <w:t> </w:t>
      </w:r>
      <w:r>
        <w:rPr/>
        <w:t>derechos</w:t>
      </w:r>
      <w:r>
        <w:rPr>
          <w:spacing w:val="-3"/>
        </w:rPr>
        <w:t> </w:t>
      </w:r>
      <w:r>
        <w:rPr/>
        <w:t>de</w:t>
      </w:r>
      <w:r>
        <w:rPr>
          <w:spacing w:val="-5"/>
        </w:rPr>
        <w:t> </w:t>
      </w:r>
      <w:r>
        <w:rPr/>
        <w:t>acceso</w:t>
      </w:r>
      <w:r>
        <w:rPr>
          <w:spacing w:val="-5"/>
        </w:rPr>
        <w:t> </w:t>
      </w:r>
      <w:r>
        <w:rPr/>
        <w:t>a</w:t>
      </w:r>
      <w:r>
        <w:rPr>
          <w:spacing w:val="-4"/>
        </w:rPr>
        <w:t> </w:t>
      </w:r>
      <w:r>
        <w:rPr/>
        <w:t>la</w:t>
      </w:r>
      <w:r>
        <w:rPr>
          <w:spacing w:val="-5"/>
        </w:rPr>
        <w:t> </w:t>
      </w:r>
      <w:r>
        <w:rPr/>
        <w:t>información</w:t>
      </w:r>
      <w:r>
        <w:rPr>
          <w:spacing w:val="-1"/>
        </w:rPr>
        <w:t> </w:t>
      </w:r>
      <w:r>
        <w:rPr/>
        <w:t>y</w:t>
      </w:r>
      <w:r>
        <w:rPr>
          <w:spacing w:val="-8"/>
        </w:rPr>
        <w:t> </w:t>
      </w:r>
      <w:r>
        <w:rPr/>
        <w:t>a la</w:t>
      </w:r>
      <w:r>
        <w:rPr>
          <w:spacing w:val="-6"/>
        </w:rPr>
        <w:t> </w:t>
      </w:r>
      <w:r>
        <w:rPr/>
        <w:t>participación</w:t>
      </w:r>
      <w:r>
        <w:rPr>
          <w:spacing w:val="-6"/>
        </w:rPr>
        <w:t> </w:t>
      </w:r>
      <w:r>
        <w:rPr/>
        <w:t>en</w:t>
      </w:r>
      <w:r>
        <w:rPr>
          <w:spacing w:val="-6"/>
        </w:rPr>
        <w:t> </w:t>
      </w:r>
      <w:r>
        <w:rPr/>
        <w:t>las</w:t>
      </w:r>
      <w:r>
        <w:rPr>
          <w:spacing w:val="-4"/>
        </w:rPr>
        <w:t> </w:t>
      </w:r>
      <w:r>
        <w:rPr/>
        <w:t>decisiones</w:t>
      </w:r>
      <w:r>
        <w:rPr>
          <w:spacing w:val="-4"/>
        </w:rPr>
        <w:t> </w:t>
      </w:r>
      <w:r>
        <w:rPr/>
        <w:t>que</w:t>
      </w:r>
      <w:r>
        <w:rPr>
          <w:spacing w:val="-6"/>
        </w:rPr>
        <w:t> </w:t>
      </w:r>
      <w:r>
        <w:rPr/>
        <w:t>afectan</w:t>
      </w:r>
      <w:r>
        <w:rPr>
          <w:spacing w:val="-6"/>
        </w:rPr>
        <w:t> </w:t>
      </w:r>
      <w:r>
        <w:rPr/>
        <w:t>el</w:t>
      </w:r>
      <w:r>
        <w:rPr>
          <w:spacing w:val="-1"/>
        </w:rPr>
        <w:t> </w:t>
      </w:r>
      <w:r>
        <w:rPr/>
        <w:t>Espacio</w:t>
      </w:r>
      <w:r>
        <w:rPr>
          <w:spacing w:val="-6"/>
        </w:rPr>
        <w:t> </w:t>
      </w:r>
      <w:r>
        <w:rPr/>
        <w:t>Ambiental</w:t>
      </w:r>
      <w:r>
        <w:rPr>
          <w:spacing w:val="-4"/>
        </w:rPr>
        <w:t> </w:t>
      </w:r>
      <w:r>
        <w:rPr/>
        <w:t>(UNEP-CIEL,</w:t>
      </w:r>
      <w:r>
        <w:rPr>
          <w:spacing w:val="-4"/>
        </w:rPr>
        <w:t> </w:t>
      </w:r>
      <w:r>
        <w:rPr/>
        <w:t>2014).</w:t>
      </w:r>
    </w:p>
    <w:p>
      <w:pPr>
        <w:pStyle w:val="BodyText"/>
        <w:spacing w:line="360" w:lineRule="auto" w:before="201"/>
        <w:ind w:left="1200" w:right="1199"/>
        <w:jc w:val="both"/>
      </w:pPr>
      <w:r>
        <w:rPr/>
        <w:t>El</w:t>
      </w:r>
      <w:r>
        <w:rPr>
          <w:spacing w:val="-13"/>
        </w:rPr>
        <w:t> </w:t>
      </w:r>
      <w:r>
        <w:rPr/>
        <w:t>Informe</w:t>
      </w:r>
      <w:r>
        <w:rPr>
          <w:spacing w:val="-12"/>
        </w:rPr>
        <w:t> </w:t>
      </w:r>
      <w:r>
        <w:rPr/>
        <w:t>del</w:t>
      </w:r>
      <w:r>
        <w:rPr>
          <w:spacing w:val="-11"/>
        </w:rPr>
        <w:t> </w:t>
      </w:r>
      <w:r>
        <w:rPr/>
        <w:t>Estado</w:t>
      </w:r>
      <w:r>
        <w:rPr>
          <w:spacing w:val="-13"/>
        </w:rPr>
        <w:t> </w:t>
      </w:r>
      <w:r>
        <w:rPr/>
        <w:t>de</w:t>
      </w:r>
      <w:r>
        <w:rPr>
          <w:spacing w:val="-12"/>
        </w:rPr>
        <w:t> </w:t>
      </w:r>
      <w:r>
        <w:rPr/>
        <w:t>la</w:t>
      </w:r>
      <w:r>
        <w:rPr>
          <w:spacing w:val="-12"/>
        </w:rPr>
        <w:t> </w:t>
      </w:r>
      <w:r>
        <w:rPr/>
        <w:t>Nación</w:t>
      </w:r>
      <w:r>
        <w:rPr>
          <w:spacing w:val="-13"/>
        </w:rPr>
        <w:t> </w:t>
      </w:r>
      <w:r>
        <w:rPr/>
        <w:t>(IEN)</w:t>
      </w:r>
      <w:r>
        <w:rPr>
          <w:spacing w:val="-10"/>
        </w:rPr>
        <w:t> </w:t>
      </w:r>
      <w:r>
        <w:rPr/>
        <w:t>en</w:t>
      </w:r>
      <w:r>
        <w:rPr>
          <w:spacing w:val="-12"/>
        </w:rPr>
        <w:t> </w:t>
      </w:r>
      <w:r>
        <w:rPr/>
        <w:t>Costa</w:t>
      </w:r>
      <w:r>
        <w:rPr>
          <w:spacing w:val="-13"/>
        </w:rPr>
        <w:t> </w:t>
      </w:r>
      <w:r>
        <w:rPr/>
        <w:t>Rica</w:t>
      </w:r>
      <w:r>
        <w:rPr>
          <w:spacing w:val="-12"/>
        </w:rPr>
        <w:t> </w:t>
      </w:r>
      <w:r>
        <w:rPr/>
        <w:t>ha</w:t>
      </w:r>
      <w:r>
        <w:rPr>
          <w:spacing w:val="-12"/>
        </w:rPr>
        <w:t> </w:t>
      </w:r>
      <w:r>
        <w:rPr/>
        <w:t>reconocido</w:t>
      </w:r>
      <w:r>
        <w:rPr>
          <w:spacing w:val="-13"/>
        </w:rPr>
        <w:t> </w:t>
      </w:r>
      <w:r>
        <w:rPr/>
        <w:t>desde</w:t>
      </w:r>
      <w:r>
        <w:rPr>
          <w:spacing w:val="-8"/>
        </w:rPr>
        <w:t> </w:t>
      </w:r>
      <w:r>
        <w:rPr/>
        <w:t>el</w:t>
      </w:r>
      <w:r>
        <w:rPr>
          <w:spacing w:val="-11"/>
        </w:rPr>
        <w:t> </w:t>
      </w:r>
      <w:r>
        <w:rPr/>
        <w:t>año</w:t>
      </w:r>
      <w:r>
        <w:rPr>
          <w:spacing w:val="-13"/>
        </w:rPr>
        <w:t> </w:t>
      </w:r>
      <w:r>
        <w:rPr/>
        <w:t>2005 la</w:t>
      </w:r>
      <w:r>
        <w:rPr>
          <w:spacing w:val="-5"/>
        </w:rPr>
        <w:t> </w:t>
      </w:r>
      <w:r>
        <w:rPr/>
        <w:t>importancia</w:t>
      </w:r>
      <w:r>
        <w:rPr>
          <w:spacing w:val="-5"/>
        </w:rPr>
        <w:t> </w:t>
      </w:r>
      <w:r>
        <w:rPr/>
        <w:t>de</w:t>
      </w:r>
      <w:r>
        <w:rPr>
          <w:spacing w:val="-5"/>
        </w:rPr>
        <w:t> </w:t>
      </w:r>
      <w:r>
        <w:rPr/>
        <w:t>la</w:t>
      </w:r>
      <w:r>
        <w:rPr>
          <w:spacing w:val="-5"/>
        </w:rPr>
        <w:t> </w:t>
      </w:r>
      <w:r>
        <w:rPr/>
        <w:t>documentación</w:t>
      </w:r>
      <w:r>
        <w:rPr>
          <w:spacing w:val="-4"/>
        </w:rPr>
        <w:t> </w:t>
      </w:r>
      <w:r>
        <w:rPr/>
        <w:t>de</w:t>
      </w:r>
      <w:r>
        <w:rPr>
          <w:spacing w:val="-5"/>
        </w:rPr>
        <w:t> </w:t>
      </w:r>
      <w:r>
        <w:rPr/>
        <w:t>la</w:t>
      </w:r>
      <w:r>
        <w:rPr>
          <w:spacing w:val="-5"/>
        </w:rPr>
        <w:t> </w:t>
      </w:r>
      <w:r>
        <w:rPr/>
        <w:t>CSA</w:t>
      </w:r>
      <w:r>
        <w:rPr>
          <w:spacing w:val="-3"/>
        </w:rPr>
        <w:t> </w:t>
      </w:r>
      <w:r>
        <w:rPr/>
        <w:t>en</w:t>
      </w:r>
      <w:r>
        <w:rPr>
          <w:spacing w:val="-5"/>
        </w:rPr>
        <w:t> </w:t>
      </w:r>
      <w:r>
        <w:rPr/>
        <w:t>la</w:t>
      </w:r>
      <w:r>
        <w:rPr>
          <w:spacing w:val="-4"/>
        </w:rPr>
        <w:t> </w:t>
      </w:r>
      <w:r>
        <w:rPr/>
        <w:t>realidad</w:t>
      </w:r>
      <w:r>
        <w:rPr>
          <w:spacing w:val="-5"/>
        </w:rPr>
        <w:t> </w:t>
      </w:r>
      <w:r>
        <w:rPr/>
        <w:t>ambiental</w:t>
      </w:r>
      <w:r>
        <w:rPr>
          <w:spacing w:val="-5"/>
        </w:rPr>
        <w:t> </w:t>
      </w:r>
      <w:r>
        <w:rPr/>
        <w:t>costarricense.</w:t>
      </w:r>
      <w:r>
        <w:rPr>
          <w:spacing w:val="-3"/>
        </w:rPr>
        <w:t> </w:t>
      </w:r>
      <w:r>
        <w:rPr/>
        <w:t>El informe del 2015 dictaminó un aumento en la conflictividad a niveles históricos (Figura 3).</w:t>
      </w:r>
    </w:p>
    <w:p>
      <w:pPr>
        <w:spacing w:after="0" w:line="360" w:lineRule="auto"/>
        <w:jc w:val="both"/>
        <w:sectPr>
          <w:pgSz w:w="12240" w:h="15840"/>
          <w:pgMar w:header="0" w:footer="1062" w:top="1360" w:bottom="1260" w:left="240" w:right="240"/>
        </w:sectPr>
      </w:pPr>
    </w:p>
    <w:p>
      <w:pPr>
        <w:pStyle w:val="BodyText"/>
        <w:ind w:left="2483"/>
        <w:rPr>
          <w:sz w:val="20"/>
        </w:rPr>
      </w:pPr>
      <w:r>
        <w:rPr>
          <w:sz w:val="20"/>
        </w:rPr>
        <w:drawing>
          <wp:inline distT="0" distB="0" distL="0" distR="0">
            <wp:extent cx="4295855" cy="2336292"/>
            <wp:effectExtent l="0" t="0" r="0" b="0"/>
            <wp:docPr id="17" name="image33.png"/>
            <wp:cNvGraphicFramePr>
              <a:graphicFrameLocks noChangeAspect="1"/>
            </wp:cNvGraphicFramePr>
            <a:graphic>
              <a:graphicData uri="http://schemas.openxmlformats.org/drawingml/2006/picture">
                <pic:pic>
                  <pic:nvPicPr>
                    <pic:cNvPr id="18" name="image33.png"/>
                    <pic:cNvPicPr/>
                  </pic:nvPicPr>
                  <pic:blipFill>
                    <a:blip r:embed="rId40" cstate="print"/>
                    <a:stretch>
                      <a:fillRect/>
                    </a:stretch>
                  </pic:blipFill>
                  <pic:spPr>
                    <a:xfrm>
                      <a:off x="0" y="0"/>
                      <a:ext cx="4295855" cy="2336292"/>
                    </a:xfrm>
                    <a:prstGeom prst="rect">
                      <a:avLst/>
                    </a:prstGeom>
                  </pic:spPr>
                </pic:pic>
              </a:graphicData>
            </a:graphic>
          </wp:inline>
        </w:drawing>
      </w:r>
      <w:r>
        <w:rPr>
          <w:sz w:val="20"/>
        </w:rPr>
      </w:r>
    </w:p>
    <w:p>
      <w:pPr>
        <w:spacing w:before="26"/>
        <w:ind w:left="2389" w:right="2436" w:firstLine="0"/>
        <w:jc w:val="center"/>
        <w:rPr>
          <w:i/>
          <w:sz w:val="20"/>
        </w:rPr>
      </w:pPr>
      <w:r>
        <w:rPr>
          <w:i/>
          <w:sz w:val="20"/>
        </w:rPr>
        <w:t>Figura 3- Acciones Colectivas, Total y en Materia Ambiental.</w:t>
      </w:r>
    </w:p>
    <w:p>
      <w:pPr>
        <w:pStyle w:val="BodyText"/>
        <w:spacing w:before="10"/>
        <w:rPr>
          <w:i/>
          <w:sz w:val="17"/>
        </w:rPr>
      </w:pPr>
    </w:p>
    <w:p>
      <w:pPr>
        <w:spacing w:before="0"/>
        <w:ind w:left="1342" w:right="1340" w:firstLine="0"/>
        <w:jc w:val="center"/>
        <w:rPr>
          <w:i/>
          <w:sz w:val="20"/>
        </w:rPr>
      </w:pPr>
      <w:r>
        <w:rPr>
          <w:i/>
          <w:sz w:val="20"/>
        </w:rPr>
        <w:t>Fuente: Programa del Estado de la Nación en Desarrollo Humano Sostenible (2016).</w:t>
      </w:r>
    </w:p>
    <w:p>
      <w:pPr>
        <w:pStyle w:val="BodyText"/>
        <w:spacing w:before="2"/>
        <w:rPr>
          <w:i/>
        </w:rPr>
      </w:pPr>
      <w:r>
        <w:rPr/>
        <w:drawing>
          <wp:anchor distT="0" distB="0" distL="0" distR="0" allowOverlap="1" layoutInCell="1" locked="0" behindDoc="0" simplePos="0" relativeHeight="35">
            <wp:simplePos x="0" y="0"/>
            <wp:positionH relativeFrom="page">
              <wp:posOffset>1207220</wp:posOffset>
            </wp:positionH>
            <wp:positionV relativeFrom="paragraph">
              <wp:posOffset>201520</wp:posOffset>
            </wp:positionV>
            <wp:extent cx="5368840" cy="3430714"/>
            <wp:effectExtent l="0" t="0" r="0" b="0"/>
            <wp:wrapTopAndBottom/>
            <wp:docPr id="19" name="image34.jpeg"/>
            <wp:cNvGraphicFramePr>
              <a:graphicFrameLocks noChangeAspect="1"/>
            </wp:cNvGraphicFramePr>
            <a:graphic>
              <a:graphicData uri="http://schemas.openxmlformats.org/drawingml/2006/picture">
                <pic:pic>
                  <pic:nvPicPr>
                    <pic:cNvPr id="20" name="image34.jpeg"/>
                    <pic:cNvPicPr/>
                  </pic:nvPicPr>
                  <pic:blipFill>
                    <a:blip r:embed="rId41" cstate="print"/>
                    <a:stretch>
                      <a:fillRect/>
                    </a:stretch>
                  </pic:blipFill>
                  <pic:spPr>
                    <a:xfrm>
                      <a:off x="0" y="0"/>
                      <a:ext cx="5368840" cy="3430714"/>
                    </a:xfrm>
                    <a:prstGeom prst="rect">
                      <a:avLst/>
                    </a:prstGeom>
                  </pic:spPr>
                </pic:pic>
              </a:graphicData>
            </a:graphic>
          </wp:anchor>
        </w:drawing>
      </w:r>
    </w:p>
    <w:p>
      <w:pPr>
        <w:pStyle w:val="BodyText"/>
        <w:rPr>
          <w:i/>
          <w:sz w:val="22"/>
        </w:rPr>
      </w:pPr>
    </w:p>
    <w:p>
      <w:pPr>
        <w:pStyle w:val="BodyText"/>
        <w:spacing w:before="9"/>
        <w:rPr>
          <w:i/>
        </w:rPr>
      </w:pPr>
    </w:p>
    <w:p>
      <w:pPr>
        <w:spacing w:before="1"/>
        <w:ind w:left="2389" w:right="2094" w:firstLine="0"/>
        <w:jc w:val="center"/>
        <w:rPr>
          <w:i/>
          <w:sz w:val="20"/>
        </w:rPr>
      </w:pPr>
      <w:r>
        <w:rPr>
          <w:i/>
          <w:sz w:val="20"/>
        </w:rPr>
        <w:t>Figura 4- Acciones Colectivas sobre Temas Ambientales, por Actor.</w:t>
      </w:r>
    </w:p>
    <w:p>
      <w:pPr>
        <w:spacing w:before="98"/>
        <w:ind w:left="1342" w:right="1340" w:firstLine="0"/>
        <w:jc w:val="center"/>
        <w:rPr>
          <w:i/>
          <w:sz w:val="20"/>
        </w:rPr>
      </w:pPr>
      <w:r>
        <w:rPr>
          <w:i/>
          <w:sz w:val="20"/>
        </w:rPr>
        <w:t>Fuente: Programa del Estado de la Nación en Desarrollo Humano Sostenible, 2016</w:t>
      </w:r>
    </w:p>
    <w:p>
      <w:pPr>
        <w:pStyle w:val="BodyText"/>
        <w:spacing w:before="6"/>
        <w:rPr>
          <w:i/>
          <w:sz w:val="27"/>
        </w:rPr>
      </w:pPr>
    </w:p>
    <w:p>
      <w:pPr>
        <w:pStyle w:val="BodyText"/>
        <w:spacing w:line="360" w:lineRule="auto"/>
        <w:ind w:left="1200" w:right="1202"/>
        <w:jc w:val="both"/>
      </w:pPr>
      <w:r>
        <w:rPr/>
        <w:t>Se contabiliza la CSA en una forma diferente al EJAtlas en términos de acciones colectivas que llegan a los medios de información. A pesar de la diferente forma de contabilizar,</w:t>
      </w:r>
      <w:r>
        <w:rPr>
          <w:spacing w:val="58"/>
        </w:rPr>
        <w:t> </w:t>
      </w:r>
      <w:r>
        <w:rPr/>
        <w:t>el</w:t>
      </w:r>
      <w:r>
        <w:rPr>
          <w:spacing w:val="57"/>
        </w:rPr>
        <w:t> </w:t>
      </w:r>
      <w:r>
        <w:rPr/>
        <w:t>reporte</w:t>
      </w:r>
      <w:r>
        <w:rPr>
          <w:spacing w:val="57"/>
        </w:rPr>
        <w:t> </w:t>
      </w:r>
      <w:r>
        <w:rPr/>
        <w:t>da</w:t>
      </w:r>
      <w:r>
        <w:rPr>
          <w:spacing w:val="56"/>
        </w:rPr>
        <w:t> </w:t>
      </w:r>
      <w:r>
        <w:rPr/>
        <w:t>también</w:t>
      </w:r>
      <w:r>
        <w:rPr>
          <w:spacing w:val="59"/>
        </w:rPr>
        <w:t> </w:t>
      </w:r>
      <w:r>
        <w:rPr/>
        <w:t>una</w:t>
      </w:r>
      <w:r>
        <w:rPr>
          <w:spacing w:val="56"/>
        </w:rPr>
        <w:t> </w:t>
      </w:r>
      <w:r>
        <w:rPr/>
        <w:t>idea</w:t>
      </w:r>
      <w:r>
        <w:rPr>
          <w:spacing w:val="59"/>
        </w:rPr>
        <w:t> </w:t>
      </w:r>
      <w:r>
        <w:rPr/>
        <w:t>de</w:t>
      </w:r>
      <w:r>
        <w:rPr>
          <w:spacing w:val="60"/>
        </w:rPr>
        <w:t> </w:t>
      </w:r>
      <w:r>
        <w:rPr/>
        <w:t>quienes</w:t>
      </w:r>
      <w:r>
        <w:rPr>
          <w:spacing w:val="58"/>
        </w:rPr>
        <w:t> </w:t>
      </w:r>
      <w:r>
        <w:rPr/>
        <w:t>son</w:t>
      </w:r>
      <w:r>
        <w:rPr>
          <w:spacing w:val="55"/>
        </w:rPr>
        <w:t> </w:t>
      </w:r>
      <w:r>
        <w:rPr/>
        <w:t>los</w:t>
      </w:r>
      <w:r>
        <w:rPr>
          <w:spacing w:val="58"/>
        </w:rPr>
        <w:t> </w:t>
      </w:r>
      <w:r>
        <w:rPr/>
        <w:t>afectados</w:t>
      </w:r>
      <w:r>
        <w:rPr>
          <w:spacing w:val="57"/>
        </w:rPr>
        <w:t> </w:t>
      </w:r>
      <w:r>
        <w:rPr/>
        <w:t>por</w:t>
      </w:r>
      <w:r>
        <w:rPr>
          <w:spacing w:val="62"/>
        </w:rPr>
        <w:t> </w:t>
      </w:r>
      <w:r>
        <w:rPr/>
        <w:t>los</w:t>
      </w:r>
    </w:p>
    <w:p>
      <w:pPr>
        <w:spacing w:after="0" w:line="360" w:lineRule="auto"/>
        <w:jc w:val="both"/>
        <w:sectPr>
          <w:pgSz w:w="12240" w:h="15840"/>
          <w:pgMar w:header="0" w:footer="1062" w:top="1440" w:bottom="1260" w:left="240" w:right="240"/>
        </w:sectPr>
      </w:pPr>
    </w:p>
    <w:p>
      <w:pPr>
        <w:pStyle w:val="BodyText"/>
        <w:spacing w:line="360" w:lineRule="auto" w:before="79"/>
        <w:ind w:left="1200" w:right="1198"/>
        <w:jc w:val="both"/>
      </w:pPr>
      <w:r>
        <w:rPr/>
        <w:t>proyectos o acciones de actores sociales que dan lugar a la conflictividad, mostrando que la mayoría de las acciones colectivas son llevadas a cabo por grupos que se encuentran en las proximidades del conflicto (Figura 4). Presenta la distribución geográfica de la conflictividad concluyendo que en los últimos años un 20% de las acciones colectivas fue llevado a cabo por productores agropecuarios y pesqueros (Programa del Estado de la Nación en Desarrollo Humano Sostenible, 2016)</w:t>
      </w:r>
    </w:p>
    <w:p>
      <w:pPr>
        <w:pStyle w:val="BodyText"/>
        <w:spacing w:line="360" w:lineRule="auto" w:before="201"/>
        <w:ind w:left="1200" w:right="1201"/>
        <w:jc w:val="both"/>
      </w:pPr>
      <w:r>
        <w:rPr/>
        <w:t>Entre las posibles causas de la CSA en Costa Rica, la distribución del uso y acceso al Espacio Ambiental se manifiesta en la distribución regional de las cargas o costos de la conservación de los ecosistemas y los beneficios de esa acción, manifestados en una mejor calidad de vida</w:t>
      </w:r>
      <w:r>
        <w:rPr>
          <w:position w:val="8"/>
          <w:sz w:val="16"/>
        </w:rPr>
        <w:t>7</w:t>
      </w:r>
      <w:r>
        <w:rPr/>
        <w:t>. Esta situación se ha documentado y criticado en diversas instancias de la historia ambiental costarricense.</w:t>
      </w:r>
    </w:p>
    <w:p>
      <w:pPr>
        <w:pStyle w:val="BodyText"/>
        <w:spacing w:line="360" w:lineRule="auto" w:before="193"/>
        <w:ind w:left="1200" w:right="1198"/>
        <w:jc w:val="both"/>
      </w:pPr>
      <w:r>
        <w:rPr/>
        <w:t>Los objetivos de conservación del país se definieron hasta los años 90 desde espacios técnicos poco participativos (Evans, 1999). La ejecución de esas medidas, como es el caso del inicio del establecimiento de las áreas protegidas del país en los años setenta, se concibió como un proceso de reservar espacios con vista de su valor ecológico en zonas</w:t>
      </w:r>
      <w:r>
        <w:rPr>
          <w:spacing w:val="-7"/>
        </w:rPr>
        <w:t> </w:t>
      </w:r>
      <w:r>
        <w:rPr/>
        <w:t>de</w:t>
      </w:r>
      <w:r>
        <w:rPr>
          <w:spacing w:val="-7"/>
        </w:rPr>
        <w:t> </w:t>
      </w:r>
      <w:r>
        <w:rPr/>
        <w:t>bajo</w:t>
      </w:r>
      <w:r>
        <w:rPr>
          <w:spacing w:val="-8"/>
        </w:rPr>
        <w:t> </w:t>
      </w:r>
      <w:r>
        <w:rPr/>
        <w:t>desarrollo</w:t>
      </w:r>
      <w:r>
        <w:rPr>
          <w:spacing w:val="-8"/>
        </w:rPr>
        <w:t> </w:t>
      </w:r>
      <w:r>
        <w:rPr/>
        <w:t>social</w:t>
      </w:r>
      <w:r>
        <w:rPr>
          <w:spacing w:val="-7"/>
        </w:rPr>
        <w:t> </w:t>
      </w:r>
      <w:r>
        <w:rPr/>
        <w:t>y</w:t>
      </w:r>
      <w:r>
        <w:rPr>
          <w:spacing w:val="-10"/>
        </w:rPr>
        <w:t> </w:t>
      </w:r>
      <w:r>
        <w:rPr/>
        <w:t>sin</w:t>
      </w:r>
      <w:r>
        <w:rPr>
          <w:spacing w:val="-8"/>
        </w:rPr>
        <w:t> </w:t>
      </w:r>
      <w:r>
        <w:rPr/>
        <w:t>consulta</w:t>
      </w:r>
      <w:r>
        <w:rPr>
          <w:spacing w:val="-8"/>
        </w:rPr>
        <w:t> </w:t>
      </w:r>
      <w:r>
        <w:rPr/>
        <w:t>en</w:t>
      </w:r>
      <w:r>
        <w:rPr>
          <w:spacing w:val="-8"/>
        </w:rPr>
        <w:t> </w:t>
      </w:r>
      <w:r>
        <w:rPr/>
        <w:t>general</w:t>
      </w:r>
      <w:r>
        <w:rPr>
          <w:spacing w:val="-7"/>
        </w:rPr>
        <w:t> </w:t>
      </w:r>
      <w:r>
        <w:rPr/>
        <w:t>a</w:t>
      </w:r>
      <w:r>
        <w:rPr>
          <w:spacing w:val="-8"/>
        </w:rPr>
        <w:t> </w:t>
      </w:r>
      <w:r>
        <w:rPr/>
        <w:t>las</w:t>
      </w:r>
      <w:r>
        <w:rPr>
          <w:spacing w:val="-6"/>
        </w:rPr>
        <w:t> </w:t>
      </w:r>
      <w:r>
        <w:rPr/>
        <w:t>comunidades</w:t>
      </w:r>
      <w:r>
        <w:rPr>
          <w:spacing w:val="-2"/>
        </w:rPr>
        <w:t> </w:t>
      </w:r>
      <w:r>
        <w:rPr/>
        <w:t>locales.</w:t>
      </w:r>
      <w:r>
        <w:rPr>
          <w:spacing w:val="-5"/>
        </w:rPr>
        <w:t> </w:t>
      </w:r>
      <w:r>
        <w:rPr/>
        <w:t>Los actores comunales resintieron ese contraste y los sacrificios que perciben se les impusieron,</w:t>
      </w:r>
      <w:r>
        <w:rPr>
          <w:spacing w:val="-2"/>
        </w:rPr>
        <w:t> </w:t>
      </w:r>
      <w:r>
        <w:rPr/>
        <w:t>lo</w:t>
      </w:r>
      <w:r>
        <w:rPr>
          <w:spacing w:val="-6"/>
        </w:rPr>
        <w:t> </w:t>
      </w:r>
      <w:r>
        <w:rPr/>
        <w:t>que</w:t>
      </w:r>
      <w:r>
        <w:rPr>
          <w:spacing w:val="-7"/>
        </w:rPr>
        <w:t> </w:t>
      </w:r>
      <w:r>
        <w:rPr/>
        <w:t>se</w:t>
      </w:r>
      <w:r>
        <w:rPr>
          <w:spacing w:val="-7"/>
        </w:rPr>
        <w:t> </w:t>
      </w:r>
      <w:r>
        <w:rPr/>
        <w:t>ha</w:t>
      </w:r>
      <w:r>
        <w:rPr>
          <w:spacing w:val="-7"/>
        </w:rPr>
        <w:t> </w:t>
      </w:r>
      <w:r>
        <w:rPr/>
        <w:t>convertido</w:t>
      </w:r>
      <w:r>
        <w:rPr>
          <w:spacing w:val="-7"/>
        </w:rPr>
        <w:t> </w:t>
      </w:r>
      <w:r>
        <w:rPr/>
        <w:t>en</w:t>
      </w:r>
      <w:r>
        <w:rPr>
          <w:spacing w:val="-7"/>
        </w:rPr>
        <w:t> </w:t>
      </w:r>
      <w:r>
        <w:rPr/>
        <w:t>un</w:t>
      </w:r>
      <w:r>
        <w:rPr>
          <w:spacing w:val="-7"/>
        </w:rPr>
        <w:t> </w:t>
      </w:r>
      <w:r>
        <w:rPr/>
        <w:t>reto</w:t>
      </w:r>
      <w:r>
        <w:rPr>
          <w:spacing w:val="-7"/>
        </w:rPr>
        <w:t> </w:t>
      </w:r>
      <w:r>
        <w:rPr/>
        <w:t>para</w:t>
      </w:r>
      <w:r>
        <w:rPr>
          <w:spacing w:val="-7"/>
        </w:rPr>
        <w:t> </w:t>
      </w:r>
      <w:r>
        <w:rPr/>
        <w:t>consolidar</w:t>
      </w:r>
      <w:r>
        <w:rPr>
          <w:spacing w:val="-5"/>
        </w:rPr>
        <w:t> </w:t>
      </w:r>
      <w:r>
        <w:rPr/>
        <w:t>el</w:t>
      </w:r>
      <w:r>
        <w:rPr>
          <w:spacing w:val="1"/>
        </w:rPr>
        <w:t> </w:t>
      </w:r>
      <w:r>
        <w:rPr/>
        <w:t>manejo</w:t>
      </w:r>
      <w:r>
        <w:rPr>
          <w:spacing w:val="-3"/>
        </w:rPr>
        <w:t> </w:t>
      </w:r>
      <w:r>
        <w:rPr/>
        <w:t>de</w:t>
      </w:r>
      <w:r>
        <w:rPr>
          <w:spacing w:val="-3"/>
        </w:rPr>
        <w:t> </w:t>
      </w:r>
      <w:r>
        <w:rPr/>
        <w:t>esas</w:t>
      </w:r>
      <w:r>
        <w:rPr>
          <w:spacing w:val="-5"/>
        </w:rPr>
        <w:t> </w:t>
      </w:r>
      <w:r>
        <w:rPr/>
        <w:t>áreas, a pesar de la creación posterior del sistema participativo del Sistema Nacional de Áreas de Conservación. En zonas como la península de Osa o la región norte de Costa Rica, repetidos estudios han documentado esta realidad a través de los años (Cuello, et al., 1998; van den Hombergh, 1999; Aguilar, et al., 2013; Isla,</w:t>
      </w:r>
      <w:r>
        <w:rPr>
          <w:spacing w:val="-2"/>
        </w:rPr>
        <w:t> </w:t>
      </w:r>
      <w:r>
        <w:rPr/>
        <w:t>2016).</w:t>
      </w:r>
    </w:p>
    <w:p>
      <w:pPr>
        <w:pStyle w:val="BodyText"/>
        <w:rPr>
          <w:sz w:val="20"/>
        </w:rPr>
      </w:pPr>
    </w:p>
    <w:p>
      <w:pPr>
        <w:pStyle w:val="BodyText"/>
        <w:rPr>
          <w:sz w:val="20"/>
        </w:rPr>
      </w:pPr>
    </w:p>
    <w:p>
      <w:pPr>
        <w:pStyle w:val="BodyText"/>
        <w:spacing w:before="4"/>
        <w:rPr>
          <w:sz w:val="27"/>
        </w:rPr>
      </w:pPr>
      <w:r>
        <w:rPr/>
        <w:pict>
          <v:rect style="position:absolute;margin-left:72.025002pt;margin-top:17.692598pt;width:144.050pt;height:.599980pt;mso-position-horizontal-relative:page;mso-position-vertical-relative:paragraph;z-index:-15710208;mso-wrap-distance-left:0;mso-wrap-distance-right:0" filled="true" fillcolor="#000000" stroked="false">
            <v:fill type="solid"/>
            <w10:wrap type="topAndBottom"/>
          </v:rect>
        </w:pict>
      </w:r>
    </w:p>
    <w:p>
      <w:pPr>
        <w:spacing w:line="240" w:lineRule="auto" w:before="71"/>
        <w:ind w:left="1200" w:right="1190" w:firstLine="0"/>
        <w:jc w:val="both"/>
        <w:rPr>
          <w:sz w:val="20"/>
        </w:rPr>
      </w:pPr>
      <w:r>
        <w:rPr>
          <w:sz w:val="20"/>
          <w:vertAlign w:val="superscript"/>
        </w:rPr>
        <w:t>7</w:t>
      </w:r>
      <w:r>
        <w:rPr>
          <w:sz w:val="20"/>
          <w:vertAlign w:val="baseline"/>
        </w:rPr>
        <w:t> Se usa aquí el concepto de calidad de vida partiendo de que posee elementos de carácter objetivo y subjetivo, conforme lo reconoce la literatura. Se plantea como concepto </w:t>
      </w:r>
      <w:r>
        <w:rPr>
          <w:spacing w:val="-3"/>
          <w:sz w:val="20"/>
          <w:vertAlign w:val="baseline"/>
        </w:rPr>
        <w:t>más </w:t>
      </w:r>
      <w:r>
        <w:rPr>
          <w:sz w:val="20"/>
          <w:vertAlign w:val="baseline"/>
        </w:rPr>
        <w:t>amplio o alternativo al concepto de desarrollo basado solamente en el crecimiento económico (Rodríguez &amp; Garita, 2005). Enrique Leff lo utiliza para sustentar su propuesta de racionalidad ecológica y señala que conjuga las necesidades básicas de vivienda, salud y empleo, con las necesidades de emancipación y los sentidos de la existencia, amalgamando componentes objetivos y subjetivos (Leff, 2000; Leff, 2004). Se señala como indicador de calidad de vida </w:t>
      </w:r>
      <w:r>
        <w:rPr>
          <w:spacing w:val="-3"/>
          <w:sz w:val="20"/>
          <w:vertAlign w:val="baseline"/>
        </w:rPr>
        <w:t>muy </w:t>
      </w:r>
      <w:r>
        <w:rPr>
          <w:sz w:val="20"/>
          <w:vertAlign w:val="baseline"/>
        </w:rPr>
        <w:t>utilizado el Índice de Desarrollo Humano del PNUD (</w:t>
      </w:r>
      <w:hyperlink r:id="rId42">
        <w:r>
          <w:rPr>
            <w:color w:val="0000FF"/>
            <w:sz w:val="20"/>
            <w:u w:val="single" w:color="0000FF"/>
            <w:vertAlign w:val="baseline"/>
          </w:rPr>
          <w:t>http://hdr.undp.org/</w:t>
        </w:r>
      </w:hyperlink>
      <w:r>
        <w:rPr>
          <w:sz w:val="20"/>
          <w:vertAlign w:val="baseline"/>
        </w:rPr>
        <w:t>). Sin embargo, con el fin de contemplar en forma integrada indicadores subjetivos como</w:t>
      </w:r>
      <w:r>
        <w:rPr>
          <w:spacing w:val="-7"/>
          <w:sz w:val="20"/>
          <w:vertAlign w:val="baseline"/>
        </w:rPr>
        <w:t> </w:t>
      </w:r>
      <w:r>
        <w:rPr>
          <w:sz w:val="20"/>
          <w:vertAlign w:val="baseline"/>
        </w:rPr>
        <w:t>la</w:t>
      </w:r>
      <w:r>
        <w:rPr>
          <w:spacing w:val="-6"/>
          <w:sz w:val="20"/>
          <w:vertAlign w:val="baseline"/>
        </w:rPr>
        <w:t> </w:t>
      </w:r>
      <w:r>
        <w:rPr>
          <w:sz w:val="20"/>
          <w:vertAlign w:val="baseline"/>
        </w:rPr>
        <w:t>satisfacción</w:t>
      </w:r>
      <w:r>
        <w:rPr>
          <w:spacing w:val="-10"/>
          <w:sz w:val="20"/>
          <w:vertAlign w:val="baseline"/>
        </w:rPr>
        <w:t> </w:t>
      </w:r>
      <w:r>
        <w:rPr>
          <w:sz w:val="20"/>
          <w:vertAlign w:val="baseline"/>
        </w:rPr>
        <w:t>personal</w:t>
      </w:r>
      <w:r>
        <w:rPr>
          <w:spacing w:val="-4"/>
          <w:sz w:val="20"/>
          <w:vertAlign w:val="baseline"/>
        </w:rPr>
        <w:t> </w:t>
      </w:r>
      <w:r>
        <w:rPr>
          <w:sz w:val="20"/>
          <w:vertAlign w:val="baseline"/>
        </w:rPr>
        <w:t>con</w:t>
      </w:r>
      <w:r>
        <w:rPr>
          <w:spacing w:val="-6"/>
          <w:sz w:val="20"/>
          <w:vertAlign w:val="baseline"/>
        </w:rPr>
        <w:t> </w:t>
      </w:r>
      <w:r>
        <w:rPr>
          <w:sz w:val="20"/>
          <w:vertAlign w:val="baseline"/>
        </w:rPr>
        <w:t>esa</w:t>
      </w:r>
      <w:r>
        <w:rPr>
          <w:spacing w:val="-3"/>
          <w:sz w:val="20"/>
          <w:vertAlign w:val="baseline"/>
        </w:rPr>
        <w:t> </w:t>
      </w:r>
      <w:r>
        <w:rPr>
          <w:sz w:val="20"/>
          <w:vertAlign w:val="baseline"/>
        </w:rPr>
        <w:t>calidad</w:t>
      </w:r>
      <w:r>
        <w:rPr>
          <w:spacing w:val="-10"/>
          <w:sz w:val="20"/>
          <w:vertAlign w:val="baseline"/>
        </w:rPr>
        <w:t> </w:t>
      </w:r>
      <w:r>
        <w:rPr>
          <w:sz w:val="20"/>
          <w:vertAlign w:val="baseline"/>
        </w:rPr>
        <w:t>de</w:t>
      </w:r>
      <w:r>
        <w:rPr>
          <w:spacing w:val="-6"/>
          <w:sz w:val="20"/>
          <w:vertAlign w:val="baseline"/>
        </w:rPr>
        <w:t> </w:t>
      </w:r>
      <w:r>
        <w:rPr>
          <w:sz w:val="20"/>
          <w:vertAlign w:val="baseline"/>
        </w:rPr>
        <w:t>vida,</w:t>
      </w:r>
      <w:r>
        <w:rPr>
          <w:spacing w:val="-11"/>
          <w:sz w:val="20"/>
          <w:vertAlign w:val="baseline"/>
        </w:rPr>
        <w:t> </w:t>
      </w:r>
      <w:r>
        <w:rPr>
          <w:sz w:val="20"/>
          <w:vertAlign w:val="baseline"/>
        </w:rPr>
        <w:t>se</w:t>
      </w:r>
      <w:r>
        <w:rPr>
          <w:spacing w:val="-10"/>
          <w:sz w:val="20"/>
          <w:vertAlign w:val="baseline"/>
        </w:rPr>
        <w:t> </w:t>
      </w:r>
      <w:r>
        <w:rPr>
          <w:sz w:val="20"/>
          <w:vertAlign w:val="baseline"/>
        </w:rPr>
        <w:t>incorporan</w:t>
      </w:r>
      <w:r>
        <w:rPr>
          <w:spacing w:val="-10"/>
          <w:sz w:val="20"/>
          <w:vertAlign w:val="baseline"/>
        </w:rPr>
        <w:t> </w:t>
      </w:r>
      <w:r>
        <w:rPr>
          <w:sz w:val="20"/>
          <w:vertAlign w:val="baseline"/>
        </w:rPr>
        <w:t>otros</w:t>
      </w:r>
      <w:r>
        <w:rPr>
          <w:spacing w:val="-10"/>
          <w:sz w:val="20"/>
          <w:vertAlign w:val="baseline"/>
        </w:rPr>
        <w:t> </w:t>
      </w:r>
      <w:r>
        <w:rPr>
          <w:sz w:val="20"/>
          <w:vertAlign w:val="baseline"/>
        </w:rPr>
        <w:t>indicadores</w:t>
      </w:r>
      <w:r>
        <w:rPr>
          <w:spacing w:val="-8"/>
          <w:sz w:val="20"/>
          <w:vertAlign w:val="baseline"/>
        </w:rPr>
        <w:t> </w:t>
      </w:r>
      <w:r>
        <w:rPr>
          <w:sz w:val="20"/>
          <w:vertAlign w:val="baseline"/>
        </w:rPr>
        <w:t>multidimensionales como</w:t>
      </w:r>
      <w:r>
        <w:rPr>
          <w:spacing w:val="-6"/>
          <w:sz w:val="20"/>
          <w:vertAlign w:val="baseline"/>
        </w:rPr>
        <w:t> </w:t>
      </w:r>
      <w:r>
        <w:rPr>
          <w:sz w:val="20"/>
          <w:vertAlign w:val="baseline"/>
        </w:rPr>
        <w:t>el</w:t>
      </w:r>
      <w:r>
        <w:rPr>
          <w:spacing w:val="-3"/>
          <w:sz w:val="20"/>
          <w:vertAlign w:val="baseline"/>
        </w:rPr>
        <w:t> </w:t>
      </w:r>
      <w:r>
        <w:rPr>
          <w:sz w:val="20"/>
          <w:vertAlign w:val="baseline"/>
        </w:rPr>
        <w:t>índice</w:t>
      </w:r>
      <w:r>
        <w:rPr>
          <w:spacing w:val="-5"/>
          <w:sz w:val="20"/>
          <w:vertAlign w:val="baseline"/>
        </w:rPr>
        <w:t> </w:t>
      </w:r>
      <w:r>
        <w:rPr>
          <w:sz w:val="20"/>
          <w:vertAlign w:val="baseline"/>
        </w:rPr>
        <w:t>del</w:t>
      </w:r>
      <w:r>
        <w:rPr>
          <w:spacing w:val="-3"/>
          <w:sz w:val="20"/>
          <w:vertAlign w:val="baseline"/>
        </w:rPr>
        <w:t> </w:t>
      </w:r>
      <w:r>
        <w:rPr>
          <w:sz w:val="20"/>
          <w:vertAlign w:val="baseline"/>
        </w:rPr>
        <w:t>planeta</w:t>
      </w:r>
      <w:r>
        <w:rPr>
          <w:spacing w:val="-5"/>
          <w:sz w:val="20"/>
          <w:vertAlign w:val="baseline"/>
        </w:rPr>
        <w:t> </w:t>
      </w:r>
      <w:r>
        <w:rPr>
          <w:sz w:val="20"/>
          <w:vertAlign w:val="baseline"/>
        </w:rPr>
        <w:t>feliz</w:t>
      </w:r>
      <w:r>
        <w:rPr>
          <w:spacing w:val="-6"/>
          <w:sz w:val="20"/>
          <w:vertAlign w:val="baseline"/>
        </w:rPr>
        <w:t> </w:t>
      </w:r>
      <w:r>
        <w:rPr>
          <w:sz w:val="20"/>
          <w:vertAlign w:val="baseline"/>
        </w:rPr>
        <w:t>que</w:t>
      </w:r>
      <w:r>
        <w:rPr>
          <w:spacing w:val="-6"/>
          <w:sz w:val="20"/>
          <w:vertAlign w:val="baseline"/>
        </w:rPr>
        <w:t> </w:t>
      </w:r>
      <w:r>
        <w:rPr>
          <w:sz w:val="20"/>
          <w:vertAlign w:val="baseline"/>
        </w:rPr>
        <w:t>combina</w:t>
      </w:r>
      <w:r>
        <w:rPr>
          <w:spacing w:val="-9"/>
          <w:sz w:val="20"/>
          <w:vertAlign w:val="baseline"/>
        </w:rPr>
        <w:t> </w:t>
      </w:r>
      <w:r>
        <w:rPr>
          <w:sz w:val="20"/>
          <w:vertAlign w:val="baseline"/>
        </w:rPr>
        <w:t>la</w:t>
      </w:r>
      <w:r>
        <w:rPr>
          <w:spacing w:val="-6"/>
          <w:sz w:val="20"/>
          <w:vertAlign w:val="baseline"/>
        </w:rPr>
        <w:t> </w:t>
      </w:r>
      <w:r>
        <w:rPr>
          <w:sz w:val="20"/>
          <w:vertAlign w:val="baseline"/>
        </w:rPr>
        <w:t>esperanza</w:t>
      </w:r>
      <w:r>
        <w:rPr>
          <w:spacing w:val="-5"/>
          <w:sz w:val="20"/>
          <w:vertAlign w:val="baseline"/>
        </w:rPr>
        <w:t> </w:t>
      </w:r>
      <w:r>
        <w:rPr>
          <w:sz w:val="20"/>
          <w:vertAlign w:val="baseline"/>
        </w:rPr>
        <w:t>de</w:t>
      </w:r>
      <w:r>
        <w:rPr>
          <w:spacing w:val="-5"/>
          <w:sz w:val="20"/>
          <w:vertAlign w:val="baseline"/>
        </w:rPr>
        <w:t> </w:t>
      </w:r>
      <w:r>
        <w:rPr>
          <w:sz w:val="20"/>
          <w:vertAlign w:val="baseline"/>
        </w:rPr>
        <w:t>vida</w:t>
      </w:r>
      <w:r>
        <w:rPr>
          <w:spacing w:val="-5"/>
          <w:sz w:val="20"/>
          <w:vertAlign w:val="baseline"/>
        </w:rPr>
        <w:t> </w:t>
      </w:r>
      <w:r>
        <w:rPr>
          <w:sz w:val="20"/>
          <w:vertAlign w:val="baseline"/>
        </w:rPr>
        <w:t>al</w:t>
      </w:r>
      <w:r>
        <w:rPr>
          <w:spacing w:val="-3"/>
          <w:sz w:val="20"/>
          <w:vertAlign w:val="baseline"/>
        </w:rPr>
        <w:t> </w:t>
      </w:r>
      <w:r>
        <w:rPr>
          <w:sz w:val="20"/>
          <w:vertAlign w:val="baseline"/>
        </w:rPr>
        <w:t>nacer</w:t>
      </w:r>
      <w:r>
        <w:rPr>
          <w:spacing w:val="-5"/>
          <w:sz w:val="20"/>
          <w:vertAlign w:val="baseline"/>
        </w:rPr>
        <w:t> </w:t>
      </w:r>
      <w:r>
        <w:rPr>
          <w:sz w:val="20"/>
          <w:vertAlign w:val="baseline"/>
        </w:rPr>
        <w:t>con</w:t>
      </w:r>
      <w:r>
        <w:rPr>
          <w:spacing w:val="-6"/>
          <w:sz w:val="20"/>
          <w:vertAlign w:val="baseline"/>
        </w:rPr>
        <w:t> </w:t>
      </w:r>
      <w:r>
        <w:rPr>
          <w:sz w:val="20"/>
          <w:vertAlign w:val="baseline"/>
        </w:rPr>
        <w:t>el</w:t>
      </w:r>
      <w:r>
        <w:rPr>
          <w:spacing w:val="-3"/>
          <w:sz w:val="20"/>
          <w:vertAlign w:val="baseline"/>
        </w:rPr>
        <w:t> </w:t>
      </w:r>
      <w:r>
        <w:rPr>
          <w:sz w:val="20"/>
          <w:vertAlign w:val="baseline"/>
        </w:rPr>
        <w:t>nivel</w:t>
      </w:r>
      <w:r>
        <w:rPr>
          <w:spacing w:val="-3"/>
          <w:sz w:val="20"/>
          <w:vertAlign w:val="baseline"/>
        </w:rPr>
        <w:t> </w:t>
      </w:r>
      <w:r>
        <w:rPr>
          <w:sz w:val="20"/>
          <w:vertAlign w:val="baseline"/>
        </w:rPr>
        <w:t>de</w:t>
      </w:r>
      <w:r>
        <w:rPr>
          <w:spacing w:val="-5"/>
          <w:sz w:val="20"/>
          <w:vertAlign w:val="baseline"/>
        </w:rPr>
        <w:t> </w:t>
      </w:r>
      <w:r>
        <w:rPr>
          <w:sz w:val="20"/>
          <w:vertAlign w:val="baseline"/>
        </w:rPr>
        <w:t>satisfacción</w:t>
      </w:r>
      <w:r>
        <w:rPr>
          <w:spacing w:val="-5"/>
          <w:sz w:val="20"/>
          <w:vertAlign w:val="baseline"/>
        </w:rPr>
        <w:t> </w:t>
      </w:r>
      <w:r>
        <w:rPr>
          <w:sz w:val="20"/>
          <w:vertAlign w:val="baseline"/>
        </w:rPr>
        <w:t>con la vida y la Huella Ecológica</w:t>
      </w:r>
      <w:r>
        <w:rPr>
          <w:spacing w:val="-13"/>
          <w:sz w:val="20"/>
          <w:vertAlign w:val="baseline"/>
        </w:rPr>
        <w:t> </w:t>
      </w:r>
      <w:r>
        <w:rPr>
          <w:sz w:val="20"/>
          <w:vertAlign w:val="baseline"/>
        </w:rPr>
        <w:t>(</w:t>
      </w:r>
      <w:hyperlink r:id="rId43">
        <w:r>
          <w:rPr>
            <w:color w:val="0000FF"/>
            <w:sz w:val="20"/>
            <w:u w:val="single" w:color="0000FF"/>
            <w:vertAlign w:val="baseline"/>
          </w:rPr>
          <w:t>http://happyplanetindex.org/</w:t>
        </w:r>
      </w:hyperlink>
      <w:r>
        <w:rPr>
          <w:sz w:val="20"/>
          <w:vertAlign w:val="baseline"/>
        </w:rPr>
        <w:t>).</w:t>
      </w:r>
    </w:p>
    <w:p>
      <w:pPr>
        <w:spacing w:after="0" w:line="240" w:lineRule="auto"/>
        <w:jc w:val="both"/>
        <w:rPr>
          <w:sz w:val="20"/>
        </w:rPr>
        <w:sectPr>
          <w:pgSz w:w="12240" w:h="15840"/>
          <w:pgMar w:header="0" w:footer="1062" w:top="1360" w:bottom="1260" w:left="240" w:right="240"/>
        </w:sectPr>
      </w:pPr>
    </w:p>
    <w:p>
      <w:pPr>
        <w:pStyle w:val="BodyText"/>
        <w:spacing w:line="360" w:lineRule="auto" w:before="79"/>
        <w:ind w:left="1200" w:right="1195"/>
        <w:jc w:val="both"/>
      </w:pPr>
      <w:r>
        <w:rPr/>
        <w:t>El mapa incluido en la Figura 5 muestra el reflejo de esta situación. Muestra los niveles de desarrollo social de los diversos distritos y cantones del país, donde el rojo y el rosa son</w:t>
      </w:r>
      <w:r>
        <w:rPr>
          <w:spacing w:val="-17"/>
        </w:rPr>
        <w:t> </w:t>
      </w:r>
      <w:r>
        <w:rPr/>
        <w:t>los</w:t>
      </w:r>
      <w:r>
        <w:rPr>
          <w:spacing w:val="-15"/>
        </w:rPr>
        <w:t> </w:t>
      </w:r>
      <w:r>
        <w:rPr/>
        <w:t>niveles</w:t>
      </w:r>
      <w:r>
        <w:rPr>
          <w:spacing w:val="-14"/>
        </w:rPr>
        <w:t> </w:t>
      </w:r>
      <w:r>
        <w:rPr>
          <w:spacing w:val="-2"/>
        </w:rPr>
        <w:t>más</w:t>
      </w:r>
      <w:r>
        <w:rPr>
          <w:spacing w:val="-15"/>
        </w:rPr>
        <w:t> </w:t>
      </w:r>
      <w:r>
        <w:rPr/>
        <w:t>bajos.</w:t>
      </w:r>
      <w:r>
        <w:rPr>
          <w:spacing w:val="-14"/>
        </w:rPr>
        <w:t> </w:t>
      </w:r>
      <w:r>
        <w:rPr/>
        <w:t>Sobrepuestas</w:t>
      </w:r>
      <w:r>
        <w:rPr>
          <w:spacing w:val="-15"/>
        </w:rPr>
        <w:t> </w:t>
      </w:r>
      <w:r>
        <w:rPr/>
        <w:t>en</w:t>
      </w:r>
      <w:r>
        <w:rPr>
          <w:spacing w:val="-16"/>
        </w:rPr>
        <w:t> </w:t>
      </w:r>
      <w:r>
        <w:rPr/>
        <w:t>sombra</w:t>
      </w:r>
      <w:r>
        <w:rPr>
          <w:spacing w:val="-17"/>
        </w:rPr>
        <w:t> </w:t>
      </w:r>
      <w:r>
        <w:rPr/>
        <w:t>oscura</w:t>
      </w:r>
      <w:r>
        <w:rPr>
          <w:spacing w:val="-16"/>
        </w:rPr>
        <w:t> </w:t>
      </w:r>
      <w:r>
        <w:rPr/>
        <w:t>se</w:t>
      </w:r>
      <w:r>
        <w:rPr>
          <w:spacing w:val="-17"/>
        </w:rPr>
        <w:t> </w:t>
      </w:r>
      <w:r>
        <w:rPr/>
        <w:t>hallan</w:t>
      </w:r>
      <w:r>
        <w:rPr>
          <w:spacing w:val="-16"/>
        </w:rPr>
        <w:t> </w:t>
      </w:r>
      <w:r>
        <w:rPr/>
        <w:t>una</w:t>
      </w:r>
      <w:r>
        <w:rPr>
          <w:spacing w:val="-17"/>
        </w:rPr>
        <w:t> </w:t>
      </w:r>
      <w:r>
        <w:rPr/>
        <w:t>buena</w:t>
      </w:r>
      <w:r>
        <w:rPr>
          <w:spacing w:val="-17"/>
        </w:rPr>
        <w:t> </w:t>
      </w:r>
      <w:r>
        <w:rPr/>
        <w:t>cantidad de las áreas silvestres protegidas del</w:t>
      </w:r>
      <w:r>
        <w:rPr>
          <w:spacing w:val="3"/>
        </w:rPr>
        <w:t> </w:t>
      </w:r>
      <w:r>
        <w:rPr/>
        <w:t>país.</w:t>
      </w:r>
    </w:p>
    <w:p>
      <w:pPr>
        <w:pStyle w:val="BodyText"/>
        <w:spacing w:line="360" w:lineRule="auto" w:before="201"/>
        <w:ind w:left="1200" w:right="1198"/>
        <w:jc w:val="both"/>
      </w:pPr>
      <w:r>
        <w:rPr/>
        <w:t>El desbalance entre ambas circunstancias es evidente. Hay una clara polarización regional de las áreas de mayor y menor desarrollo social. Esta polarización ha sido documentada como producto de un modelo de desarrollo centralizado política y económicamente sobre todo en el Valle Central, encontrándose en esta región los mejores servicios, los menores niveles de desempleo y la mayor densidad poblacional (MIDEPLAN, 2017). Asimismo, las áreas donde las restricciones de los usos de los recursos recaen con mayor peso, coinciden en un porcentaje importante con las áreas de menor desarrollo social, lo cual implica una situación desventajosa para las poblaciones indígenas, costeras y rurales.</w:t>
      </w:r>
    </w:p>
    <w:p>
      <w:pPr>
        <w:pStyle w:val="BodyText"/>
        <w:ind w:left="1370"/>
        <w:rPr>
          <w:sz w:val="20"/>
        </w:rPr>
      </w:pPr>
      <w:r>
        <w:rPr>
          <w:sz w:val="20"/>
        </w:rPr>
        <w:drawing>
          <wp:inline distT="0" distB="0" distL="0" distR="0">
            <wp:extent cx="5815993" cy="4153090"/>
            <wp:effectExtent l="0" t="0" r="0" b="0"/>
            <wp:docPr id="21" name="image35.jpeg"/>
            <wp:cNvGraphicFramePr>
              <a:graphicFrameLocks noChangeAspect="1"/>
            </wp:cNvGraphicFramePr>
            <a:graphic>
              <a:graphicData uri="http://schemas.openxmlformats.org/drawingml/2006/picture">
                <pic:pic>
                  <pic:nvPicPr>
                    <pic:cNvPr id="22" name="image35.jpeg"/>
                    <pic:cNvPicPr/>
                  </pic:nvPicPr>
                  <pic:blipFill>
                    <a:blip r:embed="rId44" cstate="print"/>
                    <a:stretch>
                      <a:fillRect/>
                    </a:stretch>
                  </pic:blipFill>
                  <pic:spPr>
                    <a:xfrm>
                      <a:off x="0" y="0"/>
                      <a:ext cx="5815993" cy="4153090"/>
                    </a:xfrm>
                    <a:prstGeom prst="rect">
                      <a:avLst/>
                    </a:prstGeom>
                  </pic:spPr>
                </pic:pic>
              </a:graphicData>
            </a:graphic>
          </wp:inline>
        </w:drawing>
      </w:r>
      <w:r>
        <w:rPr>
          <w:sz w:val="20"/>
        </w:rPr>
      </w:r>
    </w:p>
    <w:p>
      <w:pPr>
        <w:pStyle w:val="BodyText"/>
        <w:spacing w:before="10"/>
        <w:rPr>
          <w:sz w:val="26"/>
        </w:rPr>
      </w:pPr>
    </w:p>
    <w:p>
      <w:pPr>
        <w:spacing w:before="0"/>
        <w:ind w:left="1337" w:right="1340" w:firstLine="0"/>
        <w:jc w:val="center"/>
        <w:rPr>
          <w:i/>
          <w:sz w:val="20"/>
        </w:rPr>
      </w:pPr>
      <w:bookmarkStart w:name="_bookmark5" w:id="7"/>
      <w:bookmarkEnd w:id="7"/>
      <w:r>
        <w:rPr/>
      </w:r>
      <w:r>
        <w:rPr>
          <w:i/>
          <w:sz w:val="20"/>
        </w:rPr>
        <w:t>Figura 5- Mapa del Índice de Desarrollo Social Distrital y Áreas Silvestres Protegidas.</w:t>
      </w:r>
    </w:p>
    <w:p>
      <w:pPr>
        <w:spacing w:before="1"/>
        <w:ind w:left="2389" w:right="2385" w:firstLine="0"/>
        <w:jc w:val="center"/>
        <w:rPr>
          <w:i/>
          <w:sz w:val="24"/>
        </w:rPr>
      </w:pPr>
      <w:r>
        <w:rPr>
          <w:i/>
          <w:sz w:val="20"/>
        </w:rPr>
        <w:t>Fuente: MIDEPLAN (2017</w:t>
      </w:r>
      <w:r>
        <w:rPr>
          <w:i/>
          <w:sz w:val="24"/>
        </w:rPr>
        <w:t>)</w:t>
      </w:r>
    </w:p>
    <w:p>
      <w:pPr>
        <w:spacing w:after="0"/>
        <w:jc w:val="center"/>
        <w:rPr>
          <w:sz w:val="24"/>
        </w:rPr>
        <w:sectPr>
          <w:pgSz w:w="12240" w:h="15840"/>
          <w:pgMar w:header="0" w:footer="1062" w:top="1360" w:bottom="1260" w:left="240" w:right="240"/>
        </w:sectPr>
      </w:pPr>
    </w:p>
    <w:p>
      <w:pPr>
        <w:pStyle w:val="BodyText"/>
        <w:spacing w:line="360" w:lineRule="auto" w:before="79"/>
        <w:ind w:left="1200" w:right="1193"/>
        <w:jc w:val="both"/>
      </w:pPr>
      <w:r>
        <w:rPr/>
        <w:t>Conforme se apuntó, una de las consecuencias del modelo de desarrollo neo- extractivista, es que la conflictividad se concentra en las </w:t>
      </w:r>
      <w:r>
        <w:rPr>
          <w:spacing w:val="-3"/>
        </w:rPr>
        <w:t>zonas </w:t>
      </w:r>
      <w:r>
        <w:rPr/>
        <w:t>rurales, costeras e indígenas. En el contexto costarricense, la inequidad apuntada acompaña a las condiciones de conflictividad que se pueden derivar de proyectos de desarrollo extractivistas (como las grandes plantaciones agrícolas) o de otras actividades propias de las especificidades del país, como es el caso de los grandes proyectos turísticos. Se debe comprender que las áreas protegidas proveen buena parte de las funciones ecosistémicas que ayudan a que el país como un todo tenga ingresos por la actividad económica</w:t>
      </w:r>
      <w:r>
        <w:rPr>
          <w:spacing w:val="-12"/>
        </w:rPr>
        <w:t> </w:t>
      </w:r>
      <w:r>
        <w:rPr/>
        <w:t>que</w:t>
      </w:r>
      <w:r>
        <w:rPr>
          <w:spacing w:val="-11"/>
        </w:rPr>
        <w:t> </w:t>
      </w:r>
      <w:r>
        <w:rPr/>
        <w:t>se</w:t>
      </w:r>
      <w:r>
        <w:rPr>
          <w:spacing w:val="-12"/>
        </w:rPr>
        <w:t> </w:t>
      </w:r>
      <w:r>
        <w:rPr/>
        <w:t>relaciona</w:t>
      </w:r>
      <w:r>
        <w:rPr>
          <w:spacing w:val="-11"/>
        </w:rPr>
        <w:t> </w:t>
      </w:r>
      <w:r>
        <w:rPr/>
        <w:t>con</w:t>
      </w:r>
      <w:r>
        <w:rPr>
          <w:spacing w:val="-11"/>
        </w:rPr>
        <w:t> </w:t>
      </w:r>
      <w:r>
        <w:rPr/>
        <w:t>los</w:t>
      </w:r>
      <w:r>
        <w:rPr>
          <w:spacing w:val="-10"/>
        </w:rPr>
        <w:t> </w:t>
      </w:r>
      <w:r>
        <w:rPr/>
        <w:t>servicios</w:t>
      </w:r>
      <w:r>
        <w:rPr>
          <w:spacing w:val="-9"/>
        </w:rPr>
        <w:t> </w:t>
      </w:r>
      <w:r>
        <w:rPr/>
        <w:t>ambientales</w:t>
      </w:r>
      <w:r>
        <w:rPr>
          <w:spacing w:val="-9"/>
        </w:rPr>
        <w:t> </w:t>
      </w:r>
      <w:r>
        <w:rPr/>
        <w:t>que</w:t>
      </w:r>
      <w:r>
        <w:rPr>
          <w:spacing w:val="-12"/>
        </w:rPr>
        <w:t> </w:t>
      </w:r>
      <w:r>
        <w:rPr/>
        <w:t>se</w:t>
      </w:r>
      <w:r>
        <w:rPr>
          <w:spacing w:val="-11"/>
        </w:rPr>
        <w:t> </w:t>
      </w:r>
      <w:r>
        <w:rPr/>
        <w:t>proveen.</w:t>
      </w:r>
      <w:r>
        <w:rPr>
          <w:spacing w:val="-4"/>
        </w:rPr>
        <w:t> </w:t>
      </w:r>
      <w:r>
        <w:rPr/>
        <w:t>Las</w:t>
      </w:r>
      <w:r>
        <w:rPr>
          <w:spacing w:val="-9"/>
        </w:rPr>
        <w:t> </w:t>
      </w:r>
      <w:r>
        <w:rPr/>
        <w:t>zonas</w:t>
      </w:r>
      <w:r>
        <w:rPr>
          <w:spacing w:val="-10"/>
        </w:rPr>
        <w:t> </w:t>
      </w:r>
      <w:r>
        <w:rPr/>
        <w:t>de ecosistemas con menos alteraciones, donde se concentra la mayoría de la cobertura boscosa se encuentran por lo general fuera del Valle Central, en las zonas costeras, de tierras altas o de las llanuras del norte de Costa Rica. Así, </w:t>
      </w:r>
      <w:r>
        <w:rPr>
          <w:spacing w:val="3"/>
        </w:rPr>
        <w:t>la </w:t>
      </w:r>
      <w:r>
        <w:rPr/>
        <w:t>zona urbana del Valle Central, donde se concentra la población, recibe la mayor parte de los beneficios del desarrollo,</w:t>
      </w:r>
      <w:r>
        <w:rPr>
          <w:spacing w:val="-6"/>
        </w:rPr>
        <w:t> </w:t>
      </w:r>
      <w:r>
        <w:rPr/>
        <w:t>aparentemente</w:t>
      </w:r>
      <w:r>
        <w:rPr>
          <w:spacing w:val="-8"/>
        </w:rPr>
        <w:t> </w:t>
      </w:r>
      <w:r>
        <w:rPr/>
        <w:t>con</w:t>
      </w:r>
      <w:r>
        <w:rPr>
          <w:spacing w:val="-8"/>
        </w:rPr>
        <w:t> </w:t>
      </w:r>
      <w:r>
        <w:rPr/>
        <w:t>menores</w:t>
      </w:r>
      <w:r>
        <w:rPr>
          <w:spacing w:val="-7"/>
        </w:rPr>
        <w:t> </w:t>
      </w:r>
      <w:r>
        <w:rPr/>
        <w:t>cargas</w:t>
      </w:r>
      <w:r>
        <w:rPr>
          <w:spacing w:val="-6"/>
        </w:rPr>
        <w:t> </w:t>
      </w:r>
      <w:r>
        <w:rPr/>
        <w:t>por</w:t>
      </w:r>
      <w:r>
        <w:rPr>
          <w:spacing w:val="-6"/>
        </w:rPr>
        <w:t> </w:t>
      </w:r>
      <w:r>
        <w:rPr/>
        <w:t>la</w:t>
      </w:r>
      <w:r>
        <w:rPr>
          <w:spacing w:val="-9"/>
        </w:rPr>
        <w:t> </w:t>
      </w:r>
      <w:r>
        <w:rPr/>
        <w:t>conservación</w:t>
      </w:r>
      <w:r>
        <w:rPr>
          <w:spacing w:val="-8"/>
        </w:rPr>
        <w:t> </w:t>
      </w:r>
      <w:r>
        <w:rPr/>
        <w:t>en</w:t>
      </w:r>
      <w:r>
        <w:rPr>
          <w:spacing w:val="-8"/>
        </w:rPr>
        <w:t> </w:t>
      </w:r>
      <w:r>
        <w:rPr/>
        <w:t>contraste</w:t>
      </w:r>
      <w:r>
        <w:rPr>
          <w:spacing w:val="-8"/>
        </w:rPr>
        <w:t> </w:t>
      </w:r>
      <w:r>
        <w:rPr/>
        <w:t>con</w:t>
      </w:r>
      <w:r>
        <w:rPr>
          <w:spacing w:val="-9"/>
        </w:rPr>
        <w:t> </w:t>
      </w:r>
      <w:r>
        <w:rPr/>
        <w:t>las zonas periféricas</w:t>
      </w:r>
      <w:r>
        <w:rPr>
          <w:position w:val="8"/>
          <w:sz w:val="16"/>
        </w:rPr>
        <w:t>8</w:t>
      </w:r>
      <w:r>
        <w:rPr/>
        <w:t>.</w:t>
      </w:r>
    </w:p>
    <w:p>
      <w:pPr>
        <w:pStyle w:val="BodyText"/>
        <w:spacing w:line="360" w:lineRule="auto" w:before="195"/>
        <w:ind w:left="1200" w:right="1198"/>
        <w:jc w:val="both"/>
      </w:pPr>
      <w:r>
        <w:rPr/>
        <w:t>Es argumentable que este fenómeno de concentración de los beneficios del Espacio Ambiental y el desarrollo ha contribuido a la migración, aumentando la demanda por espacio físico en las zonas urbanas que concentran las oportunidades de movilidad social. América Latina tuvo en las últimas décadas una de las mayores tasas de crecimiento de urbanización en el mundo. Este crecimiento ha ido acompañado de un aumento en la inequidad en las ciudades. Siete de las mayores ciudades de la región registraron</w:t>
      </w:r>
      <w:r>
        <w:rPr>
          <w:spacing w:val="10"/>
        </w:rPr>
        <w:t> </w:t>
      </w:r>
      <w:r>
        <w:rPr/>
        <w:t>niveles</w:t>
      </w:r>
      <w:r>
        <w:rPr>
          <w:spacing w:val="12"/>
        </w:rPr>
        <w:t> </w:t>
      </w:r>
      <w:r>
        <w:rPr/>
        <w:t>de</w:t>
      </w:r>
      <w:r>
        <w:rPr>
          <w:spacing w:val="11"/>
        </w:rPr>
        <w:t> </w:t>
      </w:r>
      <w:r>
        <w:rPr/>
        <w:t>inequidad,</w:t>
      </w:r>
      <w:r>
        <w:rPr>
          <w:spacing w:val="13"/>
        </w:rPr>
        <w:t> </w:t>
      </w:r>
      <w:r>
        <w:rPr/>
        <w:t>según</w:t>
      </w:r>
      <w:r>
        <w:rPr>
          <w:spacing w:val="11"/>
        </w:rPr>
        <w:t> </w:t>
      </w:r>
      <w:r>
        <w:rPr/>
        <w:t>el</w:t>
      </w:r>
      <w:r>
        <w:rPr>
          <w:spacing w:val="10"/>
        </w:rPr>
        <w:t> </w:t>
      </w:r>
      <w:r>
        <w:rPr/>
        <w:t>coeficiente</w:t>
      </w:r>
      <w:r>
        <w:rPr>
          <w:spacing w:val="11"/>
        </w:rPr>
        <w:t> </w:t>
      </w:r>
      <w:r>
        <w:rPr/>
        <w:t>de</w:t>
      </w:r>
      <w:r>
        <w:rPr>
          <w:spacing w:val="10"/>
        </w:rPr>
        <w:t> </w:t>
      </w:r>
      <w:r>
        <w:rPr/>
        <w:t>Gini</w:t>
      </w:r>
      <w:r>
        <w:rPr>
          <w:spacing w:val="11"/>
        </w:rPr>
        <w:t> </w:t>
      </w:r>
      <w:r>
        <w:rPr/>
        <w:t>del</w:t>
      </w:r>
      <w:r>
        <w:rPr>
          <w:spacing w:val="10"/>
        </w:rPr>
        <w:t> </w:t>
      </w:r>
      <w:r>
        <w:rPr/>
        <w:t>ingreso,</w:t>
      </w:r>
      <w:r>
        <w:rPr>
          <w:spacing w:val="13"/>
        </w:rPr>
        <w:t> </w:t>
      </w:r>
      <w:r>
        <w:rPr/>
        <w:t>superiores</w:t>
      </w:r>
      <w:r>
        <w:rPr>
          <w:spacing w:val="13"/>
        </w:rPr>
        <w:t> </w:t>
      </w:r>
      <w:r>
        <w:rPr/>
        <w:t>a</w:t>
      </w:r>
    </w:p>
    <w:p>
      <w:pPr>
        <w:pStyle w:val="BodyText"/>
        <w:spacing w:line="360" w:lineRule="auto" w:before="3"/>
        <w:ind w:left="1200" w:right="1197"/>
        <w:jc w:val="both"/>
      </w:pPr>
      <w:r>
        <w:rPr/>
        <w:t>0.6 en la primera década del presente siglo. De estas ciudades 6 son brasileñas: Sao Paulo,</w:t>
      </w:r>
      <w:r>
        <w:rPr>
          <w:spacing w:val="-14"/>
        </w:rPr>
        <w:t> </w:t>
      </w:r>
      <w:r>
        <w:rPr/>
        <w:t>Rio</w:t>
      </w:r>
      <w:r>
        <w:rPr>
          <w:spacing w:val="-17"/>
        </w:rPr>
        <w:t> </w:t>
      </w:r>
      <w:r>
        <w:rPr/>
        <w:t>de</w:t>
      </w:r>
      <w:r>
        <w:rPr>
          <w:spacing w:val="-17"/>
        </w:rPr>
        <w:t> </w:t>
      </w:r>
      <w:r>
        <w:rPr/>
        <w:t>Janeiro,</w:t>
      </w:r>
      <w:r>
        <w:rPr>
          <w:spacing w:val="-14"/>
        </w:rPr>
        <w:t> </w:t>
      </w:r>
      <w:r>
        <w:rPr/>
        <w:t>Belo</w:t>
      </w:r>
      <w:r>
        <w:rPr>
          <w:spacing w:val="-17"/>
        </w:rPr>
        <w:t> </w:t>
      </w:r>
      <w:r>
        <w:rPr/>
        <w:t>Horizonte,</w:t>
      </w:r>
      <w:r>
        <w:rPr>
          <w:spacing w:val="-11"/>
        </w:rPr>
        <w:t> </w:t>
      </w:r>
      <w:r>
        <w:rPr/>
        <w:t>Fortaleza,</w:t>
      </w:r>
      <w:r>
        <w:rPr>
          <w:spacing w:val="-14"/>
        </w:rPr>
        <w:t> </w:t>
      </w:r>
      <w:r>
        <w:rPr/>
        <w:t>Brasilia</w:t>
      </w:r>
      <w:r>
        <w:rPr>
          <w:spacing w:val="-17"/>
        </w:rPr>
        <w:t> </w:t>
      </w:r>
      <w:r>
        <w:rPr/>
        <w:t>y</w:t>
      </w:r>
      <w:r>
        <w:rPr>
          <w:spacing w:val="-18"/>
        </w:rPr>
        <w:t> </w:t>
      </w:r>
      <w:r>
        <w:rPr/>
        <w:t>Goiânia.</w:t>
      </w:r>
      <w:r>
        <w:rPr>
          <w:spacing w:val="-14"/>
        </w:rPr>
        <w:t> </w:t>
      </w:r>
      <w:r>
        <w:rPr/>
        <w:t>La</w:t>
      </w:r>
      <w:r>
        <w:rPr>
          <w:spacing w:val="-17"/>
        </w:rPr>
        <w:t> </w:t>
      </w:r>
      <w:r>
        <w:rPr/>
        <w:t>sétima</w:t>
      </w:r>
      <w:r>
        <w:rPr>
          <w:spacing w:val="-17"/>
        </w:rPr>
        <w:t> </w:t>
      </w:r>
      <w:r>
        <w:rPr/>
        <w:t>es</w:t>
      </w:r>
      <w:r>
        <w:rPr>
          <w:spacing w:val="-15"/>
        </w:rPr>
        <w:t> </w:t>
      </w:r>
      <w:r>
        <w:rPr/>
        <w:t>Bogotá, Colombia. (Banco Interamericano de Desarrollo, 2011). La última encuesta nacional</w:t>
      </w:r>
      <w:r>
        <w:rPr>
          <w:spacing w:val="62"/>
        </w:rPr>
        <w:t> </w:t>
      </w:r>
      <w:r>
        <w:rPr/>
        <w:t>de</w:t>
      </w:r>
    </w:p>
    <w:p>
      <w:pPr>
        <w:pStyle w:val="BodyText"/>
        <w:rPr>
          <w:sz w:val="20"/>
        </w:rPr>
      </w:pPr>
    </w:p>
    <w:p>
      <w:pPr>
        <w:pStyle w:val="BodyText"/>
        <w:rPr>
          <w:sz w:val="20"/>
        </w:rPr>
      </w:pPr>
    </w:p>
    <w:p>
      <w:pPr>
        <w:pStyle w:val="BodyText"/>
        <w:spacing w:before="10"/>
        <w:rPr>
          <w:sz w:val="28"/>
        </w:rPr>
      </w:pPr>
      <w:r>
        <w:rPr/>
        <w:pict>
          <v:rect style="position:absolute;margin-left:72.025002pt;margin-top:18.597872pt;width:144.050pt;height:.599980pt;mso-position-horizontal-relative:page;mso-position-vertical-relative:paragraph;z-index:-15709696;mso-wrap-distance-left:0;mso-wrap-distance-right:0" filled="true" fillcolor="#000000" stroked="false">
            <v:fill type="solid"/>
            <w10:wrap type="topAndBottom"/>
          </v:rect>
        </w:pict>
      </w:r>
    </w:p>
    <w:p>
      <w:pPr>
        <w:spacing w:line="360" w:lineRule="auto" w:before="71"/>
        <w:ind w:left="1200" w:right="1429" w:firstLine="0"/>
        <w:jc w:val="left"/>
        <w:rPr>
          <w:sz w:val="20"/>
        </w:rPr>
      </w:pPr>
      <w:r>
        <w:rPr>
          <w:sz w:val="20"/>
          <w:vertAlign w:val="superscript"/>
        </w:rPr>
        <w:t>8</w:t>
      </w:r>
      <w:r>
        <w:rPr>
          <w:sz w:val="20"/>
          <w:vertAlign w:val="baseline"/>
        </w:rPr>
        <w:t> Amerita esta polarización explorar rigurosamente las causas de esa relación centro periferia socio- ecológica en Costa Rica. Sin embargo, la novedad del tema y el esfuerzo de investigación que implica sobrepasan los recursos de esta investigación.</w:t>
      </w:r>
    </w:p>
    <w:p>
      <w:pPr>
        <w:spacing w:after="0" w:line="360" w:lineRule="auto"/>
        <w:jc w:val="left"/>
        <w:rPr>
          <w:sz w:val="20"/>
        </w:rPr>
        <w:sectPr>
          <w:pgSz w:w="12240" w:h="15840"/>
          <w:pgMar w:header="0" w:footer="1062" w:top="1360" w:bottom="1260" w:left="240" w:right="240"/>
        </w:sectPr>
      </w:pPr>
    </w:p>
    <w:p>
      <w:pPr>
        <w:pStyle w:val="BodyText"/>
        <w:spacing w:line="357" w:lineRule="auto" w:before="79"/>
        <w:ind w:left="1200" w:right="1207"/>
        <w:jc w:val="both"/>
      </w:pPr>
      <w:r>
        <w:rPr/>
        <w:t>hogares de Costa Rica señala un aumento en el índice de Gini para las zonas urbanas de Costa Rica de 0.491 en el año 2010 a 0.505 en el 2017 (INEC, 2018).</w:t>
      </w:r>
    </w:p>
    <w:p>
      <w:pPr>
        <w:pStyle w:val="BodyText"/>
        <w:spacing w:line="360" w:lineRule="auto" w:before="206"/>
        <w:ind w:left="1200" w:right="1193"/>
        <w:jc w:val="both"/>
      </w:pPr>
      <w:r>
        <w:rPr/>
        <w:t>En ausencia de capacidad de absorción por parte de esas ciudades de los flujos migratorios internos y</w:t>
      </w:r>
      <w:r>
        <w:rPr>
          <w:spacing w:val="-49"/>
        </w:rPr>
        <w:t> </w:t>
      </w:r>
      <w:r>
        <w:rPr/>
        <w:t>con sistemas limitados de ordenamiento territorial, América Latina muestra como un fenómeno, hoy típico en ese cuadro de inequidad, el establecimiento de asentamientos informales urbano-marginales en áreas inapropiadas por sus condiciones de vulnerabilidad a los efectos del cambio climático. Estas áreas incluyen áreas protegidas en la periferia de los centros urbanos (Banco Interamericano de Desarrollo, 2011).</w:t>
      </w:r>
    </w:p>
    <w:p>
      <w:pPr>
        <w:pStyle w:val="BodyText"/>
        <w:spacing w:line="360" w:lineRule="auto" w:before="199"/>
        <w:ind w:left="1200" w:right="1194"/>
        <w:jc w:val="both"/>
      </w:pPr>
      <w:r>
        <w:rPr/>
        <w:t>Ejemplos documentados en la región lo constituyen los asentamientos en el Parque Nacional Tijuca en Río de Janeiro, y Ciudad Bolivar en Bogotá (Ángel &amp; Bello, 2008; Rendón, 2009; Lopes de Souza, 2015). En el caso costarricense, la presencia de este problema en el Valle Central se descubre cuando se examinan los datos contenidos en el Atlas de Carencias Críticas de Costa Rica a la luz del Censo del 2011. El atlas ubica geográficamente los conglomerados</w:t>
      </w:r>
      <w:r>
        <w:rPr>
          <w:position w:val="8"/>
          <w:sz w:val="16"/>
        </w:rPr>
        <w:t>9 </w:t>
      </w:r>
      <w:r>
        <w:rPr/>
        <w:t>de pobreza en las diversas regiones del país. En el caso del Gran Área Metropolitana (GAM) del Valle Central, identifica 26 conglomerados. Conforme lo presenta el Cuadro 1, el 27% de los conglomerados se encuentran al menos parcialmente ubicados en una o </w:t>
      </w:r>
      <w:r>
        <w:rPr>
          <w:spacing w:val="-2"/>
        </w:rPr>
        <w:t>más </w:t>
      </w:r>
      <w:r>
        <w:rPr/>
        <w:t>de las áreas protegidas que buscan</w:t>
      </w:r>
      <w:r>
        <w:rPr>
          <w:spacing w:val="-17"/>
        </w:rPr>
        <w:t> </w:t>
      </w:r>
      <w:r>
        <w:rPr/>
        <w:t>conservar</w:t>
      </w:r>
      <w:r>
        <w:rPr>
          <w:spacing w:val="-14"/>
        </w:rPr>
        <w:t> </w:t>
      </w:r>
      <w:r>
        <w:rPr/>
        <w:t>las</w:t>
      </w:r>
      <w:r>
        <w:rPr>
          <w:spacing w:val="-15"/>
        </w:rPr>
        <w:t> </w:t>
      </w:r>
      <w:r>
        <w:rPr/>
        <w:t>funciones</w:t>
      </w:r>
      <w:r>
        <w:rPr>
          <w:spacing w:val="-15"/>
        </w:rPr>
        <w:t> </w:t>
      </w:r>
      <w:r>
        <w:rPr/>
        <w:t>ecosistémicas</w:t>
      </w:r>
      <w:r>
        <w:rPr>
          <w:spacing w:val="-15"/>
        </w:rPr>
        <w:t> </w:t>
      </w:r>
      <w:r>
        <w:rPr/>
        <w:t>en</w:t>
      </w:r>
      <w:r>
        <w:rPr>
          <w:spacing w:val="-17"/>
        </w:rPr>
        <w:t> </w:t>
      </w:r>
      <w:r>
        <w:rPr/>
        <w:t>beneficio</w:t>
      </w:r>
      <w:r>
        <w:rPr>
          <w:spacing w:val="-17"/>
        </w:rPr>
        <w:t> </w:t>
      </w:r>
      <w:r>
        <w:rPr/>
        <w:t>de</w:t>
      </w:r>
      <w:r>
        <w:rPr>
          <w:spacing w:val="-16"/>
        </w:rPr>
        <w:t> </w:t>
      </w:r>
      <w:r>
        <w:rPr/>
        <w:t>los</w:t>
      </w:r>
      <w:r>
        <w:rPr>
          <w:spacing w:val="-15"/>
        </w:rPr>
        <w:t> </w:t>
      </w:r>
      <w:r>
        <w:rPr/>
        <w:t>pobladores</w:t>
      </w:r>
      <w:r>
        <w:rPr>
          <w:spacing w:val="-12"/>
        </w:rPr>
        <w:t> </w:t>
      </w:r>
      <w:r>
        <w:rPr/>
        <w:t>de</w:t>
      </w:r>
      <w:r>
        <w:rPr>
          <w:spacing w:val="-16"/>
        </w:rPr>
        <w:t> </w:t>
      </w:r>
      <w:r>
        <w:rPr/>
        <w:t>la</w:t>
      </w:r>
      <w:r>
        <w:rPr>
          <w:spacing w:val="-13"/>
        </w:rPr>
        <w:t> </w:t>
      </w:r>
      <w:r>
        <w:rPr/>
        <w:t>zona. Estos conglomerados cubren un total de </w:t>
      </w:r>
      <w:r>
        <w:rPr>
          <w:spacing w:val="-2"/>
        </w:rPr>
        <w:t>más </w:t>
      </w:r>
      <w:r>
        <w:rPr/>
        <w:t>de 150 km</w:t>
      </w:r>
      <w:r>
        <w:rPr>
          <w:position w:val="8"/>
          <w:sz w:val="16"/>
        </w:rPr>
        <w:t>2 </w:t>
      </w:r>
      <w:r>
        <w:rPr/>
        <w:t>(7% del territorio de la GAM) y tienen</w:t>
      </w:r>
      <w:r>
        <w:rPr>
          <w:spacing w:val="-5"/>
        </w:rPr>
        <w:t> </w:t>
      </w:r>
      <w:r>
        <w:rPr/>
        <w:t>una</w:t>
      </w:r>
      <w:r>
        <w:rPr>
          <w:spacing w:val="-4"/>
        </w:rPr>
        <w:t> </w:t>
      </w:r>
      <w:r>
        <w:rPr/>
        <w:t>población</w:t>
      </w:r>
      <w:r>
        <w:rPr>
          <w:spacing w:val="-4"/>
        </w:rPr>
        <w:t> </w:t>
      </w:r>
      <w:r>
        <w:rPr/>
        <w:t>total</w:t>
      </w:r>
      <w:r>
        <w:rPr>
          <w:spacing w:val="-4"/>
        </w:rPr>
        <w:t> </w:t>
      </w:r>
      <w:r>
        <w:rPr/>
        <w:t>de</w:t>
      </w:r>
      <w:r>
        <w:rPr>
          <w:spacing w:val="-4"/>
        </w:rPr>
        <w:t> </w:t>
      </w:r>
      <w:r>
        <w:rPr/>
        <w:t>poco</w:t>
      </w:r>
      <w:r>
        <w:rPr>
          <w:spacing w:val="-4"/>
        </w:rPr>
        <w:t> </w:t>
      </w:r>
      <w:r>
        <w:rPr/>
        <w:t>más</w:t>
      </w:r>
      <w:r>
        <w:rPr>
          <w:spacing w:val="-2"/>
        </w:rPr>
        <w:t> </w:t>
      </w:r>
      <w:r>
        <w:rPr/>
        <w:t>de</w:t>
      </w:r>
      <w:r>
        <w:rPr>
          <w:spacing w:val="-4"/>
        </w:rPr>
        <w:t> </w:t>
      </w:r>
      <w:r>
        <w:rPr/>
        <w:t>280</w:t>
      </w:r>
      <w:r>
        <w:rPr>
          <w:spacing w:val="-5"/>
        </w:rPr>
        <w:t> </w:t>
      </w:r>
      <w:r>
        <w:rPr/>
        <w:t>mil</w:t>
      </w:r>
      <w:r>
        <w:rPr>
          <w:spacing w:val="-4"/>
        </w:rPr>
        <w:t> </w:t>
      </w:r>
      <w:r>
        <w:rPr/>
        <w:t>personas</w:t>
      </w:r>
      <w:r>
        <w:rPr>
          <w:spacing w:val="-2"/>
        </w:rPr>
        <w:t> </w:t>
      </w:r>
      <w:r>
        <w:rPr/>
        <w:t>(poco </w:t>
      </w:r>
      <w:r>
        <w:rPr>
          <w:spacing w:val="-2"/>
        </w:rPr>
        <w:t>más </w:t>
      </w:r>
      <w:r>
        <w:rPr/>
        <w:t>de</w:t>
      </w:r>
      <w:r>
        <w:rPr>
          <w:spacing w:val="-5"/>
        </w:rPr>
        <w:t> </w:t>
      </w:r>
      <w:r>
        <w:rPr/>
        <w:t>10%</w:t>
      </w:r>
      <w:r>
        <w:rPr>
          <w:spacing w:val="-4"/>
        </w:rPr>
        <w:t> </w:t>
      </w:r>
      <w:r>
        <w:rPr/>
        <w:t>del</w:t>
      </w:r>
      <w:r>
        <w:rPr>
          <w:spacing w:val="-4"/>
        </w:rPr>
        <w:t> </w:t>
      </w:r>
      <w:r>
        <w:rPr/>
        <w:t>total de la GAM). El área protegida que incluye el mayor número de estos conglomerados es la Zona Protectora La Carpintera (ZPLC) (Sánchez &amp; Trejos,</w:t>
      </w:r>
      <w:r>
        <w:rPr>
          <w:spacing w:val="-9"/>
        </w:rPr>
        <w:t> </w:t>
      </w:r>
      <w:r>
        <w:rPr/>
        <w:t>2014).</w:t>
      </w:r>
    </w:p>
    <w:p>
      <w:pPr>
        <w:pStyle w:val="BodyText"/>
        <w:spacing w:line="360" w:lineRule="auto" w:before="192"/>
        <w:ind w:left="1200" w:right="1203"/>
        <w:jc w:val="both"/>
      </w:pPr>
      <w:r>
        <w:rPr/>
        <w:t>Conforme se desarrolla con mayor detalle más adelante, esta área protegida presenta un cuadro de inequidad por la presencia de poblaciones marginales que son afectadas por la normativa conservacionista que las rige y su aplicación por las autoridades del</w:t>
      </w:r>
    </w:p>
    <w:p>
      <w:pPr>
        <w:pStyle w:val="BodyText"/>
        <w:rPr>
          <w:sz w:val="20"/>
        </w:rPr>
      </w:pPr>
    </w:p>
    <w:p>
      <w:pPr>
        <w:pStyle w:val="BodyText"/>
        <w:spacing w:before="7"/>
        <w:rPr>
          <w:sz w:val="25"/>
        </w:rPr>
      </w:pPr>
      <w:r>
        <w:rPr/>
        <w:pict>
          <v:rect style="position:absolute;margin-left:72.025002pt;margin-top:16.676582pt;width:144.050pt;height:.599980pt;mso-position-horizontal-relative:page;mso-position-vertical-relative:paragraph;z-index:-15709184;mso-wrap-distance-left:0;mso-wrap-distance-right:0" filled="true" fillcolor="#000000" stroked="false">
            <v:fill type="solid"/>
            <w10:wrap type="topAndBottom"/>
          </v:rect>
        </w:pict>
      </w:r>
    </w:p>
    <w:p>
      <w:pPr>
        <w:spacing w:line="240" w:lineRule="auto" w:before="72"/>
        <w:ind w:left="1200" w:right="1197" w:firstLine="0"/>
        <w:jc w:val="both"/>
        <w:rPr>
          <w:sz w:val="20"/>
        </w:rPr>
      </w:pPr>
      <w:r>
        <w:rPr>
          <w:sz w:val="20"/>
          <w:vertAlign w:val="superscript"/>
        </w:rPr>
        <w:t>9</w:t>
      </w:r>
      <w:r>
        <w:rPr>
          <w:sz w:val="20"/>
          <w:vertAlign w:val="baseline"/>
        </w:rPr>
        <w:t> Los conglomerados son “clusters” de unidades geográficas (Unidades Geoestadísticas Mínimas) desarrolladas a partir del Censo del 2011 con vista en las necesidades básicas insatisfechas en términos de acceso a albergue digno, vida saludable, conocimiento y otros bienes y servicios (Sánchez &amp; Trejos, 2014).</w:t>
      </w:r>
    </w:p>
    <w:p>
      <w:pPr>
        <w:spacing w:after="0" w:line="240" w:lineRule="auto"/>
        <w:jc w:val="both"/>
        <w:rPr>
          <w:sz w:val="20"/>
        </w:rPr>
        <w:sectPr>
          <w:pgSz w:w="12240" w:h="15840"/>
          <w:pgMar w:header="0" w:footer="1062" w:top="1360" w:bottom="1260" w:left="240" w:right="240"/>
        </w:sectPr>
      </w:pPr>
    </w:p>
    <w:p>
      <w:pPr>
        <w:pStyle w:val="BodyText"/>
        <w:spacing w:line="360" w:lineRule="auto" w:before="79"/>
        <w:ind w:left="1200" w:right="1201"/>
        <w:jc w:val="both"/>
      </w:pPr>
      <w:r>
        <w:rPr/>
        <w:t>Ministerio del Ambiente y los gobiernos municipales. Asimismo, esta Zona Protectora (ZP) está rodeada por una serie de usuarios de sus servicios ecosistémicos, incluyendo zonas de alta afluencia. Algunos de estos servicios son compensados al área protegida al menos parcialmente mediante programas como los pagos por servicios ambientales (Aguilar, 2008; Aguilar González, 2015).</w:t>
      </w:r>
    </w:p>
    <w:p>
      <w:pPr>
        <w:spacing w:line="242" w:lineRule="auto" w:before="196"/>
        <w:ind w:left="1488" w:right="1486" w:hanging="8"/>
        <w:jc w:val="center"/>
        <w:rPr>
          <w:i/>
          <w:sz w:val="20"/>
        </w:rPr>
      </w:pPr>
      <w:bookmarkStart w:name="_bookmark6" w:id="8"/>
      <w:bookmarkEnd w:id="8"/>
      <w:r>
        <w:rPr/>
      </w:r>
      <w:r>
        <w:rPr>
          <w:i/>
          <w:sz w:val="20"/>
        </w:rPr>
        <w:t>Cuadro 1- Conglomerados de Pobreza y Áreas Protegidas en la Gran Área Metropolitana del Valle </w:t>
      </w:r>
      <w:r>
        <w:rPr>
          <w:i/>
          <w:sz w:val="20"/>
        </w:rPr>
        <w:t>Central de Costa Rica Identificados por el Número en el Atlas de Carencias Críticas en Costa Rica.</w:t>
      </w:r>
    </w:p>
    <w:p>
      <w:pPr>
        <w:spacing w:line="225" w:lineRule="exact" w:before="0"/>
        <w:ind w:left="2389" w:right="2387" w:firstLine="0"/>
        <w:jc w:val="center"/>
        <w:rPr>
          <w:i/>
          <w:sz w:val="20"/>
        </w:rPr>
      </w:pPr>
      <w:r>
        <w:rPr>
          <w:i/>
          <w:sz w:val="20"/>
        </w:rPr>
        <w:t>Fuente: Sánchez y Trejos (2014)</w:t>
      </w:r>
    </w:p>
    <w:p>
      <w:pPr>
        <w:pStyle w:val="BodyText"/>
        <w:rPr>
          <w:i/>
          <w:sz w:val="28"/>
        </w:rPr>
      </w:pPr>
    </w:p>
    <w:tbl>
      <w:tblPr>
        <w:tblW w:w="0" w:type="auto"/>
        <w:jc w:val="left"/>
        <w:tblInd w:w="1213"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540"/>
        <w:gridCol w:w="1796"/>
        <w:gridCol w:w="772"/>
        <w:gridCol w:w="3196"/>
        <w:gridCol w:w="1267"/>
        <w:gridCol w:w="2167"/>
      </w:tblGrid>
      <w:tr>
        <w:trPr>
          <w:trHeight w:val="676" w:hRule="atLeast"/>
        </w:trPr>
        <w:tc>
          <w:tcPr>
            <w:tcW w:w="540" w:type="dxa"/>
            <w:tcBorders>
              <w:top w:val="nil"/>
              <w:left w:val="nil"/>
              <w:bottom w:val="nil"/>
              <w:right w:val="nil"/>
            </w:tcBorders>
            <w:shd w:val="clear" w:color="auto" w:fill="000000"/>
          </w:tcPr>
          <w:p>
            <w:pPr>
              <w:pStyle w:val="TableParagraph"/>
              <w:spacing w:line="240" w:lineRule="auto" w:before="0"/>
              <w:ind w:left="111"/>
              <w:jc w:val="left"/>
              <w:rPr>
                <w:b/>
                <w:sz w:val="20"/>
              </w:rPr>
            </w:pPr>
            <w:r>
              <w:rPr>
                <w:b/>
                <w:color w:val="FFFFFF"/>
                <w:sz w:val="20"/>
              </w:rPr>
              <w:t>No.</w:t>
            </w:r>
          </w:p>
        </w:tc>
        <w:tc>
          <w:tcPr>
            <w:tcW w:w="1796" w:type="dxa"/>
            <w:tcBorders>
              <w:top w:val="nil"/>
              <w:left w:val="nil"/>
              <w:bottom w:val="nil"/>
              <w:right w:val="nil"/>
            </w:tcBorders>
            <w:shd w:val="clear" w:color="auto" w:fill="000000"/>
          </w:tcPr>
          <w:p>
            <w:pPr>
              <w:pStyle w:val="TableParagraph"/>
              <w:spacing w:line="240" w:lineRule="auto" w:before="0"/>
              <w:ind w:left="111"/>
              <w:jc w:val="left"/>
              <w:rPr>
                <w:b/>
                <w:sz w:val="20"/>
              </w:rPr>
            </w:pPr>
            <w:r>
              <w:rPr>
                <w:b/>
                <w:color w:val="FFFFFF"/>
                <w:sz w:val="20"/>
              </w:rPr>
              <w:t>Cantón(es)</w:t>
            </w:r>
          </w:p>
        </w:tc>
        <w:tc>
          <w:tcPr>
            <w:tcW w:w="772" w:type="dxa"/>
            <w:tcBorders>
              <w:top w:val="nil"/>
              <w:left w:val="nil"/>
              <w:bottom w:val="nil"/>
              <w:right w:val="nil"/>
            </w:tcBorders>
            <w:shd w:val="clear" w:color="auto" w:fill="000000"/>
          </w:tcPr>
          <w:p>
            <w:pPr>
              <w:pStyle w:val="TableParagraph"/>
              <w:spacing w:line="240" w:lineRule="auto" w:before="0"/>
              <w:ind w:left="93" w:right="244"/>
              <w:jc w:val="center"/>
              <w:rPr>
                <w:b/>
                <w:sz w:val="20"/>
              </w:rPr>
            </w:pPr>
            <w:r>
              <w:rPr>
                <w:b/>
                <w:color w:val="FFFFFF"/>
                <w:sz w:val="20"/>
              </w:rPr>
              <w:t>Km</w:t>
            </w:r>
            <w:r>
              <w:rPr>
                <w:b/>
                <w:color w:val="FFFFFF"/>
                <w:sz w:val="20"/>
                <w:vertAlign w:val="superscript"/>
              </w:rPr>
              <w:t>2</w:t>
            </w:r>
          </w:p>
        </w:tc>
        <w:tc>
          <w:tcPr>
            <w:tcW w:w="3196" w:type="dxa"/>
            <w:tcBorders>
              <w:top w:val="nil"/>
              <w:left w:val="nil"/>
              <w:bottom w:val="nil"/>
              <w:right w:val="nil"/>
            </w:tcBorders>
            <w:shd w:val="clear" w:color="auto" w:fill="000000"/>
          </w:tcPr>
          <w:p>
            <w:pPr>
              <w:pStyle w:val="TableParagraph"/>
              <w:spacing w:line="240" w:lineRule="auto" w:before="0"/>
              <w:ind w:left="113"/>
              <w:jc w:val="left"/>
              <w:rPr>
                <w:b/>
                <w:sz w:val="20"/>
              </w:rPr>
            </w:pPr>
            <w:r>
              <w:rPr>
                <w:b/>
                <w:color w:val="FFFFFF"/>
                <w:sz w:val="20"/>
              </w:rPr>
              <w:t>Comunidades</w:t>
            </w:r>
          </w:p>
        </w:tc>
        <w:tc>
          <w:tcPr>
            <w:tcW w:w="1267" w:type="dxa"/>
            <w:tcBorders>
              <w:top w:val="nil"/>
              <w:left w:val="nil"/>
              <w:bottom w:val="nil"/>
              <w:right w:val="nil"/>
            </w:tcBorders>
            <w:shd w:val="clear" w:color="auto" w:fill="000000"/>
          </w:tcPr>
          <w:p>
            <w:pPr>
              <w:pStyle w:val="TableParagraph"/>
              <w:spacing w:line="240" w:lineRule="auto" w:before="0"/>
              <w:ind w:left="113"/>
              <w:jc w:val="left"/>
              <w:rPr>
                <w:b/>
                <w:sz w:val="20"/>
              </w:rPr>
            </w:pPr>
            <w:r>
              <w:rPr>
                <w:b/>
                <w:color w:val="FFFFFF"/>
                <w:sz w:val="20"/>
              </w:rPr>
              <w:t>Población</w:t>
            </w:r>
          </w:p>
        </w:tc>
        <w:tc>
          <w:tcPr>
            <w:tcW w:w="2167" w:type="dxa"/>
            <w:tcBorders>
              <w:top w:val="nil"/>
              <w:left w:val="nil"/>
              <w:bottom w:val="nil"/>
              <w:right w:val="nil"/>
            </w:tcBorders>
            <w:shd w:val="clear" w:color="auto" w:fill="000000"/>
          </w:tcPr>
          <w:p>
            <w:pPr>
              <w:pStyle w:val="TableParagraph"/>
              <w:spacing w:line="242" w:lineRule="auto" w:before="0"/>
              <w:ind w:left="115" w:right="97"/>
              <w:jc w:val="left"/>
              <w:rPr>
                <w:b/>
                <w:sz w:val="20"/>
              </w:rPr>
            </w:pPr>
            <w:r>
              <w:rPr>
                <w:b/>
                <w:color w:val="FFFFFF"/>
                <w:sz w:val="20"/>
              </w:rPr>
              <w:t>Áreas Protegidas en el Conglomerado</w:t>
            </w:r>
          </w:p>
        </w:tc>
      </w:tr>
      <w:tr>
        <w:trPr>
          <w:trHeight w:val="1351" w:hRule="atLeast"/>
        </w:trPr>
        <w:tc>
          <w:tcPr>
            <w:tcW w:w="540" w:type="dxa"/>
            <w:tcBorders>
              <w:top w:val="nil"/>
            </w:tcBorders>
            <w:shd w:val="clear" w:color="auto" w:fill="CCCCCC"/>
          </w:tcPr>
          <w:p>
            <w:pPr>
              <w:pStyle w:val="TableParagraph"/>
              <w:spacing w:line="226" w:lineRule="exact" w:before="0"/>
              <w:ind w:left="106"/>
              <w:jc w:val="left"/>
              <w:rPr>
                <w:b/>
                <w:sz w:val="20"/>
              </w:rPr>
            </w:pPr>
            <w:r>
              <w:rPr>
                <w:b/>
                <w:w w:val="99"/>
                <w:sz w:val="20"/>
              </w:rPr>
              <w:t>7</w:t>
            </w:r>
          </w:p>
        </w:tc>
        <w:tc>
          <w:tcPr>
            <w:tcW w:w="1796" w:type="dxa"/>
            <w:tcBorders>
              <w:top w:val="nil"/>
            </w:tcBorders>
            <w:shd w:val="clear" w:color="auto" w:fill="CCCCCC"/>
          </w:tcPr>
          <w:p>
            <w:pPr>
              <w:pStyle w:val="TableParagraph"/>
              <w:spacing w:line="240" w:lineRule="auto" w:before="0"/>
              <w:ind w:left="106" w:right="148"/>
              <w:jc w:val="left"/>
              <w:rPr>
                <w:sz w:val="20"/>
              </w:rPr>
            </w:pPr>
            <w:r>
              <w:rPr>
                <w:sz w:val="20"/>
              </w:rPr>
              <w:t>Alajuelita, Aserrí, Desamparados, Escazú, San José</w:t>
            </w:r>
          </w:p>
        </w:tc>
        <w:tc>
          <w:tcPr>
            <w:tcW w:w="772" w:type="dxa"/>
            <w:tcBorders>
              <w:top w:val="nil"/>
            </w:tcBorders>
            <w:shd w:val="clear" w:color="auto" w:fill="CCCCCC"/>
          </w:tcPr>
          <w:p>
            <w:pPr>
              <w:pStyle w:val="TableParagraph"/>
              <w:spacing w:line="240" w:lineRule="auto" w:before="0"/>
              <w:ind w:left="89" w:right="131"/>
              <w:jc w:val="center"/>
              <w:rPr>
                <w:sz w:val="20"/>
              </w:rPr>
            </w:pPr>
            <w:r>
              <w:rPr>
                <w:sz w:val="20"/>
              </w:rPr>
              <w:t>17,70</w:t>
            </w:r>
          </w:p>
        </w:tc>
        <w:tc>
          <w:tcPr>
            <w:tcW w:w="3196" w:type="dxa"/>
            <w:tcBorders>
              <w:top w:val="nil"/>
            </w:tcBorders>
            <w:shd w:val="clear" w:color="auto" w:fill="CCCCCC"/>
          </w:tcPr>
          <w:p>
            <w:pPr>
              <w:pStyle w:val="TableParagraph"/>
              <w:spacing w:line="240" w:lineRule="auto" w:before="0"/>
              <w:ind w:left="108" w:right="178"/>
              <w:jc w:val="left"/>
              <w:rPr>
                <w:sz w:val="20"/>
              </w:rPr>
            </w:pPr>
            <w:r>
              <w:rPr>
                <w:sz w:val="20"/>
              </w:rPr>
              <w:t>1 de Mayo, La Cascabela, El Jazmín, Los Pinos, Nueva Esperanza, Las Gavetas, Nuevo Amanecer, Nuevo Milenio, Bajo Los Anonos, El Tejar</w:t>
            </w:r>
          </w:p>
        </w:tc>
        <w:tc>
          <w:tcPr>
            <w:tcW w:w="1267" w:type="dxa"/>
            <w:tcBorders>
              <w:top w:val="nil"/>
            </w:tcBorders>
            <w:shd w:val="clear" w:color="auto" w:fill="CCCCCC"/>
          </w:tcPr>
          <w:p>
            <w:pPr>
              <w:pStyle w:val="TableParagraph"/>
              <w:spacing w:line="240" w:lineRule="auto" w:before="0"/>
              <w:ind w:left="108"/>
              <w:jc w:val="left"/>
              <w:rPr>
                <w:sz w:val="20"/>
              </w:rPr>
            </w:pPr>
            <w:r>
              <w:rPr>
                <w:sz w:val="20"/>
              </w:rPr>
              <w:t>78.537</w:t>
            </w:r>
          </w:p>
        </w:tc>
        <w:tc>
          <w:tcPr>
            <w:tcW w:w="2167" w:type="dxa"/>
            <w:tcBorders>
              <w:top w:val="nil"/>
            </w:tcBorders>
            <w:shd w:val="clear" w:color="auto" w:fill="CCCCCC"/>
          </w:tcPr>
          <w:p>
            <w:pPr>
              <w:pStyle w:val="TableParagraph"/>
              <w:spacing w:line="240" w:lineRule="auto" w:before="0"/>
              <w:ind w:left="110"/>
              <w:jc w:val="left"/>
              <w:rPr>
                <w:sz w:val="20"/>
              </w:rPr>
            </w:pPr>
            <w:r>
              <w:rPr>
                <w:sz w:val="20"/>
              </w:rPr>
              <w:t>ZP Cerros de Escazú</w:t>
            </w:r>
          </w:p>
        </w:tc>
      </w:tr>
      <w:tr>
        <w:trPr>
          <w:trHeight w:val="890" w:hRule="atLeast"/>
        </w:trPr>
        <w:tc>
          <w:tcPr>
            <w:tcW w:w="540" w:type="dxa"/>
          </w:tcPr>
          <w:p>
            <w:pPr>
              <w:pStyle w:val="TableParagraph"/>
              <w:spacing w:line="225" w:lineRule="exact" w:before="0"/>
              <w:ind w:left="106"/>
              <w:jc w:val="left"/>
              <w:rPr>
                <w:b/>
                <w:sz w:val="20"/>
              </w:rPr>
            </w:pPr>
            <w:r>
              <w:rPr>
                <w:b/>
                <w:sz w:val="20"/>
              </w:rPr>
              <w:t>10</w:t>
            </w:r>
          </w:p>
        </w:tc>
        <w:tc>
          <w:tcPr>
            <w:tcW w:w="1796" w:type="dxa"/>
          </w:tcPr>
          <w:p>
            <w:pPr>
              <w:pStyle w:val="TableParagraph"/>
              <w:spacing w:line="240" w:lineRule="auto" w:before="0"/>
              <w:ind w:left="106" w:right="303"/>
              <w:jc w:val="left"/>
              <w:rPr>
                <w:sz w:val="20"/>
              </w:rPr>
            </w:pPr>
            <w:r>
              <w:rPr>
                <w:sz w:val="20"/>
              </w:rPr>
              <w:t>Aserrí, Desamparados</w:t>
            </w:r>
          </w:p>
        </w:tc>
        <w:tc>
          <w:tcPr>
            <w:tcW w:w="772" w:type="dxa"/>
          </w:tcPr>
          <w:p>
            <w:pPr>
              <w:pStyle w:val="TableParagraph"/>
              <w:spacing w:line="229" w:lineRule="exact" w:before="0"/>
              <w:ind w:left="89" w:right="243"/>
              <w:jc w:val="center"/>
              <w:rPr>
                <w:sz w:val="20"/>
              </w:rPr>
            </w:pPr>
            <w:r>
              <w:rPr>
                <w:sz w:val="20"/>
              </w:rPr>
              <w:t>7,59</w:t>
            </w:r>
          </w:p>
        </w:tc>
        <w:tc>
          <w:tcPr>
            <w:tcW w:w="3196" w:type="dxa"/>
          </w:tcPr>
          <w:p>
            <w:pPr>
              <w:pStyle w:val="TableParagraph"/>
              <w:spacing w:line="240" w:lineRule="auto" w:before="0"/>
              <w:ind w:left="108" w:right="267"/>
              <w:jc w:val="left"/>
              <w:rPr>
                <w:sz w:val="20"/>
              </w:rPr>
            </w:pPr>
            <w:r>
              <w:rPr>
                <w:sz w:val="20"/>
              </w:rPr>
              <w:t>Niño Jesús de Praga, Los Ángeles, Las Palmas, Sector 8, Benjamín Núñez</w:t>
            </w:r>
          </w:p>
        </w:tc>
        <w:tc>
          <w:tcPr>
            <w:tcW w:w="1267" w:type="dxa"/>
          </w:tcPr>
          <w:p>
            <w:pPr>
              <w:pStyle w:val="TableParagraph"/>
              <w:spacing w:line="229" w:lineRule="exact" w:before="0"/>
              <w:ind w:left="108"/>
              <w:jc w:val="left"/>
              <w:rPr>
                <w:sz w:val="20"/>
              </w:rPr>
            </w:pPr>
            <w:r>
              <w:rPr>
                <w:sz w:val="20"/>
              </w:rPr>
              <w:t>36.928</w:t>
            </w:r>
          </w:p>
        </w:tc>
        <w:tc>
          <w:tcPr>
            <w:tcW w:w="2167" w:type="dxa"/>
          </w:tcPr>
          <w:p>
            <w:pPr>
              <w:pStyle w:val="TableParagraph"/>
              <w:spacing w:line="229" w:lineRule="exact" w:before="0"/>
              <w:ind w:left="110"/>
              <w:jc w:val="left"/>
              <w:rPr>
                <w:sz w:val="20"/>
              </w:rPr>
            </w:pPr>
            <w:r>
              <w:rPr>
                <w:sz w:val="20"/>
              </w:rPr>
              <w:t>ZP La Carpintera</w:t>
            </w:r>
          </w:p>
        </w:tc>
      </w:tr>
      <w:tr>
        <w:trPr>
          <w:trHeight w:val="1121" w:hRule="atLeast"/>
        </w:trPr>
        <w:tc>
          <w:tcPr>
            <w:tcW w:w="540" w:type="dxa"/>
            <w:shd w:val="clear" w:color="auto" w:fill="CCCCCC"/>
          </w:tcPr>
          <w:p>
            <w:pPr>
              <w:pStyle w:val="TableParagraph"/>
              <w:spacing w:line="225" w:lineRule="exact" w:before="0"/>
              <w:ind w:left="106"/>
              <w:jc w:val="left"/>
              <w:rPr>
                <w:b/>
                <w:sz w:val="20"/>
              </w:rPr>
            </w:pPr>
            <w:r>
              <w:rPr>
                <w:b/>
                <w:sz w:val="20"/>
              </w:rPr>
              <w:t>11</w:t>
            </w:r>
          </w:p>
        </w:tc>
        <w:tc>
          <w:tcPr>
            <w:tcW w:w="1796" w:type="dxa"/>
            <w:shd w:val="clear" w:color="auto" w:fill="CCCCCC"/>
          </w:tcPr>
          <w:p>
            <w:pPr>
              <w:pStyle w:val="TableParagraph"/>
              <w:spacing w:line="240" w:lineRule="auto" w:before="0"/>
              <w:ind w:left="106" w:right="248"/>
              <w:jc w:val="left"/>
              <w:rPr>
                <w:sz w:val="20"/>
              </w:rPr>
            </w:pPr>
            <w:r>
              <w:rPr>
                <w:sz w:val="20"/>
              </w:rPr>
              <w:t>Curridabat, Desamparados, La Unión, San José</w:t>
            </w:r>
          </w:p>
        </w:tc>
        <w:tc>
          <w:tcPr>
            <w:tcW w:w="772" w:type="dxa"/>
            <w:shd w:val="clear" w:color="auto" w:fill="CCCCCC"/>
          </w:tcPr>
          <w:p>
            <w:pPr>
              <w:pStyle w:val="TableParagraph"/>
              <w:spacing w:line="229" w:lineRule="exact" w:before="0"/>
              <w:ind w:left="89" w:right="243"/>
              <w:jc w:val="center"/>
              <w:rPr>
                <w:sz w:val="20"/>
              </w:rPr>
            </w:pPr>
            <w:r>
              <w:rPr>
                <w:sz w:val="20"/>
              </w:rPr>
              <w:t>7,28</w:t>
            </w:r>
          </w:p>
        </w:tc>
        <w:tc>
          <w:tcPr>
            <w:tcW w:w="3196" w:type="dxa"/>
            <w:shd w:val="clear" w:color="auto" w:fill="CCCCCC"/>
          </w:tcPr>
          <w:p>
            <w:pPr>
              <w:pStyle w:val="TableParagraph"/>
              <w:spacing w:line="240" w:lineRule="auto" w:before="0"/>
              <w:ind w:left="108" w:right="534"/>
              <w:jc w:val="left"/>
              <w:rPr>
                <w:sz w:val="20"/>
              </w:rPr>
            </w:pPr>
            <w:r>
              <w:rPr>
                <w:sz w:val="20"/>
              </w:rPr>
              <w:t>2 de Agosto, Valle del Sol, Buenos Aires, Barrio Nuevo, Calle Valderramos, Pueblo Nuevo</w:t>
            </w:r>
          </w:p>
        </w:tc>
        <w:tc>
          <w:tcPr>
            <w:tcW w:w="1267" w:type="dxa"/>
            <w:shd w:val="clear" w:color="auto" w:fill="CCCCCC"/>
          </w:tcPr>
          <w:p>
            <w:pPr>
              <w:pStyle w:val="TableParagraph"/>
              <w:spacing w:line="229" w:lineRule="exact" w:before="0"/>
              <w:ind w:left="108"/>
              <w:jc w:val="left"/>
              <w:rPr>
                <w:sz w:val="20"/>
              </w:rPr>
            </w:pPr>
            <w:r>
              <w:rPr>
                <w:sz w:val="20"/>
              </w:rPr>
              <w:t>39.320</w:t>
            </w:r>
          </w:p>
        </w:tc>
        <w:tc>
          <w:tcPr>
            <w:tcW w:w="2167" w:type="dxa"/>
            <w:shd w:val="clear" w:color="auto" w:fill="CCCCCC"/>
          </w:tcPr>
          <w:p>
            <w:pPr>
              <w:pStyle w:val="TableParagraph"/>
              <w:spacing w:line="229" w:lineRule="exact" w:before="0"/>
              <w:ind w:left="110"/>
              <w:jc w:val="left"/>
              <w:rPr>
                <w:sz w:val="20"/>
              </w:rPr>
            </w:pPr>
            <w:r>
              <w:rPr>
                <w:sz w:val="20"/>
              </w:rPr>
              <w:t>ZP La Carpintera</w:t>
            </w:r>
          </w:p>
        </w:tc>
      </w:tr>
      <w:tr>
        <w:trPr>
          <w:trHeight w:val="1118" w:hRule="atLeast"/>
        </w:trPr>
        <w:tc>
          <w:tcPr>
            <w:tcW w:w="540" w:type="dxa"/>
          </w:tcPr>
          <w:p>
            <w:pPr>
              <w:pStyle w:val="TableParagraph"/>
              <w:spacing w:line="221" w:lineRule="exact" w:before="0"/>
              <w:ind w:left="106"/>
              <w:jc w:val="left"/>
              <w:rPr>
                <w:b/>
                <w:sz w:val="20"/>
              </w:rPr>
            </w:pPr>
            <w:r>
              <w:rPr>
                <w:b/>
                <w:sz w:val="20"/>
              </w:rPr>
              <w:t>14</w:t>
            </w:r>
          </w:p>
        </w:tc>
        <w:tc>
          <w:tcPr>
            <w:tcW w:w="1796" w:type="dxa"/>
          </w:tcPr>
          <w:p>
            <w:pPr>
              <w:pStyle w:val="TableParagraph"/>
              <w:spacing w:line="240" w:lineRule="auto" w:before="0"/>
              <w:ind w:left="106" w:right="659"/>
              <w:jc w:val="left"/>
              <w:rPr>
                <w:sz w:val="20"/>
              </w:rPr>
            </w:pPr>
            <w:r>
              <w:rPr>
                <w:sz w:val="20"/>
              </w:rPr>
              <w:t>La Unión, Cartago, El Guarco</w:t>
            </w:r>
          </w:p>
        </w:tc>
        <w:tc>
          <w:tcPr>
            <w:tcW w:w="772" w:type="dxa"/>
          </w:tcPr>
          <w:p>
            <w:pPr>
              <w:pStyle w:val="TableParagraph"/>
              <w:spacing w:line="225" w:lineRule="exact" w:before="0"/>
              <w:ind w:left="89" w:right="243"/>
              <w:jc w:val="center"/>
              <w:rPr>
                <w:sz w:val="20"/>
              </w:rPr>
            </w:pPr>
            <w:r>
              <w:rPr>
                <w:sz w:val="20"/>
              </w:rPr>
              <w:t>6,20</w:t>
            </w:r>
          </w:p>
        </w:tc>
        <w:tc>
          <w:tcPr>
            <w:tcW w:w="3196" w:type="dxa"/>
          </w:tcPr>
          <w:p>
            <w:pPr>
              <w:pStyle w:val="TableParagraph"/>
              <w:spacing w:line="240" w:lineRule="auto" w:before="0"/>
              <w:ind w:left="108" w:right="120"/>
              <w:jc w:val="left"/>
              <w:rPr>
                <w:sz w:val="20"/>
              </w:rPr>
            </w:pPr>
            <w:r>
              <w:rPr>
                <w:sz w:val="20"/>
              </w:rPr>
              <w:t>Cristo Rey, La Unión, La Cruz, La Esperanza, Linda Vista,</w:t>
            </w:r>
            <w:r>
              <w:rPr>
                <w:spacing w:val="-12"/>
                <w:sz w:val="20"/>
              </w:rPr>
              <w:t> </w:t>
            </w:r>
            <w:r>
              <w:rPr>
                <w:sz w:val="20"/>
              </w:rPr>
              <w:t>María Auxiliadora, Sagrado Corazón, La</w:t>
            </w:r>
            <w:r>
              <w:rPr>
                <w:spacing w:val="-1"/>
                <w:sz w:val="20"/>
              </w:rPr>
              <w:t> </w:t>
            </w:r>
            <w:r>
              <w:rPr>
                <w:sz w:val="20"/>
              </w:rPr>
              <w:t>Mora</w:t>
            </w:r>
          </w:p>
        </w:tc>
        <w:tc>
          <w:tcPr>
            <w:tcW w:w="1267" w:type="dxa"/>
          </w:tcPr>
          <w:p>
            <w:pPr>
              <w:pStyle w:val="TableParagraph"/>
              <w:spacing w:line="225" w:lineRule="exact" w:before="0"/>
              <w:ind w:left="108"/>
              <w:jc w:val="left"/>
              <w:rPr>
                <w:sz w:val="20"/>
              </w:rPr>
            </w:pPr>
            <w:r>
              <w:rPr>
                <w:sz w:val="20"/>
              </w:rPr>
              <w:t>32.194</w:t>
            </w:r>
          </w:p>
        </w:tc>
        <w:tc>
          <w:tcPr>
            <w:tcW w:w="2167" w:type="dxa"/>
          </w:tcPr>
          <w:p>
            <w:pPr>
              <w:pStyle w:val="TableParagraph"/>
              <w:spacing w:line="225" w:lineRule="exact" w:before="0"/>
              <w:ind w:left="110"/>
              <w:jc w:val="left"/>
              <w:rPr>
                <w:sz w:val="20"/>
              </w:rPr>
            </w:pPr>
            <w:r>
              <w:rPr>
                <w:sz w:val="20"/>
              </w:rPr>
              <w:t>ZP La Carpintera</w:t>
            </w:r>
          </w:p>
        </w:tc>
      </w:tr>
      <w:tr>
        <w:trPr>
          <w:trHeight w:val="661" w:hRule="atLeast"/>
        </w:trPr>
        <w:tc>
          <w:tcPr>
            <w:tcW w:w="540" w:type="dxa"/>
            <w:shd w:val="clear" w:color="auto" w:fill="CCCCCC"/>
          </w:tcPr>
          <w:p>
            <w:pPr>
              <w:pStyle w:val="TableParagraph"/>
              <w:spacing w:line="225" w:lineRule="exact" w:before="0"/>
              <w:ind w:left="106"/>
              <w:jc w:val="left"/>
              <w:rPr>
                <w:b/>
                <w:sz w:val="20"/>
              </w:rPr>
            </w:pPr>
            <w:r>
              <w:rPr>
                <w:b/>
                <w:sz w:val="20"/>
              </w:rPr>
              <w:t>16</w:t>
            </w:r>
          </w:p>
        </w:tc>
        <w:tc>
          <w:tcPr>
            <w:tcW w:w="1796" w:type="dxa"/>
            <w:shd w:val="clear" w:color="auto" w:fill="CCCCCC"/>
          </w:tcPr>
          <w:p>
            <w:pPr>
              <w:pStyle w:val="TableParagraph"/>
              <w:spacing w:line="240" w:lineRule="auto" w:before="0"/>
              <w:ind w:left="106" w:right="381"/>
              <w:jc w:val="left"/>
              <w:rPr>
                <w:sz w:val="20"/>
              </w:rPr>
            </w:pPr>
            <w:r>
              <w:rPr>
                <w:sz w:val="20"/>
              </w:rPr>
              <w:t>Escazú, Mora, Santa Ana</w:t>
            </w:r>
          </w:p>
        </w:tc>
        <w:tc>
          <w:tcPr>
            <w:tcW w:w="772" w:type="dxa"/>
            <w:shd w:val="clear" w:color="auto" w:fill="CCCCCC"/>
          </w:tcPr>
          <w:p>
            <w:pPr>
              <w:pStyle w:val="TableParagraph"/>
              <w:spacing w:line="229" w:lineRule="exact" w:before="0"/>
              <w:ind w:left="89" w:right="131"/>
              <w:jc w:val="center"/>
              <w:rPr>
                <w:sz w:val="20"/>
              </w:rPr>
            </w:pPr>
            <w:r>
              <w:rPr>
                <w:sz w:val="20"/>
              </w:rPr>
              <w:t>24,20</w:t>
            </w:r>
          </w:p>
        </w:tc>
        <w:tc>
          <w:tcPr>
            <w:tcW w:w="3196" w:type="dxa"/>
            <w:shd w:val="clear" w:color="auto" w:fill="CCCCCC"/>
          </w:tcPr>
          <w:p>
            <w:pPr>
              <w:pStyle w:val="TableParagraph"/>
              <w:spacing w:line="229" w:lineRule="exact" w:before="0"/>
              <w:ind w:left="108"/>
              <w:jc w:val="left"/>
              <w:rPr>
                <w:sz w:val="20"/>
              </w:rPr>
            </w:pPr>
            <w:r>
              <w:rPr>
                <w:sz w:val="20"/>
              </w:rPr>
              <w:t>Río Oro, Salitral, Chiverral</w:t>
            </w:r>
          </w:p>
        </w:tc>
        <w:tc>
          <w:tcPr>
            <w:tcW w:w="1267" w:type="dxa"/>
            <w:shd w:val="clear" w:color="auto" w:fill="CCCCCC"/>
          </w:tcPr>
          <w:p>
            <w:pPr>
              <w:pStyle w:val="TableParagraph"/>
              <w:spacing w:line="229" w:lineRule="exact" w:before="0"/>
              <w:ind w:left="108"/>
              <w:jc w:val="left"/>
              <w:rPr>
                <w:sz w:val="20"/>
              </w:rPr>
            </w:pPr>
            <w:r>
              <w:rPr>
                <w:sz w:val="20"/>
              </w:rPr>
              <w:t>20.065</w:t>
            </w:r>
          </w:p>
        </w:tc>
        <w:tc>
          <w:tcPr>
            <w:tcW w:w="2167" w:type="dxa"/>
            <w:shd w:val="clear" w:color="auto" w:fill="CCCCCC"/>
          </w:tcPr>
          <w:p>
            <w:pPr>
              <w:pStyle w:val="TableParagraph"/>
              <w:spacing w:line="229" w:lineRule="exact" w:before="0"/>
              <w:ind w:left="110"/>
              <w:jc w:val="left"/>
              <w:rPr>
                <w:sz w:val="20"/>
              </w:rPr>
            </w:pPr>
            <w:r>
              <w:rPr>
                <w:sz w:val="20"/>
              </w:rPr>
              <w:t>ZP Cerros de Escazú</w:t>
            </w:r>
          </w:p>
        </w:tc>
      </w:tr>
      <w:tr>
        <w:trPr>
          <w:trHeight w:val="1810" w:hRule="atLeast"/>
        </w:trPr>
        <w:tc>
          <w:tcPr>
            <w:tcW w:w="540" w:type="dxa"/>
          </w:tcPr>
          <w:p>
            <w:pPr>
              <w:pStyle w:val="TableParagraph"/>
              <w:spacing w:line="221" w:lineRule="exact" w:before="0"/>
              <w:ind w:left="106"/>
              <w:jc w:val="left"/>
              <w:rPr>
                <w:b/>
                <w:sz w:val="20"/>
              </w:rPr>
            </w:pPr>
            <w:r>
              <w:rPr>
                <w:b/>
                <w:sz w:val="20"/>
              </w:rPr>
              <w:t>25</w:t>
            </w:r>
          </w:p>
        </w:tc>
        <w:tc>
          <w:tcPr>
            <w:tcW w:w="1796" w:type="dxa"/>
          </w:tcPr>
          <w:p>
            <w:pPr>
              <w:pStyle w:val="TableParagraph"/>
              <w:spacing w:line="240" w:lineRule="auto" w:before="0"/>
              <w:ind w:left="106" w:right="248"/>
              <w:jc w:val="left"/>
              <w:rPr>
                <w:sz w:val="20"/>
              </w:rPr>
            </w:pPr>
            <w:r>
              <w:rPr>
                <w:sz w:val="20"/>
              </w:rPr>
              <w:t>Goicoechea, Moravia, Tibas, Montes de Oca,</w:t>
            </w:r>
          </w:p>
          <w:p>
            <w:pPr>
              <w:pStyle w:val="TableParagraph"/>
              <w:spacing w:line="240" w:lineRule="auto" w:before="0"/>
              <w:ind w:left="106" w:right="236"/>
              <w:jc w:val="left"/>
              <w:rPr>
                <w:sz w:val="20"/>
              </w:rPr>
            </w:pPr>
            <w:r>
              <w:rPr>
                <w:sz w:val="20"/>
              </w:rPr>
              <w:t>V. Coronado, S. Domingo, San Rafael, San Pablo</w:t>
            </w:r>
          </w:p>
        </w:tc>
        <w:tc>
          <w:tcPr>
            <w:tcW w:w="772" w:type="dxa"/>
          </w:tcPr>
          <w:p>
            <w:pPr>
              <w:pStyle w:val="TableParagraph"/>
              <w:spacing w:line="225" w:lineRule="exact" w:before="0"/>
              <w:ind w:left="89" w:right="131"/>
              <w:jc w:val="center"/>
              <w:rPr>
                <w:sz w:val="20"/>
              </w:rPr>
            </w:pPr>
            <w:r>
              <w:rPr>
                <w:sz w:val="20"/>
              </w:rPr>
              <w:t>58,90</w:t>
            </w:r>
          </w:p>
        </w:tc>
        <w:tc>
          <w:tcPr>
            <w:tcW w:w="3196" w:type="dxa"/>
          </w:tcPr>
          <w:p>
            <w:pPr>
              <w:pStyle w:val="TableParagraph"/>
              <w:spacing w:line="242" w:lineRule="auto" w:before="0"/>
              <w:ind w:left="108" w:right="256"/>
              <w:jc w:val="left"/>
              <w:rPr>
                <w:sz w:val="20"/>
              </w:rPr>
            </w:pPr>
            <w:r>
              <w:rPr>
                <w:sz w:val="20"/>
              </w:rPr>
              <w:t>Las Cruces, El Rodeo, Teodoro Picado, La Loma</w:t>
            </w:r>
          </w:p>
        </w:tc>
        <w:tc>
          <w:tcPr>
            <w:tcW w:w="1267" w:type="dxa"/>
          </w:tcPr>
          <w:p>
            <w:pPr>
              <w:pStyle w:val="TableParagraph"/>
              <w:spacing w:line="225" w:lineRule="exact" w:before="0"/>
              <w:ind w:left="108"/>
              <w:jc w:val="left"/>
              <w:rPr>
                <w:sz w:val="20"/>
              </w:rPr>
            </w:pPr>
            <w:r>
              <w:rPr>
                <w:sz w:val="20"/>
              </w:rPr>
              <w:t>55.728</w:t>
            </w:r>
          </w:p>
        </w:tc>
        <w:tc>
          <w:tcPr>
            <w:tcW w:w="2167" w:type="dxa"/>
          </w:tcPr>
          <w:p>
            <w:pPr>
              <w:pStyle w:val="TableParagraph"/>
              <w:spacing w:line="240" w:lineRule="auto" w:before="0"/>
              <w:ind w:left="110" w:right="248"/>
              <w:jc w:val="left"/>
              <w:rPr>
                <w:sz w:val="20"/>
              </w:rPr>
            </w:pPr>
            <w:r>
              <w:rPr>
                <w:sz w:val="20"/>
              </w:rPr>
              <w:t>ZP Tiribí, RF Cordillera Volcánica Central</w:t>
            </w:r>
          </w:p>
        </w:tc>
      </w:tr>
      <w:tr>
        <w:trPr>
          <w:trHeight w:val="661" w:hRule="atLeast"/>
        </w:trPr>
        <w:tc>
          <w:tcPr>
            <w:tcW w:w="540" w:type="dxa"/>
            <w:shd w:val="clear" w:color="auto" w:fill="CCCCCC"/>
          </w:tcPr>
          <w:p>
            <w:pPr>
              <w:pStyle w:val="TableParagraph"/>
              <w:spacing w:line="221" w:lineRule="exact" w:before="0"/>
              <w:ind w:left="106"/>
              <w:jc w:val="left"/>
              <w:rPr>
                <w:b/>
                <w:sz w:val="20"/>
              </w:rPr>
            </w:pPr>
            <w:r>
              <w:rPr>
                <w:b/>
                <w:sz w:val="20"/>
              </w:rPr>
              <w:t>26</w:t>
            </w:r>
          </w:p>
        </w:tc>
        <w:tc>
          <w:tcPr>
            <w:tcW w:w="1796" w:type="dxa"/>
            <w:shd w:val="clear" w:color="auto" w:fill="CCCCCC"/>
          </w:tcPr>
          <w:p>
            <w:pPr>
              <w:pStyle w:val="TableParagraph"/>
              <w:spacing w:line="242" w:lineRule="auto" w:before="0"/>
              <w:ind w:left="106" w:right="214"/>
              <w:jc w:val="left"/>
              <w:rPr>
                <w:sz w:val="20"/>
              </w:rPr>
            </w:pPr>
            <w:r>
              <w:rPr>
                <w:sz w:val="20"/>
              </w:rPr>
              <w:t>Alajuela, Atenas y Poás</w:t>
            </w:r>
          </w:p>
        </w:tc>
        <w:tc>
          <w:tcPr>
            <w:tcW w:w="772" w:type="dxa"/>
            <w:shd w:val="clear" w:color="auto" w:fill="CCCCCC"/>
          </w:tcPr>
          <w:p>
            <w:pPr>
              <w:pStyle w:val="TableParagraph"/>
              <w:spacing w:line="225" w:lineRule="exact" w:before="0"/>
              <w:ind w:left="89" w:right="131"/>
              <w:jc w:val="center"/>
              <w:rPr>
                <w:sz w:val="20"/>
              </w:rPr>
            </w:pPr>
            <w:r>
              <w:rPr>
                <w:sz w:val="20"/>
              </w:rPr>
              <w:t>30,60</w:t>
            </w:r>
          </w:p>
        </w:tc>
        <w:tc>
          <w:tcPr>
            <w:tcW w:w="3196" w:type="dxa"/>
            <w:shd w:val="clear" w:color="auto" w:fill="CCCCCC"/>
          </w:tcPr>
          <w:p>
            <w:pPr>
              <w:pStyle w:val="TableParagraph"/>
              <w:spacing w:line="242" w:lineRule="auto" w:before="0"/>
              <w:ind w:left="108" w:right="590"/>
              <w:jc w:val="left"/>
              <w:rPr>
                <w:sz w:val="20"/>
              </w:rPr>
            </w:pPr>
            <w:r>
              <w:rPr>
                <w:sz w:val="20"/>
              </w:rPr>
              <w:t>Plancillo, Juntas, Horcones, Rincón de Cacao</w:t>
            </w:r>
          </w:p>
        </w:tc>
        <w:tc>
          <w:tcPr>
            <w:tcW w:w="1267" w:type="dxa"/>
            <w:shd w:val="clear" w:color="auto" w:fill="CCCCCC"/>
          </w:tcPr>
          <w:p>
            <w:pPr>
              <w:pStyle w:val="TableParagraph"/>
              <w:spacing w:line="225" w:lineRule="exact" w:before="0"/>
              <w:ind w:left="108"/>
              <w:jc w:val="left"/>
              <w:rPr>
                <w:sz w:val="20"/>
              </w:rPr>
            </w:pPr>
            <w:r>
              <w:rPr>
                <w:sz w:val="20"/>
              </w:rPr>
              <w:t>20.024</w:t>
            </w:r>
          </w:p>
        </w:tc>
        <w:tc>
          <w:tcPr>
            <w:tcW w:w="2167" w:type="dxa"/>
            <w:shd w:val="clear" w:color="auto" w:fill="CCCCCC"/>
          </w:tcPr>
          <w:p>
            <w:pPr>
              <w:pStyle w:val="TableParagraph"/>
              <w:spacing w:line="225" w:lineRule="exact" w:before="0"/>
              <w:ind w:left="110"/>
              <w:jc w:val="left"/>
              <w:rPr>
                <w:sz w:val="20"/>
              </w:rPr>
            </w:pPr>
            <w:r>
              <w:rPr>
                <w:sz w:val="20"/>
              </w:rPr>
              <w:t>ZP Cerro Atenas</w:t>
            </w:r>
          </w:p>
        </w:tc>
      </w:tr>
    </w:tbl>
    <w:p>
      <w:pPr>
        <w:pStyle w:val="BodyText"/>
        <w:rPr>
          <w:i/>
          <w:sz w:val="22"/>
        </w:rPr>
      </w:pPr>
    </w:p>
    <w:p>
      <w:pPr>
        <w:pStyle w:val="BodyText"/>
        <w:spacing w:before="1"/>
        <w:rPr>
          <w:i/>
          <w:sz w:val="31"/>
        </w:rPr>
      </w:pPr>
    </w:p>
    <w:p>
      <w:pPr>
        <w:pStyle w:val="BodyText"/>
        <w:spacing w:line="362" w:lineRule="auto" w:before="1"/>
        <w:ind w:left="1200" w:right="1197"/>
        <w:jc w:val="both"/>
      </w:pPr>
      <w:r>
        <w:rPr/>
        <w:t>Históricamente, sin embargo, hay servicios que benefician a todas las comunidades del Valle</w:t>
      </w:r>
      <w:r>
        <w:rPr>
          <w:spacing w:val="-8"/>
        </w:rPr>
        <w:t> </w:t>
      </w:r>
      <w:r>
        <w:rPr/>
        <w:t>Central</w:t>
      </w:r>
      <w:r>
        <w:rPr>
          <w:spacing w:val="-7"/>
        </w:rPr>
        <w:t> </w:t>
      </w:r>
      <w:r>
        <w:rPr/>
        <w:t>que</w:t>
      </w:r>
      <w:r>
        <w:rPr>
          <w:spacing w:val="-7"/>
        </w:rPr>
        <w:t> </w:t>
      </w:r>
      <w:r>
        <w:rPr/>
        <w:t>no</w:t>
      </w:r>
      <w:r>
        <w:rPr>
          <w:spacing w:val="-8"/>
        </w:rPr>
        <w:t> </w:t>
      </w:r>
      <w:r>
        <w:rPr/>
        <w:t>han</w:t>
      </w:r>
      <w:r>
        <w:rPr>
          <w:spacing w:val="-7"/>
        </w:rPr>
        <w:t> </w:t>
      </w:r>
      <w:r>
        <w:rPr/>
        <w:t>sido</w:t>
      </w:r>
      <w:r>
        <w:rPr>
          <w:spacing w:val="-8"/>
        </w:rPr>
        <w:t> </w:t>
      </w:r>
      <w:r>
        <w:rPr/>
        <w:t>retribuidos</w:t>
      </w:r>
      <w:r>
        <w:rPr>
          <w:spacing w:val="-6"/>
        </w:rPr>
        <w:t> </w:t>
      </w:r>
      <w:r>
        <w:rPr/>
        <w:t>en</w:t>
      </w:r>
      <w:r>
        <w:rPr>
          <w:spacing w:val="-7"/>
        </w:rPr>
        <w:t> </w:t>
      </w:r>
      <w:r>
        <w:rPr/>
        <w:t>forma</w:t>
      </w:r>
      <w:r>
        <w:rPr>
          <w:spacing w:val="-7"/>
        </w:rPr>
        <w:t> </w:t>
      </w:r>
      <w:r>
        <w:rPr/>
        <w:t>justa.</w:t>
      </w:r>
      <w:r>
        <w:rPr>
          <w:spacing w:val="-5"/>
        </w:rPr>
        <w:t> </w:t>
      </w:r>
      <w:r>
        <w:rPr/>
        <w:t>Entre</w:t>
      </w:r>
      <w:r>
        <w:rPr>
          <w:spacing w:val="-7"/>
        </w:rPr>
        <w:t> </w:t>
      </w:r>
      <w:r>
        <w:rPr/>
        <w:t>ellos</w:t>
      </w:r>
      <w:r>
        <w:rPr>
          <w:spacing w:val="-6"/>
        </w:rPr>
        <w:t> </w:t>
      </w:r>
      <w:r>
        <w:rPr/>
        <w:t>está</w:t>
      </w:r>
      <w:r>
        <w:rPr>
          <w:spacing w:val="-7"/>
        </w:rPr>
        <w:t> </w:t>
      </w:r>
      <w:r>
        <w:rPr/>
        <w:t>el</w:t>
      </w:r>
      <w:r>
        <w:rPr>
          <w:spacing w:val="-7"/>
        </w:rPr>
        <w:t> </w:t>
      </w:r>
      <w:r>
        <w:rPr/>
        <w:t>servicio</w:t>
      </w:r>
      <w:r>
        <w:rPr>
          <w:spacing w:val="-8"/>
        </w:rPr>
        <w:t> </w:t>
      </w:r>
      <w:r>
        <w:rPr/>
        <w:t>de</w:t>
      </w:r>
      <w:r>
        <w:rPr>
          <w:spacing w:val="-6"/>
        </w:rPr>
        <w:t> </w:t>
      </w:r>
      <w:r>
        <w:rPr/>
        <w:t>la</w:t>
      </w:r>
    </w:p>
    <w:p>
      <w:pPr>
        <w:spacing w:after="0" w:line="362" w:lineRule="auto"/>
        <w:jc w:val="both"/>
        <w:sectPr>
          <w:pgSz w:w="12240" w:h="15840"/>
          <w:pgMar w:header="0" w:footer="1062" w:top="1360" w:bottom="1260" w:left="240" w:right="240"/>
        </w:sectPr>
      </w:pPr>
    </w:p>
    <w:p>
      <w:pPr>
        <w:pStyle w:val="BodyText"/>
        <w:spacing w:line="360" w:lineRule="auto" w:before="79"/>
        <w:ind w:left="1200" w:right="1197"/>
        <w:jc w:val="both"/>
      </w:pPr>
      <w:r>
        <w:rPr/>
        <w:t>ZP ser depositaria de los desechos sólidos de las municipalidades de la región entre 1976</w:t>
      </w:r>
      <w:r>
        <w:rPr>
          <w:spacing w:val="-10"/>
        </w:rPr>
        <w:t> </w:t>
      </w:r>
      <w:r>
        <w:rPr/>
        <w:t>y</w:t>
      </w:r>
      <w:r>
        <w:rPr>
          <w:spacing w:val="-14"/>
        </w:rPr>
        <w:t> </w:t>
      </w:r>
      <w:r>
        <w:rPr/>
        <w:t>el</w:t>
      </w:r>
      <w:r>
        <w:rPr>
          <w:spacing w:val="-12"/>
        </w:rPr>
        <w:t> </w:t>
      </w:r>
      <w:r>
        <w:rPr/>
        <w:t>2007</w:t>
      </w:r>
      <w:r>
        <w:rPr>
          <w:spacing w:val="-13"/>
        </w:rPr>
        <w:t> </w:t>
      </w:r>
      <w:r>
        <w:rPr/>
        <w:t>en</w:t>
      </w:r>
      <w:r>
        <w:rPr>
          <w:spacing w:val="-12"/>
        </w:rPr>
        <w:t> </w:t>
      </w:r>
      <w:r>
        <w:rPr/>
        <w:t>su</w:t>
      </w:r>
      <w:r>
        <w:rPr>
          <w:spacing w:val="-13"/>
        </w:rPr>
        <w:t> </w:t>
      </w:r>
      <w:r>
        <w:rPr/>
        <w:t>zona</w:t>
      </w:r>
      <w:r>
        <w:rPr>
          <w:spacing w:val="-13"/>
        </w:rPr>
        <w:t> </w:t>
      </w:r>
      <w:r>
        <w:rPr/>
        <w:t>noroeste.</w:t>
      </w:r>
      <w:r>
        <w:rPr>
          <w:spacing w:val="-10"/>
        </w:rPr>
        <w:t> </w:t>
      </w:r>
      <w:r>
        <w:rPr/>
        <w:t>Se</w:t>
      </w:r>
      <w:r>
        <w:rPr>
          <w:spacing w:val="-13"/>
        </w:rPr>
        <w:t> </w:t>
      </w:r>
      <w:r>
        <w:rPr/>
        <w:t>calcula</w:t>
      </w:r>
      <w:r>
        <w:rPr>
          <w:spacing w:val="-12"/>
        </w:rPr>
        <w:t> </w:t>
      </w:r>
      <w:r>
        <w:rPr/>
        <w:t>que</w:t>
      </w:r>
      <w:r>
        <w:rPr>
          <w:spacing w:val="-13"/>
        </w:rPr>
        <w:t> </w:t>
      </w:r>
      <w:r>
        <w:rPr/>
        <w:t>sólo</w:t>
      </w:r>
      <w:r>
        <w:rPr>
          <w:spacing w:val="-13"/>
        </w:rPr>
        <w:t> </w:t>
      </w:r>
      <w:r>
        <w:rPr/>
        <w:t>en</w:t>
      </w:r>
      <w:r>
        <w:rPr>
          <w:spacing w:val="-13"/>
        </w:rPr>
        <w:t> </w:t>
      </w:r>
      <w:r>
        <w:rPr/>
        <w:t>metales</w:t>
      </w:r>
      <w:r>
        <w:rPr>
          <w:spacing w:val="-11"/>
        </w:rPr>
        <w:t> </w:t>
      </w:r>
      <w:r>
        <w:rPr/>
        <w:t>pesados</w:t>
      </w:r>
      <w:r>
        <w:rPr>
          <w:spacing w:val="-7"/>
        </w:rPr>
        <w:t> </w:t>
      </w:r>
      <w:r>
        <w:rPr/>
        <w:t>el</w:t>
      </w:r>
      <w:r>
        <w:rPr>
          <w:spacing w:val="-12"/>
        </w:rPr>
        <w:t> </w:t>
      </w:r>
      <w:r>
        <w:rPr/>
        <w:t>botadero (luego relleno sanitario) de Río Azul recibió entre 1978 y el año 2002 entre 70,000 y 100,000 toneladas métricas de desechos conteniendo entre otros plomo, cadmio y mercurio</w:t>
      </w:r>
      <w:r>
        <w:rPr>
          <w:spacing w:val="-12"/>
        </w:rPr>
        <w:t> </w:t>
      </w:r>
      <w:r>
        <w:rPr/>
        <w:t>(Mora</w:t>
      </w:r>
      <w:r>
        <w:rPr>
          <w:spacing w:val="-13"/>
        </w:rPr>
        <w:t> </w:t>
      </w:r>
      <w:r>
        <w:rPr/>
        <w:t>&amp;</w:t>
      </w:r>
      <w:r>
        <w:rPr>
          <w:spacing w:val="-11"/>
        </w:rPr>
        <w:t> </w:t>
      </w:r>
      <w:r>
        <w:rPr/>
        <w:t>Mora,</w:t>
      </w:r>
      <w:r>
        <w:rPr>
          <w:spacing w:val="-10"/>
        </w:rPr>
        <w:t> </w:t>
      </w:r>
      <w:r>
        <w:rPr/>
        <w:t>2003)</w:t>
      </w:r>
      <w:r>
        <w:rPr>
          <w:spacing w:val="-10"/>
        </w:rPr>
        <w:t> </w:t>
      </w:r>
      <w:r>
        <w:rPr/>
        <w:t>en</w:t>
      </w:r>
      <w:r>
        <w:rPr>
          <w:spacing w:val="-13"/>
        </w:rPr>
        <w:t> </w:t>
      </w:r>
      <w:r>
        <w:rPr/>
        <w:t>una</w:t>
      </w:r>
      <w:r>
        <w:rPr>
          <w:spacing w:val="-9"/>
        </w:rPr>
        <w:t> </w:t>
      </w:r>
      <w:r>
        <w:rPr/>
        <w:t>zona</w:t>
      </w:r>
      <w:r>
        <w:rPr>
          <w:spacing w:val="-12"/>
        </w:rPr>
        <w:t> </w:t>
      </w:r>
      <w:r>
        <w:rPr/>
        <w:t>cercana</w:t>
      </w:r>
      <w:r>
        <w:rPr>
          <w:spacing w:val="-13"/>
        </w:rPr>
        <w:t> </w:t>
      </w:r>
      <w:r>
        <w:rPr/>
        <w:t>precisamente</w:t>
      </w:r>
      <w:r>
        <w:rPr>
          <w:spacing w:val="-13"/>
        </w:rPr>
        <w:t> </w:t>
      </w:r>
      <w:r>
        <w:rPr/>
        <w:t>a</w:t>
      </w:r>
      <w:r>
        <w:rPr>
          <w:spacing w:val="-13"/>
        </w:rPr>
        <w:t> </w:t>
      </w:r>
      <w:r>
        <w:rPr/>
        <w:t>los</w:t>
      </w:r>
      <w:r>
        <w:rPr>
          <w:spacing w:val="-11"/>
        </w:rPr>
        <w:t> </w:t>
      </w:r>
      <w:r>
        <w:rPr/>
        <w:t>habitantes</w:t>
      </w:r>
      <w:r>
        <w:rPr>
          <w:spacing w:val="-10"/>
        </w:rPr>
        <w:t> </w:t>
      </w:r>
      <w:r>
        <w:rPr/>
        <w:t>de</w:t>
      </w:r>
      <w:r>
        <w:rPr>
          <w:spacing w:val="-13"/>
        </w:rPr>
        <w:t> </w:t>
      </w:r>
      <w:r>
        <w:rPr/>
        <w:t>las comunidades</w:t>
      </w:r>
      <w:r>
        <w:rPr>
          <w:spacing w:val="-15"/>
        </w:rPr>
        <w:t> </w:t>
      </w:r>
      <w:r>
        <w:rPr/>
        <w:t>urbano-marginales</w:t>
      </w:r>
      <w:r>
        <w:rPr>
          <w:spacing w:val="-14"/>
        </w:rPr>
        <w:t> </w:t>
      </w:r>
      <w:r>
        <w:rPr/>
        <w:t>que</w:t>
      </w:r>
      <w:r>
        <w:rPr>
          <w:spacing w:val="-17"/>
        </w:rPr>
        <w:t> </w:t>
      </w:r>
      <w:r>
        <w:rPr/>
        <w:t>llegaron</w:t>
      </w:r>
      <w:r>
        <w:rPr>
          <w:spacing w:val="-16"/>
        </w:rPr>
        <w:t> </w:t>
      </w:r>
      <w:r>
        <w:rPr/>
        <w:t>en</w:t>
      </w:r>
      <w:r>
        <w:rPr>
          <w:spacing w:val="-13"/>
        </w:rPr>
        <w:t> </w:t>
      </w:r>
      <w:r>
        <w:rPr/>
        <w:t>muchos</w:t>
      </w:r>
      <w:r>
        <w:rPr>
          <w:spacing w:val="-14"/>
        </w:rPr>
        <w:t> </w:t>
      </w:r>
      <w:r>
        <w:rPr/>
        <w:t>casos</w:t>
      </w:r>
      <w:r>
        <w:rPr>
          <w:spacing w:val="-11"/>
        </w:rPr>
        <w:t> </w:t>
      </w:r>
      <w:r>
        <w:rPr/>
        <w:t>a</w:t>
      </w:r>
      <w:r>
        <w:rPr>
          <w:spacing w:val="-16"/>
        </w:rPr>
        <w:t> </w:t>
      </w:r>
      <w:r>
        <w:rPr/>
        <w:t>La</w:t>
      </w:r>
      <w:r>
        <w:rPr>
          <w:spacing w:val="-16"/>
        </w:rPr>
        <w:t> </w:t>
      </w:r>
      <w:r>
        <w:rPr/>
        <w:t>Carpintera</w:t>
      </w:r>
      <w:r>
        <w:rPr>
          <w:spacing w:val="-17"/>
        </w:rPr>
        <w:t> </w:t>
      </w:r>
      <w:r>
        <w:rPr/>
        <w:t>atraídas por la oportunidad económica que representaba Río Azul (Aguilar González,</w:t>
      </w:r>
      <w:r>
        <w:rPr>
          <w:spacing w:val="-16"/>
        </w:rPr>
        <w:t> </w:t>
      </w:r>
      <w:r>
        <w:rPr/>
        <w:t>2015).</w:t>
      </w:r>
    </w:p>
    <w:p>
      <w:pPr>
        <w:pStyle w:val="BodyText"/>
        <w:spacing w:line="360" w:lineRule="auto" w:before="199"/>
        <w:ind w:left="1200" w:right="1198"/>
        <w:jc w:val="both"/>
      </w:pPr>
      <w:r>
        <w:rPr/>
        <w:t>Asimismo,</w:t>
      </w:r>
      <w:r>
        <w:rPr>
          <w:spacing w:val="-11"/>
        </w:rPr>
        <w:t> </w:t>
      </w:r>
      <w:r>
        <w:rPr/>
        <w:t>hay</w:t>
      </w:r>
      <w:r>
        <w:rPr>
          <w:spacing w:val="-12"/>
        </w:rPr>
        <w:t> </w:t>
      </w:r>
      <w:r>
        <w:rPr/>
        <w:t>servicios</w:t>
      </w:r>
      <w:r>
        <w:rPr>
          <w:spacing w:val="-11"/>
        </w:rPr>
        <w:t> </w:t>
      </w:r>
      <w:r>
        <w:rPr/>
        <w:t>que</w:t>
      </w:r>
      <w:r>
        <w:rPr>
          <w:spacing w:val="-10"/>
        </w:rPr>
        <w:t> </w:t>
      </w:r>
      <w:r>
        <w:rPr/>
        <w:t>benefician,</w:t>
      </w:r>
      <w:r>
        <w:rPr>
          <w:spacing w:val="-10"/>
        </w:rPr>
        <w:t> </w:t>
      </w:r>
      <w:r>
        <w:rPr/>
        <w:t>como</w:t>
      </w:r>
      <w:r>
        <w:rPr>
          <w:spacing w:val="-14"/>
        </w:rPr>
        <w:t> </w:t>
      </w:r>
      <w:r>
        <w:rPr/>
        <w:t>externalidades</w:t>
      </w:r>
      <w:r>
        <w:rPr>
          <w:spacing w:val="-8"/>
        </w:rPr>
        <w:t> </w:t>
      </w:r>
      <w:r>
        <w:rPr/>
        <w:t>positivas,</w:t>
      </w:r>
      <w:r>
        <w:rPr>
          <w:spacing w:val="-7"/>
        </w:rPr>
        <w:t> </w:t>
      </w:r>
      <w:r>
        <w:rPr/>
        <w:t>especialmente</w:t>
      </w:r>
      <w:r>
        <w:rPr>
          <w:spacing w:val="-10"/>
        </w:rPr>
        <w:t> </w:t>
      </w:r>
      <w:r>
        <w:rPr/>
        <w:t>a las zonas </w:t>
      </w:r>
      <w:r>
        <w:rPr>
          <w:spacing w:val="-2"/>
        </w:rPr>
        <w:t>más </w:t>
      </w:r>
      <w:r>
        <w:rPr/>
        <w:t>afluentes que rodean la ZP, no generando compensación económica de ninguna naturaleza al área protegida. Este es el caso del servicio estético de vista que es razonable pensar afecta positivamente los precios de los bienes inmuebles en esas comunidades (Aguilar González,</w:t>
      </w:r>
      <w:r>
        <w:rPr>
          <w:spacing w:val="3"/>
        </w:rPr>
        <w:t> </w:t>
      </w:r>
      <w:r>
        <w:rPr/>
        <w:t>2015).</w:t>
      </w:r>
    </w:p>
    <w:p>
      <w:pPr>
        <w:pStyle w:val="BodyText"/>
        <w:spacing w:line="360" w:lineRule="auto" w:before="203"/>
        <w:ind w:left="1200" w:right="1194"/>
        <w:jc w:val="both"/>
      </w:pPr>
      <w:r>
        <w:rPr/>
        <w:t>Conforme se detallará más adelante, los grupos interesados en consolidar el modelo de conservación de la ZPLC logran para el año 2011 la aprobación de un plan de manejo que es pionero en Costa Rica, dado el modelo especial de ordenamiento territorial que se adopta y dado el proceso participativo que caracterizó su desarrollo. Este proceso tuvo un protagonismo fuerte de la oficina regional de Cartago del Sistema Nacional de Áreas de Conservación (SINAC), de la Asociación Movimiento Cívico del Cantón de La Unión</w:t>
      </w:r>
      <w:r>
        <w:rPr>
          <w:spacing w:val="-9"/>
        </w:rPr>
        <w:t> </w:t>
      </w:r>
      <w:r>
        <w:rPr/>
        <w:t>(ASMOCICU),</w:t>
      </w:r>
      <w:r>
        <w:rPr>
          <w:spacing w:val="-6"/>
        </w:rPr>
        <w:t> </w:t>
      </w:r>
      <w:r>
        <w:rPr/>
        <w:t>la</w:t>
      </w:r>
      <w:r>
        <w:rPr>
          <w:spacing w:val="-8"/>
        </w:rPr>
        <w:t> </w:t>
      </w:r>
      <w:r>
        <w:rPr/>
        <w:t>Asociación</w:t>
      </w:r>
      <w:r>
        <w:rPr>
          <w:spacing w:val="-9"/>
        </w:rPr>
        <w:t> </w:t>
      </w:r>
      <w:r>
        <w:rPr/>
        <w:t>de</w:t>
      </w:r>
      <w:r>
        <w:rPr>
          <w:spacing w:val="-5"/>
        </w:rPr>
        <w:t> </w:t>
      </w:r>
      <w:r>
        <w:rPr/>
        <w:t>Propietarios</w:t>
      </w:r>
      <w:r>
        <w:rPr>
          <w:spacing w:val="-6"/>
        </w:rPr>
        <w:t> </w:t>
      </w:r>
      <w:r>
        <w:rPr/>
        <w:t>de</w:t>
      </w:r>
      <w:r>
        <w:rPr>
          <w:spacing w:val="-9"/>
        </w:rPr>
        <w:t> </w:t>
      </w:r>
      <w:r>
        <w:rPr/>
        <w:t>La</w:t>
      </w:r>
      <w:r>
        <w:rPr>
          <w:spacing w:val="-8"/>
        </w:rPr>
        <w:t> </w:t>
      </w:r>
      <w:r>
        <w:rPr/>
        <w:t>Carpintera</w:t>
      </w:r>
      <w:r>
        <w:rPr>
          <w:spacing w:val="-9"/>
        </w:rPr>
        <w:t> </w:t>
      </w:r>
      <w:r>
        <w:rPr/>
        <w:t>(ASOPROCA</w:t>
      </w:r>
      <w:r>
        <w:rPr>
          <w:spacing w:val="-2"/>
        </w:rPr>
        <w:t> </w:t>
      </w:r>
      <w:r>
        <w:rPr/>
        <w:t>–</w:t>
      </w:r>
      <w:r>
        <w:rPr>
          <w:spacing w:val="-7"/>
        </w:rPr>
        <w:t> </w:t>
      </w:r>
      <w:r>
        <w:rPr/>
        <w:t>que agrupa fundamentalmente a los propietarios de mayor tamaño ubicados en la zona) y otros actores</w:t>
      </w:r>
      <w:r>
        <w:rPr>
          <w:spacing w:val="1"/>
        </w:rPr>
        <w:t> </w:t>
      </w:r>
      <w:r>
        <w:rPr/>
        <w:t>sociales.</w:t>
      </w:r>
    </w:p>
    <w:p>
      <w:pPr>
        <w:pStyle w:val="BodyText"/>
        <w:spacing w:line="360" w:lineRule="auto" w:before="199"/>
        <w:ind w:left="1200" w:right="1197"/>
        <w:jc w:val="both"/>
      </w:pPr>
      <w:r>
        <w:rPr/>
        <w:t>A pesar del nivel de participación, con base en criterios legales y técnicos, el ordenamiento territorial de los asentamientos urbano-marginales se orienta fundamentalmente a contener su crecimiento, regular sus desechos y al control y vigilancia (Comisión Interinstitucional para la Zona Protectora Cerros de La Carpintera, 2012).</w:t>
      </w:r>
      <w:r>
        <w:rPr>
          <w:spacing w:val="-7"/>
        </w:rPr>
        <w:t> </w:t>
      </w:r>
      <w:r>
        <w:rPr/>
        <w:t>Hay</w:t>
      </w:r>
      <w:r>
        <w:rPr>
          <w:spacing w:val="-10"/>
        </w:rPr>
        <w:t> </w:t>
      </w:r>
      <w:r>
        <w:rPr/>
        <w:t>poca</w:t>
      </w:r>
      <w:r>
        <w:rPr>
          <w:spacing w:val="-9"/>
        </w:rPr>
        <w:t> </w:t>
      </w:r>
      <w:r>
        <w:rPr/>
        <w:t>evidencia</w:t>
      </w:r>
      <w:r>
        <w:rPr>
          <w:spacing w:val="-9"/>
        </w:rPr>
        <w:t> </w:t>
      </w:r>
      <w:r>
        <w:rPr/>
        <w:t>de</w:t>
      </w:r>
      <w:r>
        <w:rPr>
          <w:spacing w:val="-9"/>
        </w:rPr>
        <w:t> </w:t>
      </w:r>
      <w:r>
        <w:rPr/>
        <w:t>un</w:t>
      </w:r>
      <w:r>
        <w:rPr>
          <w:spacing w:val="-7"/>
        </w:rPr>
        <w:t> </w:t>
      </w:r>
      <w:r>
        <w:rPr/>
        <w:t>enfoque</w:t>
      </w:r>
      <w:r>
        <w:rPr>
          <w:spacing w:val="-9"/>
        </w:rPr>
        <w:t> </w:t>
      </w:r>
      <w:r>
        <w:rPr/>
        <w:t>en</w:t>
      </w:r>
      <w:r>
        <w:rPr>
          <w:spacing w:val="-9"/>
        </w:rPr>
        <w:t> </w:t>
      </w:r>
      <w:r>
        <w:rPr/>
        <w:t>el</w:t>
      </w:r>
      <w:r>
        <w:rPr>
          <w:spacing w:val="-5"/>
        </w:rPr>
        <w:t> </w:t>
      </w:r>
      <w:r>
        <w:rPr/>
        <w:t>mejoramiento</w:t>
      </w:r>
      <w:r>
        <w:rPr>
          <w:spacing w:val="-9"/>
        </w:rPr>
        <w:t> </w:t>
      </w:r>
      <w:r>
        <w:rPr/>
        <w:t>de</w:t>
      </w:r>
      <w:r>
        <w:rPr>
          <w:spacing w:val="-9"/>
        </w:rPr>
        <w:t> </w:t>
      </w:r>
      <w:r>
        <w:rPr/>
        <w:t>las</w:t>
      </w:r>
      <w:r>
        <w:rPr>
          <w:spacing w:val="-7"/>
        </w:rPr>
        <w:t> </w:t>
      </w:r>
      <w:r>
        <w:rPr/>
        <w:t>condiciones</w:t>
      </w:r>
      <w:r>
        <w:rPr>
          <w:spacing w:val="-7"/>
        </w:rPr>
        <w:t> </w:t>
      </w:r>
      <w:r>
        <w:rPr/>
        <w:t>de</w:t>
      </w:r>
      <w:r>
        <w:rPr>
          <w:spacing w:val="-8"/>
        </w:rPr>
        <w:t> </w:t>
      </w:r>
      <w:r>
        <w:rPr/>
        <w:t>vida con una perspectiva interinstitucional, conforme lo diagnostican evaluaciones de sostenibilidad realizadas en la zona desde los años 90 (Aguilar, 1999; Torres, 2001; Aguilar</w:t>
      </w:r>
      <w:r>
        <w:rPr>
          <w:spacing w:val="-18"/>
        </w:rPr>
        <w:t> </w:t>
      </w:r>
      <w:r>
        <w:rPr/>
        <w:t>González,</w:t>
      </w:r>
      <w:r>
        <w:rPr>
          <w:spacing w:val="-17"/>
        </w:rPr>
        <w:t> </w:t>
      </w:r>
      <w:r>
        <w:rPr/>
        <w:t>2009).</w:t>
      </w:r>
      <w:r>
        <w:rPr>
          <w:spacing w:val="-16"/>
        </w:rPr>
        <w:t> </w:t>
      </w:r>
      <w:r>
        <w:rPr/>
        <w:t>Ello</w:t>
      </w:r>
      <w:r>
        <w:rPr>
          <w:spacing w:val="-19"/>
        </w:rPr>
        <w:t> </w:t>
      </w:r>
      <w:r>
        <w:rPr/>
        <w:t>ha</w:t>
      </w:r>
      <w:r>
        <w:rPr>
          <w:spacing w:val="-20"/>
        </w:rPr>
        <w:t> </w:t>
      </w:r>
      <w:r>
        <w:rPr/>
        <w:t>creado</w:t>
      </w:r>
      <w:r>
        <w:rPr>
          <w:spacing w:val="-19"/>
        </w:rPr>
        <w:t> </w:t>
      </w:r>
      <w:r>
        <w:rPr/>
        <w:t>una</w:t>
      </w:r>
      <w:r>
        <w:rPr>
          <w:spacing w:val="-20"/>
        </w:rPr>
        <w:t> </w:t>
      </w:r>
      <w:r>
        <w:rPr/>
        <w:t>situación</w:t>
      </w:r>
      <w:r>
        <w:rPr>
          <w:spacing w:val="-19"/>
        </w:rPr>
        <w:t> </w:t>
      </w:r>
      <w:r>
        <w:rPr/>
        <w:t>de</w:t>
      </w:r>
      <w:r>
        <w:rPr>
          <w:spacing w:val="-20"/>
        </w:rPr>
        <w:t> </w:t>
      </w:r>
      <w:r>
        <w:rPr/>
        <w:t>incertidumbre</w:t>
      </w:r>
      <w:r>
        <w:rPr>
          <w:spacing w:val="-15"/>
        </w:rPr>
        <w:t> </w:t>
      </w:r>
      <w:r>
        <w:rPr/>
        <w:t>y</w:t>
      </w:r>
      <w:r>
        <w:rPr>
          <w:spacing w:val="-18"/>
        </w:rPr>
        <w:t> </w:t>
      </w:r>
      <w:r>
        <w:rPr/>
        <w:t>desventaja</w:t>
      </w:r>
      <w:r>
        <w:rPr>
          <w:spacing w:val="-19"/>
        </w:rPr>
        <w:t> </w:t>
      </w:r>
      <w:r>
        <w:rPr/>
        <w:t>para esas</w:t>
      </w:r>
      <w:r>
        <w:rPr>
          <w:spacing w:val="-6"/>
        </w:rPr>
        <w:t> </w:t>
      </w:r>
      <w:r>
        <w:rPr/>
        <w:t>comunidades</w:t>
      </w:r>
      <w:r>
        <w:rPr>
          <w:spacing w:val="-4"/>
        </w:rPr>
        <w:t> </w:t>
      </w:r>
      <w:r>
        <w:rPr/>
        <w:t>que</w:t>
      </w:r>
      <w:r>
        <w:rPr>
          <w:spacing w:val="-8"/>
        </w:rPr>
        <w:t> </w:t>
      </w:r>
      <w:r>
        <w:rPr/>
        <w:t>llegaron</w:t>
      </w:r>
      <w:r>
        <w:rPr>
          <w:spacing w:val="-7"/>
        </w:rPr>
        <w:t> </w:t>
      </w:r>
      <w:r>
        <w:rPr/>
        <w:t>a</w:t>
      </w:r>
      <w:r>
        <w:rPr>
          <w:spacing w:val="-7"/>
        </w:rPr>
        <w:t> </w:t>
      </w:r>
      <w:r>
        <w:rPr/>
        <w:t>la</w:t>
      </w:r>
      <w:r>
        <w:rPr>
          <w:spacing w:val="-8"/>
        </w:rPr>
        <w:t> </w:t>
      </w:r>
      <w:r>
        <w:rPr/>
        <w:t>zona</w:t>
      </w:r>
      <w:r>
        <w:rPr>
          <w:spacing w:val="-7"/>
        </w:rPr>
        <w:t> </w:t>
      </w:r>
      <w:r>
        <w:rPr/>
        <w:t>antes</w:t>
      </w:r>
      <w:r>
        <w:rPr>
          <w:spacing w:val="-4"/>
        </w:rPr>
        <w:t> </w:t>
      </w:r>
      <w:r>
        <w:rPr/>
        <w:t>o</w:t>
      </w:r>
      <w:r>
        <w:rPr>
          <w:spacing w:val="-8"/>
        </w:rPr>
        <w:t> </w:t>
      </w:r>
      <w:r>
        <w:rPr/>
        <w:t>cerca</w:t>
      </w:r>
      <w:r>
        <w:rPr>
          <w:spacing w:val="-7"/>
        </w:rPr>
        <w:t> </w:t>
      </w:r>
      <w:r>
        <w:rPr/>
        <w:t>del</w:t>
      </w:r>
      <w:r>
        <w:rPr>
          <w:spacing w:val="-6"/>
        </w:rPr>
        <w:t> </w:t>
      </w:r>
      <w:r>
        <w:rPr/>
        <w:t>año</w:t>
      </w:r>
      <w:r>
        <w:rPr>
          <w:spacing w:val="-8"/>
        </w:rPr>
        <w:t> </w:t>
      </w:r>
      <w:r>
        <w:rPr/>
        <w:t>de</w:t>
      </w:r>
      <w:r>
        <w:rPr>
          <w:spacing w:val="-7"/>
        </w:rPr>
        <w:t> </w:t>
      </w:r>
      <w:r>
        <w:rPr/>
        <w:t>1976</w:t>
      </w:r>
      <w:r>
        <w:rPr>
          <w:spacing w:val="-7"/>
        </w:rPr>
        <w:t> </w:t>
      </w:r>
      <w:r>
        <w:rPr/>
        <w:t>cuando</w:t>
      </w:r>
      <w:r>
        <w:rPr>
          <w:spacing w:val="-8"/>
        </w:rPr>
        <w:t> </w:t>
      </w:r>
      <w:r>
        <w:rPr/>
        <w:t>se</w:t>
      </w:r>
      <w:r>
        <w:rPr>
          <w:spacing w:val="-7"/>
        </w:rPr>
        <w:t> </w:t>
      </w:r>
      <w:r>
        <w:rPr/>
        <w:t>crea</w:t>
      </w:r>
    </w:p>
    <w:p>
      <w:pPr>
        <w:spacing w:after="0" w:line="360" w:lineRule="auto"/>
        <w:jc w:val="both"/>
        <w:sectPr>
          <w:pgSz w:w="12240" w:h="15840"/>
          <w:pgMar w:header="0" w:footer="1062" w:top="1360" w:bottom="1260" w:left="240" w:right="240"/>
        </w:sectPr>
      </w:pPr>
    </w:p>
    <w:p>
      <w:pPr>
        <w:pStyle w:val="BodyText"/>
        <w:spacing w:line="360" w:lineRule="auto" w:before="79"/>
        <w:ind w:left="1200" w:right="1197"/>
        <w:jc w:val="both"/>
      </w:pPr>
      <w:r>
        <w:rPr/>
        <w:t>la</w:t>
      </w:r>
      <w:r>
        <w:rPr>
          <w:spacing w:val="-13"/>
        </w:rPr>
        <w:t> </w:t>
      </w:r>
      <w:r>
        <w:rPr/>
        <w:t>ZP.</w:t>
      </w:r>
      <w:r>
        <w:rPr>
          <w:spacing w:val="-10"/>
        </w:rPr>
        <w:t> </w:t>
      </w:r>
      <w:r>
        <w:rPr/>
        <w:t>El</w:t>
      </w:r>
      <w:r>
        <w:rPr>
          <w:spacing w:val="-12"/>
        </w:rPr>
        <w:t> </w:t>
      </w:r>
      <w:r>
        <w:rPr/>
        <w:t>proceso</w:t>
      </w:r>
      <w:r>
        <w:rPr>
          <w:spacing w:val="-13"/>
        </w:rPr>
        <w:t> </w:t>
      </w:r>
      <w:r>
        <w:rPr/>
        <w:t>de</w:t>
      </w:r>
      <w:r>
        <w:rPr>
          <w:spacing w:val="-12"/>
        </w:rPr>
        <w:t> </w:t>
      </w:r>
      <w:r>
        <w:rPr/>
        <w:t>creación</w:t>
      </w:r>
      <w:r>
        <w:rPr>
          <w:spacing w:val="-13"/>
        </w:rPr>
        <w:t> </w:t>
      </w:r>
      <w:r>
        <w:rPr/>
        <w:t>del</w:t>
      </w:r>
      <w:r>
        <w:rPr>
          <w:spacing w:val="-12"/>
        </w:rPr>
        <w:t> </w:t>
      </w:r>
      <w:r>
        <w:rPr/>
        <w:t>área</w:t>
      </w:r>
      <w:r>
        <w:rPr>
          <w:spacing w:val="-9"/>
        </w:rPr>
        <w:t> </w:t>
      </w:r>
      <w:r>
        <w:rPr/>
        <w:t>protegida</w:t>
      </w:r>
      <w:r>
        <w:rPr>
          <w:spacing w:val="-12"/>
        </w:rPr>
        <w:t> </w:t>
      </w:r>
      <w:r>
        <w:rPr/>
        <w:t>nunca</w:t>
      </w:r>
      <w:r>
        <w:rPr>
          <w:spacing w:val="-13"/>
        </w:rPr>
        <w:t> </w:t>
      </w:r>
      <w:r>
        <w:rPr/>
        <w:t>fue</w:t>
      </w:r>
      <w:r>
        <w:rPr>
          <w:spacing w:val="-13"/>
        </w:rPr>
        <w:t> </w:t>
      </w:r>
      <w:r>
        <w:rPr/>
        <w:t>consultado</w:t>
      </w:r>
      <w:r>
        <w:rPr>
          <w:spacing w:val="-13"/>
        </w:rPr>
        <w:t> </w:t>
      </w:r>
      <w:r>
        <w:rPr/>
        <w:t>con</w:t>
      </w:r>
      <w:r>
        <w:rPr>
          <w:spacing w:val="-12"/>
        </w:rPr>
        <w:t> </w:t>
      </w:r>
      <w:r>
        <w:rPr/>
        <w:t>los</w:t>
      </w:r>
      <w:r>
        <w:rPr>
          <w:spacing w:val="-11"/>
        </w:rPr>
        <w:t> </w:t>
      </w:r>
      <w:r>
        <w:rPr/>
        <w:t>habitantes y propietarios de la zona. Las opciones participativas no se abrieron hasta casi tres décadas y media después de la creación de la ZPLC. Asimismo, los gobiernos municipales les negaron a partir del año de creación de la ZP servicios como el mejoramiento</w:t>
      </w:r>
      <w:r>
        <w:rPr>
          <w:spacing w:val="-13"/>
        </w:rPr>
        <w:t> </w:t>
      </w:r>
      <w:r>
        <w:rPr/>
        <w:t>de</w:t>
      </w:r>
      <w:r>
        <w:rPr>
          <w:spacing w:val="-13"/>
        </w:rPr>
        <w:t> </w:t>
      </w:r>
      <w:r>
        <w:rPr/>
        <w:t>sus</w:t>
      </w:r>
      <w:r>
        <w:rPr>
          <w:spacing w:val="-11"/>
        </w:rPr>
        <w:t> </w:t>
      </w:r>
      <w:r>
        <w:rPr/>
        <w:t>calles</w:t>
      </w:r>
      <w:r>
        <w:rPr>
          <w:spacing w:val="-10"/>
        </w:rPr>
        <w:t> </w:t>
      </w:r>
      <w:r>
        <w:rPr/>
        <w:t>por</w:t>
      </w:r>
      <w:r>
        <w:rPr>
          <w:spacing w:val="-11"/>
        </w:rPr>
        <w:t> </w:t>
      </w:r>
      <w:r>
        <w:rPr/>
        <w:t>estar</w:t>
      </w:r>
      <w:r>
        <w:rPr>
          <w:spacing w:val="-11"/>
        </w:rPr>
        <w:t> </w:t>
      </w:r>
      <w:r>
        <w:rPr/>
        <w:t>dentro</w:t>
      </w:r>
      <w:r>
        <w:rPr>
          <w:spacing w:val="-13"/>
        </w:rPr>
        <w:t> </w:t>
      </w:r>
      <w:r>
        <w:rPr/>
        <w:t>del</w:t>
      </w:r>
      <w:r>
        <w:rPr>
          <w:spacing w:val="-11"/>
        </w:rPr>
        <w:t> </w:t>
      </w:r>
      <w:r>
        <w:rPr/>
        <w:t>área</w:t>
      </w:r>
      <w:r>
        <w:rPr>
          <w:spacing w:val="-13"/>
        </w:rPr>
        <w:t> </w:t>
      </w:r>
      <w:r>
        <w:rPr/>
        <w:t>protegida</w:t>
      </w:r>
      <w:r>
        <w:rPr>
          <w:spacing w:val="-9"/>
        </w:rPr>
        <w:t> </w:t>
      </w:r>
      <w:r>
        <w:rPr/>
        <w:t>(Aguilar</w:t>
      </w:r>
      <w:r>
        <w:rPr>
          <w:spacing w:val="-11"/>
        </w:rPr>
        <w:t> </w:t>
      </w:r>
      <w:r>
        <w:rPr/>
        <w:t>González,</w:t>
      </w:r>
      <w:r>
        <w:rPr>
          <w:spacing w:val="-9"/>
        </w:rPr>
        <w:t> </w:t>
      </w:r>
      <w:r>
        <w:rPr/>
        <w:t>2015).</w:t>
      </w:r>
    </w:p>
    <w:p>
      <w:pPr>
        <w:pStyle w:val="BodyText"/>
        <w:spacing w:line="360" w:lineRule="auto" w:before="199"/>
        <w:ind w:left="1200" w:right="1197"/>
        <w:jc w:val="both"/>
      </w:pPr>
      <w:r>
        <w:rPr/>
        <w:t>Los representantes de esas comunidades han tenido poca participación en el proceso de implementación del Plan de Manejo dada la carencia de canales de participación efectiva lo cual ha generado desmotivación. Ha existido resistencia de parte de algunas de las organizaciones que conforman el Consejo Local de Área, órgano auxiliar para el SINAC</w:t>
      </w:r>
      <w:r>
        <w:rPr>
          <w:spacing w:val="-4"/>
        </w:rPr>
        <w:t> </w:t>
      </w:r>
      <w:r>
        <w:rPr/>
        <w:t>de</w:t>
      </w:r>
      <w:r>
        <w:rPr>
          <w:spacing w:val="-7"/>
        </w:rPr>
        <w:t> </w:t>
      </w:r>
      <w:r>
        <w:rPr/>
        <w:t>implementación</w:t>
      </w:r>
      <w:r>
        <w:rPr>
          <w:spacing w:val="-7"/>
        </w:rPr>
        <w:t> </w:t>
      </w:r>
      <w:r>
        <w:rPr/>
        <w:t>del</w:t>
      </w:r>
      <w:r>
        <w:rPr>
          <w:spacing w:val="-7"/>
        </w:rPr>
        <w:t> </w:t>
      </w:r>
      <w:r>
        <w:rPr/>
        <w:t>Plan</w:t>
      </w:r>
      <w:r>
        <w:rPr>
          <w:spacing w:val="-7"/>
        </w:rPr>
        <w:t> </w:t>
      </w:r>
      <w:r>
        <w:rPr/>
        <w:t>de</w:t>
      </w:r>
      <w:r>
        <w:rPr>
          <w:spacing w:val="-4"/>
        </w:rPr>
        <w:t> </w:t>
      </w:r>
      <w:r>
        <w:rPr/>
        <w:t>Manejo</w:t>
      </w:r>
      <w:r>
        <w:rPr>
          <w:spacing w:val="-7"/>
        </w:rPr>
        <w:t> </w:t>
      </w:r>
      <w:r>
        <w:rPr/>
        <w:t>a</w:t>
      </w:r>
      <w:r>
        <w:rPr>
          <w:spacing w:val="-7"/>
        </w:rPr>
        <w:t> </w:t>
      </w:r>
      <w:r>
        <w:rPr/>
        <w:t>su</w:t>
      </w:r>
      <w:r>
        <w:rPr>
          <w:spacing w:val="-7"/>
        </w:rPr>
        <w:t> </w:t>
      </w:r>
      <w:r>
        <w:rPr/>
        <w:t>participación.</w:t>
      </w:r>
      <w:r>
        <w:rPr>
          <w:spacing w:val="-5"/>
        </w:rPr>
        <w:t> </w:t>
      </w:r>
      <w:r>
        <w:rPr/>
        <w:t>En</w:t>
      </w:r>
      <w:r>
        <w:rPr>
          <w:spacing w:val="-7"/>
        </w:rPr>
        <w:t> </w:t>
      </w:r>
      <w:r>
        <w:rPr/>
        <w:t>general,</w:t>
      </w:r>
      <w:r>
        <w:rPr>
          <w:spacing w:val="-4"/>
        </w:rPr>
        <w:t> </w:t>
      </w:r>
      <w:r>
        <w:rPr/>
        <w:t>se</w:t>
      </w:r>
      <w:r>
        <w:rPr>
          <w:spacing w:val="-5"/>
        </w:rPr>
        <w:t> </w:t>
      </w:r>
      <w:r>
        <w:rPr/>
        <w:t>percibe a estas comunidades como un obstáculo para la conservación de los servicios ecosistémicos de la zona (Aguilar González, 2015).</w:t>
      </w:r>
    </w:p>
    <w:p>
      <w:pPr>
        <w:pStyle w:val="BodyText"/>
        <w:spacing w:line="360" w:lineRule="auto" w:before="203"/>
        <w:ind w:left="1200" w:right="1196"/>
        <w:jc w:val="both"/>
      </w:pPr>
      <w:r>
        <w:rPr/>
        <w:t>Esta</w:t>
      </w:r>
      <w:r>
        <w:rPr>
          <w:spacing w:val="-13"/>
        </w:rPr>
        <w:t> </w:t>
      </w:r>
      <w:r>
        <w:rPr/>
        <w:t>investigación</w:t>
      </w:r>
      <w:r>
        <w:rPr>
          <w:spacing w:val="-10"/>
        </w:rPr>
        <w:t> </w:t>
      </w:r>
      <w:r>
        <w:rPr/>
        <w:t>parte</w:t>
      </w:r>
      <w:r>
        <w:rPr>
          <w:spacing w:val="-8"/>
        </w:rPr>
        <w:t> </w:t>
      </w:r>
      <w:r>
        <w:rPr/>
        <w:t>de</w:t>
      </w:r>
      <w:r>
        <w:rPr>
          <w:spacing w:val="-12"/>
        </w:rPr>
        <w:t> </w:t>
      </w:r>
      <w:r>
        <w:rPr/>
        <w:t>que</w:t>
      </w:r>
      <w:r>
        <w:rPr>
          <w:spacing w:val="-12"/>
        </w:rPr>
        <w:t> </w:t>
      </w:r>
      <w:r>
        <w:rPr/>
        <w:t>este</w:t>
      </w:r>
      <w:r>
        <w:rPr>
          <w:spacing w:val="-12"/>
        </w:rPr>
        <w:t> </w:t>
      </w:r>
      <w:r>
        <w:rPr/>
        <w:t>cuadro</w:t>
      </w:r>
      <w:r>
        <w:rPr>
          <w:spacing w:val="-12"/>
        </w:rPr>
        <w:t> </w:t>
      </w:r>
      <w:r>
        <w:rPr/>
        <w:t>fáctico</w:t>
      </w:r>
      <w:r>
        <w:rPr>
          <w:spacing w:val="-13"/>
        </w:rPr>
        <w:t> </w:t>
      </w:r>
      <w:r>
        <w:rPr/>
        <w:t>representa</w:t>
      </w:r>
      <w:r>
        <w:rPr>
          <w:spacing w:val="-8"/>
        </w:rPr>
        <w:t> </w:t>
      </w:r>
      <w:r>
        <w:rPr/>
        <w:t>una</w:t>
      </w:r>
      <w:r>
        <w:rPr>
          <w:spacing w:val="-12"/>
        </w:rPr>
        <w:t> </w:t>
      </w:r>
      <w:r>
        <w:rPr/>
        <w:t>situación</w:t>
      </w:r>
      <w:r>
        <w:rPr>
          <w:spacing w:val="-9"/>
        </w:rPr>
        <w:t> </w:t>
      </w:r>
      <w:r>
        <w:rPr/>
        <w:t>de</w:t>
      </w:r>
      <w:r>
        <w:rPr>
          <w:spacing w:val="-12"/>
        </w:rPr>
        <w:t> </w:t>
      </w:r>
      <w:r>
        <w:rPr/>
        <w:t>injusticia ambiental configurándose un CED con diversos grados de intensidad a través de los años. Ante esa realidad, se plantea </w:t>
      </w:r>
      <w:r>
        <w:rPr>
          <w:spacing w:val="3"/>
        </w:rPr>
        <w:t>la </w:t>
      </w:r>
      <w:r>
        <w:rPr/>
        <w:t>necesidad de adoptar, para el manejo de este conflicto ecológico distributivo, un enfoque de Economía Ecológica y Ecología Política que podría tener aplicación en situaciones similares en el país y </w:t>
      </w:r>
      <w:r>
        <w:rPr>
          <w:spacing w:val="-2"/>
        </w:rPr>
        <w:t>más</w:t>
      </w:r>
      <w:r>
        <w:rPr>
          <w:spacing w:val="-9"/>
        </w:rPr>
        <w:t> </w:t>
      </w:r>
      <w:r>
        <w:rPr/>
        <w:t>allá.</w:t>
      </w:r>
    </w:p>
    <w:p>
      <w:pPr>
        <w:pStyle w:val="BodyText"/>
        <w:spacing w:line="360" w:lineRule="auto" w:before="198"/>
        <w:ind w:left="1200" w:right="1200"/>
        <w:jc w:val="both"/>
      </w:pPr>
      <w:r>
        <w:rPr/>
        <w:t>Se</w:t>
      </w:r>
      <w:r>
        <w:rPr>
          <w:spacing w:val="-10"/>
        </w:rPr>
        <w:t> </w:t>
      </w:r>
      <w:r>
        <w:rPr/>
        <w:t>propone</w:t>
      </w:r>
      <w:r>
        <w:rPr>
          <w:spacing w:val="-9"/>
        </w:rPr>
        <w:t> </w:t>
      </w:r>
      <w:r>
        <w:rPr/>
        <w:t>que</w:t>
      </w:r>
      <w:r>
        <w:rPr>
          <w:spacing w:val="-9"/>
        </w:rPr>
        <w:t> </w:t>
      </w:r>
      <w:r>
        <w:rPr/>
        <w:t>los</w:t>
      </w:r>
      <w:r>
        <w:rPr>
          <w:spacing w:val="-7"/>
        </w:rPr>
        <w:t> </w:t>
      </w:r>
      <w:r>
        <w:rPr/>
        <w:t>servicios</w:t>
      </w:r>
      <w:r>
        <w:rPr>
          <w:spacing w:val="-7"/>
        </w:rPr>
        <w:t> </w:t>
      </w:r>
      <w:r>
        <w:rPr/>
        <w:t>ecosistémicos</w:t>
      </w:r>
      <w:r>
        <w:rPr>
          <w:spacing w:val="-8"/>
        </w:rPr>
        <w:t> </w:t>
      </w:r>
      <w:r>
        <w:rPr/>
        <w:t>no</w:t>
      </w:r>
      <w:r>
        <w:rPr>
          <w:spacing w:val="-7"/>
        </w:rPr>
        <w:t> </w:t>
      </w:r>
      <w:r>
        <w:rPr/>
        <w:t>compensados</w:t>
      </w:r>
      <w:r>
        <w:rPr>
          <w:spacing w:val="-7"/>
        </w:rPr>
        <w:t> </w:t>
      </w:r>
      <w:r>
        <w:rPr/>
        <w:t>caracterizan</w:t>
      </w:r>
      <w:r>
        <w:rPr>
          <w:spacing w:val="-9"/>
        </w:rPr>
        <w:t> </w:t>
      </w:r>
      <w:r>
        <w:rPr/>
        <w:t>una</w:t>
      </w:r>
      <w:r>
        <w:rPr>
          <w:spacing w:val="-9"/>
        </w:rPr>
        <w:t> </w:t>
      </w:r>
      <w:r>
        <w:rPr/>
        <w:t>situación de Deuda Ecológica no retribuida de las zonas circundantes con la ZPLC. Se considera que para poder comprender cómo la compensación de esta deuda podría beneficiar la sostenibilidad de los servicios ambientales y el bienestar comunal en juego se puede medir esa deuda mediante diversos lenguajes de</w:t>
      </w:r>
      <w:r>
        <w:rPr>
          <w:spacing w:val="-2"/>
        </w:rPr>
        <w:t> </w:t>
      </w:r>
      <w:r>
        <w:rPr/>
        <w:t>valoración.</w:t>
      </w:r>
    </w:p>
    <w:p>
      <w:pPr>
        <w:pStyle w:val="BodyText"/>
        <w:spacing w:line="360" w:lineRule="auto" w:before="203"/>
        <w:ind w:left="1200" w:right="1194"/>
        <w:jc w:val="both"/>
      </w:pPr>
      <w:r>
        <w:rPr/>
        <w:t>Por ello, se plantea aquí como objetivo general el desarrollar un modelo teórico de valoración de la Deuda Ecológica de las zonas adyacentes a la ZPLC en el sector este del Valle Central de Costa Rica.</w:t>
      </w:r>
    </w:p>
    <w:p>
      <w:pPr>
        <w:pStyle w:val="BodyText"/>
        <w:spacing w:line="360" w:lineRule="auto" w:before="198"/>
        <w:ind w:left="1200" w:right="1197"/>
        <w:jc w:val="both"/>
      </w:pPr>
      <w:r>
        <w:rPr/>
        <w:t>De</w:t>
      </w:r>
      <w:r>
        <w:rPr>
          <w:spacing w:val="-6"/>
        </w:rPr>
        <w:t> </w:t>
      </w:r>
      <w:r>
        <w:rPr/>
        <w:t>este</w:t>
      </w:r>
      <w:r>
        <w:rPr>
          <w:spacing w:val="-5"/>
        </w:rPr>
        <w:t> </w:t>
      </w:r>
      <w:r>
        <w:rPr/>
        <w:t>objetivo</w:t>
      </w:r>
      <w:r>
        <w:rPr>
          <w:spacing w:val="-5"/>
        </w:rPr>
        <w:t> </w:t>
      </w:r>
      <w:r>
        <w:rPr/>
        <w:t>se</w:t>
      </w:r>
      <w:r>
        <w:rPr>
          <w:spacing w:val="-5"/>
        </w:rPr>
        <w:t> </w:t>
      </w:r>
      <w:r>
        <w:rPr/>
        <w:t>derivan</w:t>
      </w:r>
      <w:r>
        <w:rPr>
          <w:spacing w:val="-5"/>
        </w:rPr>
        <w:t> </w:t>
      </w:r>
      <w:r>
        <w:rPr/>
        <w:t>como</w:t>
      </w:r>
      <w:r>
        <w:rPr>
          <w:spacing w:val="-5"/>
        </w:rPr>
        <w:t> </w:t>
      </w:r>
      <w:r>
        <w:rPr/>
        <w:t>objetivos</w:t>
      </w:r>
      <w:r>
        <w:rPr>
          <w:spacing w:val="-3"/>
        </w:rPr>
        <w:t> </w:t>
      </w:r>
      <w:r>
        <w:rPr/>
        <w:t>específicos:</w:t>
      </w:r>
      <w:r>
        <w:rPr>
          <w:spacing w:val="-3"/>
        </w:rPr>
        <w:t> </w:t>
      </w:r>
      <w:r>
        <w:rPr/>
        <w:t>1)</w:t>
      </w:r>
      <w:r>
        <w:rPr>
          <w:spacing w:val="-7"/>
        </w:rPr>
        <w:t> </w:t>
      </w:r>
      <w:r>
        <w:rPr/>
        <w:t>Aplicar</w:t>
      </w:r>
      <w:r>
        <w:rPr>
          <w:spacing w:val="-4"/>
        </w:rPr>
        <w:t> </w:t>
      </w:r>
      <w:r>
        <w:rPr/>
        <w:t>el</w:t>
      </w:r>
      <w:r>
        <w:rPr>
          <w:spacing w:val="-5"/>
        </w:rPr>
        <w:t> </w:t>
      </w:r>
      <w:r>
        <w:rPr/>
        <w:t>concepto</w:t>
      </w:r>
      <w:r>
        <w:rPr>
          <w:spacing w:val="-5"/>
        </w:rPr>
        <w:t> </w:t>
      </w:r>
      <w:r>
        <w:rPr/>
        <w:t>de</w:t>
      </w:r>
      <w:r>
        <w:rPr>
          <w:spacing w:val="4"/>
        </w:rPr>
        <w:t> </w:t>
      </w:r>
      <w:r>
        <w:rPr/>
        <w:t>Deuda Ecológica en una forma innovadora y alternativa en la ZPLC en los cantones del sector este</w:t>
      </w:r>
      <w:r>
        <w:rPr>
          <w:spacing w:val="-21"/>
        </w:rPr>
        <w:t> </w:t>
      </w:r>
      <w:r>
        <w:rPr/>
        <w:t>del</w:t>
      </w:r>
      <w:r>
        <w:rPr>
          <w:spacing w:val="-19"/>
        </w:rPr>
        <w:t> </w:t>
      </w:r>
      <w:r>
        <w:rPr/>
        <w:t>Valle</w:t>
      </w:r>
      <w:r>
        <w:rPr>
          <w:spacing w:val="-21"/>
        </w:rPr>
        <w:t> </w:t>
      </w:r>
      <w:r>
        <w:rPr/>
        <w:t>Central</w:t>
      </w:r>
      <w:r>
        <w:rPr>
          <w:spacing w:val="-19"/>
        </w:rPr>
        <w:t> </w:t>
      </w:r>
      <w:r>
        <w:rPr/>
        <w:t>de</w:t>
      </w:r>
      <w:r>
        <w:rPr>
          <w:spacing w:val="-21"/>
        </w:rPr>
        <w:t> </w:t>
      </w:r>
      <w:r>
        <w:rPr/>
        <w:t>Costa</w:t>
      </w:r>
      <w:r>
        <w:rPr>
          <w:spacing w:val="-20"/>
        </w:rPr>
        <w:t> </w:t>
      </w:r>
      <w:r>
        <w:rPr/>
        <w:t>Rica;</w:t>
      </w:r>
      <w:r>
        <w:rPr>
          <w:spacing w:val="-16"/>
        </w:rPr>
        <w:t> </w:t>
      </w:r>
      <w:r>
        <w:rPr/>
        <w:t>2)</w:t>
      </w:r>
      <w:r>
        <w:rPr>
          <w:spacing w:val="-15"/>
        </w:rPr>
        <w:t> </w:t>
      </w:r>
      <w:r>
        <w:rPr/>
        <w:t>Aplicar</w:t>
      </w:r>
      <w:r>
        <w:rPr>
          <w:spacing w:val="-19"/>
        </w:rPr>
        <w:t> </w:t>
      </w:r>
      <w:r>
        <w:rPr/>
        <w:t>un</w:t>
      </w:r>
      <w:r>
        <w:rPr>
          <w:spacing w:val="-16"/>
        </w:rPr>
        <w:t> </w:t>
      </w:r>
      <w:r>
        <w:rPr/>
        <w:t>modelo</w:t>
      </w:r>
      <w:r>
        <w:rPr>
          <w:spacing w:val="-21"/>
        </w:rPr>
        <w:t> </w:t>
      </w:r>
      <w:r>
        <w:rPr/>
        <w:t>para</w:t>
      </w:r>
      <w:r>
        <w:rPr>
          <w:spacing w:val="-17"/>
        </w:rPr>
        <w:t> </w:t>
      </w:r>
      <w:r>
        <w:rPr/>
        <w:t>medir</w:t>
      </w:r>
      <w:r>
        <w:rPr>
          <w:spacing w:val="-18"/>
        </w:rPr>
        <w:t> </w:t>
      </w:r>
      <w:r>
        <w:rPr/>
        <w:t>la</w:t>
      </w:r>
      <w:r>
        <w:rPr>
          <w:spacing w:val="-19"/>
        </w:rPr>
        <w:t> </w:t>
      </w:r>
      <w:r>
        <w:rPr/>
        <w:t>Deuda</w:t>
      </w:r>
      <w:r>
        <w:rPr>
          <w:spacing w:val="-20"/>
        </w:rPr>
        <w:t> </w:t>
      </w:r>
      <w:r>
        <w:rPr/>
        <w:t>Ecológica, basado</w:t>
      </w:r>
      <w:r>
        <w:rPr>
          <w:spacing w:val="-11"/>
        </w:rPr>
        <w:t> </w:t>
      </w:r>
      <w:r>
        <w:rPr/>
        <w:t>en</w:t>
      </w:r>
      <w:r>
        <w:rPr>
          <w:spacing w:val="-10"/>
        </w:rPr>
        <w:t> </w:t>
      </w:r>
      <w:r>
        <w:rPr/>
        <w:t>diversos</w:t>
      </w:r>
      <w:r>
        <w:rPr>
          <w:spacing w:val="-8"/>
        </w:rPr>
        <w:t> </w:t>
      </w:r>
      <w:r>
        <w:rPr/>
        <w:t>lenguajes</w:t>
      </w:r>
      <w:r>
        <w:rPr>
          <w:spacing w:val="-9"/>
        </w:rPr>
        <w:t> </w:t>
      </w:r>
      <w:r>
        <w:rPr/>
        <w:t>de</w:t>
      </w:r>
      <w:r>
        <w:rPr>
          <w:spacing w:val="-10"/>
        </w:rPr>
        <w:t> </w:t>
      </w:r>
      <w:r>
        <w:rPr/>
        <w:t>valoración</w:t>
      </w:r>
      <w:r>
        <w:rPr>
          <w:spacing w:val="-10"/>
        </w:rPr>
        <w:t> </w:t>
      </w:r>
      <w:r>
        <w:rPr/>
        <w:t>(Biofísico,</w:t>
      </w:r>
      <w:r>
        <w:rPr>
          <w:spacing w:val="-8"/>
        </w:rPr>
        <w:t> </w:t>
      </w:r>
      <w:r>
        <w:rPr/>
        <w:t>Monetario);</w:t>
      </w:r>
      <w:r>
        <w:rPr>
          <w:spacing w:val="-7"/>
        </w:rPr>
        <w:t> </w:t>
      </w:r>
      <w:r>
        <w:rPr/>
        <w:t>3)</w:t>
      </w:r>
      <w:r>
        <w:rPr>
          <w:spacing w:val="-8"/>
        </w:rPr>
        <w:t> </w:t>
      </w:r>
      <w:r>
        <w:rPr/>
        <w:t>Informar</w:t>
      </w:r>
      <w:r>
        <w:rPr>
          <w:spacing w:val="-9"/>
        </w:rPr>
        <w:t> </w:t>
      </w:r>
      <w:r>
        <w:rPr/>
        <w:t>el</w:t>
      </w:r>
      <w:r>
        <w:rPr>
          <w:spacing w:val="-9"/>
        </w:rPr>
        <w:t> </w:t>
      </w:r>
      <w:r>
        <w:rPr/>
        <w:t>manejo</w:t>
      </w:r>
    </w:p>
    <w:p>
      <w:pPr>
        <w:spacing w:after="0" w:line="360" w:lineRule="auto"/>
        <w:jc w:val="both"/>
        <w:sectPr>
          <w:pgSz w:w="12240" w:h="15840"/>
          <w:pgMar w:header="0" w:footer="1062" w:top="1360" w:bottom="1260" w:left="240" w:right="240"/>
        </w:sectPr>
      </w:pPr>
    </w:p>
    <w:p>
      <w:pPr>
        <w:pStyle w:val="BodyText"/>
        <w:spacing w:line="360" w:lineRule="auto" w:before="79"/>
        <w:ind w:left="1200" w:right="1193"/>
        <w:jc w:val="both"/>
      </w:pPr>
      <w:r>
        <w:rPr/>
        <w:t>del CED diseñando un proceso decisorio multicriterial, utilizando la información generada, para que el Comité Local de Área Protegida lo pueda utilizar en la ejecución del Plan de Manejo del área protegida.</w:t>
      </w:r>
    </w:p>
    <w:p>
      <w:pPr>
        <w:pStyle w:val="BodyText"/>
        <w:spacing w:before="199"/>
        <w:ind w:left="1200"/>
        <w:jc w:val="both"/>
      </w:pPr>
      <w:r>
        <w:rPr/>
        <w:t>Para ello se parte de las siguientes hipótesis de trabajo:</w:t>
      </w:r>
    </w:p>
    <w:p>
      <w:pPr>
        <w:pStyle w:val="BodyText"/>
        <w:spacing w:before="6"/>
        <w:rPr>
          <w:sz w:val="29"/>
        </w:rPr>
      </w:pPr>
    </w:p>
    <w:p>
      <w:pPr>
        <w:pStyle w:val="BodyText"/>
        <w:spacing w:line="360" w:lineRule="auto"/>
        <w:ind w:left="1200" w:right="1197"/>
        <w:jc w:val="both"/>
      </w:pPr>
      <w:r>
        <w:rPr/>
        <w:t>A- Hipótesis Nula: La aplicación del modelo de medición de la Deuda Ecológica en la ZPLC no generará información que puede ser útil para un proceso multicriterial que permita el manejo del CED que se presenta en la zona por la situación de injusticia ambiental que la</w:t>
      </w:r>
      <w:r>
        <w:rPr>
          <w:spacing w:val="-4"/>
        </w:rPr>
        <w:t> </w:t>
      </w:r>
      <w:r>
        <w:rPr/>
        <w:t>caracteriza;</w:t>
      </w:r>
    </w:p>
    <w:p>
      <w:pPr>
        <w:pStyle w:val="BodyText"/>
        <w:spacing w:line="360" w:lineRule="auto" w:before="201"/>
        <w:ind w:left="1200" w:right="1196"/>
        <w:jc w:val="both"/>
      </w:pPr>
      <w:r>
        <w:rPr/>
        <w:t>B-</w:t>
      </w:r>
      <w:r>
        <w:rPr>
          <w:spacing w:val="-8"/>
        </w:rPr>
        <w:t> </w:t>
      </w:r>
      <w:r>
        <w:rPr/>
        <w:t>Hipótesis</w:t>
      </w:r>
      <w:r>
        <w:rPr>
          <w:spacing w:val="-8"/>
        </w:rPr>
        <w:t> </w:t>
      </w:r>
      <w:r>
        <w:rPr/>
        <w:t>Alternativa:</w:t>
      </w:r>
      <w:r>
        <w:rPr>
          <w:spacing w:val="-6"/>
        </w:rPr>
        <w:t> </w:t>
      </w:r>
      <w:r>
        <w:rPr/>
        <w:t>La</w:t>
      </w:r>
      <w:r>
        <w:rPr>
          <w:spacing w:val="-9"/>
        </w:rPr>
        <w:t> </w:t>
      </w:r>
      <w:r>
        <w:rPr/>
        <w:t>aplicación</w:t>
      </w:r>
      <w:r>
        <w:rPr>
          <w:spacing w:val="-10"/>
        </w:rPr>
        <w:t> </w:t>
      </w:r>
      <w:r>
        <w:rPr/>
        <w:t>del</w:t>
      </w:r>
      <w:r>
        <w:rPr>
          <w:spacing w:val="-8"/>
        </w:rPr>
        <w:t> </w:t>
      </w:r>
      <w:r>
        <w:rPr/>
        <w:t>modelo</w:t>
      </w:r>
      <w:r>
        <w:rPr>
          <w:spacing w:val="-10"/>
        </w:rPr>
        <w:t> </w:t>
      </w:r>
      <w:r>
        <w:rPr/>
        <w:t>de</w:t>
      </w:r>
      <w:r>
        <w:rPr>
          <w:spacing w:val="-9"/>
        </w:rPr>
        <w:t> </w:t>
      </w:r>
      <w:r>
        <w:rPr/>
        <w:t>medición</w:t>
      </w:r>
      <w:r>
        <w:rPr>
          <w:spacing w:val="-9"/>
        </w:rPr>
        <w:t> </w:t>
      </w:r>
      <w:r>
        <w:rPr/>
        <w:t>de</w:t>
      </w:r>
      <w:r>
        <w:rPr>
          <w:spacing w:val="-10"/>
        </w:rPr>
        <w:t> </w:t>
      </w:r>
      <w:r>
        <w:rPr/>
        <w:t>la</w:t>
      </w:r>
      <w:r>
        <w:rPr>
          <w:spacing w:val="-6"/>
        </w:rPr>
        <w:t> </w:t>
      </w:r>
      <w:r>
        <w:rPr/>
        <w:t>Deuda</w:t>
      </w:r>
      <w:r>
        <w:rPr>
          <w:spacing w:val="-10"/>
        </w:rPr>
        <w:t> </w:t>
      </w:r>
      <w:r>
        <w:rPr/>
        <w:t>Ecológica</w:t>
      </w:r>
      <w:r>
        <w:rPr>
          <w:spacing w:val="-8"/>
        </w:rPr>
        <w:t> </w:t>
      </w:r>
      <w:r>
        <w:rPr/>
        <w:t>en la ZPLC generará información que puede ser útil para un proceso multicriterial que permita el manejo del CED que se presenta en la zona por la situación de injusticia ambiental que la</w:t>
      </w:r>
      <w:r>
        <w:rPr>
          <w:spacing w:val="-4"/>
        </w:rPr>
        <w:t> </w:t>
      </w:r>
      <w:r>
        <w:rPr/>
        <w:t>caracteriza.</w:t>
      </w:r>
    </w:p>
    <w:p>
      <w:pPr>
        <w:pStyle w:val="BodyText"/>
        <w:spacing w:line="360" w:lineRule="auto" w:before="201"/>
        <w:ind w:left="1200" w:right="1194"/>
        <w:jc w:val="both"/>
      </w:pPr>
      <w:r>
        <w:rPr/>
        <w:t>El proponer la pertinencia del tema que se desarrolla en esta investigación nace de la experiencia</w:t>
      </w:r>
      <w:r>
        <w:rPr>
          <w:spacing w:val="-11"/>
        </w:rPr>
        <w:t> </w:t>
      </w:r>
      <w:r>
        <w:rPr/>
        <w:t>del</w:t>
      </w:r>
      <w:r>
        <w:rPr>
          <w:spacing w:val="-6"/>
        </w:rPr>
        <w:t> </w:t>
      </w:r>
      <w:r>
        <w:rPr/>
        <w:t>autor</w:t>
      </w:r>
      <w:r>
        <w:rPr>
          <w:spacing w:val="-9"/>
        </w:rPr>
        <w:t> </w:t>
      </w:r>
      <w:r>
        <w:rPr/>
        <w:t>en</w:t>
      </w:r>
      <w:r>
        <w:rPr>
          <w:spacing w:val="-11"/>
        </w:rPr>
        <w:t> </w:t>
      </w:r>
      <w:r>
        <w:rPr/>
        <w:t>los</w:t>
      </w:r>
      <w:r>
        <w:rPr>
          <w:spacing w:val="-9"/>
        </w:rPr>
        <w:t> </w:t>
      </w:r>
      <w:r>
        <w:rPr/>
        <w:t>campos</w:t>
      </w:r>
      <w:r>
        <w:rPr>
          <w:spacing w:val="-9"/>
        </w:rPr>
        <w:t> </w:t>
      </w:r>
      <w:r>
        <w:rPr/>
        <w:t>de</w:t>
      </w:r>
      <w:r>
        <w:rPr>
          <w:spacing w:val="-11"/>
        </w:rPr>
        <w:t> </w:t>
      </w:r>
      <w:r>
        <w:rPr/>
        <w:t>la</w:t>
      </w:r>
      <w:r>
        <w:rPr>
          <w:spacing w:val="-6"/>
        </w:rPr>
        <w:t> </w:t>
      </w:r>
      <w:r>
        <w:rPr/>
        <w:t>Economía</w:t>
      </w:r>
      <w:r>
        <w:rPr>
          <w:spacing w:val="-7"/>
        </w:rPr>
        <w:t> </w:t>
      </w:r>
      <w:r>
        <w:rPr/>
        <w:t>Ecológica</w:t>
      </w:r>
      <w:r>
        <w:rPr>
          <w:spacing w:val="-5"/>
        </w:rPr>
        <w:t> </w:t>
      </w:r>
      <w:r>
        <w:rPr/>
        <w:t>y</w:t>
      </w:r>
      <w:r>
        <w:rPr>
          <w:spacing w:val="-13"/>
        </w:rPr>
        <w:t> </w:t>
      </w:r>
      <w:r>
        <w:rPr/>
        <w:t>la</w:t>
      </w:r>
      <w:r>
        <w:rPr>
          <w:spacing w:val="-10"/>
        </w:rPr>
        <w:t> </w:t>
      </w:r>
      <w:r>
        <w:rPr/>
        <w:t>Ecología</w:t>
      </w:r>
      <w:r>
        <w:rPr>
          <w:spacing w:val="-7"/>
        </w:rPr>
        <w:t> </w:t>
      </w:r>
      <w:r>
        <w:rPr/>
        <w:t>Política</w:t>
      </w:r>
      <w:r>
        <w:rPr>
          <w:spacing w:val="-8"/>
        </w:rPr>
        <w:t> </w:t>
      </w:r>
      <w:r>
        <w:rPr>
          <w:spacing w:val="2"/>
        </w:rPr>
        <w:t>que </w:t>
      </w:r>
      <w:r>
        <w:rPr/>
        <w:t>le han permitido desarrollar una perspectiva crítica de las necesidades teóricas y de ciencia aplicada de las que son conocidas hoy en América Latina como ciencias de la sustentabilidad o sostenibilidad. Esta experiencia ha incluido análisis de los modelos de desarrollo</w:t>
      </w:r>
      <w:r>
        <w:rPr>
          <w:spacing w:val="-13"/>
        </w:rPr>
        <w:t> </w:t>
      </w:r>
      <w:r>
        <w:rPr/>
        <w:t>y</w:t>
      </w:r>
      <w:r>
        <w:rPr>
          <w:spacing w:val="-18"/>
        </w:rPr>
        <w:t> </w:t>
      </w:r>
      <w:r>
        <w:rPr/>
        <w:t>el</w:t>
      </w:r>
      <w:r>
        <w:rPr>
          <w:spacing w:val="-16"/>
        </w:rPr>
        <w:t> </w:t>
      </w:r>
      <w:r>
        <w:rPr/>
        <w:t>desarrollo</w:t>
      </w:r>
      <w:r>
        <w:rPr>
          <w:spacing w:val="-16"/>
        </w:rPr>
        <w:t> </w:t>
      </w:r>
      <w:r>
        <w:rPr/>
        <w:t>de</w:t>
      </w:r>
      <w:r>
        <w:rPr>
          <w:spacing w:val="-16"/>
        </w:rPr>
        <w:t> </w:t>
      </w:r>
      <w:r>
        <w:rPr/>
        <w:t>estrategias,</w:t>
      </w:r>
      <w:r>
        <w:rPr>
          <w:spacing w:val="-14"/>
        </w:rPr>
        <w:t> </w:t>
      </w:r>
      <w:r>
        <w:rPr/>
        <w:t>desde</w:t>
      </w:r>
      <w:r>
        <w:rPr>
          <w:spacing w:val="-16"/>
        </w:rPr>
        <w:t> </w:t>
      </w:r>
      <w:r>
        <w:rPr/>
        <w:t>la</w:t>
      </w:r>
      <w:r>
        <w:rPr>
          <w:spacing w:val="-16"/>
        </w:rPr>
        <w:t> </w:t>
      </w:r>
      <w:r>
        <w:rPr/>
        <w:t>perspectiva</w:t>
      </w:r>
      <w:r>
        <w:rPr>
          <w:spacing w:val="-17"/>
        </w:rPr>
        <w:t> </w:t>
      </w:r>
      <w:r>
        <w:rPr/>
        <w:t>de</w:t>
      </w:r>
      <w:r>
        <w:rPr>
          <w:spacing w:val="-16"/>
        </w:rPr>
        <w:t> </w:t>
      </w:r>
      <w:r>
        <w:rPr/>
        <w:t>esas</w:t>
      </w:r>
      <w:r>
        <w:rPr>
          <w:spacing w:val="-15"/>
        </w:rPr>
        <w:t> </w:t>
      </w:r>
      <w:r>
        <w:rPr/>
        <w:t>dos</w:t>
      </w:r>
      <w:r>
        <w:rPr>
          <w:spacing w:val="-14"/>
        </w:rPr>
        <w:t> </w:t>
      </w:r>
      <w:r>
        <w:rPr/>
        <w:t>ciencias</w:t>
      </w:r>
      <w:r>
        <w:rPr>
          <w:spacing w:val="-14"/>
        </w:rPr>
        <w:t> </w:t>
      </w:r>
      <w:r>
        <w:rPr/>
        <w:t>socio- ecológicas, frente a la coyuntura que arroja la realidad de la región en los últimos</w:t>
      </w:r>
      <w:r>
        <w:rPr>
          <w:spacing w:val="-43"/>
        </w:rPr>
        <w:t> </w:t>
      </w:r>
      <w:r>
        <w:rPr/>
        <w:t>treinta años (Aguilar González, et al., 2010; Aguilar González, 2014). Estas reflexiones han resultado en la propuesta de puntos de priorización para el trabajo de estas ciencias en coaliciones sociales entre entidades académicas y de la sociedad civil de la región (Aguilar González,</w:t>
      </w:r>
      <w:r>
        <w:rPr>
          <w:spacing w:val="1"/>
        </w:rPr>
        <w:t> </w:t>
      </w:r>
      <w:r>
        <w:rPr/>
        <w:t>2017).</w:t>
      </w:r>
    </w:p>
    <w:p>
      <w:pPr>
        <w:pStyle w:val="BodyText"/>
        <w:spacing w:line="360" w:lineRule="auto" w:before="199"/>
        <w:ind w:left="1200" w:right="1198"/>
        <w:jc w:val="both"/>
      </w:pPr>
      <w:r>
        <w:rPr/>
        <w:t>Se plantea en primer lugar la necesidad de visualizar y promover el papel fundamental de la participación social para responder a las exigencias de la democracia de hoy en la región.</w:t>
      </w:r>
      <w:r>
        <w:rPr>
          <w:spacing w:val="-7"/>
        </w:rPr>
        <w:t> </w:t>
      </w:r>
      <w:r>
        <w:rPr/>
        <w:t>Específicamente</w:t>
      </w:r>
      <w:r>
        <w:rPr>
          <w:spacing w:val="-10"/>
        </w:rPr>
        <w:t> </w:t>
      </w:r>
      <w:r>
        <w:rPr/>
        <w:t>se</w:t>
      </w:r>
      <w:r>
        <w:rPr>
          <w:spacing w:val="-9"/>
        </w:rPr>
        <w:t> </w:t>
      </w:r>
      <w:r>
        <w:rPr/>
        <w:t>propone</w:t>
      </w:r>
      <w:r>
        <w:rPr>
          <w:spacing w:val="-10"/>
        </w:rPr>
        <w:t> </w:t>
      </w:r>
      <w:r>
        <w:rPr/>
        <w:t>que</w:t>
      </w:r>
      <w:r>
        <w:rPr>
          <w:spacing w:val="-9"/>
        </w:rPr>
        <w:t> </w:t>
      </w:r>
      <w:r>
        <w:rPr/>
        <w:t>los</w:t>
      </w:r>
      <w:r>
        <w:rPr>
          <w:spacing w:val="-8"/>
        </w:rPr>
        <w:t> </w:t>
      </w:r>
      <w:r>
        <w:rPr/>
        <w:t>modelos</w:t>
      </w:r>
      <w:r>
        <w:rPr>
          <w:spacing w:val="-8"/>
        </w:rPr>
        <w:t> </w:t>
      </w:r>
      <w:r>
        <w:rPr/>
        <w:t>participativos</w:t>
      </w:r>
      <w:r>
        <w:rPr>
          <w:spacing w:val="-8"/>
        </w:rPr>
        <w:t> </w:t>
      </w:r>
      <w:r>
        <w:rPr/>
        <w:t>de</w:t>
      </w:r>
      <w:r>
        <w:rPr>
          <w:spacing w:val="-9"/>
        </w:rPr>
        <w:t> </w:t>
      </w:r>
      <w:r>
        <w:rPr/>
        <w:t>gestión</w:t>
      </w:r>
      <w:r>
        <w:rPr>
          <w:spacing w:val="-10"/>
        </w:rPr>
        <w:t> </w:t>
      </w:r>
      <w:r>
        <w:rPr/>
        <w:t>ambiental son</w:t>
      </w:r>
      <w:r>
        <w:rPr>
          <w:spacing w:val="39"/>
        </w:rPr>
        <w:t> </w:t>
      </w:r>
      <w:r>
        <w:rPr/>
        <w:t>superiores</w:t>
      </w:r>
      <w:r>
        <w:rPr>
          <w:spacing w:val="40"/>
        </w:rPr>
        <w:t> </w:t>
      </w:r>
      <w:r>
        <w:rPr/>
        <w:t>para</w:t>
      </w:r>
      <w:r>
        <w:rPr>
          <w:spacing w:val="40"/>
        </w:rPr>
        <w:t> </w:t>
      </w:r>
      <w:r>
        <w:rPr/>
        <w:t>asegurar</w:t>
      </w:r>
      <w:r>
        <w:rPr>
          <w:spacing w:val="40"/>
        </w:rPr>
        <w:t> </w:t>
      </w:r>
      <w:r>
        <w:rPr/>
        <w:t>la</w:t>
      </w:r>
      <w:r>
        <w:rPr>
          <w:spacing w:val="40"/>
        </w:rPr>
        <w:t> </w:t>
      </w:r>
      <w:r>
        <w:rPr/>
        <w:t>protección</w:t>
      </w:r>
      <w:r>
        <w:rPr>
          <w:spacing w:val="42"/>
        </w:rPr>
        <w:t> </w:t>
      </w:r>
      <w:r>
        <w:rPr/>
        <w:t>y</w:t>
      </w:r>
      <w:r>
        <w:rPr>
          <w:spacing w:val="36"/>
        </w:rPr>
        <w:t> </w:t>
      </w:r>
      <w:r>
        <w:rPr/>
        <w:t>justa</w:t>
      </w:r>
      <w:r>
        <w:rPr>
          <w:spacing w:val="40"/>
        </w:rPr>
        <w:t> </w:t>
      </w:r>
      <w:r>
        <w:rPr/>
        <w:t>distribución</w:t>
      </w:r>
      <w:r>
        <w:rPr>
          <w:spacing w:val="39"/>
        </w:rPr>
        <w:t> </w:t>
      </w:r>
      <w:r>
        <w:rPr/>
        <w:t>de</w:t>
      </w:r>
      <w:r>
        <w:rPr>
          <w:spacing w:val="40"/>
        </w:rPr>
        <w:t> </w:t>
      </w:r>
      <w:r>
        <w:rPr/>
        <w:t>los</w:t>
      </w:r>
      <w:r>
        <w:rPr>
          <w:spacing w:val="40"/>
        </w:rPr>
        <w:t> </w:t>
      </w:r>
      <w:r>
        <w:rPr/>
        <w:t>beneficios</w:t>
      </w:r>
      <w:r>
        <w:rPr>
          <w:spacing w:val="41"/>
        </w:rPr>
        <w:t> </w:t>
      </w:r>
      <w:r>
        <w:rPr/>
        <w:t>del</w:t>
      </w:r>
    </w:p>
    <w:p>
      <w:pPr>
        <w:spacing w:after="0" w:line="360" w:lineRule="auto"/>
        <w:jc w:val="both"/>
        <w:sectPr>
          <w:pgSz w:w="12240" w:h="15840"/>
          <w:pgMar w:header="0" w:footer="1062" w:top="1360" w:bottom="1260" w:left="240" w:right="240"/>
        </w:sectPr>
      </w:pPr>
    </w:p>
    <w:p>
      <w:pPr>
        <w:pStyle w:val="BodyText"/>
        <w:spacing w:line="357" w:lineRule="auto" w:before="74"/>
        <w:ind w:left="1200" w:right="1198"/>
        <w:jc w:val="both"/>
      </w:pPr>
      <w:r>
        <w:rPr/>
        <w:t>Espacio Ambiental</w:t>
      </w:r>
      <w:r>
        <w:rPr>
          <w:position w:val="8"/>
          <w:sz w:val="16"/>
        </w:rPr>
        <w:t>10 </w:t>
      </w:r>
      <w:r>
        <w:rPr/>
        <w:t>en razón de su capacidad para manejar las dinámicas de complejidad emergente</w:t>
      </w:r>
      <w:r>
        <w:rPr>
          <w:position w:val="8"/>
          <w:sz w:val="16"/>
        </w:rPr>
        <w:t>11 </w:t>
      </w:r>
      <w:r>
        <w:rPr/>
        <w:t>que caracterizan a los sistemas socio-ecológicos (Sepúlveda- Machado &amp; Aguilar-González, 2015; Aguilar-González, et al., 2018).</w:t>
      </w:r>
    </w:p>
    <w:p>
      <w:pPr>
        <w:pStyle w:val="BodyText"/>
        <w:spacing w:line="360" w:lineRule="auto" w:before="202"/>
        <w:ind w:left="1200" w:right="1197"/>
        <w:jc w:val="both"/>
      </w:pPr>
      <w:r>
        <w:rPr/>
        <w:t>Esta propuesta parte las conclusiones halladas producto del estudio de las causas, comportamiento y efectos de la conflictividad socio-ambiental (CSA) en la región centroamericana realizado en colaboración con diversas entidades de investigación</w:t>
      </w:r>
      <w:r>
        <w:rPr>
          <w:position w:val="8"/>
          <w:sz w:val="16"/>
        </w:rPr>
        <w:t>12</w:t>
      </w:r>
      <w:r>
        <w:rPr/>
        <w:t>. Respecto</w:t>
      </w:r>
      <w:r>
        <w:rPr>
          <w:spacing w:val="-17"/>
        </w:rPr>
        <w:t> </w:t>
      </w:r>
      <w:r>
        <w:rPr/>
        <w:t>al</w:t>
      </w:r>
      <w:r>
        <w:rPr>
          <w:spacing w:val="-15"/>
        </w:rPr>
        <w:t> </w:t>
      </w:r>
      <w:r>
        <w:rPr/>
        <w:t>origen</w:t>
      </w:r>
      <w:r>
        <w:rPr>
          <w:spacing w:val="-16"/>
        </w:rPr>
        <w:t> </w:t>
      </w:r>
      <w:r>
        <w:rPr/>
        <w:t>de</w:t>
      </w:r>
      <w:r>
        <w:rPr>
          <w:spacing w:val="-17"/>
        </w:rPr>
        <w:t> </w:t>
      </w:r>
      <w:r>
        <w:rPr/>
        <w:t>la</w:t>
      </w:r>
      <w:r>
        <w:rPr>
          <w:spacing w:val="-16"/>
        </w:rPr>
        <w:t> </w:t>
      </w:r>
      <w:r>
        <w:rPr/>
        <w:t>conflictividad,</w:t>
      </w:r>
      <w:r>
        <w:rPr>
          <w:spacing w:val="-14"/>
        </w:rPr>
        <w:t> </w:t>
      </w:r>
      <w:r>
        <w:rPr/>
        <w:t>abraza</w:t>
      </w:r>
      <w:r>
        <w:rPr>
          <w:spacing w:val="-13"/>
        </w:rPr>
        <w:t> </w:t>
      </w:r>
      <w:r>
        <w:rPr/>
        <w:t>la</w:t>
      </w:r>
      <w:r>
        <w:rPr>
          <w:spacing w:val="-17"/>
        </w:rPr>
        <w:t> </w:t>
      </w:r>
      <w:r>
        <w:rPr/>
        <w:t>conclusión</w:t>
      </w:r>
      <w:r>
        <w:rPr>
          <w:spacing w:val="-15"/>
        </w:rPr>
        <w:t> </w:t>
      </w:r>
      <w:r>
        <w:rPr/>
        <w:t>de</w:t>
      </w:r>
      <w:r>
        <w:rPr>
          <w:spacing w:val="-16"/>
        </w:rPr>
        <w:t> </w:t>
      </w:r>
      <w:r>
        <w:rPr/>
        <w:t>que</w:t>
      </w:r>
      <w:r>
        <w:rPr>
          <w:spacing w:val="-17"/>
        </w:rPr>
        <w:t> </w:t>
      </w:r>
      <w:r>
        <w:rPr/>
        <w:t>se</w:t>
      </w:r>
      <w:r>
        <w:rPr>
          <w:spacing w:val="-16"/>
        </w:rPr>
        <w:t> </w:t>
      </w:r>
      <w:r>
        <w:rPr/>
        <w:t>origina,</w:t>
      </w:r>
      <w:r>
        <w:rPr>
          <w:spacing w:val="-14"/>
        </w:rPr>
        <w:t> </w:t>
      </w:r>
      <w:r>
        <w:rPr/>
        <w:t>entre</w:t>
      </w:r>
      <w:r>
        <w:rPr>
          <w:spacing w:val="-16"/>
        </w:rPr>
        <w:t> </w:t>
      </w:r>
      <w:r>
        <w:rPr/>
        <w:t>otras causas, en la imposición de lenguajes de valoración económica que representan una visión</w:t>
      </w:r>
      <w:r>
        <w:rPr>
          <w:spacing w:val="-18"/>
        </w:rPr>
        <w:t> </w:t>
      </w:r>
      <w:r>
        <w:rPr/>
        <w:t>particular</w:t>
      </w:r>
      <w:r>
        <w:rPr>
          <w:spacing w:val="-15"/>
        </w:rPr>
        <w:t> </w:t>
      </w:r>
      <w:r>
        <w:rPr/>
        <w:t>del</w:t>
      </w:r>
      <w:r>
        <w:rPr>
          <w:spacing w:val="-17"/>
        </w:rPr>
        <w:t> </w:t>
      </w:r>
      <w:r>
        <w:rPr/>
        <w:t>mundo,</w:t>
      </w:r>
      <w:r>
        <w:rPr>
          <w:spacing w:val="-14"/>
        </w:rPr>
        <w:t> </w:t>
      </w:r>
      <w:r>
        <w:rPr/>
        <w:t>luego</w:t>
      </w:r>
      <w:r>
        <w:rPr>
          <w:spacing w:val="-18"/>
        </w:rPr>
        <w:t> </w:t>
      </w:r>
      <w:r>
        <w:rPr/>
        <w:t>de</w:t>
      </w:r>
      <w:r>
        <w:rPr>
          <w:spacing w:val="-17"/>
        </w:rPr>
        <w:t> </w:t>
      </w:r>
      <w:r>
        <w:rPr/>
        <w:t>examinar</w:t>
      </w:r>
      <w:r>
        <w:rPr>
          <w:spacing w:val="-16"/>
        </w:rPr>
        <w:t> </w:t>
      </w:r>
      <w:r>
        <w:rPr/>
        <w:t>en</w:t>
      </w:r>
      <w:r>
        <w:rPr>
          <w:spacing w:val="-17"/>
        </w:rPr>
        <w:t> </w:t>
      </w:r>
      <w:r>
        <w:rPr/>
        <w:t>detalle</w:t>
      </w:r>
      <w:r>
        <w:rPr>
          <w:spacing w:val="-17"/>
        </w:rPr>
        <w:t> </w:t>
      </w:r>
      <w:r>
        <w:rPr/>
        <w:t>la</w:t>
      </w:r>
      <w:r>
        <w:rPr>
          <w:spacing w:val="-18"/>
        </w:rPr>
        <w:t> </w:t>
      </w:r>
      <w:r>
        <w:rPr/>
        <w:t>relación</w:t>
      </w:r>
      <w:r>
        <w:rPr>
          <w:spacing w:val="-17"/>
        </w:rPr>
        <w:t> </w:t>
      </w:r>
      <w:r>
        <w:rPr/>
        <w:t>entre</w:t>
      </w:r>
      <w:r>
        <w:rPr>
          <w:spacing w:val="-17"/>
        </w:rPr>
        <w:t> </w:t>
      </w:r>
      <w:r>
        <w:rPr/>
        <w:t>los</w:t>
      </w:r>
      <w:r>
        <w:rPr>
          <w:spacing w:val="-16"/>
        </w:rPr>
        <w:t> </w:t>
      </w:r>
      <w:r>
        <w:rPr/>
        <w:t>paradigmas económicos y estos lenguajes (Aguilar, 2002; Aguilar González, 2007; Martínez-Alier, et al., 2010; Martínez-Alier, 2011; Svampa, 2013; Aguilar-González, et al.,</w:t>
      </w:r>
      <w:r>
        <w:rPr>
          <w:spacing w:val="-5"/>
        </w:rPr>
        <w:t> </w:t>
      </w:r>
      <w:r>
        <w:rPr/>
        <w:t>2018).</w:t>
      </w:r>
    </w:p>
    <w:p>
      <w:pPr>
        <w:pStyle w:val="BodyText"/>
        <w:spacing w:line="360" w:lineRule="auto" w:before="196"/>
        <w:ind w:left="1200" w:right="1195"/>
        <w:jc w:val="both"/>
      </w:pPr>
      <w:r>
        <w:rPr/>
        <w:t>De allí se acepta la pertinencia del enfoque de la Economía Ecológica en tanto propone una diversidad de enfoques metodológicos de conformidad con la naturaleza de los contextos en los que se aplica la valoración. Por ello, luego de conocer los planteamientos</w:t>
      </w:r>
      <w:r>
        <w:rPr>
          <w:spacing w:val="-4"/>
        </w:rPr>
        <w:t> </w:t>
      </w:r>
      <w:r>
        <w:rPr/>
        <w:t>de</w:t>
      </w:r>
      <w:r>
        <w:rPr>
          <w:spacing w:val="-6"/>
        </w:rPr>
        <w:t> </w:t>
      </w:r>
      <w:r>
        <w:rPr/>
        <w:t>algunos</w:t>
      </w:r>
      <w:r>
        <w:rPr>
          <w:spacing w:val="-4"/>
        </w:rPr>
        <w:t> </w:t>
      </w:r>
      <w:r>
        <w:rPr/>
        <w:t>de</w:t>
      </w:r>
      <w:r>
        <w:rPr>
          <w:spacing w:val="-6"/>
        </w:rPr>
        <w:t> </w:t>
      </w:r>
      <w:r>
        <w:rPr/>
        <w:t>los</w:t>
      </w:r>
      <w:r>
        <w:rPr>
          <w:spacing w:val="-3"/>
        </w:rPr>
        <w:t> </w:t>
      </w:r>
      <w:r>
        <w:rPr/>
        <w:t>fundadores</w:t>
      </w:r>
      <w:r>
        <w:rPr>
          <w:spacing w:val="-4"/>
        </w:rPr>
        <w:t> </w:t>
      </w:r>
      <w:r>
        <w:rPr/>
        <w:t>de</w:t>
      </w:r>
      <w:r>
        <w:rPr>
          <w:spacing w:val="-6"/>
        </w:rPr>
        <w:t> </w:t>
      </w:r>
      <w:r>
        <w:rPr/>
        <w:t>esta</w:t>
      </w:r>
      <w:r>
        <w:rPr>
          <w:spacing w:val="-6"/>
        </w:rPr>
        <w:t> </w:t>
      </w:r>
      <w:r>
        <w:rPr/>
        <w:t>transdisciplina</w:t>
      </w:r>
      <w:r>
        <w:rPr>
          <w:spacing w:val="-5"/>
        </w:rPr>
        <w:t> </w:t>
      </w:r>
      <w:r>
        <w:rPr/>
        <w:t>en</w:t>
      </w:r>
      <w:r>
        <w:rPr>
          <w:spacing w:val="-6"/>
        </w:rPr>
        <w:t> </w:t>
      </w:r>
      <w:r>
        <w:rPr/>
        <w:t>los</w:t>
      </w:r>
      <w:r>
        <w:rPr>
          <w:spacing w:val="-4"/>
        </w:rPr>
        <w:t> </w:t>
      </w:r>
      <w:r>
        <w:rPr/>
        <w:t>EEUU</w:t>
      </w:r>
      <w:r>
        <w:rPr>
          <w:spacing w:val="-6"/>
        </w:rPr>
        <w:t> </w:t>
      </w:r>
      <w:r>
        <w:rPr/>
        <w:t>como Herman Daly, Nicholas Georgescu-Roegen y Robert Costanza, el autor explora la aplicabilidad de los métodos biofísicos y monetarios a las necesidades de la región centroamericana (Aguilar, 2002; Aguilar González,</w:t>
      </w:r>
      <w:r>
        <w:rPr>
          <w:spacing w:val="1"/>
        </w:rPr>
        <w:t> </w:t>
      </w:r>
      <w:r>
        <w:rPr/>
        <w:t>2007).</w:t>
      </w:r>
    </w:p>
    <w:p>
      <w:pPr>
        <w:pStyle w:val="BodyText"/>
        <w:spacing w:line="360" w:lineRule="auto" w:before="203"/>
        <w:ind w:left="1200" w:right="1193"/>
        <w:jc w:val="both"/>
      </w:pPr>
      <w:r>
        <w:rPr/>
        <w:t>Comprende la relevancia del papel que juegan las relaciones de poder en la imposición de un lenguaje de valoración determinado y por ello el trabajo se enfoca en dos direcciones.</w:t>
      </w:r>
      <w:r>
        <w:rPr>
          <w:spacing w:val="-11"/>
        </w:rPr>
        <w:t> </w:t>
      </w:r>
      <w:r>
        <w:rPr/>
        <w:t>En</w:t>
      </w:r>
      <w:r>
        <w:rPr>
          <w:spacing w:val="-12"/>
        </w:rPr>
        <w:t> </w:t>
      </w:r>
      <w:r>
        <w:rPr/>
        <w:t>primer</w:t>
      </w:r>
      <w:r>
        <w:rPr>
          <w:spacing w:val="-11"/>
        </w:rPr>
        <w:t> </w:t>
      </w:r>
      <w:r>
        <w:rPr/>
        <w:t>lugar,</w:t>
      </w:r>
      <w:r>
        <w:rPr>
          <w:spacing w:val="-9"/>
        </w:rPr>
        <w:t> </w:t>
      </w:r>
      <w:r>
        <w:rPr/>
        <w:t>se</w:t>
      </w:r>
      <w:r>
        <w:rPr>
          <w:spacing w:val="-12"/>
        </w:rPr>
        <w:t> </w:t>
      </w:r>
      <w:r>
        <w:rPr/>
        <w:t>enfoca</w:t>
      </w:r>
      <w:r>
        <w:rPr>
          <w:spacing w:val="-13"/>
        </w:rPr>
        <w:t> </w:t>
      </w:r>
      <w:r>
        <w:rPr/>
        <w:t>en</w:t>
      </w:r>
      <w:r>
        <w:rPr>
          <w:spacing w:val="-12"/>
        </w:rPr>
        <w:t> </w:t>
      </w:r>
      <w:r>
        <w:rPr/>
        <w:t>la</w:t>
      </w:r>
      <w:r>
        <w:rPr>
          <w:spacing w:val="-13"/>
        </w:rPr>
        <w:t> </w:t>
      </w:r>
      <w:r>
        <w:rPr/>
        <w:t>aplicabilidad</w:t>
      </w:r>
      <w:r>
        <w:rPr>
          <w:spacing w:val="-13"/>
        </w:rPr>
        <w:t> </w:t>
      </w:r>
      <w:r>
        <w:rPr/>
        <w:t>de</w:t>
      </w:r>
      <w:r>
        <w:rPr>
          <w:spacing w:val="-13"/>
        </w:rPr>
        <w:t> </w:t>
      </w:r>
      <w:r>
        <w:rPr/>
        <w:t>metodologías</w:t>
      </w:r>
      <w:r>
        <w:rPr>
          <w:spacing w:val="-11"/>
        </w:rPr>
        <w:t> </w:t>
      </w:r>
      <w:r>
        <w:rPr/>
        <w:t>participativas y multicriteriales de valoración, conforme se desarrollan en el Capítulo II.B.3 de esta investigación, que permiten no solamente abordar la complejidad de los sistemas socio- ecológicos sin sobre simplificarla, sino la expresión con similar validez de todos los lenguajes de valoración, sean estos cualitativos, monetarios o biofísicos.</w:t>
      </w:r>
      <w:r>
        <w:rPr>
          <w:spacing w:val="-8"/>
        </w:rPr>
        <w:t> </w:t>
      </w:r>
      <w:r>
        <w:rPr/>
        <w:t>Esta</w:t>
      </w:r>
    </w:p>
    <w:p>
      <w:pPr>
        <w:pStyle w:val="BodyText"/>
        <w:spacing w:before="7"/>
        <w:rPr>
          <w:sz w:val="21"/>
        </w:rPr>
      </w:pPr>
      <w:r>
        <w:rPr/>
        <w:pict>
          <v:rect style="position:absolute;margin-left:72.025002pt;margin-top:14.41379pt;width:144.050pt;height:.599980pt;mso-position-horizontal-relative:page;mso-position-vertical-relative:paragraph;z-index:-15708672;mso-wrap-distance-left:0;mso-wrap-distance-right:0" filled="true" fillcolor="#000000" stroked="false">
            <v:fill type="solid"/>
            <w10:wrap type="topAndBottom"/>
          </v:rect>
        </w:pict>
      </w:r>
    </w:p>
    <w:p>
      <w:pPr>
        <w:spacing w:before="71"/>
        <w:ind w:left="1200" w:right="1206" w:firstLine="0"/>
        <w:jc w:val="left"/>
        <w:rPr>
          <w:sz w:val="20"/>
        </w:rPr>
      </w:pPr>
      <w:r>
        <w:rPr>
          <w:sz w:val="20"/>
          <w:vertAlign w:val="superscript"/>
        </w:rPr>
        <w:t>10</w:t>
      </w:r>
      <w:r>
        <w:rPr>
          <w:sz w:val="20"/>
          <w:vertAlign w:val="baseline"/>
        </w:rPr>
        <w:t>El Espacio Ambiental se define como las cantidades máximas de recursos naturales que podemos usar de una manera sostenible (Riechmann, 2003).</w:t>
      </w:r>
    </w:p>
    <w:p>
      <w:pPr>
        <w:spacing w:before="0"/>
        <w:ind w:left="1200" w:right="1252" w:firstLine="0"/>
        <w:jc w:val="left"/>
        <w:rPr>
          <w:sz w:val="20"/>
        </w:rPr>
      </w:pPr>
      <w:r>
        <w:rPr>
          <w:sz w:val="20"/>
          <w:vertAlign w:val="superscript"/>
        </w:rPr>
        <w:t>11</w:t>
      </w:r>
      <w:r>
        <w:rPr>
          <w:sz w:val="20"/>
          <w:vertAlign w:val="baseline"/>
        </w:rPr>
        <w:t> Las dinámicas de complejidad emergente se refieren a propiedades de los sistemas que se presentan de conformidad con patrones de comportamiento aleatorio, haciendo difíciles los ejercicios de modelación científica de algunas variables especialmente con base en patrones fijos como el lineal, logarítmico o exponencial (Gell-Mann, 1996).</w:t>
      </w:r>
    </w:p>
    <w:p>
      <w:pPr>
        <w:spacing w:before="1"/>
        <w:ind w:left="1200" w:right="0" w:firstLine="0"/>
        <w:jc w:val="left"/>
        <w:rPr>
          <w:sz w:val="20"/>
        </w:rPr>
      </w:pPr>
      <w:r>
        <w:rPr>
          <w:sz w:val="20"/>
          <w:vertAlign w:val="superscript"/>
        </w:rPr>
        <w:t>12</w:t>
      </w:r>
      <w:r>
        <w:rPr>
          <w:sz w:val="20"/>
          <w:vertAlign w:val="baseline"/>
        </w:rPr>
        <w:t> Entre ellas con investigadores de la Universidad de Barcelona y de la Universidad de Cali, Colombia.</w:t>
      </w:r>
    </w:p>
    <w:p>
      <w:pPr>
        <w:spacing w:after="0"/>
        <w:jc w:val="left"/>
        <w:rPr>
          <w:sz w:val="20"/>
        </w:rPr>
        <w:sectPr>
          <w:pgSz w:w="12240" w:h="15840"/>
          <w:pgMar w:header="0" w:footer="1062" w:top="1360" w:bottom="1260" w:left="240" w:right="240"/>
        </w:sectPr>
      </w:pPr>
    </w:p>
    <w:p>
      <w:pPr>
        <w:pStyle w:val="BodyText"/>
        <w:spacing w:line="360" w:lineRule="auto" w:before="79"/>
        <w:ind w:left="1200" w:right="1198"/>
        <w:jc w:val="both"/>
      </w:pPr>
      <w:r>
        <w:rPr/>
        <w:t>perspectiva promueve la justicia ambiental en tanto pone en un plano más equitativo no sólo</w:t>
      </w:r>
      <w:r>
        <w:rPr>
          <w:spacing w:val="-20"/>
        </w:rPr>
        <w:t> </w:t>
      </w:r>
      <w:r>
        <w:rPr/>
        <w:t>a</w:t>
      </w:r>
      <w:r>
        <w:rPr>
          <w:spacing w:val="-16"/>
        </w:rPr>
        <w:t> </w:t>
      </w:r>
      <w:r>
        <w:rPr/>
        <w:t>los</w:t>
      </w:r>
      <w:r>
        <w:rPr>
          <w:spacing w:val="-15"/>
        </w:rPr>
        <w:t> </w:t>
      </w:r>
      <w:r>
        <w:rPr/>
        <w:t>diversos</w:t>
      </w:r>
      <w:r>
        <w:rPr>
          <w:spacing w:val="-18"/>
        </w:rPr>
        <w:t> </w:t>
      </w:r>
      <w:r>
        <w:rPr/>
        <w:t>grupos</w:t>
      </w:r>
      <w:r>
        <w:rPr>
          <w:spacing w:val="-18"/>
        </w:rPr>
        <w:t> </w:t>
      </w:r>
      <w:r>
        <w:rPr/>
        <w:t>sociales</w:t>
      </w:r>
      <w:r>
        <w:rPr>
          <w:spacing w:val="-14"/>
        </w:rPr>
        <w:t> </w:t>
      </w:r>
      <w:r>
        <w:rPr/>
        <w:t>y</w:t>
      </w:r>
      <w:r>
        <w:rPr>
          <w:spacing w:val="-21"/>
        </w:rPr>
        <w:t> </w:t>
      </w:r>
      <w:r>
        <w:rPr/>
        <w:t>culturales,</w:t>
      </w:r>
      <w:r>
        <w:rPr>
          <w:spacing w:val="-18"/>
        </w:rPr>
        <w:t> </w:t>
      </w:r>
      <w:r>
        <w:rPr/>
        <w:t>sino</w:t>
      </w:r>
      <w:r>
        <w:rPr>
          <w:spacing w:val="-19"/>
        </w:rPr>
        <w:t> </w:t>
      </w:r>
      <w:r>
        <w:rPr/>
        <w:t>a</w:t>
      </w:r>
      <w:r>
        <w:rPr>
          <w:spacing w:val="-20"/>
        </w:rPr>
        <w:t> </w:t>
      </w:r>
      <w:r>
        <w:rPr/>
        <w:t>las</w:t>
      </w:r>
      <w:r>
        <w:rPr>
          <w:spacing w:val="-18"/>
        </w:rPr>
        <w:t> </w:t>
      </w:r>
      <w:r>
        <w:rPr/>
        <w:t>diversas</w:t>
      </w:r>
      <w:r>
        <w:rPr>
          <w:spacing w:val="-18"/>
        </w:rPr>
        <w:t> </w:t>
      </w:r>
      <w:r>
        <w:rPr/>
        <w:t>especies</w:t>
      </w:r>
      <w:r>
        <w:rPr>
          <w:spacing w:val="-11"/>
        </w:rPr>
        <w:t> </w:t>
      </w:r>
      <w:r>
        <w:rPr/>
        <w:t>Así,</w:t>
      </w:r>
      <w:r>
        <w:rPr>
          <w:spacing w:val="-17"/>
        </w:rPr>
        <w:t> </w:t>
      </w:r>
      <w:r>
        <w:rPr/>
        <w:t>participa en la aplicación de metodologías multicriteriales en el contexto de los problemas de política que afectan a las áreas silvestres protegidas de manejo y propiedad mixta en Costa Rica: las zonas protectoras del Valle Central y el Humedal Nacional Térraba- Sierpe en la región Pacífico Sur (Aguilar González, 2009; Aguilar-González &amp; Moulaert, 2013; Aguilar González,</w:t>
      </w:r>
      <w:r>
        <w:rPr>
          <w:spacing w:val="2"/>
        </w:rPr>
        <w:t> </w:t>
      </w:r>
      <w:r>
        <w:rPr/>
        <w:t>2014).</w:t>
      </w:r>
    </w:p>
    <w:p>
      <w:pPr>
        <w:pStyle w:val="BodyText"/>
        <w:spacing w:line="360" w:lineRule="auto" w:before="199"/>
        <w:ind w:left="1200" w:right="1193"/>
        <w:jc w:val="both"/>
      </w:pPr>
      <w:r>
        <w:rPr/>
        <w:t>En segundo lugar, explora los conceptos desarrollados desde la Ecología Política que buscan equilibrar las relaciones de poder y que son producto de procesos científicos constructivistas que combinan los esfuerzos de la sociedad civil y la academia. En esta línea se trabaja en la adopción teórico-jurídica de conceptos como la Deuda Ecológica con el fin de aplicarlos en diversos contextos de injusticia ambiental. Así, </w:t>
      </w:r>
      <w:r>
        <w:rPr>
          <w:spacing w:val="-3"/>
        </w:rPr>
        <w:t>se </w:t>
      </w:r>
      <w:r>
        <w:rPr/>
        <w:t>apoya una visión </w:t>
      </w:r>
      <w:r>
        <w:rPr>
          <w:spacing w:val="-2"/>
        </w:rPr>
        <w:t>más </w:t>
      </w:r>
      <w:r>
        <w:rPr/>
        <w:t>amplia en la utilización de las herramientas económicas aplicadas a los problemas ambientales de la realidad prevaleciente hoy día en nuestra región donde el uso de mecanismos de política como los pagos por servicios ambientales ha limitado la aplicabilidad de esas herramientas a la monetarización de los servicios ambientales y a la</w:t>
      </w:r>
      <w:r>
        <w:rPr>
          <w:spacing w:val="-10"/>
        </w:rPr>
        <w:t> </w:t>
      </w:r>
      <w:r>
        <w:rPr/>
        <w:t>promoción</w:t>
      </w:r>
      <w:r>
        <w:rPr>
          <w:spacing w:val="-9"/>
        </w:rPr>
        <w:t> </w:t>
      </w:r>
      <w:r>
        <w:rPr/>
        <w:t>del</w:t>
      </w:r>
      <w:r>
        <w:rPr>
          <w:spacing w:val="-8"/>
        </w:rPr>
        <w:t> </w:t>
      </w:r>
      <w:r>
        <w:rPr/>
        <w:t>mercado</w:t>
      </w:r>
      <w:r>
        <w:rPr>
          <w:spacing w:val="-9"/>
        </w:rPr>
        <w:t> </w:t>
      </w:r>
      <w:r>
        <w:rPr/>
        <w:t>como</w:t>
      </w:r>
      <w:r>
        <w:rPr>
          <w:spacing w:val="-10"/>
        </w:rPr>
        <w:t> </w:t>
      </w:r>
      <w:r>
        <w:rPr/>
        <w:t>única</w:t>
      </w:r>
      <w:r>
        <w:rPr>
          <w:spacing w:val="-5"/>
        </w:rPr>
        <w:t> </w:t>
      </w:r>
      <w:r>
        <w:rPr/>
        <w:t>institución</w:t>
      </w:r>
      <w:r>
        <w:rPr>
          <w:spacing w:val="-9"/>
        </w:rPr>
        <w:t> </w:t>
      </w:r>
      <w:r>
        <w:rPr/>
        <w:t>prevalente</w:t>
      </w:r>
      <w:r>
        <w:rPr>
          <w:spacing w:val="-9"/>
        </w:rPr>
        <w:t> </w:t>
      </w:r>
      <w:r>
        <w:rPr/>
        <w:t>en</w:t>
      </w:r>
      <w:r>
        <w:rPr>
          <w:spacing w:val="-10"/>
        </w:rPr>
        <w:t> </w:t>
      </w:r>
      <w:r>
        <w:rPr/>
        <w:t>esa</w:t>
      </w:r>
      <w:r>
        <w:rPr>
          <w:spacing w:val="-9"/>
        </w:rPr>
        <w:t> </w:t>
      </w:r>
      <w:r>
        <w:rPr/>
        <w:t>dinámica</w:t>
      </w:r>
      <w:r>
        <w:rPr>
          <w:spacing w:val="-5"/>
        </w:rPr>
        <w:t> </w:t>
      </w:r>
      <w:r>
        <w:rPr/>
        <w:t>económica (Muradian, et al., 2013). Asimismo, se propone la necesidad de una adaptación conceptual de nociones como el de Deuda Ecológica que permita la aplicación de una perspectiva</w:t>
      </w:r>
      <w:r>
        <w:rPr>
          <w:spacing w:val="-18"/>
        </w:rPr>
        <w:t> </w:t>
      </w:r>
      <w:r>
        <w:rPr/>
        <w:t>de</w:t>
      </w:r>
      <w:r>
        <w:rPr>
          <w:spacing w:val="-17"/>
        </w:rPr>
        <w:t> </w:t>
      </w:r>
      <w:r>
        <w:rPr/>
        <w:t>derechos</w:t>
      </w:r>
      <w:r>
        <w:rPr>
          <w:spacing w:val="-16"/>
        </w:rPr>
        <w:t> </w:t>
      </w:r>
      <w:r>
        <w:rPr/>
        <w:t>que</w:t>
      </w:r>
      <w:r>
        <w:rPr>
          <w:spacing w:val="-17"/>
        </w:rPr>
        <w:t> </w:t>
      </w:r>
      <w:r>
        <w:rPr/>
        <w:t>provienen</w:t>
      </w:r>
      <w:r>
        <w:rPr>
          <w:spacing w:val="-17"/>
        </w:rPr>
        <w:t> </w:t>
      </w:r>
      <w:r>
        <w:rPr/>
        <w:t>del</w:t>
      </w:r>
      <w:r>
        <w:rPr>
          <w:spacing w:val="-17"/>
        </w:rPr>
        <w:t> </w:t>
      </w:r>
      <w:r>
        <w:rPr/>
        <w:t>derecho</w:t>
      </w:r>
      <w:r>
        <w:rPr>
          <w:spacing w:val="-17"/>
        </w:rPr>
        <w:t> </w:t>
      </w:r>
      <w:r>
        <w:rPr/>
        <w:t>humano</w:t>
      </w:r>
      <w:r>
        <w:rPr>
          <w:spacing w:val="-17"/>
        </w:rPr>
        <w:t> </w:t>
      </w:r>
      <w:r>
        <w:rPr/>
        <w:t>a</w:t>
      </w:r>
      <w:r>
        <w:rPr>
          <w:spacing w:val="-17"/>
        </w:rPr>
        <w:t> </w:t>
      </w:r>
      <w:r>
        <w:rPr/>
        <w:t>un</w:t>
      </w:r>
      <w:r>
        <w:rPr>
          <w:spacing w:val="-18"/>
        </w:rPr>
        <w:t> </w:t>
      </w:r>
      <w:r>
        <w:rPr/>
        <w:t>ambiente</w:t>
      </w:r>
      <w:r>
        <w:rPr>
          <w:spacing w:val="-17"/>
        </w:rPr>
        <w:t> </w:t>
      </w:r>
      <w:r>
        <w:rPr/>
        <w:t>sano</w:t>
      </w:r>
      <w:r>
        <w:rPr>
          <w:spacing w:val="-12"/>
        </w:rPr>
        <w:t> </w:t>
      </w:r>
      <w:r>
        <w:rPr/>
        <w:t>(Aguilar González, 2013; Aguilar González,</w:t>
      </w:r>
      <w:r>
        <w:rPr>
          <w:spacing w:val="2"/>
        </w:rPr>
        <w:t> </w:t>
      </w:r>
      <w:r>
        <w:rPr/>
        <w:t>2015).</w:t>
      </w:r>
    </w:p>
    <w:p>
      <w:pPr>
        <w:pStyle w:val="BodyText"/>
        <w:spacing w:line="360" w:lineRule="auto" w:before="202"/>
        <w:ind w:left="1200" w:right="1197"/>
        <w:jc w:val="both"/>
      </w:pPr>
      <w:r>
        <w:rPr/>
        <w:t>Se</w:t>
      </w:r>
      <w:r>
        <w:rPr>
          <w:spacing w:val="-17"/>
        </w:rPr>
        <w:t> </w:t>
      </w:r>
      <w:r>
        <w:rPr/>
        <w:t>propone</w:t>
      </w:r>
      <w:r>
        <w:rPr>
          <w:spacing w:val="-15"/>
        </w:rPr>
        <w:t> </w:t>
      </w:r>
      <w:r>
        <w:rPr/>
        <w:t>como</w:t>
      </w:r>
      <w:r>
        <w:rPr>
          <w:spacing w:val="-16"/>
        </w:rPr>
        <w:t> </w:t>
      </w:r>
      <w:r>
        <w:rPr/>
        <w:t>punto</w:t>
      </w:r>
      <w:r>
        <w:rPr>
          <w:spacing w:val="-17"/>
        </w:rPr>
        <w:t> </w:t>
      </w:r>
      <w:r>
        <w:rPr/>
        <w:t>de</w:t>
      </w:r>
      <w:r>
        <w:rPr>
          <w:spacing w:val="-16"/>
        </w:rPr>
        <w:t> </w:t>
      </w:r>
      <w:r>
        <w:rPr/>
        <w:t>priorización</w:t>
      </w:r>
      <w:r>
        <w:rPr>
          <w:spacing w:val="-16"/>
        </w:rPr>
        <w:t> </w:t>
      </w:r>
      <w:r>
        <w:rPr/>
        <w:t>de</w:t>
      </w:r>
      <w:r>
        <w:rPr>
          <w:spacing w:val="-16"/>
        </w:rPr>
        <w:t> </w:t>
      </w:r>
      <w:r>
        <w:rPr/>
        <w:t>la</w:t>
      </w:r>
      <w:r>
        <w:rPr>
          <w:spacing w:val="-14"/>
        </w:rPr>
        <w:t> </w:t>
      </w:r>
      <w:r>
        <w:rPr/>
        <w:t>agenda</w:t>
      </w:r>
      <w:r>
        <w:rPr>
          <w:spacing w:val="-16"/>
        </w:rPr>
        <w:t> </w:t>
      </w:r>
      <w:r>
        <w:rPr/>
        <w:t>de</w:t>
      </w:r>
      <w:r>
        <w:rPr>
          <w:spacing w:val="-16"/>
        </w:rPr>
        <w:t> </w:t>
      </w:r>
      <w:r>
        <w:rPr/>
        <w:t>las</w:t>
      </w:r>
      <w:r>
        <w:rPr>
          <w:spacing w:val="-15"/>
        </w:rPr>
        <w:t> </w:t>
      </w:r>
      <w:r>
        <w:rPr/>
        <w:t>ciencias</w:t>
      </w:r>
      <w:r>
        <w:rPr>
          <w:spacing w:val="-14"/>
        </w:rPr>
        <w:t> </w:t>
      </w:r>
      <w:r>
        <w:rPr/>
        <w:t>de</w:t>
      </w:r>
      <w:r>
        <w:rPr>
          <w:spacing w:val="-16"/>
        </w:rPr>
        <w:t> </w:t>
      </w:r>
      <w:r>
        <w:rPr/>
        <w:t>la</w:t>
      </w:r>
      <w:r>
        <w:rPr>
          <w:spacing w:val="-17"/>
        </w:rPr>
        <w:t> </w:t>
      </w:r>
      <w:r>
        <w:rPr/>
        <w:t>sustentabilidad la comprensión de la dinámica de la conflictividad socio-ecológica que caracteriza la coyuntura actual en Latinoamérica. En esta tarea el trabajo se enfoca en el análisis del comportamiento</w:t>
      </w:r>
      <w:r>
        <w:rPr>
          <w:spacing w:val="-10"/>
        </w:rPr>
        <w:t> </w:t>
      </w:r>
      <w:r>
        <w:rPr/>
        <w:t>de</w:t>
      </w:r>
      <w:r>
        <w:rPr>
          <w:spacing w:val="-9"/>
        </w:rPr>
        <w:t> </w:t>
      </w:r>
      <w:r>
        <w:rPr/>
        <w:t>la</w:t>
      </w:r>
      <w:r>
        <w:rPr>
          <w:spacing w:val="-9"/>
        </w:rPr>
        <w:t> </w:t>
      </w:r>
      <w:r>
        <w:rPr/>
        <w:t>conflictividad</w:t>
      </w:r>
      <w:r>
        <w:rPr>
          <w:spacing w:val="-3"/>
        </w:rPr>
        <w:t> </w:t>
      </w:r>
      <w:r>
        <w:rPr/>
        <w:t>minera</w:t>
      </w:r>
      <w:r>
        <w:rPr>
          <w:spacing w:val="-9"/>
        </w:rPr>
        <w:t> </w:t>
      </w:r>
      <w:r>
        <w:rPr/>
        <w:t>en</w:t>
      </w:r>
      <w:r>
        <w:rPr>
          <w:spacing w:val="-9"/>
        </w:rPr>
        <w:t> </w:t>
      </w:r>
      <w:r>
        <w:rPr/>
        <w:t>Guatemala,</w:t>
      </w:r>
      <w:r>
        <w:rPr>
          <w:spacing w:val="-6"/>
        </w:rPr>
        <w:t> </w:t>
      </w:r>
      <w:r>
        <w:rPr/>
        <w:t>proponiendo</w:t>
      </w:r>
      <w:r>
        <w:rPr>
          <w:spacing w:val="-6"/>
        </w:rPr>
        <w:t> </w:t>
      </w:r>
      <w:r>
        <w:rPr/>
        <w:t>la</w:t>
      </w:r>
      <w:r>
        <w:rPr>
          <w:spacing w:val="-9"/>
        </w:rPr>
        <w:t> </w:t>
      </w:r>
      <w:r>
        <w:rPr/>
        <w:t>idea</w:t>
      </w:r>
      <w:r>
        <w:rPr>
          <w:spacing w:val="-9"/>
        </w:rPr>
        <w:t> </w:t>
      </w:r>
      <w:r>
        <w:rPr/>
        <w:t>de</w:t>
      </w:r>
      <w:r>
        <w:rPr>
          <w:spacing w:val="-9"/>
        </w:rPr>
        <w:t> </w:t>
      </w:r>
      <w:r>
        <w:rPr/>
        <w:t>que</w:t>
      </w:r>
      <w:r>
        <w:rPr>
          <w:spacing w:val="-9"/>
        </w:rPr>
        <w:t> </w:t>
      </w:r>
      <w:r>
        <w:rPr/>
        <w:t>la CSA</w:t>
      </w:r>
      <w:r>
        <w:rPr>
          <w:spacing w:val="-17"/>
        </w:rPr>
        <w:t> </w:t>
      </w:r>
      <w:r>
        <w:rPr/>
        <w:t>se</w:t>
      </w:r>
      <w:r>
        <w:rPr>
          <w:spacing w:val="-18"/>
        </w:rPr>
        <w:t> </w:t>
      </w:r>
      <w:r>
        <w:rPr/>
        <w:t>encuentra</w:t>
      </w:r>
      <w:r>
        <w:rPr>
          <w:spacing w:val="-18"/>
        </w:rPr>
        <w:t> </w:t>
      </w:r>
      <w:r>
        <w:rPr/>
        <w:t>anidada</w:t>
      </w:r>
      <w:r>
        <w:rPr>
          <w:spacing w:val="-16"/>
        </w:rPr>
        <w:t> </w:t>
      </w:r>
      <w:r>
        <w:rPr/>
        <w:t>en</w:t>
      </w:r>
      <w:r>
        <w:rPr>
          <w:spacing w:val="-18"/>
        </w:rPr>
        <w:t> </w:t>
      </w:r>
      <w:r>
        <w:rPr/>
        <w:t>las</w:t>
      </w:r>
      <w:r>
        <w:rPr>
          <w:spacing w:val="-16"/>
        </w:rPr>
        <w:t> </w:t>
      </w:r>
      <w:r>
        <w:rPr/>
        <w:t>condiciones</w:t>
      </w:r>
      <w:r>
        <w:rPr>
          <w:spacing w:val="-17"/>
        </w:rPr>
        <w:t> </w:t>
      </w:r>
      <w:r>
        <w:rPr/>
        <w:t>estructurales</w:t>
      </w:r>
      <w:r>
        <w:rPr>
          <w:spacing w:val="-16"/>
        </w:rPr>
        <w:t> </w:t>
      </w:r>
      <w:r>
        <w:rPr/>
        <w:t>de</w:t>
      </w:r>
      <w:r>
        <w:rPr>
          <w:spacing w:val="-18"/>
        </w:rPr>
        <w:t> </w:t>
      </w:r>
      <w:r>
        <w:rPr/>
        <w:t>injusticia</w:t>
      </w:r>
      <w:r>
        <w:rPr>
          <w:spacing w:val="-18"/>
        </w:rPr>
        <w:t> </w:t>
      </w:r>
      <w:r>
        <w:rPr/>
        <w:t>que</w:t>
      </w:r>
      <w:r>
        <w:rPr>
          <w:spacing w:val="-18"/>
        </w:rPr>
        <w:t> </w:t>
      </w:r>
      <w:r>
        <w:rPr/>
        <w:t>caracterizan la historia de ese país. Asimismo, propone que esos conflictos pueden agruparse como enjambres de CSA que lleven a condiciones de alta inestabilidad social e incluso al rompimiento del orden institucional (Aguilar-González, et al.,</w:t>
      </w:r>
      <w:r>
        <w:rPr>
          <w:spacing w:val="-4"/>
        </w:rPr>
        <w:t> </w:t>
      </w:r>
      <w:r>
        <w:rPr/>
        <w:t>2018b).</w:t>
      </w:r>
    </w:p>
    <w:p>
      <w:pPr>
        <w:spacing w:after="0" w:line="360" w:lineRule="auto"/>
        <w:jc w:val="both"/>
        <w:sectPr>
          <w:pgSz w:w="12240" w:h="15840"/>
          <w:pgMar w:header="0" w:footer="1062" w:top="1360" w:bottom="1260" w:left="240" w:right="240"/>
        </w:sectPr>
      </w:pPr>
    </w:p>
    <w:p>
      <w:pPr>
        <w:pStyle w:val="BodyText"/>
        <w:spacing w:line="360" w:lineRule="auto" w:before="79"/>
        <w:ind w:left="1200" w:right="1194"/>
        <w:jc w:val="both"/>
      </w:pPr>
      <w:r>
        <w:rPr/>
        <w:t>Participa en el estudio y comprensión de la CSA en Centroamérica que lleva a variados hallazgos como la caracterización de las diversas expresiones de la violencia (directa, estructural,</w:t>
      </w:r>
      <w:r>
        <w:rPr>
          <w:spacing w:val="-8"/>
        </w:rPr>
        <w:t> </w:t>
      </w:r>
      <w:r>
        <w:rPr/>
        <w:t>etc.)</w:t>
      </w:r>
      <w:r>
        <w:rPr>
          <w:spacing w:val="-8"/>
        </w:rPr>
        <w:t> </w:t>
      </w:r>
      <w:r>
        <w:rPr/>
        <w:t>que</w:t>
      </w:r>
      <w:r>
        <w:rPr>
          <w:spacing w:val="-11"/>
        </w:rPr>
        <w:t> </w:t>
      </w:r>
      <w:r>
        <w:rPr/>
        <w:t>se</w:t>
      </w:r>
      <w:r>
        <w:rPr>
          <w:spacing w:val="-10"/>
        </w:rPr>
        <w:t> </w:t>
      </w:r>
      <w:r>
        <w:rPr/>
        <w:t>manifiestan</w:t>
      </w:r>
      <w:r>
        <w:rPr>
          <w:spacing w:val="-10"/>
        </w:rPr>
        <w:t> </w:t>
      </w:r>
      <w:r>
        <w:rPr/>
        <w:t>en</w:t>
      </w:r>
      <w:r>
        <w:rPr>
          <w:spacing w:val="-10"/>
        </w:rPr>
        <w:t> </w:t>
      </w:r>
      <w:r>
        <w:rPr/>
        <w:t>esa</w:t>
      </w:r>
      <w:r>
        <w:rPr>
          <w:spacing w:val="-10"/>
        </w:rPr>
        <w:t> </w:t>
      </w:r>
      <w:r>
        <w:rPr/>
        <w:t>conflictividad</w:t>
      </w:r>
      <w:r>
        <w:rPr>
          <w:spacing w:val="-9"/>
        </w:rPr>
        <w:t> </w:t>
      </w:r>
      <w:r>
        <w:rPr/>
        <w:t>(Navas,</w:t>
      </w:r>
      <w:r>
        <w:rPr>
          <w:spacing w:val="-7"/>
        </w:rPr>
        <w:t> </w:t>
      </w:r>
      <w:r>
        <w:rPr/>
        <w:t>et</w:t>
      </w:r>
      <w:r>
        <w:rPr>
          <w:spacing w:val="-12"/>
        </w:rPr>
        <w:t> </w:t>
      </w:r>
      <w:r>
        <w:rPr/>
        <w:t>al.,</w:t>
      </w:r>
      <w:r>
        <w:rPr>
          <w:spacing w:val="-7"/>
        </w:rPr>
        <w:t> </w:t>
      </w:r>
      <w:r>
        <w:rPr/>
        <w:t>2018).</w:t>
      </w:r>
      <w:r>
        <w:rPr>
          <w:spacing w:val="-7"/>
        </w:rPr>
        <w:t> </w:t>
      </w:r>
      <w:r>
        <w:rPr/>
        <w:t>Asimismo se exploran las conexiones de la conflictividad en la región con la actividad del narcotráfico en las áreas silvestres protegidas, incluyendo el asocio de varias de las actividades económicas que </w:t>
      </w:r>
      <w:r>
        <w:rPr>
          <w:spacing w:val="-2"/>
        </w:rPr>
        <w:t>más </w:t>
      </w:r>
      <w:r>
        <w:rPr/>
        <w:t>conflictividad generan en el istmo con esta actividad ilícita (Aguilar-González, et al.,</w:t>
      </w:r>
      <w:r>
        <w:rPr>
          <w:spacing w:val="1"/>
        </w:rPr>
        <w:t> </w:t>
      </w:r>
      <w:r>
        <w:rPr/>
        <w:t>2017).</w:t>
      </w:r>
    </w:p>
    <w:p>
      <w:pPr>
        <w:pStyle w:val="BodyText"/>
        <w:spacing w:line="360" w:lineRule="auto" w:before="199"/>
        <w:ind w:left="1200" w:right="1195"/>
        <w:jc w:val="both"/>
      </w:pPr>
      <w:r>
        <w:rPr/>
        <w:t>En esta línea de trabajo comprende el papel importante que juega la valoración monetaria como herramienta para la denuncia de las contradicciones del modelo de desarrollo prevalente en las que se origina la CSA. Esta tarea se desarrolla para los casos de daños ambientales causados en los conflictos socio-ecológicos de Crucitas</w:t>
      </w:r>
      <w:r>
        <w:rPr>
          <w:spacing w:val="-35"/>
        </w:rPr>
        <w:t> </w:t>
      </w:r>
      <w:r>
        <w:rPr/>
        <w:t>en Costa Rica, en la disputa fronteriza entre Nicaragua y Costa Rica por Isla Portillos en el Humedal Caribe Noreste y por la actividad del narcotráfico en las áreas silvestres protegidas de Centroamérica (Aguilar González, et al., 2012; Aguilar-González, et al., 2016; Aguilar-González, et al.,</w:t>
      </w:r>
      <w:r>
        <w:rPr>
          <w:spacing w:val="2"/>
        </w:rPr>
        <w:t> </w:t>
      </w:r>
      <w:r>
        <w:rPr/>
        <w:t>2017).</w:t>
      </w:r>
    </w:p>
    <w:p>
      <w:pPr>
        <w:pStyle w:val="BodyText"/>
        <w:spacing w:line="360" w:lineRule="auto" w:before="201"/>
        <w:ind w:left="1200" w:right="1198"/>
        <w:jc w:val="both"/>
      </w:pPr>
      <w:r>
        <w:rPr/>
        <w:t>Así, surge el convencimiento de la necesidad de enfocar esta agenda en el caso de estudio que se presenta en esta investigación. En el mismo se pueden combinar todos los elementos que se han desarrollado hasta aquí, dentro de un contexto de análisis crítico de la realidad ambiental costarricense.</w:t>
      </w:r>
    </w:p>
    <w:p>
      <w:pPr>
        <w:pStyle w:val="Heading2"/>
        <w:numPr>
          <w:ilvl w:val="0"/>
          <w:numId w:val="2"/>
        </w:numPr>
        <w:tabs>
          <w:tab w:pos="1921" w:val="left" w:leader="none"/>
        </w:tabs>
        <w:spacing w:line="240" w:lineRule="auto" w:before="197" w:after="0"/>
        <w:ind w:left="1200" w:right="1193" w:firstLine="0"/>
        <w:jc w:val="both"/>
      </w:pPr>
      <w:bookmarkStart w:name="_bookmark7" w:id="9"/>
      <w:bookmarkEnd w:id="9"/>
      <w:r>
        <w:rPr>
          <w:b w:val="0"/>
        </w:rPr>
      </w:r>
      <w:bookmarkStart w:name="_bookmark7" w:id="10"/>
      <w:bookmarkEnd w:id="10"/>
      <w:r>
        <w:rPr/>
        <w:t>A</w:t>
      </w:r>
      <w:r>
        <w:rPr/>
        <w:t>ntecedentes Teóricos y Socio-ecológicos del Análisis. Revisión de Literatura.</w:t>
      </w:r>
    </w:p>
    <w:p>
      <w:pPr>
        <w:pStyle w:val="BodyText"/>
        <w:spacing w:line="360" w:lineRule="auto" w:before="204"/>
        <w:ind w:left="1200" w:right="1197"/>
        <w:jc w:val="both"/>
      </w:pPr>
      <w:r>
        <w:rPr/>
        <w:t>En</w:t>
      </w:r>
      <w:r>
        <w:rPr>
          <w:spacing w:val="-9"/>
        </w:rPr>
        <w:t> </w:t>
      </w:r>
      <w:r>
        <w:rPr/>
        <w:t>este</w:t>
      </w:r>
      <w:r>
        <w:rPr>
          <w:spacing w:val="-9"/>
        </w:rPr>
        <w:t> </w:t>
      </w:r>
      <w:r>
        <w:rPr/>
        <w:t>acápite</w:t>
      </w:r>
      <w:r>
        <w:rPr>
          <w:spacing w:val="-9"/>
        </w:rPr>
        <w:t> </w:t>
      </w:r>
      <w:r>
        <w:rPr/>
        <w:t>se</w:t>
      </w:r>
      <w:r>
        <w:rPr>
          <w:spacing w:val="-9"/>
        </w:rPr>
        <w:t> </w:t>
      </w:r>
      <w:r>
        <w:rPr/>
        <w:t>desarrollan</w:t>
      </w:r>
      <w:r>
        <w:rPr>
          <w:spacing w:val="-8"/>
        </w:rPr>
        <w:t> </w:t>
      </w:r>
      <w:r>
        <w:rPr/>
        <w:t>dos</w:t>
      </w:r>
      <w:r>
        <w:rPr>
          <w:spacing w:val="-7"/>
        </w:rPr>
        <w:t> </w:t>
      </w:r>
      <w:r>
        <w:rPr/>
        <w:t>líneas</w:t>
      </w:r>
      <w:r>
        <w:rPr>
          <w:spacing w:val="-7"/>
        </w:rPr>
        <w:t> </w:t>
      </w:r>
      <w:r>
        <w:rPr/>
        <w:t>de</w:t>
      </w:r>
      <w:r>
        <w:rPr>
          <w:spacing w:val="-9"/>
        </w:rPr>
        <w:t> </w:t>
      </w:r>
      <w:r>
        <w:rPr/>
        <w:t>antecedentes</w:t>
      </w:r>
      <w:r>
        <w:rPr>
          <w:spacing w:val="-7"/>
        </w:rPr>
        <w:t> </w:t>
      </w:r>
      <w:r>
        <w:rPr/>
        <w:t>que</w:t>
      </w:r>
      <w:r>
        <w:rPr>
          <w:spacing w:val="-8"/>
        </w:rPr>
        <w:t> </w:t>
      </w:r>
      <w:r>
        <w:rPr/>
        <w:t>contribuyen</w:t>
      </w:r>
      <w:r>
        <w:rPr>
          <w:spacing w:val="-1"/>
        </w:rPr>
        <w:t> </w:t>
      </w:r>
      <w:r>
        <w:rPr/>
        <w:t>a</w:t>
      </w:r>
      <w:r>
        <w:rPr>
          <w:spacing w:val="-9"/>
        </w:rPr>
        <w:t> </w:t>
      </w:r>
      <w:r>
        <w:rPr/>
        <w:t>cumplir</w:t>
      </w:r>
      <w:r>
        <w:rPr>
          <w:spacing w:val="-6"/>
        </w:rPr>
        <w:t> </w:t>
      </w:r>
      <w:r>
        <w:rPr/>
        <w:t>los objetivos de esta investigación con una mejor comprensión del cuadro de injusticia ambiental introducido antes y del marco teórico que permite el análisis. Así, en primer lugar,</w:t>
      </w:r>
      <w:r>
        <w:rPr>
          <w:spacing w:val="-7"/>
        </w:rPr>
        <w:t> </w:t>
      </w:r>
      <w:r>
        <w:rPr/>
        <w:t>se</w:t>
      </w:r>
      <w:r>
        <w:rPr>
          <w:spacing w:val="-9"/>
        </w:rPr>
        <w:t> </w:t>
      </w:r>
      <w:r>
        <w:rPr/>
        <w:t>expande</w:t>
      </w:r>
      <w:r>
        <w:rPr>
          <w:spacing w:val="-9"/>
        </w:rPr>
        <w:t> </w:t>
      </w:r>
      <w:r>
        <w:rPr/>
        <w:t>la</w:t>
      </w:r>
      <w:r>
        <w:rPr>
          <w:spacing w:val="-9"/>
        </w:rPr>
        <w:t> </w:t>
      </w:r>
      <w:r>
        <w:rPr/>
        <w:t>descripción</w:t>
      </w:r>
      <w:r>
        <w:rPr>
          <w:spacing w:val="-9"/>
        </w:rPr>
        <w:t> </w:t>
      </w:r>
      <w:r>
        <w:rPr/>
        <w:t>de</w:t>
      </w:r>
      <w:r>
        <w:rPr>
          <w:spacing w:val="-9"/>
        </w:rPr>
        <w:t> </w:t>
      </w:r>
      <w:r>
        <w:rPr/>
        <w:t>los</w:t>
      </w:r>
      <w:r>
        <w:rPr>
          <w:spacing w:val="-7"/>
        </w:rPr>
        <w:t> </w:t>
      </w:r>
      <w:r>
        <w:rPr/>
        <w:t>antecedentes</w:t>
      </w:r>
      <w:r>
        <w:rPr>
          <w:spacing w:val="-7"/>
        </w:rPr>
        <w:t> </w:t>
      </w:r>
      <w:r>
        <w:rPr/>
        <w:t>históricos,</w:t>
      </w:r>
      <w:r>
        <w:rPr>
          <w:spacing w:val="-7"/>
        </w:rPr>
        <w:t> </w:t>
      </w:r>
      <w:r>
        <w:rPr/>
        <w:t>ecológicos,</w:t>
      </w:r>
      <w:r>
        <w:rPr>
          <w:spacing w:val="-6"/>
        </w:rPr>
        <w:t> </w:t>
      </w:r>
      <w:r>
        <w:rPr/>
        <w:t>sociales,</w:t>
      </w:r>
      <w:r>
        <w:rPr>
          <w:spacing w:val="-6"/>
        </w:rPr>
        <w:t> </w:t>
      </w:r>
      <w:r>
        <w:rPr/>
        <w:t>de inequidad y conflictividad de la ZPLC para efectos de la mejor comprensión de contexto de</w:t>
      </w:r>
      <w:r>
        <w:rPr>
          <w:spacing w:val="-18"/>
        </w:rPr>
        <w:t> </w:t>
      </w:r>
      <w:r>
        <w:rPr/>
        <w:t>la</w:t>
      </w:r>
      <w:r>
        <w:rPr>
          <w:spacing w:val="-17"/>
        </w:rPr>
        <w:t> </w:t>
      </w:r>
      <w:r>
        <w:rPr/>
        <w:t>investigación.</w:t>
      </w:r>
      <w:r>
        <w:rPr>
          <w:spacing w:val="-14"/>
        </w:rPr>
        <w:t> </w:t>
      </w:r>
      <w:r>
        <w:rPr/>
        <w:t>Posteriormente</w:t>
      </w:r>
      <w:r>
        <w:rPr>
          <w:spacing w:val="-17"/>
        </w:rPr>
        <w:t> </w:t>
      </w:r>
      <w:r>
        <w:rPr/>
        <w:t>se</w:t>
      </w:r>
      <w:r>
        <w:rPr>
          <w:spacing w:val="-13"/>
        </w:rPr>
        <w:t> </w:t>
      </w:r>
      <w:r>
        <w:rPr/>
        <w:t>sintetizan</w:t>
      </w:r>
      <w:r>
        <w:rPr>
          <w:spacing w:val="-13"/>
        </w:rPr>
        <w:t> </w:t>
      </w:r>
      <w:r>
        <w:rPr/>
        <w:t>los</w:t>
      </w:r>
      <w:r>
        <w:rPr>
          <w:spacing w:val="-16"/>
        </w:rPr>
        <w:t> </w:t>
      </w:r>
      <w:r>
        <w:rPr/>
        <w:t>antecedentes</w:t>
      </w:r>
      <w:r>
        <w:rPr>
          <w:spacing w:val="-15"/>
        </w:rPr>
        <w:t> </w:t>
      </w:r>
      <w:r>
        <w:rPr/>
        <w:t>teóricos</w:t>
      </w:r>
      <w:r>
        <w:rPr>
          <w:spacing w:val="-15"/>
        </w:rPr>
        <w:t> </w:t>
      </w:r>
      <w:r>
        <w:rPr/>
        <w:t>respecto</w:t>
      </w:r>
      <w:r>
        <w:rPr>
          <w:spacing w:val="-17"/>
        </w:rPr>
        <w:t> </w:t>
      </w:r>
      <w:r>
        <w:rPr/>
        <w:t>a</w:t>
      </w:r>
      <w:r>
        <w:rPr>
          <w:spacing w:val="-17"/>
        </w:rPr>
        <w:t> </w:t>
      </w:r>
      <w:r>
        <w:rPr/>
        <w:t>los lenguajes de valoración desde la perspectiva de la Economía Ecológica y del concepto de Deuda Ecológica desde la Ecología Política, transdisciplinas en las que se sitúa este trabajo.</w:t>
      </w:r>
    </w:p>
    <w:p>
      <w:pPr>
        <w:spacing w:after="0" w:line="360" w:lineRule="auto"/>
        <w:jc w:val="both"/>
        <w:sectPr>
          <w:pgSz w:w="12240" w:h="15840"/>
          <w:pgMar w:header="0" w:footer="1062" w:top="1360" w:bottom="1260" w:left="240" w:right="240"/>
        </w:sectPr>
      </w:pPr>
    </w:p>
    <w:p>
      <w:pPr>
        <w:pStyle w:val="Heading2"/>
        <w:numPr>
          <w:ilvl w:val="0"/>
          <w:numId w:val="3"/>
        </w:numPr>
        <w:tabs>
          <w:tab w:pos="1920" w:val="left" w:leader="none"/>
          <w:tab w:pos="1921" w:val="left" w:leader="none"/>
        </w:tabs>
        <w:spacing w:line="357" w:lineRule="auto" w:before="75" w:after="0"/>
        <w:ind w:left="1200" w:right="1195" w:firstLine="0"/>
        <w:jc w:val="left"/>
      </w:pPr>
      <w:bookmarkStart w:name="_bookmark8" w:id="11"/>
      <w:bookmarkEnd w:id="11"/>
      <w:r>
        <w:rPr>
          <w:b w:val="0"/>
        </w:rPr>
      </w:r>
      <w:bookmarkStart w:name="_bookmark8" w:id="12"/>
      <w:bookmarkEnd w:id="12"/>
      <w:r>
        <w:rPr/>
        <w:t>C</w:t>
      </w:r>
      <w:r>
        <w:rPr/>
        <w:t>ontexto Socio-ecológico: Injusticia Ambiental en la “Zona Protectora La Carpintera”</w:t>
      </w:r>
    </w:p>
    <w:p>
      <w:pPr>
        <w:pStyle w:val="BodyText"/>
        <w:spacing w:line="360" w:lineRule="auto" w:before="210"/>
        <w:ind w:left="1200" w:right="1194"/>
        <w:jc w:val="both"/>
      </w:pPr>
      <w:r>
        <w:rPr/>
        <w:t>La</w:t>
      </w:r>
      <w:r>
        <w:rPr>
          <w:spacing w:val="-10"/>
        </w:rPr>
        <w:t> </w:t>
      </w:r>
      <w:r>
        <w:rPr/>
        <w:t>ZP,</w:t>
      </w:r>
      <w:r>
        <w:rPr>
          <w:spacing w:val="-7"/>
        </w:rPr>
        <w:t> </w:t>
      </w:r>
      <w:r>
        <w:rPr/>
        <w:t>conforme</w:t>
      </w:r>
      <w:r>
        <w:rPr>
          <w:spacing w:val="-9"/>
        </w:rPr>
        <w:t> </w:t>
      </w:r>
      <w:r>
        <w:rPr/>
        <w:t>la</w:t>
      </w:r>
      <w:r>
        <w:rPr>
          <w:spacing w:val="-10"/>
        </w:rPr>
        <w:t> </w:t>
      </w:r>
      <w:r>
        <w:rPr/>
        <w:t>ha</w:t>
      </w:r>
      <w:r>
        <w:rPr>
          <w:spacing w:val="-9"/>
        </w:rPr>
        <w:t> </w:t>
      </w:r>
      <w:r>
        <w:rPr/>
        <w:t>perfilado</w:t>
      </w:r>
      <w:r>
        <w:rPr>
          <w:spacing w:val="-10"/>
        </w:rPr>
        <w:t> </w:t>
      </w:r>
      <w:r>
        <w:rPr/>
        <w:t>la</w:t>
      </w:r>
      <w:r>
        <w:rPr>
          <w:spacing w:val="-9"/>
        </w:rPr>
        <w:t> </w:t>
      </w:r>
      <w:r>
        <w:rPr/>
        <w:t>legislación</w:t>
      </w:r>
      <w:r>
        <w:rPr>
          <w:spacing w:val="-9"/>
        </w:rPr>
        <w:t> </w:t>
      </w:r>
      <w:r>
        <w:rPr/>
        <w:t>ambiental</w:t>
      </w:r>
      <w:r>
        <w:rPr>
          <w:spacing w:val="-9"/>
        </w:rPr>
        <w:t> </w:t>
      </w:r>
      <w:r>
        <w:rPr/>
        <w:t>costarricense,</w:t>
      </w:r>
      <w:r>
        <w:rPr>
          <w:spacing w:val="-7"/>
        </w:rPr>
        <w:t> </w:t>
      </w:r>
      <w:r>
        <w:rPr/>
        <w:t>es</w:t>
      </w:r>
      <w:r>
        <w:rPr>
          <w:spacing w:val="-7"/>
        </w:rPr>
        <w:t> </w:t>
      </w:r>
      <w:r>
        <w:rPr/>
        <w:t>un</w:t>
      </w:r>
      <w:r>
        <w:rPr>
          <w:spacing w:val="-6"/>
        </w:rPr>
        <w:t> </w:t>
      </w:r>
      <w:r>
        <w:rPr/>
        <w:t>modelo</w:t>
      </w:r>
      <w:r>
        <w:rPr>
          <w:spacing w:val="-10"/>
        </w:rPr>
        <w:t> </w:t>
      </w:r>
      <w:r>
        <w:rPr/>
        <w:t>que se designa para la protección de los suelos y recursos hídricos en puntos estratégicos de las cuencas hidrográficas. Por razones históricas, se permite la existencia de propiedad privada y de diversos usos de la tierra diferentes de la cobertura boscosa en este modelo. Por vía del trabajo de extensión ambiental, se pretende incentivar a los propietarios dentro de las zonas a las prácticas de manejo sostenible de los recursos naturales. Todo ello de acuerdo con planes de manejo</w:t>
      </w:r>
      <w:r>
        <w:rPr>
          <w:spacing w:val="-12"/>
        </w:rPr>
        <w:t> </w:t>
      </w:r>
      <w:r>
        <w:rPr/>
        <w:t>adecuados.</w:t>
      </w:r>
    </w:p>
    <w:p>
      <w:pPr>
        <w:pStyle w:val="BodyText"/>
        <w:spacing w:line="360" w:lineRule="auto" w:before="199"/>
        <w:ind w:left="1200" w:right="1200"/>
        <w:jc w:val="both"/>
      </w:pPr>
      <w:r>
        <w:rPr/>
        <w:t>Son ecológicamente importantes en razón de las zonas de vida en las que se ubican y el potencial que tienen como corredores biológicos. Incluyen 11 de las 23 zonas de vida presentes en Costa Rica. La mayoría fueron creadas en la década de los 1970. Cubren cerca de un 12% del total del territorio en áreas protegidas del país (157,213 ha. en el 2011). Las que subsisten en el SINAC generalmente se encuentran en las partes altas de</w:t>
      </w:r>
      <w:r>
        <w:rPr>
          <w:spacing w:val="-17"/>
        </w:rPr>
        <w:t> </w:t>
      </w:r>
      <w:r>
        <w:rPr/>
        <w:t>diversas</w:t>
      </w:r>
      <w:r>
        <w:rPr>
          <w:spacing w:val="-14"/>
        </w:rPr>
        <w:t> </w:t>
      </w:r>
      <w:r>
        <w:rPr/>
        <w:t>cuencas</w:t>
      </w:r>
      <w:r>
        <w:rPr>
          <w:spacing w:val="-14"/>
        </w:rPr>
        <w:t> </w:t>
      </w:r>
      <w:r>
        <w:rPr/>
        <w:t>de</w:t>
      </w:r>
      <w:r>
        <w:rPr>
          <w:spacing w:val="-16"/>
        </w:rPr>
        <w:t> </w:t>
      </w:r>
      <w:r>
        <w:rPr/>
        <w:t>gran</w:t>
      </w:r>
      <w:r>
        <w:rPr>
          <w:spacing w:val="-16"/>
        </w:rPr>
        <w:t> </w:t>
      </w:r>
      <w:r>
        <w:rPr/>
        <w:t>importancia,</w:t>
      </w:r>
      <w:r>
        <w:rPr>
          <w:spacing w:val="-13"/>
        </w:rPr>
        <w:t> </w:t>
      </w:r>
      <w:r>
        <w:rPr/>
        <w:t>entre</w:t>
      </w:r>
      <w:r>
        <w:rPr>
          <w:spacing w:val="-16"/>
        </w:rPr>
        <w:t> </w:t>
      </w:r>
      <w:r>
        <w:rPr/>
        <w:t>ellas</w:t>
      </w:r>
      <w:r>
        <w:rPr>
          <w:spacing w:val="-14"/>
        </w:rPr>
        <w:t> </w:t>
      </w:r>
      <w:r>
        <w:rPr/>
        <w:t>la</w:t>
      </w:r>
      <w:r>
        <w:rPr>
          <w:spacing w:val="-16"/>
        </w:rPr>
        <w:t> </w:t>
      </w:r>
      <w:r>
        <w:rPr/>
        <w:t>de</w:t>
      </w:r>
      <w:r>
        <w:rPr>
          <w:spacing w:val="-12"/>
        </w:rPr>
        <w:t> </w:t>
      </w:r>
      <w:r>
        <w:rPr/>
        <w:t>mayor</w:t>
      </w:r>
      <w:r>
        <w:rPr>
          <w:spacing w:val="-15"/>
        </w:rPr>
        <w:t> </w:t>
      </w:r>
      <w:r>
        <w:rPr/>
        <w:t>uso</w:t>
      </w:r>
      <w:r>
        <w:rPr>
          <w:spacing w:val="-16"/>
        </w:rPr>
        <w:t> </w:t>
      </w:r>
      <w:r>
        <w:rPr/>
        <w:t>por</w:t>
      </w:r>
      <w:r>
        <w:rPr>
          <w:spacing w:val="-14"/>
        </w:rPr>
        <w:t> </w:t>
      </w:r>
      <w:r>
        <w:rPr/>
        <w:t>las</w:t>
      </w:r>
      <w:r>
        <w:rPr>
          <w:spacing w:val="-14"/>
        </w:rPr>
        <w:t> </w:t>
      </w:r>
      <w:r>
        <w:rPr/>
        <w:t>poblaciones del país, la Cuenca del Río Grande de Tárcoles, (Figura 6) que se origina en las montañas</w:t>
      </w:r>
      <w:r>
        <w:rPr>
          <w:spacing w:val="-15"/>
        </w:rPr>
        <w:t> </w:t>
      </w:r>
      <w:r>
        <w:rPr/>
        <w:t>que</w:t>
      </w:r>
      <w:r>
        <w:rPr>
          <w:spacing w:val="-19"/>
        </w:rPr>
        <w:t> </w:t>
      </w:r>
      <w:r>
        <w:rPr/>
        <w:t>rodean</w:t>
      </w:r>
      <w:r>
        <w:rPr>
          <w:spacing w:val="-20"/>
        </w:rPr>
        <w:t> </w:t>
      </w:r>
      <w:r>
        <w:rPr/>
        <w:t>al</w:t>
      </w:r>
      <w:r>
        <w:rPr>
          <w:spacing w:val="-19"/>
        </w:rPr>
        <w:t> </w:t>
      </w:r>
      <w:r>
        <w:rPr/>
        <w:t>Valle</w:t>
      </w:r>
      <w:r>
        <w:rPr>
          <w:spacing w:val="-20"/>
        </w:rPr>
        <w:t> </w:t>
      </w:r>
      <w:r>
        <w:rPr/>
        <w:t>Central</w:t>
      </w:r>
      <w:r>
        <w:rPr>
          <w:spacing w:val="-19"/>
        </w:rPr>
        <w:t> </w:t>
      </w:r>
      <w:r>
        <w:rPr/>
        <w:t>y</w:t>
      </w:r>
      <w:r>
        <w:rPr>
          <w:spacing w:val="-22"/>
        </w:rPr>
        <w:t> </w:t>
      </w:r>
      <w:r>
        <w:rPr/>
        <w:t>desemboca</w:t>
      </w:r>
      <w:r>
        <w:rPr>
          <w:spacing w:val="-20"/>
        </w:rPr>
        <w:t> </w:t>
      </w:r>
      <w:r>
        <w:rPr/>
        <w:t>en</w:t>
      </w:r>
      <w:r>
        <w:rPr>
          <w:spacing w:val="-20"/>
        </w:rPr>
        <w:t> </w:t>
      </w:r>
      <w:r>
        <w:rPr/>
        <w:t>el</w:t>
      </w:r>
      <w:r>
        <w:rPr>
          <w:spacing w:val="-19"/>
        </w:rPr>
        <w:t> </w:t>
      </w:r>
      <w:r>
        <w:rPr/>
        <w:t>Pacífico</w:t>
      </w:r>
      <w:r>
        <w:rPr>
          <w:spacing w:val="-20"/>
        </w:rPr>
        <w:t> </w:t>
      </w:r>
      <w:r>
        <w:rPr/>
        <w:t>Central.</w:t>
      </w:r>
      <w:r>
        <w:rPr>
          <w:spacing w:val="-13"/>
        </w:rPr>
        <w:t> </w:t>
      </w:r>
      <w:r>
        <w:rPr/>
        <w:t>(Aguilar,</w:t>
      </w:r>
      <w:r>
        <w:rPr>
          <w:spacing w:val="-18"/>
        </w:rPr>
        <w:t> </w:t>
      </w:r>
      <w:r>
        <w:rPr/>
        <w:t>2008; Aguilar González,</w:t>
      </w:r>
      <w:r>
        <w:rPr>
          <w:spacing w:val="1"/>
        </w:rPr>
        <w:t> </w:t>
      </w:r>
      <w:r>
        <w:rPr/>
        <w:t>2009).</w:t>
      </w:r>
    </w:p>
    <w:p>
      <w:pPr>
        <w:pStyle w:val="BodyText"/>
        <w:spacing w:line="360" w:lineRule="auto" w:before="203"/>
        <w:ind w:left="1200" w:right="1200"/>
        <w:jc w:val="both"/>
      </w:pPr>
      <w:r>
        <w:rPr/>
        <w:t>Como modelo de conservación, es uno de los que ha tenido mayores retos para ser exitoso. En una revisión de las ZP del Valle Central que se realizó a finales de los años 90, se llegó a la conclusión de que, a pesar de ser incluidas dentro de gran cantidad de materiales informativos y propagandísticos propios del SINAC, las mismas no eran más que parques de papel dadas las serias deficiencias que se detectaban en su manejo y efectiva conservación (ausencia de planes de manejo, insuficientes recursos para educación ambiental, control y vigilancia entre otros) (Aguilar, 1999; Aguilar González, 2009).</w:t>
      </w:r>
    </w:p>
    <w:p>
      <w:pPr>
        <w:spacing w:after="0" w:line="360" w:lineRule="auto"/>
        <w:jc w:val="both"/>
        <w:sectPr>
          <w:pgSz w:w="12240" w:h="15840"/>
          <w:pgMar w:header="0" w:footer="1062" w:top="1360" w:bottom="1260" w:left="240" w:right="240"/>
        </w:sectPr>
      </w:pPr>
    </w:p>
    <w:p>
      <w:pPr>
        <w:pStyle w:val="BodyText"/>
        <w:ind w:left="1605"/>
        <w:rPr>
          <w:sz w:val="20"/>
        </w:rPr>
      </w:pPr>
      <w:r>
        <w:rPr>
          <w:sz w:val="20"/>
        </w:rPr>
        <w:drawing>
          <wp:inline distT="0" distB="0" distL="0" distR="0">
            <wp:extent cx="5398946" cy="3545586"/>
            <wp:effectExtent l="0" t="0" r="0" b="0"/>
            <wp:docPr id="23" name="image36.jpeg"/>
            <wp:cNvGraphicFramePr>
              <a:graphicFrameLocks noChangeAspect="1"/>
            </wp:cNvGraphicFramePr>
            <a:graphic>
              <a:graphicData uri="http://schemas.openxmlformats.org/drawingml/2006/picture">
                <pic:pic>
                  <pic:nvPicPr>
                    <pic:cNvPr id="24" name="image36.jpeg"/>
                    <pic:cNvPicPr/>
                  </pic:nvPicPr>
                  <pic:blipFill>
                    <a:blip r:embed="rId45" cstate="print"/>
                    <a:stretch>
                      <a:fillRect/>
                    </a:stretch>
                  </pic:blipFill>
                  <pic:spPr>
                    <a:xfrm>
                      <a:off x="0" y="0"/>
                      <a:ext cx="5398946" cy="3545586"/>
                    </a:xfrm>
                    <a:prstGeom prst="rect">
                      <a:avLst/>
                    </a:prstGeom>
                  </pic:spPr>
                </pic:pic>
              </a:graphicData>
            </a:graphic>
          </wp:inline>
        </w:drawing>
      </w:r>
      <w:r>
        <w:rPr>
          <w:sz w:val="20"/>
        </w:rPr>
      </w:r>
    </w:p>
    <w:p>
      <w:pPr>
        <w:pStyle w:val="BodyText"/>
        <w:spacing w:before="10"/>
        <w:rPr>
          <w:sz w:val="20"/>
        </w:rPr>
      </w:pPr>
    </w:p>
    <w:p>
      <w:pPr>
        <w:spacing w:before="94"/>
        <w:ind w:left="1769" w:right="1340" w:firstLine="0"/>
        <w:jc w:val="center"/>
        <w:rPr>
          <w:i/>
          <w:sz w:val="20"/>
        </w:rPr>
      </w:pPr>
      <w:r>
        <w:rPr>
          <w:i/>
          <w:sz w:val="20"/>
        </w:rPr>
        <w:t>Figura 6- Diagrama de la Cuenca del Río Grande de Tárcoles y Zonas Protectoras.</w:t>
      </w:r>
    </w:p>
    <w:p>
      <w:pPr>
        <w:spacing w:before="58"/>
        <w:ind w:left="2389" w:right="2392" w:firstLine="0"/>
        <w:jc w:val="center"/>
        <w:rPr>
          <w:i/>
          <w:sz w:val="20"/>
        </w:rPr>
      </w:pPr>
      <w:r>
        <w:rPr>
          <w:i/>
          <w:sz w:val="20"/>
        </w:rPr>
        <w:t>Fuente: Aguilar González (2009).</w:t>
      </w:r>
    </w:p>
    <w:p>
      <w:pPr>
        <w:pStyle w:val="BodyText"/>
        <w:spacing w:before="6"/>
        <w:rPr>
          <w:i/>
          <w:sz w:val="27"/>
        </w:rPr>
      </w:pPr>
    </w:p>
    <w:p>
      <w:pPr>
        <w:pStyle w:val="BodyText"/>
        <w:spacing w:line="360" w:lineRule="auto"/>
        <w:ind w:left="1200" w:right="1199"/>
        <w:jc w:val="both"/>
      </w:pPr>
      <w:r>
        <w:rPr/>
        <w:t>Recientemente la Contraloría General de la República ha verificado en sus auditorías operativas que es efectivamente uno de los modelos del SINAC con más retos para el logro</w:t>
      </w:r>
      <w:r>
        <w:rPr>
          <w:spacing w:val="-8"/>
        </w:rPr>
        <w:t> </w:t>
      </w:r>
      <w:r>
        <w:rPr/>
        <w:t>de</w:t>
      </w:r>
      <w:r>
        <w:rPr>
          <w:spacing w:val="-12"/>
        </w:rPr>
        <w:t> </w:t>
      </w:r>
      <w:r>
        <w:rPr/>
        <w:t>sus</w:t>
      </w:r>
      <w:r>
        <w:rPr>
          <w:spacing w:val="-10"/>
        </w:rPr>
        <w:t> </w:t>
      </w:r>
      <w:r>
        <w:rPr/>
        <w:t>objetivos.</w:t>
      </w:r>
      <w:r>
        <w:rPr>
          <w:spacing w:val="-9"/>
        </w:rPr>
        <w:t> </w:t>
      </w:r>
      <w:r>
        <w:rPr/>
        <w:t>Específicamente,</w:t>
      </w:r>
      <w:r>
        <w:rPr>
          <w:spacing w:val="-9"/>
        </w:rPr>
        <w:t> </w:t>
      </w:r>
      <w:r>
        <w:rPr/>
        <w:t>como</w:t>
      </w:r>
      <w:r>
        <w:rPr>
          <w:spacing w:val="-11"/>
        </w:rPr>
        <w:t> </w:t>
      </w:r>
      <w:r>
        <w:rPr/>
        <w:t>lo</w:t>
      </w:r>
      <w:r>
        <w:rPr>
          <w:spacing w:val="-8"/>
        </w:rPr>
        <w:t> </w:t>
      </w:r>
      <w:r>
        <w:rPr/>
        <w:t>muestra</w:t>
      </w:r>
      <w:r>
        <w:rPr>
          <w:spacing w:val="-12"/>
        </w:rPr>
        <w:t> </w:t>
      </w:r>
      <w:r>
        <w:rPr/>
        <w:t>el</w:t>
      </w:r>
      <w:r>
        <w:rPr>
          <w:spacing w:val="-11"/>
        </w:rPr>
        <w:t> </w:t>
      </w:r>
      <w:r>
        <w:rPr/>
        <w:t>Cuadro</w:t>
      </w:r>
      <w:r>
        <w:rPr>
          <w:spacing w:val="-12"/>
        </w:rPr>
        <w:t> </w:t>
      </w:r>
      <w:r>
        <w:rPr/>
        <w:t>2,</w:t>
      </w:r>
      <w:r>
        <w:rPr>
          <w:spacing w:val="-9"/>
        </w:rPr>
        <w:t> </w:t>
      </w:r>
      <w:r>
        <w:rPr/>
        <w:t>hay</w:t>
      </w:r>
      <w:r>
        <w:rPr>
          <w:spacing w:val="-13"/>
        </w:rPr>
        <w:t> </w:t>
      </w:r>
      <w:r>
        <w:rPr/>
        <w:t>necesidad</w:t>
      </w:r>
      <w:r>
        <w:rPr>
          <w:spacing w:val="-12"/>
        </w:rPr>
        <w:t> </w:t>
      </w:r>
      <w:r>
        <w:rPr/>
        <w:t>de mejora en áreas como recursos humanos, infraestructura, aprobación e</w:t>
      </w:r>
      <w:r>
        <w:rPr>
          <w:spacing w:val="-44"/>
        </w:rPr>
        <w:t> </w:t>
      </w:r>
      <w:r>
        <w:rPr/>
        <w:t>implementación de planes de manejo y especialmente en uso público y uso sostenible por comunidades locales e indígenas (Contraloría General de la República,</w:t>
      </w:r>
      <w:r>
        <w:rPr>
          <w:spacing w:val="-5"/>
        </w:rPr>
        <w:t> </w:t>
      </w:r>
      <w:r>
        <w:rPr/>
        <w:t>2014).</w:t>
      </w:r>
    </w:p>
    <w:p>
      <w:pPr>
        <w:pStyle w:val="BodyText"/>
        <w:spacing w:line="360" w:lineRule="auto" w:before="201"/>
        <w:ind w:left="1200" w:right="1194"/>
        <w:jc w:val="both"/>
      </w:pPr>
      <w:r>
        <w:rPr/>
        <w:t>Por su problemática de injusticia ambiental destaca la ZPLC, la cual fue creada en 1976 (Aguilar González, 2009). Su extensión actual es de 2385.76 ha (Comisión Interinstitucional para la Zona Protectora Cerros de La Carpintera, 2012).Se encuentra ubicada en el sur de lo que antes fue el Área de Conservación Cordillera Volcánica Central (ACCVC), hoy Área de Conservación Central. Es asimismo, parte de la Reserva de la Biosfera Cordillera Volcánica Central, declarada como tal por la UNESCO en 1988 conforme lo muestra la Figura 7 (Ulate, 2007).</w:t>
      </w:r>
    </w:p>
    <w:p>
      <w:pPr>
        <w:spacing w:after="0" w:line="360" w:lineRule="auto"/>
        <w:jc w:val="both"/>
        <w:sectPr>
          <w:pgSz w:w="12240" w:h="15840"/>
          <w:pgMar w:header="0" w:footer="1062" w:top="1440" w:bottom="1260" w:left="240" w:right="240"/>
        </w:sectPr>
      </w:pPr>
    </w:p>
    <w:p>
      <w:pPr>
        <w:spacing w:before="77"/>
        <w:ind w:left="3189" w:right="1206" w:hanging="1533"/>
        <w:jc w:val="left"/>
        <w:rPr>
          <w:i/>
          <w:sz w:val="20"/>
        </w:rPr>
      </w:pPr>
      <w:r>
        <w:rPr>
          <w:i/>
          <w:sz w:val="20"/>
        </w:rPr>
        <w:t>Cuadro 2- Indicadores de Recursos Disponibles (A.) para la Labor Encomendada y de Resultados </w:t>
      </w:r>
      <w:r>
        <w:rPr>
          <w:i/>
          <w:sz w:val="20"/>
        </w:rPr>
        <w:t>(B.) de los Diversos Modelos de Áreas Protegidas en el SINAC.</w:t>
      </w:r>
    </w:p>
    <w:p>
      <w:pPr>
        <w:spacing w:line="568" w:lineRule="auto" w:before="88"/>
        <w:ind w:left="3601" w:right="3592" w:firstLine="0"/>
        <w:jc w:val="center"/>
        <w:rPr>
          <w:i/>
          <w:sz w:val="20"/>
        </w:rPr>
      </w:pPr>
      <w:r>
        <w:rPr/>
        <w:pict>
          <v:shape style="position:absolute;margin-left:17.4pt;margin-top:53.579899pt;width:577.4pt;height:156.1pt;mso-position-horizontal-relative:page;mso-position-vertical-relative:paragraph;z-index:15749120" type="#_x0000_t202" filled="false" stroked="false">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6"/>
                    <w:gridCol w:w="1184"/>
                    <w:gridCol w:w="1060"/>
                    <w:gridCol w:w="1452"/>
                    <w:gridCol w:w="872"/>
                    <w:gridCol w:w="1473"/>
                    <w:gridCol w:w="1141"/>
                    <w:gridCol w:w="1361"/>
                    <w:gridCol w:w="1196"/>
                  </w:tblGrid>
                  <w:tr>
                    <w:trPr>
                      <w:trHeight w:val="262" w:hRule="atLeast"/>
                    </w:trPr>
                    <w:tc>
                      <w:tcPr>
                        <w:tcW w:w="1796" w:type="dxa"/>
                        <w:vMerge w:val="restart"/>
                        <w:shd w:val="clear" w:color="auto" w:fill="D9D9D9"/>
                      </w:tcPr>
                      <w:p>
                        <w:pPr>
                          <w:pStyle w:val="TableParagraph"/>
                          <w:spacing w:line="237" w:lineRule="auto" w:before="0"/>
                          <w:ind w:left="571" w:right="291" w:hanging="253"/>
                          <w:jc w:val="left"/>
                          <w:rPr>
                            <w:i/>
                            <w:sz w:val="20"/>
                          </w:rPr>
                        </w:pPr>
                        <w:r>
                          <w:rPr>
                            <w:i/>
                            <w:sz w:val="20"/>
                          </w:rPr>
                          <w:t>Categoría de </w:t>
                        </w:r>
                        <w:r>
                          <w:rPr>
                            <w:i/>
                            <w:sz w:val="20"/>
                          </w:rPr>
                          <w:t>Manejo</w:t>
                        </w:r>
                      </w:p>
                    </w:tc>
                    <w:tc>
                      <w:tcPr>
                        <w:tcW w:w="8543" w:type="dxa"/>
                        <w:gridSpan w:val="7"/>
                        <w:shd w:val="clear" w:color="auto" w:fill="D9D9D9"/>
                      </w:tcPr>
                      <w:p>
                        <w:pPr>
                          <w:pStyle w:val="TableParagraph"/>
                          <w:spacing w:line="226" w:lineRule="exact" w:before="0"/>
                          <w:ind w:left="3836" w:right="3834"/>
                          <w:jc w:val="center"/>
                          <w:rPr>
                            <w:i/>
                            <w:sz w:val="20"/>
                          </w:rPr>
                        </w:pPr>
                        <w:r>
                          <w:rPr>
                            <w:i/>
                            <w:sz w:val="20"/>
                          </w:rPr>
                          <w:t>Indicador</w:t>
                        </w:r>
                      </w:p>
                    </w:tc>
                    <w:tc>
                      <w:tcPr>
                        <w:tcW w:w="1196" w:type="dxa"/>
                        <w:vMerge w:val="restart"/>
                        <w:shd w:val="clear" w:color="auto" w:fill="D9D9D9"/>
                      </w:tcPr>
                      <w:p>
                        <w:pPr>
                          <w:pStyle w:val="TableParagraph"/>
                          <w:spacing w:line="240" w:lineRule="auto" w:before="0"/>
                          <w:ind w:left="111" w:right="89" w:hanging="7"/>
                          <w:jc w:val="center"/>
                          <w:rPr>
                            <w:i/>
                            <w:sz w:val="20"/>
                          </w:rPr>
                        </w:pPr>
                        <w:r>
                          <w:rPr>
                            <w:i/>
                            <w:sz w:val="20"/>
                          </w:rPr>
                          <w:t>Total </w:t>
                        </w:r>
                        <w:r>
                          <w:rPr>
                            <w:i/>
                            <w:sz w:val="20"/>
                          </w:rPr>
                          <w:t>Categorías de Manejo</w:t>
                        </w:r>
                      </w:p>
                    </w:tc>
                  </w:tr>
                  <w:tr>
                    <w:trPr>
                      <w:trHeight w:val="690" w:hRule="atLeast"/>
                    </w:trPr>
                    <w:tc>
                      <w:tcPr>
                        <w:tcW w:w="1796" w:type="dxa"/>
                        <w:vMerge/>
                        <w:tcBorders>
                          <w:top w:val="nil"/>
                        </w:tcBorders>
                        <w:shd w:val="clear" w:color="auto" w:fill="D9D9D9"/>
                      </w:tcPr>
                      <w:p>
                        <w:pPr>
                          <w:rPr>
                            <w:sz w:val="2"/>
                            <w:szCs w:val="2"/>
                          </w:rPr>
                        </w:pPr>
                      </w:p>
                    </w:tc>
                    <w:tc>
                      <w:tcPr>
                        <w:tcW w:w="1184" w:type="dxa"/>
                        <w:shd w:val="clear" w:color="auto" w:fill="D9D9D9"/>
                      </w:tcPr>
                      <w:p>
                        <w:pPr>
                          <w:pStyle w:val="TableParagraph"/>
                          <w:spacing w:line="242" w:lineRule="auto" w:before="0"/>
                          <w:ind w:left="107" w:right="79" w:firstLine="60"/>
                          <w:jc w:val="left"/>
                          <w:rPr>
                            <w:i/>
                            <w:sz w:val="20"/>
                          </w:rPr>
                        </w:pPr>
                        <w:r>
                          <w:rPr>
                            <w:i/>
                            <w:sz w:val="20"/>
                          </w:rPr>
                          <w:t>Recursos </w:t>
                        </w:r>
                        <w:r>
                          <w:rPr>
                            <w:i/>
                            <w:sz w:val="20"/>
                          </w:rPr>
                          <w:t>financieros</w:t>
                        </w:r>
                      </w:p>
                    </w:tc>
                    <w:tc>
                      <w:tcPr>
                        <w:tcW w:w="1060" w:type="dxa"/>
                        <w:shd w:val="clear" w:color="auto" w:fill="D9D9D9"/>
                      </w:tcPr>
                      <w:p>
                        <w:pPr>
                          <w:pStyle w:val="TableParagraph"/>
                          <w:spacing w:line="242" w:lineRule="auto" w:before="0"/>
                          <w:ind w:left="116" w:right="77" w:hanging="8"/>
                          <w:jc w:val="left"/>
                          <w:rPr>
                            <w:i/>
                            <w:sz w:val="20"/>
                          </w:rPr>
                        </w:pPr>
                        <w:r>
                          <w:rPr>
                            <w:i/>
                            <w:sz w:val="20"/>
                          </w:rPr>
                          <w:t>Recursos </w:t>
                        </w:r>
                        <w:r>
                          <w:rPr>
                            <w:i/>
                            <w:sz w:val="20"/>
                          </w:rPr>
                          <w:t>humanos</w:t>
                        </w:r>
                      </w:p>
                    </w:tc>
                    <w:tc>
                      <w:tcPr>
                        <w:tcW w:w="1452" w:type="dxa"/>
                        <w:shd w:val="clear" w:color="auto" w:fill="D9D9D9"/>
                      </w:tcPr>
                      <w:p>
                        <w:pPr>
                          <w:pStyle w:val="TableParagraph"/>
                          <w:spacing w:line="242" w:lineRule="auto" w:before="0"/>
                          <w:ind w:left="112" w:firstLine="380"/>
                          <w:jc w:val="left"/>
                          <w:rPr>
                            <w:i/>
                            <w:sz w:val="20"/>
                          </w:rPr>
                        </w:pPr>
                        <w:r>
                          <w:rPr>
                            <w:i/>
                            <w:sz w:val="20"/>
                          </w:rPr>
                          <w:t>Sede </w:t>
                        </w:r>
                        <w:r>
                          <w:rPr>
                            <w:i/>
                            <w:sz w:val="20"/>
                          </w:rPr>
                          <w:t>administrativa</w:t>
                        </w:r>
                      </w:p>
                    </w:tc>
                    <w:tc>
                      <w:tcPr>
                        <w:tcW w:w="872" w:type="dxa"/>
                        <w:shd w:val="clear" w:color="auto" w:fill="D9D9D9"/>
                      </w:tcPr>
                      <w:p>
                        <w:pPr>
                          <w:pStyle w:val="TableParagraph"/>
                          <w:spacing w:line="225" w:lineRule="exact" w:before="0"/>
                          <w:ind w:left="325" w:hanging="88"/>
                          <w:jc w:val="left"/>
                          <w:rPr>
                            <w:i/>
                            <w:sz w:val="20"/>
                          </w:rPr>
                        </w:pPr>
                        <w:r>
                          <w:rPr>
                            <w:i/>
                            <w:sz w:val="20"/>
                          </w:rPr>
                          <w:t>Plan</w:t>
                        </w:r>
                      </w:p>
                      <w:p>
                        <w:pPr>
                          <w:pStyle w:val="TableParagraph"/>
                          <w:spacing w:line="228" w:lineRule="exact" w:before="7"/>
                          <w:ind w:left="108" w:right="78" w:firstLine="216"/>
                          <w:jc w:val="left"/>
                          <w:rPr>
                            <w:i/>
                            <w:sz w:val="20"/>
                          </w:rPr>
                        </w:pPr>
                        <w:r>
                          <w:rPr>
                            <w:i/>
                            <w:sz w:val="20"/>
                          </w:rPr>
                          <w:t>de </w:t>
                        </w:r>
                        <w:r>
                          <w:rPr>
                            <w:i/>
                            <w:sz w:val="20"/>
                          </w:rPr>
                          <w:t>manejo</w:t>
                        </w:r>
                      </w:p>
                    </w:tc>
                    <w:tc>
                      <w:tcPr>
                        <w:tcW w:w="1473" w:type="dxa"/>
                        <w:shd w:val="clear" w:color="auto" w:fill="D9D9D9"/>
                      </w:tcPr>
                      <w:p>
                        <w:pPr>
                          <w:pStyle w:val="TableParagraph"/>
                          <w:spacing w:line="242" w:lineRule="auto" w:before="0"/>
                          <w:ind w:left="348" w:hanging="240"/>
                          <w:jc w:val="left"/>
                          <w:rPr>
                            <w:i/>
                            <w:sz w:val="20"/>
                          </w:rPr>
                        </w:pPr>
                        <w:r>
                          <w:rPr>
                            <w:i/>
                            <w:sz w:val="20"/>
                          </w:rPr>
                          <w:t>Consolidación </w:t>
                        </w:r>
                        <w:r>
                          <w:rPr>
                            <w:i/>
                            <w:sz w:val="20"/>
                          </w:rPr>
                          <w:t>territorial</w:t>
                        </w:r>
                      </w:p>
                    </w:tc>
                    <w:tc>
                      <w:tcPr>
                        <w:tcW w:w="1141" w:type="dxa"/>
                        <w:shd w:val="clear" w:color="auto" w:fill="D9D9D9"/>
                      </w:tcPr>
                      <w:p>
                        <w:pPr>
                          <w:pStyle w:val="TableParagraph"/>
                          <w:spacing w:line="242" w:lineRule="auto" w:before="0"/>
                          <w:ind w:left="108" w:right="80" w:firstLine="59"/>
                          <w:jc w:val="left"/>
                          <w:rPr>
                            <w:i/>
                            <w:sz w:val="20"/>
                          </w:rPr>
                        </w:pPr>
                        <w:r>
                          <w:rPr>
                            <w:i/>
                            <w:sz w:val="20"/>
                          </w:rPr>
                          <w:t>Control y </w:t>
                        </w:r>
                        <w:r>
                          <w:rPr>
                            <w:i/>
                            <w:sz w:val="20"/>
                          </w:rPr>
                          <w:t>protección</w:t>
                        </w:r>
                      </w:p>
                    </w:tc>
                    <w:tc>
                      <w:tcPr>
                        <w:tcW w:w="1361" w:type="dxa"/>
                        <w:shd w:val="clear" w:color="auto" w:fill="D9D9D9"/>
                      </w:tcPr>
                      <w:p>
                        <w:pPr>
                          <w:pStyle w:val="TableParagraph"/>
                          <w:spacing w:line="225" w:lineRule="exact" w:before="0"/>
                          <w:ind w:left="107" w:firstLine="44"/>
                          <w:jc w:val="left"/>
                          <w:rPr>
                            <w:i/>
                            <w:sz w:val="20"/>
                          </w:rPr>
                        </w:pPr>
                        <w:r>
                          <w:rPr>
                            <w:i/>
                            <w:sz w:val="20"/>
                          </w:rPr>
                          <w:t>Atención</w:t>
                        </w:r>
                        <w:r>
                          <w:rPr>
                            <w:i/>
                            <w:spacing w:val="-6"/>
                            <w:sz w:val="20"/>
                          </w:rPr>
                          <w:t> </w:t>
                        </w:r>
                        <w:r>
                          <w:rPr>
                            <w:i/>
                            <w:sz w:val="20"/>
                          </w:rPr>
                          <w:t>de</w:t>
                        </w:r>
                      </w:p>
                      <w:p>
                        <w:pPr>
                          <w:pStyle w:val="TableParagraph"/>
                          <w:spacing w:line="228" w:lineRule="exact" w:before="7"/>
                          <w:ind w:left="140" w:right="88" w:hanging="32"/>
                          <w:jc w:val="left"/>
                          <w:rPr>
                            <w:i/>
                            <w:sz w:val="20"/>
                          </w:rPr>
                        </w:pPr>
                        <w:r>
                          <w:rPr>
                            <w:i/>
                            <w:spacing w:val="-1"/>
                            <w:sz w:val="20"/>
                          </w:rPr>
                          <w:t>emergencias </w:t>
                        </w:r>
                        <w:r>
                          <w:rPr>
                            <w:i/>
                            <w:sz w:val="20"/>
                          </w:rPr>
                          <w:t>ambientales</w:t>
                        </w:r>
                      </w:p>
                    </w:tc>
                    <w:tc>
                      <w:tcPr>
                        <w:tcW w:w="1196" w:type="dxa"/>
                        <w:vMerge/>
                        <w:tcBorders>
                          <w:top w:val="nil"/>
                        </w:tcBorders>
                        <w:shd w:val="clear" w:color="auto" w:fill="D9D9D9"/>
                      </w:tcPr>
                      <w:p>
                        <w:pPr>
                          <w:rPr>
                            <w:sz w:val="2"/>
                            <w:szCs w:val="2"/>
                          </w:rPr>
                        </w:pPr>
                      </w:p>
                    </w:tc>
                  </w:tr>
                  <w:tr>
                    <w:trPr>
                      <w:trHeight w:val="230" w:hRule="atLeast"/>
                    </w:trPr>
                    <w:tc>
                      <w:tcPr>
                        <w:tcW w:w="1796" w:type="dxa"/>
                      </w:tcPr>
                      <w:p>
                        <w:pPr>
                          <w:pStyle w:val="TableParagraph"/>
                          <w:spacing w:line="210" w:lineRule="exact" w:before="0"/>
                          <w:ind w:left="108" w:right="102"/>
                          <w:jc w:val="center"/>
                          <w:rPr>
                            <w:i/>
                            <w:sz w:val="20"/>
                          </w:rPr>
                        </w:pPr>
                        <w:r>
                          <w:rPr>
                            <w:i/>
                            <w:sz w:val="20"/>
                          </w:rPr>
                          <w:t>Parque Nacional</w:t>
                        </w:r>
                      </w:p>
                    </w:tc>
                    <w:tc>
                      <w:tcPr>
                        <w:tcW w:w="1184" w:type="dxa"/>
                      </w:tcPr>
                      <w:p>
                        <w:pPr>
                          <w:pStyle w:val="TableParagraph"/>
                          <w:spacing w:line="210" w:lineRule="exact" w:before="0"/>
                          <w:ind w:left="460" w:right="450"/>
                          <w:jc w:val="center"/>
                          <w:rPr>
                            <w:i/>
                            <w:sz w:val="20"/>
                          </w:rPr>
                        </w:pPr>
                        <w:r>
                          <w:rPr>
                            <w:i/>
                            <w:sz w:val="20"/>
                          </w:rPr>
                          <w:t>61</w:t>
                        </w:r>
                      </w:p>
                    </w:tc>
                    <w:tc>
                      <w:tcPr>
                        <w:tcW w:w="1060" w:type="dxa"/>
                      </w:tcPr>
                      <w:p>
                        <w:pPr>
                          <w:pStyle w:val="TableParagraph"/>
                          <w:spacing w:line="210" w:lineRule="exact" w:before="0"/>
                          <w:ind w:left="396" w:right="390"/>
                          <w:jc w:val="center"/>
                          <w:rPr>
                            <w:i/>
                            <w:sz w:val="20"/>
                          </w:rPr>
                        </w:pPr>
                        <w:r>
                          <w:rPr>
                            <w:i/>
                            <w:sz w:val="20"/>
                          </w:rPr>
                          <w:t>77</w:t>
                        </w:r>
                      </w:p>
                    </w:tc>
                    <w:tc>
                      <w:tcPr>
                        <w:tcW w:w="1452" w:type="dxa"/>
                      </w:tcPr>
                      <w:p>
                        <w:pPr>
                          <w:pStyle w:val="TableParagraph"/>
                          <w:spacing w:line="210" w:lineRule="exact" w:before="0"/>
                          <w:ind w:left="596" w:right="582"/>
                          <w:jc w:val="center"/>
                          <w:rPr>
                            <w:i/>
                            <w:sz w:val="20"/>
                          </w:rPr>
                        </w:pPr>
                        <w:r>
                          <w:rPr>
                            <w:i/>
                            <w:sz w:val="20"/>
                          </w:rPr>
                          <w:t>75</w:t>
                        </w:r>
                      </w:p>
                    </w:tc>
                    <w:tc>
                      <w:tcPr>
                        <w:tcW w:w="872" w:type="dxa"/>
                      </w:tcPr>
                      <w:p>
                        <w:pPr>
                          <w:pStyle w:val="TableParagraph"/>
                          <w:spacing w:line="210" w:lineRule="exact" w:before="0"/>
                          <w:ind w:left="305" w:right="293"/>
                          <w:jc w:val="center"/>
                          <w:rPr>
                            <w:i/>
                            <w:sz w:val="20"/>
                          </w:rPr>
                        </w:pPr>
                        <w:r>
                          <w:rPr>
                            <w:i/>
                            <w:sz w:val="20"/>
                          </w:rPr>
                          <w:t>86</w:t>
                        </w:r>
                      </w:p>
                    </w:tc>
                    <w:tc>
                      <w:tcPr>
                        <w:tcW w:w="1473" w:type="dxa"/>
                      </w:tcPr>
                      <w:p>
                        <w:pPr>
                          <w:pStyle w:val="TableParagraph"/>
                          <w:spacing w:line="210" w:lineRule="exact" w:before="0"/>
                          <w:ind w:right="611"/>
                          <w:rPr>
                            <w:i/>
                            <w:sz w:val="20"/>
                          </w:rPr>
                        </w:pPr>
                        <w:r>
                          <w:rPr>
                            <w:i/>
                            <w:w w:val="95"/>
                            <w:sz w:val="20"/>
                          </w:rPr>
                          <w:t>59</w:t>
                        </w:r>
                      </w:p>
                    </w:tc>
                    <w:tc>
                      <w:tcPr>
                        <w:tcW w:w="1141" w:type="dxa"/>
                      </w:tcPr>
                      <w:p>
                        <w:pPr>
                          <w:pStyle w:val="TableParagraph"/>
                          <w:spacing w:line="210" w:lineRule="exact" w:before="0"/>
                          <w:ind w:left="436" w:right="431"/>
                          <w:jc w:val="center"/>
                          <w:rPr>
                            <w:i/>
                            <w:sz w:val="20"/>
                          </w:rPr>
                        </w:pPr>
                        <w:r>
                          <w:rPr>
                            <w:i/>
                            <w:sz w:val="20"/>
                          </w:rPr>
                          <w:t>81</w:t>
                        </w:r>
                      </w:p>
                    </w:tc>
                    <w:tc>
                      <w:tcPr>
                        <w:tcW w:w="1361" w:type="dxa"/>
                      </w:tcPr>
                      <w:p>
                        <w:pPr>
                          <w:pStyle w:val="TableParagraph"/>
                          <w:spacing w:line="210" w:lineRule="exact" w:before="0"/>
                          <w:ind w:left="548" w:right="539"/>
                          <w:jc w:val="center"/>
                          <w:rPr>
                            <w:i/>
                            <w:sz w:val="20"/>
                          </w:rPr>
                        </w:pPr>
                        <w:r>
                          <w:rPr>
                            <w:i/>
                            <w:sz w:val="20"/>
                          </w:rPr>
                          <w:t>67</w:t>
                        </w:r>
                      </w:p>
                    </w:tc>
                    <w:tc>
                      <w:tcPr>
                        <w:tcW w:w="1196" w:type="dxa"/>
                        <w:shd w:val="clear" w:color="auto" w:fill="F1F1F1"/>
                      </w:tcPr>
                      <w:p>
                        <w:pPr>
                          <w:pStyle w:val="TableParagraph"/>
                          <w:spacing w:line="210" w:lineRule="exact" w:before="0"/>
                          <w:ind w:left="467" w:right="455"/>
                          <w:jc w:val="center"/>
                          <w:rPr>
                            <w:i/>
                            <w:sz w:val="20"/>
                          </w:rPr>
                        </w:pPr>
                        <w:r>
                          <w:rPr>
                            <w:i/>
                            <w:sz w:val="20"/>
                          </w:rPr>
                          <w:t>72</w:t>
                        </w:r>
                      </w:p>
                    </w:tc>
                  </w:tr>
                  <w:tr>
                    <w:trPr>
                      <w:trHeight w:val="457" w:hRule="atLeast"/>
                    </w:trPr>
                    <w:tc>
                      <w:tcPr>
                        <w:tcW w:w="1796" w:type="dxa"/>
                      </w:tcPr>
                      <w:p>
                        <w:pPr>
                          <w:pStyle w:val="TableParagraph"/>
                          <w:spacing w:line="225" w:lineRule="exact" w:before="0"/>
                          <w:ind w:left="115" w:right="102"/>
                          <w:jc w:val="center"/>
                          <w:rPr>
                            <w:i/>
                            <w:sz w:val="20"/>
                          </w:rPr>
                        </w:pPr>
                        <w:r>
                          <w:rPr>
                            <w:i/>
                            <w:sz w:val="20"/>
                          </w:rPr>
                          <w:t>Refugio de Vida</w:t>
                        </w:r>
                      </w:p>
                      <w:p>
                        <w:pPr>
                          <w:pStyle w:val="TableParagraph"/>
                          <w:spacing w:line="211" w:lineRule="exact" w:before="2"/>
                          <w:ind w:left="113" w:right="102"/>
                          <w:jc w:val="center"/>
                          <w:rPr>
                            <w:i/>
                            <w:sz w:val="20"/>
                          </w:rPr>
                        </w:pPr>
                        <w:r>
                          <w:rPr>
                            <w:i/>
                            <w:sz w:val="20"/>
                          </w:rPr>
                          <w:t>Silvestre</w:t>
                        </w:r>
                      </w:p>
                    </w:tc>
                    <w:tc>
                      <w:tcPr>
                        <w:tcW w:w="1184" w:type="dxa"/>
                      </w:tcPr>
                      <w:p>
                        <w:pPr>
                          <w:pStyle w:val="TableParagraph"/>
                          <w:spacing w:line="225" w:lineRule="exact" w:before="0"/>
                          <w:ind w:left="460" w:right="450"/>
                          <w:jc w:val="center"/>
                          <w:rPr>
                            <w:i/>
                            <w:sz w:val="20"/>
                          </w:rPr>
                        </w:pPr>
                        <w:r>
                          <w:rPr>
                            <w:i/>
                            <w:sz w:val="20"/>
                          </w:rPr>
                          <w:t>64</w:t>
                        </w:r>
                      </w:p>
                    </w:tc>
                    <w:tc>
                      <w:tcPr>
                        <w:tcW w:w="1060" w:type="dxa"/>
                      </w:tcPr>
                      <w:p>
                        <w:pPr>
                          <w:pStyle w:val="TableParagraph"/>
                          <w:spacing w:line="225" w:lineRule="exact" w:before="0"/>
                          <w:ind w:left="396" w:right="390"/>
                          <w:jc w:val="center"/>
                          <w:rPr>
                            <w:i/>
                            <w:sz w:val="20"/>
                          </w:rPr>
                        </w:pPr>
                        <w:r>
                          <w:rPr>
                            <w:i/>
                            <w:sz w:val="20"/>
                          </w:rPr>
                          <w:t>61</w:t>
                        </w:r>
                      </w:p>
                    </w:tc>
                    <w:tc>
                      <w:tcPr>
                        <w:tcW w:w="1452" w:type="dxa"/>
                      </w:tcPr>
                      <w:p>
                        <w:pPr>
                          <w:pStyle w:val="TableParagraph"/>
                          <w:spacing w:line="225" w:lineRule="exact" w:before="0"/>
                          <w:ind w:left="596" w:right="582"/>
                          <w:jc w:val="center"/>
                          <w:rPr>
                            <w:i/>
                            <w:sz w:val="20"/>
                          </w:rPr>
                        </w:pPr>
                        <w:r>
                          <w:rPr>
                            <w:i/>
                            <w:sz w:val="20"/>
                          </w:rPr>
                          <w:t>51</w:t>
                        </w:r>
                      </w:p>
                    </w:tc>
                    <w:tc>
                      <w:tcPr>
                        <w:tcW w:w="872" w:type="dxa"/>
                      </w:tcPr>
                      <w:p>
                        <w:pPr>
                          <w:pStyle w:val="TableParagraph"/>
                          <w:spacing w:line="225" w:lineRule="exact" w:before="0"/>
                          <w:ind w:left="305" w:right="293"/>
                          <w:jc w:val="center"/>
                          <w:rPr>
                            <w:i/>
                            <w:sz w:val="20"/>
                          </w:rPr>
                        </w:pPr>
                        <w:r>
                          <w:rPr>
                            <w:i/>
                            <w:sz w:val="20"/>
                          </w:rPr>
                          <w:t>63</w:t>
                        </w:r>
                      </w:p>
                    </w:tc>
                    <w:tc>
                      <w:tcPr>
                        <w:tcW w:w="1473" w:type="dxa"/>
                      </w:tcPr>
                      <w:p>
                        <w:pPr>
                          <w:pStyle w:val="TableParagraph"/>
                          <w:spacing w:line="225" w:lineRule="exact" w:before="0"/>
                          <w:ind w:right="611"/>
                          <w:rPr>
                            <w:i/>
                            <w:sz w:val="20"/>
                          </w:rPr>
                        </w:pPr>
                        <w:r>
                          <w:rPr>
                            <w:i/>
                            <w:w w:val="95"/>
                            <w:sz w:val="20"/>
                          </w:rPr>
                          <w:t>58</w:t>
                        </w:r>
                      </w:p>
                    </w:tc>
                    <w:tc>
                      <w:tcPr>
                        <w:tcW w:w="1141" w:type="dxa"/>
                      </w:tcPr>
                      <w:p>
                        <w:pPr>
                          <w:pStyle w:val="TableParagraph"/>
                          <w:spacing w:line="225" w:lineRule="exact" w:before="0"/>
                          <w:ind w:left="436" w:right="431"/>
                          <w:jc w:val="center"/>
                          <w:rPr>
                            <w:i/>
                            <w:sz w:val="20"/>
                          </w:rPr>
                        </w:pPr>
                        <w:r>
                          <w:rPr>
                            <w:i/>
                            <w:sz w:val="20"/>
                          </w:rPr>
                          <w:t>59</w:t>
                        </w:r>
                      </w:p>
                    </w:tc>
                    <w:tc>
                      <w:tcPr>
                        <w:tcW w:w="1361" w:type="dxa"/>
                      </w:tcPr>
                      <w:p>
                        <w:pPr>
                          <w:pStyle w:val="TableParagraph"/>
                          <w:spacing w:line="225" w:lineRule="exact" w:before="0"/>
                          <w:ind w:left="548" w:right="539"/>
                          <w:jc w:val="center"/>
                          <w:rPr>
                            <w:i/>
                            <w:sz w:val="20"/>
                          </w:rPr>
                        </w:pPr>
                        <w:r>
                          <w:rPr>
                            <w:i/>
                            <w:sz w:val="20"/>
                          </w:rPr>
                          <w:t>54</w:t>
                        </w:r>
                      </w:p>
                    </w:tc>
                    <w:tc>
                      <w:tcPr>
                        <w:tcW w:w="1196" w:type="dxa"/>
                        <w:shd w:val="clear" w:color="auto" w:fill="F1F1F1"/>
                      </w:tcPr>
                      <w:p>
                        <w:pPr>
                          <w:pStyle w:val="TableParagraph"/>
                          <w:spacing w:line="225" w:lineRule="exact" w:before="0"/>
                          <w:ind w:left="467" w:right="455"/>
                          <w:jc w:val="center"/>
                          <w:rPr>
                            <w:i/>
                            <w:sz w:val="20"/>
                          </w:rPr>
                        </w:pPr>
                        <w:r>
                          <w:rPr>
                            <w:i/>
                            <w:sz w:val="20"/>
                          </w:rPr>
                          <w:t>59</w:t>
                        </w:r>
                      </w:p>
                    </w:tc>
                  </w:tr>
                  <w:tr>
                    <w:trPr>
                      <w:trHeight w:val="462" w:hRule="atLeast"/>
                    </w:trPr>
                    <w:tc>
                      <w:tcPr>
                        <w:tcW w:w="1796" w:type="dxa"/>
                      </w:tcPr>
                      <w:p>
                        <w:pPr>
                          <w:pStyle w:val="TableParagraph"/>
                          <w:spacing w:line="228" w:lineRule="exact" w:before="4"/>
                          <w:ind w:left="495" w:right="148" w:firstLine="32"/>
                          <w:jc w:val="left"/>
                          <w:rPr>
                            <w:i/>
                            <w:sz w:val="20"/>
                          </w:rPr>
                        </w:pPr>
                        <w:r>
                          <w:rPr>
                            <w:i/>
                            <w:sz w:val="20"/>
                          </w:rPr>
                          <w:t>Reserva </w:t>
                        </w:r>
                        <w:r>
                          <w:rPr>
                            <w:i/>
                            <w:sz w:val="20"/>
                          </w:rPr>
                          <w:t>Biológica</w:t>
                        </w:r>
                      </w:p>
                    </w:tc>
                    <w:tc>
                      <w:tcPr>
                        <w:tcW w:w="1184" w:type="dxa"/>
                      </w:tcPr>
                      <w:p>
                        <w:pPr>
                          <w:pStyle w:val="TableParagraph"/>
                          <w:spacing w:line="229" w:lineRule="exact" w:before="0"/>
                          <w:ind w:left="460" w:right="450"/>
                          <w:jc w:val="center"/>
                          <w:rPr>
                            <w:i/>
                            <w:sz w:val="20"/>
                          </w:rPr>
                        </w:pPr>
                        <w:r>
                          <w:rPr>
                            <w:i/>
                            <w:sz w:val="20"/>
                          </w:rPr>
                          <w:t>59</w:t>
                        </w:r>
                      </w:p>
                    </w:tc>
                    <w:tc>
                      <w:tcPr>
                        <w:tcW w:w="1060" w:type="dxa"/>
                      </w:tcPr>
                      <w:p>
                        <w:pPr>
                          <w:pStyle w:val="TableParagraph"/>
                          <w:spacing w:line="229" w:lineRule="exact" w:before="0"/>
                          <w:ind w:left="396" w:right="390"/>
                          <w:jc w:val="center"/>
                          <w:rPr>
                            <w:i/>
                            <w:sz w:val="20"/>
                          </w:rPr>
                        </w:pPr>
                        <w:r>
                          <w:rPr>
                            <w:i/>
                            <w:sz w:val="20"/>
                          </w:rPr>
                          <w:t>59</w:t>
                        </w:r>
                      </w:p>
                    </w:tc>
                    <w:tc>
                      <w:tcPr>
                        <w:tcW w:w="1452" w:type="dxa"/>
                      </w:tcPr>
                      <w:p>
                        <w:pPr>
                          <w:pStyle w:val="TableParagraph"/>
                          <w:spacing w:line="229" w:lineRule="exact" w:before="0"/>
                          <w:ind w:left="596" w:right="582"/>
                          <w:jc w:val="center"/>
                          <w:rPr>
                            <w:i/>
                            <w:sz w:val="20"/>
                          </w:rPr>
                        </w:pPr>
                        <w:r>
                          <w:rPr>
                            <w:i/>
                            <w:color w:val="FF0000"/>
                            <w:sz w:val="20"/>
                          </w:rPr>
                          <w:t>47</w:t>
                        </w:r>
                      </w:p>
                    </w:tc>
                    <w:tc>
                      <w:tcPr>
                        <w:tcW w:w="872" w:type="dxa"/>
                      </w:tcPr>
                      <w:p>
                        <w:pPr>
                          <w:pStyle w:val="TableParagraph"/>
                          <w:spacing w:line="229" w:lineRule="exact" w:before="0"/>
                          <w:ind w:left="305" w:right="293"/>
                          <w:jc w:val="center"/>
                          <w:rPr>
                            <w:i/>
                            <w:sz w:val="20"/>
                          </w:rPr>
                        </w:pPr>
                        <w:r>
                          <w:rPr>
                            <w:i/>
                            <w:sz w:val="20"/>
                          </w:rPr>
                          <w:t>59</w:t>
                        </w:r>
                      </w:p>
                    </w:tc>
                    <w:tc>
                      <w:tcPr>
                        <w:tcW w:w="1473" w:type="dxa"/>
                      </w:tcPr>
                      <w:p>
                        <w:pPr>
                          <w:pStyle w:val="TableParagraph"/>
                          <w:spacing w:line="229" w:lineRule="exact" w:before="0"/>
                          <w:ind w:right="611"/>
                          <w:rPr>
                            <w:i/>
                            <w:sz w:val="20"/>
                          </w:rPr>
                        </w:pPr>
                        <w:r>
                          <w:rPr>
                            <w:i/>
                            <w:w w:val="95"/>
                            <w:sz w:val="20"/>
                          </w:rPr>
                          <w:t>63</w:t>
                        </w:r>
                      </w:p>
                    </w:tc>
                    <w:tc>
                      <w:tcPr>
                        <w:tcW w:w="1141" w:type="dxa"/>
                      </w:tcPr>
                      <w:p>
                        <w:pPr>
                          <w:pStyle w:val="TableParagraph"/>
                          <w:spacing w:line="229" w:lineRule="exact" w:before="0"/>
                          <w:ind w:left="436" w:right="431"/>
                          <w:jc w:val="center"/>
                          <w:rPr>
                            <w:i/>
                            <w:sz w:val="20"/>
                          </w:rPr>
                        </w:pPr>
                        <w:r>
                          <w:rPr>
                            <w:i/>
                            <w:sz w:val="20"/>
                          </w:rPr>
                          <w:t>69</w:t>
                        </w:r>
                      </w:p>
                    </w:tc>
                    <w:tc>
                      <w:tcPr>
                        <w:tcW w:w="1361" w:type="dxa"/>
                      </w:tcPr>
                      <w:p>
                        <w:pPr>
                          <w:pStyle w:val="TableParagraph"/>
                          <w:spacing w:line="229" w:lineRule="exact" w:before="0"/>
                          <w:ind w:left="548" w:right="539"/>
                          <w:jc w:val="center"/>
                          <w:rPr>
                            <w:i/>
                            <w:sz w:val="20"/>
                          </w:rPr>
                        </w:pPr>
                        <w:r>
                          <w:rPr>
                            <w:i/>
                            <w:sz w:val="20"/>
                          </w:rPr>
                          <w:t>66</w:t>
                        </w:r>
                      </w:p>
                    </w:tc>
                    <w:tc>
                      <w:tcPr>
                        <w:tcW w:w="1196" w:type="dxa"/>
                        <w:shd w:val="clear" w:color="auto" w:fill="F1F1F1"/>
                      </w:tcPr>
                      <w:p>
                        <w:pPr>
                          <w:pStyle w:val="TableParagraph"/>
                          <w:spacing w:line="229" w:lineRule="exact" w:before="0"/>
                          <w:ind w:left="467" w:right="455"/>
                          <w:jc w:val="center"/>
                          <w:rPr>
                            <w:i/>
                            <w:sz w:val="20"/>
                          </w:rPr>
                        </w:pPr>
                        <w:r>
                          <w:rPr>
                            <w:i/>
                            <w:sz w:val="20"/>
                          </w:rPr>
                          <w:t>60</w:t>
                        </w:r>
                      </w:p>
                    </w:tc>
                  </w:tr>
                  <w:tr>
                    <w:trPr>
                      <w:trHeight w:val="230" w:hRule="atLeast"/>
                    </w:trPr>
                    <w:tc>
                      <w:tcPr>
                        <w:tcW w:w="1796" w:type="dxa"/>
                      </w:tcPr>
                      <w:p>
                        <w:pPr>
                          <w:pStyle w:val="TableParagraph"/>
                          <w:spacing w:line="210" w:lineRule="exact" w:before="0"/>
                          <w:ind w:left="121" w:right="102"/>
                          <w:jc w:val="center"/>
                          <w:rPr>
                            <w:i/>
                            <w:sz w:val="20"/>
                          </w:rPr>
                        </w:pPr>
                        <w:r>
                          <w:rPr>
                            <w:i/>
                            <w:sz w:val="20"/>
                          </w:rPr>
                          <w:t>Reserva Forestal</w:t>
                        </w:r>
                      </w:p>
                    </w:tc>
                    <w:tc>
                      <w:tcPr>
                        <w:tcW w:w="1184" w:type="dxa"/>
                      </w:tcPr>
                      <w:p>
                        <w:pPr>
                          <w:pStyle w:val="TableParagraph"/>
                          <w:spacing w:line="210" w:lineRule="exact" w:before="0"/>
                          <w:ind w:left="460" w:right="450"/>
                          <w:jc w:val="center"/>
                          <w:rPr>
                            <w:i/>
                            <w:sz w:val="20"/>
                          </w:rPr>
                        </w:pPr>
                        <w:r>
                          <w:rPr>
                            <w:i/>
                            <w:sz w:val="20"/>
                          </w:rPr>
                          <w:t>56</w:t>
                        </w:r>
                      </w:p>
                    </w:tc>
                    <w:tc>
                      <w:tcPr>
                        <w:tcW w:w="1060" w:type="dxa"/>
                      </w:tcPr>
                      <w:p>
                        <w:pPr>
                          <w:pStyle w:val="TableParagraph"/>
                          <w:spacing w:line="210" w:lineRule="exact" w:before="0"/>
                          <w:ind w:left="396" w:right="390"/>
                          <w:jc w:val="center"/>
                          <w:rPr>
                            <w:i/>
                            <w:sz w:val="20"/>
                          </w:rPr>
                        </w:pPr>
                        <w:r>
                          <w:rPr>
                            <w:i/>
                            <w:sz w:val="20"/>
                          </w:rPr>
                          <w:t>56</w:t>
                        </w:r>
                      </w:p>
                    </w:tc>
                    <w:tc>
                      <w:tcPr>
                        <w:tcW w:w="1452" w:type="dxa"/>
                      </w:tcPr>
                      <w:p>
                        <w:pPr>
                          <w:pStyle w:val="TableParagraph"/>
                          <w:spacing w:line="210" w:lineRule="exact" w:before="0"/>
                          <w:ind w:left="596" w:right="582"/>
                          <w:jc w:val="center"/>
                          <w:rPr>
                            <w:i/>
                            <w:sz w:val="20"/>
                          </w:rPr>
                        </w:pPr>
                        <w:r>
                          <w:rPr>
                            <w:i/>
                            <w:sz w:val="20"/>
                          </w:rPr>
                          <w:t>50</w:t>
                        </w:r>
                      </w:p>
                    </w:tc>
                    <w:tc>
                      <w:tcPr>
                        <w:tcW w:w="872" w:type="dxa"/>
                      </w:tcPr>
                      <w:p>
                        <w:pPr>
                          <w:pStyle w:val="TableParagraph"/>
                          <w:spacing w:line="210" w:lineRule="exact" w:before="0"/>
                          <w:ind w:left="305" w:right="293"/>
                          <w:jc w:val="center"/>
                          <w:rPr>
                            <w:i/>
                            <w:sz w:val="20"/>
                          </w:rPr>
                        </w:pPr>
                        <w:r>
                          <w:rPr>
                            <w:i/>
                            <w:color w:val="FF0000"/>
                            <w:sz w:val="20"/>
                          </w:rPr>
                          <w:t>41</w:t>
                        </w:r>
                      </w:p>
                    </w:tc>
                    <w:tc>
                      <w:tcPr>
                        <w:tcW w:w="1473" w:type="dxa"/>
                      </w:tcPr>
                      <w:p>
                        <w:pPr>
                          <w:pStyle w:val="TableParagraph"/>
                          <w:spacing w:line="210" w:lineRule="exact" w:before="0"/>
                          <w:ind w:right="611"/>
                          <w:rPr>
                            <w:i/>
                            <w:sz w:val="20"/>
                          </w:rPr>
                        </w:pPr>
                        <w:r>
                          <w:rPr>
                            <w:i/>
                            <w:w w:val="95"/>
                            <w:sz w:val="20"/>
                          </w:rPr>
                          <w:t>63</w:t>
                        </w:r>
                      </w:p>
                    </w:tc>
                    <w:tc>
                      <w:tcPr>
                        <w:tcW w:w="1141" w:type="dxa"/>
                      </w:tcPr>
                      <w:p>
                        <w:pPr>
                          <w:pStyle w:val="TableParagraph"/>
                          <w:spacing w:line="210" w:lineRule="exact" w:before="0"/>
                          <w:ind w:left="436" w:right="431"/>
                          <w:jc w:val="center"/>
                          <w:rPr>
                            <w:i/>
                            <w:sz w:val="20"/>
                          </w:rPr>
                        </w:pPr>
                        <w:r>
                          <w:rPr>
                            <w:i/>
                            <w:sz w:val="20"/>
                          </w:rPr>
                          <w:t>69</w:t>
                        </w:r>
                      </w:p>
                    </w:tc>
                    <w:tc>
                      <w:tcPr>
                        <w:tcW w:w="1361" w:type="dxa"/>
                      </w:tcPr>
                      <w:p>
                        <w:pPr>
                          <w:pStyle w:val="TableParagraph"/>
                          <w:spacing w:line="210" w:lineRule="exact" w:before="0"/>
                          <w:ind w:left="548" w:right="539"/>
                          <w:jc w:val="center"/>
                          <w:rPr>
                            <w:i/>
                            <w:sz w:val="20"/>
                          </w:rPr>
                        </w:pPr>
                        <w:r>
                          <w:rPr>
                            <w:i/>
                            <w:sz w:val="20"/>
                          </w:rPr>
                          <w:t>56</w:t>
                        </w:r>
                      </w:p>
                    </w:tc>
                    <w:tc>
                      <w:tcPr>
                        <w:tcW w:w="1196" w:type="dxa"/>
                        <w:shd w:val="clear" w:color="auto" w:fill="F1F1F1"/>
                      </w:tcPr>
                      <w:p>
                        <w:pPr>
                          <w:pStyle w:val="TableParagraph"/>
                          <w:spacing w:line="210" w:lineRule="exact" w:before="0"/>
                          <w:ind w:left="467" w:right="455"/>
                          <w:jc w:val="center"/>
                          <w:rPr>
                            <w:i/>
                            <w:sz w:val="20"/>
                          </w:rPr>
                        </w:pPr>
                        <w:r>
                          <w:rPr>
                            <w:i/>
                            <w:sz w:val="20"/>
                          </w:rPr>
                          <w:t>56</w:t>
                        </w:r>
                      </w:p>
                    </w:tc>
                  </w:tr>
                  <w:tr>
                    <w:trPr>
                      <w:trHeight w:val="230" w:hRule="atLeast"/>
                    </w:trPr>
                    <w:tc>
                      <w:tcPr>
                        <w:tcW w:w="1796" w:type="dxa"/>
                      </w:tcPr>
                      <w:p>
                        <w:pPr>
                          <w:pStyle w:val="TableParagraph"/>
                          <w:spacing w:line="210" w:lineRule="exact" w:before="0"/>
                          <w:ind w:left="119" w:right="102"/>
                          <w:jc w:val="center"/>
                          <w:rPr>
                            <w:i/>
                            <w:sz w:val="20"/>
                          </w:rPr>
                        </w:pPr>
                        <w:r>
                          <w:rPr>
                            <w:i/>
                            <w:sz w:val="20"/>
                          </w:rPr>
                          <w:t>Zona Protectora</w:t>
                        </w:r>
                      </w:p>
                    </w:tc>
                    <w:tc>
                      <w:tcPr>
                        <w:tcW w:w="1184" w:type="dxa"/>
                      </w:tcPr>
                      <w:p>
                        <w:pPr>
                          <w:pStyle w:val="TableParagraph"/>
                          <w:spacing w:line="210" w:lineRule="exact" w:before="0"/>
                          <w:ind w:left="460" w:right="450"/>
                          <w:jc w:val="center"/>
                          <w:rPr>
                            <w:i/>
                            <w:sz w:val="20"/>
                          </w:rPr>
                        </w:pPr>
                        <w:r>
                          <w:rPr>
                            <w:i/>
                            <w:sz w:val="20"/>
                          </w:rPr>
                          <w:t>56</w:t>
                        </w:r>
                      </w:p>
                    </w:tc>
                    <w:tc>
                      <w:tcPr>
                        <w:tcW w:w="1060" w:type="dxa"/>
                      </w:tcPr>
                      <w:p>
                        <w:pPr>
                          <w:pStyle w:val="TableParagraph"/>
                          <w:spacing w:line="210" w:lineRule="exact" w:before="0"/>
                          <w:ind w:left="396" w:right="390"/>
                          <w:jc w:val="center"/>
                          <w:rPr>
                            <w:i/>
                            <w:sz w:val="20"/>
                          </w:rPr>
                        </w:pPr>
                        <w:r>
                          <w:rPr>
                            <w:i/>
                            <w:color w:val="FF0000"/>
                            <w:sz w:val="20"/>
                          </w:rPr>
                          <w:t>45</w:t>
                        </w:r>
                      </w:p>
                    </w:tc>
                    <w:tc>
                      <w:tcPr>
                        <w:tcW w:w="1452" w:type="dxa"/>
                      </w:tcPr>
                      <w:p>
                        <w:pPr>
                          <w:pStyle w:val="TableParagraph"/>
                          <w:spacing w:line="210" w:lineRule="exact" w:before="0"/>
                          <w:ind w:left="596" w:right="582"/>
                          <w:jc w:val="center"/>
                          <w:rPr>
                            <w:i/>
                            <w:sz w:val="20"/>
                          </w:rPr>
                        </w:pPr>
                        <w:r>
                          <w:rPr>
                            <w:i/>
                            <w:color w:val="FF0000"/>
                            <w:sz w:val="20"/>
                          </w:rPr>
                          <w:t>40</w:t>
                        </w:r>
                      </w:p>
                    </w:tc>
                    <w:tc>
                      <w:tcPr>
                        <w:tcW w:w="872" w:type="dxa"/>
                      </w:tcPr>
                      <w:p>
                        <w:pPr>
                          <w:pStyle w:val="TableParagraph"/>
                          <w:spacing w:line="210" w:lineRule="exact" w:before="0"/>
                          <w:ind w:left="305" w:right="293"/>
                          <w:jc w:val="center"/>
                          <w:rPr>
                            <w:i/>
                            <w:sz w:val="20"/>
                          </w:rPr>
                        </w:pPr>
                        <w:r>
                          <w:rPr>
                            <w:i/>
                            <w:color w:val="FF0000"/>
                            <w:sz w:val="20"/>
                          </w:rPr>
                          <w:t>36</w:t>
                        </w:r>
                      </w:p>
                    </w:tc>
                    <w:tc>
                      <w:tcPr>
                        <w:tcW w:w="1473" w:type="dxa"/>
                      </w:tcPr>
                      <w:p>
                        <w:pPr>
                          <w:pStyle w:val="TableParagraph"/>
                          <w:spacing w:line="210" w:lineRule="exact" w:before="0"/>
                          <w:ind w:right="611"/>
                          <w:rPr>
                            <w:i/>
                            <w:sz w:val="20"/>
                          </w:rPr>
                        </w:pPr>
                        <w:r>
                          <w:rPr>
                            <w:i/>
                            <w:color w:val="FF0000"/>
                            <w:w w:val="95"/>
                            <w:sz w:val="20"/>
                          </w:rPr>
                          <w:t>49</w:t>
                        </w:r>
                      </w:p>
                    </w:tc>
                    <w:tc>
                      <w:tcPr>
                        <w:tcW w:w="1141" w:type="dxa"/>
                      </w:tcPr>
                      <w:p>
                        <w:pPr>
                          <w:pStyle w:val="TableParagraph"/>
                          <w:spacing w:line="210" w:lineRule="exact" w:before="0"/>
                          <w:ind w:left="436" w:right="431"/>
                          <w:jc w:val="center"/>
                          <w:rPr>
                            <w:i/>
                            <w:sz w:val="20"/>
                          </w:rPr>
                        </w:pPr>
                        <w:r>
                          <w:rPr>
                            <w:i/>
                            <w:sz w:val="20"/>
                          </w:rPr>
                          <w:t>57</w:t>
                        </w:r>
                      </w:p>
                    </w:tc>
                    <w:tc>
                      <w:tcPr>
                        <w:tcW w:w="1361" w:type="dxa"/>
                      </w:tcPr>
                      <w:p>
                        <w:pPr>
                          <w:pStyle w:val="TableParagraph"/>
                          <w:spacing w:line="210" w:lineRule="exact" w:before="0"/>
                          <w:ind w:left="548" w:right="539"/>
                          <w:jc w:val="center"/>
                          <w:rPr>
                            <w:i/>
                            <w:sz w:val="20"/>
                          </w:rPr>
                        </w:pPr>
                        <w:r>
                          <w:rPr>
                            <w:i/>
                            <w:sz w:val="20"/>
                          </w:rPr>
                          <w:t>53</w:t>
                        </w:r>
                      </w:p>
                    </w:tc>
                    <w:tc>
                      <w:tcPr>
                        <w:tcW w:w="1196" w:type="dxa"/>
                        <w:shd w:val="clear" w:color="auto" w:fill="F1F1F1"/>
                      </w:tcPr>
                      <w:p>
                        <w:pPr>
                          <w:pStyle w:val="TableParagraph"/>
                          <w:spacing w:line="210" w:lineRule="exact" w:before="0"/>
                          <w:ind w:left="467" w:right="455"/>
                          <w:jc w:val="center"/>
                          <w:rPr>
                            <w:i/>
                            <w:sz w:val="20"/>
                          </w:rPr>
                        </w:pPr>
                        <w:r>
                          <w:rPr>
                            <w:i/>
                            <w:color w:val="FF0000"/>
                            <w:sz w:val="20"/>
                          </w:rPr>
                          <w:t>48</w:t>
                        </w:r>
                      </w:p>
                    </w:tc>
                  </w:tr>
                  <w:tr>
                    <w:trPr>
                      <w:trHeight w:val="229" w:hRule="atLeast"/>
                    </w:trPr>
                    <w:tc>
                      <w:tcPr>
                        <w:tcW w:w="1796" w:type="dxa"/>
                        <w:tcBorders>
                          <w:bottom w:val="single" w:sz="6" w:space="0" w:color="000000"/>
                        </w:tcBorders>
                      </w:tcPr>
                      <w:p>
                        <w:pPr>
                          <w:pStyle w:val="TableParagraph"/>
                          <w:spacing w:line="209" w:lineRule="exact" w:before="0"/>
                          <w:ind w:left="118" w:right="102"/>
                          <w:jc w:val="center"/>
                          <w:rPr>
                            <w:i/>
                            <w:sz w:val="20"/>
                          </w:rPr>
                        </w:pPr>
                        <w:r>
                          <w:rPr>
                            <w:i/>
                            <w:sz w:val="20"/>
                          </w:rPr>
                          <w:t>Humedal</w:t>
                        </w:r>
                      </w:p>
                    </w:tc>
                    <w:tc>
                      <w:tcPr>
                        <w:tcW w:w="1184" w:type="dxa"/>
                        <w:tcBorders>
                          <w:bottom w:val="single" w:sz="6" w:space="0" w:color="000000"/>
                        </w:tcBorders>
                      </w:tcPr>
                      <w:p>
                        <w:pPr>
                          <w:pStyle w:val="TableParagraph"/>
                          <w:spacing w:line="209" w:lineRule="exact" w:before="0"/>
                          <w:ind w:left="460" w:right="450"/>
                          <w:jc w:val="center"/>
                          <w:rPr>
                            <w:i/>
                            <w:sz w:val="20"/>
                          </w:rPr>
                        </w:pPr>
                        <w:r>
                          <w:rPr>
                            <w:i/>
                            <w:sz w:val="20"/>
                          </w:rPr>
                          <w:t>50</w:t>
                        </w:r>
                      </w:p>
                    </w:tc>
                    <w:tc>
                      <w:tcPr>
                        <w:tcW w:w="1060" w:type="dxa"/>
                        <w:tcBorders>
                          <w:bottom w:val="single" w:sz="6" w:space="0" w:color="000000"/>
                        </w:tcBorders>
                      </w:tcPr>
                      <w:p>
                        <w:pPr>
                          <w:pStyle w:val="TableParagraph"/>
                          <w:spacing w:line="209" w:lineRule="exact" w:before="0"/>
                          <w:ind w:left="396" w:right="390"/>
                          <w:jc w:val="center"/>
                          <w:rPr>
                            <w:i/>
                            <w:sz w:val="20"/>
                          </w:rPr>
                        </w:pPr>
                        <w:r>
                          <w:rPr>
                            <w:i/>
                            <w:color w:val="FF0000"/>
                            <w:sz w:val="20"/>
                          </w:rPr>
                          <w:t>38</w:t>
                        </w:r>
                      </w:p>
                    </w:tc>
                    <w:tc>
                      <w:tcPr>
                        <w:tcW w:w="1452" w:type="dxa"/>
                        <w:tcBorders>
                          <w:bottom w:val="single" w:sz="6" w:space="0" w:color="000000"/>
                        </w:tcBorders>
                      </w:tcPr>
                      <w:p>
                        <w:pPr>
                          <w:pStyle w:val="TableParagraph"/>
                          <w:spacing w:line="209" w:lineRule="exact" w:before="0"/>
                          <w:ind w:left="596" w:right="582"/>
                          <w:jc w:val="center"/>
                          <w:rPr>
                            <w:i/>
                            <w:sz w:val="20"/>
                          </w:rPr>
                        </w:pPr>
                        <w:r>
                          <w:rPr>
                            <w:i/>
                            <w:color w:val="FF0000"/>
                            <w:sz w:val="20"/>
                          </w:rPr>
                          <w:t>33</w:t>
                        </w:r>
                      </w:p>
                    </w:tc>
                    <w:tc>
                      <w:tcPr>
                        <w:tcW w:w="872" w:type="dxa"/>
                        <w:tcBorders>
                          <w:bottom w:val="single" w:sz="6" w:space="0" w:color="000000"/>
                        </w:tcBorders>
                      </w:tcPr>
                      <w:p>
                        <w:pPr>
                          <w:pStyle w:val="TableParagraph"/>
                          <w:spacing w:line="209" w:lineRule="exact" w:before="0"/>
                          <w:ind w:left="305" w:right="293"/>
                          <w:jc w:val="center"/>
                          <w:rPr>
                            <w:i/>
                            <w:sz w:val="20"/>
                          </w:rPr>
                        </w:pPr>
                        <w:r>
                          <w:rPr>
                            <w:i/>
                            <w:color w:val="FF0000"/>
                            <w:sz w:val="20"/>
                          </w:rPr>
                          <w:t>35</w:t>
                        </w:r>
                      </w:p>
                    </w:tc>
                    <w:tc>
                      <w:tcPr>
                        <w:tcW w:w="1473" w:type="dxa"/>
                        <w:tcBorders>
                          <w:bottom w:val="single" w:sz="6" w:space="0" w:color="000000"/>
                        </w:tcBorders>
                      </w:tcPr>
                      <w:p>
                        <w:pPr>
                          <w:pStyle w:val="TableParagraph"/>
                          <w:spacing w:line="209" w:lineRule="exact" w:before="0"/>
                          <w:ind w:right="611"/>
                          <w:rPr>
                            <w:i/>
                            <w:sz w:val="20"/>
                          </w:rPr>
                        </w:pPr>
                        <w:r>
                          <w:rPr>
                            <w:i/>
                            <w:color w:val="FF0000"/>
                            <w:w w:val="95"/>
                            <w:sz w:val="20"/>
                          </w:rPr>
                          <w:t>44</w:t>
                        </w:r>
                      </w:p>
                    </w:tc>
                    <w:tc>
                      <w:tcPr>
                        <w:tcW w:w="1141" w:type="dxa"/>
                        <w:tcBorders>
                          <w:bottom w:val="single" w:sz="6" w:space="0" w:color="000000"/>
                        </w:tcBorders>
                      </w:tcPr>
                      <w:p>
                        <w:pPr>
                          <w:pStyle w:val="TableParagraph"/>
                          <w:spacing w:line="209" w:lineRule="exact" w:before="0"/>
                          <w:ind w:left="436" w:right="431"/>
                          <w:jc w:val="center"/>
                          <w:rPr>
                            <w:i/>
                            <w:sz w:val="20"/>
                          </w:rPr>
                        </w:pPr>
                        <w:r>
                          <w:rPr>
                            <w:i/>
                            <w:sz w:val="20"/>
                          </w:rPr>
                          <w:t>52</w:t>
                        </w:r>
                      </w:p>
                    </w:tc>
                    <w:tc>
                      <w:tcPr>
                        <w:tcW w:w="1361" w:type="dxa"/>
                        <w:tcBorders>
                          <w:bottom w:val="single" w:sz="6" w:space="0" w:color="000000"/>
                        </w:tcBorders>
                      </w:tcPr>
                      <w:p>
                        <w:pPr>
                          <w:pStyle w:val="TableParagraph"/>
                          <w:spacing w:line="209" w:lineRule="exact" w:before="0"/>
                          <w:ind w:left="548" w:right="539"/>
                          <w:jc w:val="center"/>
                          <w:rPr>
                            <w:i/>
                            <w:sz w:val="20"/>
                          </w:rPr>
                        </w:pPr>
                        <w:r>
                          <w:rPr>
                            <w:i/>
                            <w:color w:val="FF0000"/>
                            <w:sz w:val="20"/>
                          </w:rPr>
                          <w:t>40</w:t>
                        </w:r>
                      </w:p>
                    </w:tc>
                    <w:tc>
                      <w:tcPr>
                        <w:tcW w:w="1196" w:type="dxa"/>
                        <w:shd w:val="clear" w:color="auto" w:fill="F1F1F1"/>
                      </w:tcPr>
                      <w:p>
                        <w:pPr>
                          <w:pStyle w:val="TableParagraph"/>
                          <w:spacing w:line="209" w:lineRule="exact" w:before="0"/>
                          <w:ind w:left="467" w:right="455"/>
                          <w:jc w:val="center"/>
                          <w:rPr>
                            <w:i/>
                            <w:sz w:val="20"/>
                          </w:rPr>
                        </w:pPr>
                        <w:r>
                          <w:rPr>
                            <w:i/>
                            <w:color w:val="FF0000"/>
                            <w:sz w:val="20"/>
                          </w:rPr>
                          <w:t>42</w:t>
                        </w:r>
                      </w:p>
                    </w:tc>
                  </w:tr>
                  <w:tr>
                    <w:trPr>
                      <w:trHeight w:val="225" w:hRule="atLeast"/>
                    </w:trPr>
                    <w:tc>
                      <w:tcPr>
                        <w:tcW w:w="1796" w:type="dxa"/>
                        <w:shd w:val="clear" w:color="auto" w:fill="F1F1F1"/>
                      </w:tcPr>
                      <w:p>
                        <w:pPr>
                          <w:pStyle w:val="TableParagraph"/>
                          <w:spacing w:line="206" w:lineRule="exact" w:before="0"/>
                          <w:ind w:left="119" w:right="102"/>
                          <w:jc w:val="center"/>
                          <w:rPr>
                            <w:i/>
                            <w:sz w:val="20"/>
                          </w:rPr>
                        </w:pPr>
                        <w:r>
                          <w:rPr>
                            <w:i/>
                            <w:sz w:val="20"/>
                          </w:rPr>
                          <w:t>Total Indicador</w:t>
                        </w:r>
                      </w:p>
                    </w:tc>
                    <w:tc>
                      <w:tcPr>
                        <w:tcW w:w="1184" w:type="dxa"/>
                        <w:shd w:val="clear" w:color="auto" w:fill="F1F1F1"/>
                      </w:tcPr>
                      <w:p>
                        <w:pPr>
                          <w:pStyle w:val="TableParagraph"/>
                          <w:spacing w:line="206" w:lineRule="exact" w:before="0"/>
                          <w:ind w:left="460" w:right="450"/>
                          <w:jc w:val="center"/>
                          <w:rPr>
                            <w:i/>
                            <w:sz w:val="20"/>
                          </w:rPr>
                        </w:pPr>
                        <w:r>
                          <w:rPr>
                            <w:i/>
                            <w:sz w:val="20"/>
                          </w:rPr>
                          <w:t>58</w:t>
                        </w:r>
                      </w:p>
                    </w:tc>
                    <w:tc>
                      <w:tcPr>
                        <w:tcW w:w="1060" w:type="dxa"/>
                        <w:shd w:val="clear" w:color="auto" w:fill="F1F1F1"/>
                      </w:tcPr>
                      <w:p>
                        <w:pPr>
                          <w:pStyle w:val="TableParagraph"/>
                          <w:spacing w:line="206" w:lineRule="exact" w:before="0"/>
                          <w:ind w:left="396" w:right="390"/>
                          <w:jc w:val="center"/>
                          <w:rPr>
                            <w:i/>
                            <w:sz w:val="20"/>
                          </w:rPr>
                        </w:pPr>
                        <w:r>
                          <w:rPr>
                            <w:i/>
                            <w:sz w:val="20"/>
                          </w:rPr>
                          <w:t>56</w:t>
                        </w:r>
                      </w:p>
                    </w:tc>
                    <w:tc>
                      <w:tcPr>
                        <w:tcW w:w="1452" w:type="dxa"/>
                        <w:shd w:val="clear" w:color="auto" w:fill="F1F1F1"/>
                      </w:tcPr>
                      <w:p>
                        <w:pPr>
                          <w:pStyle w:val="TableParagraph"/>
                          <w:spacing w:line="206" w:lineRule="exact" w:before="0"/>
                          <w:ind w:left="596" w:right="582"/>
                          <w:jc w:val="center"/>
                          <w:rPr>
                            <w:i/>
                            <w:sz w:val="20"/>
                          </w:rPr>
                        </w:pPr>
                        <w:r>
                          <w:rPr>
                            <w:i/>
                            <w:color w:val="FF0000"/>
                            <w:sz w:val="20"/>
                          </w:rPr>
                          <w:t>49</w:t>
                        </w:r>
                      </w:p>
                    </w:tc>
                    <w:tc>
                      <w:tcPr>
                        <w:tcW w:w="872" w:type="dxa"/>
                        <w:shd w:val="clear" w:color="auto" w:fill="F1F1F1"/>
                      </w:tcPr>
                      <w:p>
                        <w:pPr>
                          <w:pStyle w:val="TableParagraph"/>
                          <w:spacing w:line="206" w:lineRule="exact" w:before="0"/>
                          <w:ind w:left="305" w:right="293"/>
                          <w:jc w:val="center"/>
                          <w:rPr>
                            <w:i/>
                            <w:sz w:val="20"/>
                          </w:rPr>
                        </w:pPr>
                        <w:r>
                          <w:rPr>
                            <w:i/>
                            <w:sz w:val="20"/>
                          </w:rPr>
                          <w:t>53</w:t>
                        </w:r>
                      </w:p>
                    </w:tc>
                    <w:tc>
                      <w:tcPr>
                        <w:tcW w:w="1473" w:type="dxa"/>
                        <w:shd w:val="clear" w:color="auto" w:fill="F1F1F1"/>
                      </w:tcPr>
                      <w:p>
                        <w:pPr>
                          <w:pStyle w:val="TableParagraph"/>
                          <w:spacing w:line="206" w:lineRule="exact" w:before="0"/>
                          <w:ind w:right="611"/>
                          <w:rPr>
                            <w:i/>
                            <w:sz w:val="20"/>
                          </w:rPr>
                        </w:pPr>
                        <w:r>
                          <w:rPr>
                            <w:i/>
                            <w:w w:val="95"/>
                            <w:sz w:val="20"/>
                          </w:rPr>
                          <w:t>56</w:t>
                        </w:r>
                      </w:p>
                    </w:tc>
                    <w:tc>
                      <w:tcPr>
                        <w:tcW w:w="1141" w:type="dxa"/>
                        <w:shd w:val="clear" w:color="auto" w:fill="F1F1F1"/>
                      </w:tcPr>
                      <w:p>
                        <w:pPr>
                          <w:pStyle w:val="TableParagraph"/>
                          <w:spacing w:line="206" w:lineRule="exact" w:before="0"/>
                          <w:ind w:left="436" w:right="431"/>
                          <w:jc w:val="center"/>
                          <w:rPr>
                            <w:i/>
                            <w:sz w:val="20"/>
                          </w:rPr>
                        </w:pPr>
                        <w:r>
                          <w:rPr>
                            <w:i/>
                            <w:sz w:val="20"/>
                          </w:rPr>
                          <w:t>65</w:t>
                        </w:r>
                      </w:p>
                    </w:tc>
                    <w:tc>
                      <w:tcPr>
                        <w:tcW w:w="1361" w:type="dxa"/>
                        <w:shd w:val="clear" w:color="auto" w:fill="F1F1F1"/>
                      </w:tcPr>
                      <w:p>
                        <w:pPr>
                          <w:pStyle w:val="TableParagraph"/>
                          <w:spacing w:line="206" w:lineRule="exact" w:before="0"/>
                          <w:ind w:left="548" w:right="539"/>
                          <w:jc w:val="center"/>
                          <w:rPr>
                            <w:i/>
                            <w:sz w:val="20"/>
                          </w:rPr>
                        </w:pPr>
                        <w:r>
                          <w:rPr>
                            <w:i/>
                            <w:sz w:val="20"/>
                          </w:rPr>
                          <w:t>56</w:t>
                        </w:r>
                      </w:p>
                    </w:tc>
                    <w:tc>
                      <w:tcPr>
                        <w:tcW w:w="1196" w:type="dxa"/>
                        <w:shd w:val="clear" w:color="auto" w:fill="F1F1F1"/>
                      </w:tcPr>
                      <w:p>
                        <w:pPr>
                          <w:pStyle w:val="TableParagraph"/>
                          <w:spacing w:line="206" w:lineRule="exact" w:before="0"/>
                          <w:ind w:left="467" w:right="455"/>
                          <w:jc w:val="center"/>
                          <w:rPr>
                            <w:i/>
                            <w:sz w:val="20"/>
                          </w:rPr>
                        </w:pPr>
                        <w:r>
                          <w:rPr>
                            <w:i/>
                            <w:sz w:val="20"/>
                          </w:rPr>
                          <w:t>56</w:t>
                        </w:r>
                      </w:p>
                    </w:tc>
                  </w:tr>
                </w:tbl>
                <w:p>
                  <w:pPr>
                    <w:pStyle w:val="BodyText"/>
                  </w:pPr>
                </w:p>
              </w:txbxContent>
            </v:textbox>
            <w10:wrap type="none"/>
          </v:shape>
        </w:pict>
      </w:r>
      <w:r>
        <w:rPr>
          <w:i/>
          <w:sz w:val="20"/>
        </w:rPr>
        <w:t>Fuente: Contraloría General de la República</w:t>
      </w:r>
      <w:r>
        <w:rPr>
          <w:i/>
          <w:spacing w:val="-13"/>
          <w:sz w:val="20"/>
        </w:rPr>
        <w:t> </w:t>
      </w:r>
      <w:r>
        <w:rPr>
          <w:i/>
          <w:sz w:val="20"/>
        </w:rPr>
        <w:t>(2014) </w:t>
      </w:r>
      <w:r>
        <w:rPr>
          <w:i/>
          <w:sz w:val="20"/>
        </w:rPr>
        <w:t>A.</w:t>
      </w: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spacing w:before="154"/>
        <w:ind w:left="2389" w:right="2390" w:firstLine="0"/>
        <w:jc w:val="center"/>
        <w:rPr>
          <w:i/>
          <w:sz w:val="20"/>
        </w:rPr>
      </w:pPr>
      <w:r>
        <w:rPr>
          <w:i/>
          <w:sz w:val="20"/>
        </w:rPr>
        <w:t>B.</w:t>
      </w:r>
    </w:p>
    <w:p>
      <w:pPr>
        <w:pStyle w:val="BodyText"/>
        <w:spacing w:before="4"/>
        <w:rPr>
          <w:i/>
          <w:sz w:val="6"/>
        </w:rPr>
      </w:pPr>
    </w:p>
    <w:tbl>
      <w:tblPr>
        <w:tblW w:w="0" w:type="auto"/>
        <w:jc w:val="left"/>
        <w:tblInd w:w="1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9"/>
        <w:gridCol w:w="1385"/>
        <w:gridCol w:w="1105"/>
        <w:gridCol w:w="1061"/>
        <w:gridCol w:w="2306"/>
        <w:gridCol w:w="1466"/>
      </w:tblGrid>
      <w:tr>
        <w:trPr>
          <w:trHeight w:val="230" w:hRule="atLeast"/>
        </w:trPr>
        <w:tc>
          <w:tcPr>
            <w:tcW w:w="1709" w:type="dxa"/>
            <w:vMerge w:val="restart"/>
            <w:shd w:val="clear" w:color="auto" w:fill="D9D9D9"/>
          </w:tcPr>
          <w:p>
            <w:pPr>
              <w:pStyle w:val="TableParagraph"/>
              <w:spacing w:line="240" w:lineRule="auto" w:before="0"/>
              <w:ind w:left="522" w:right="252" w:hanging="252"/>
              <w:jc w:val="left"/>
              <w:rPr>
                <w:i/>
                <w:sz w:val="20"/>
              </w:rPr>
            </w:pPr>
            <w:r>
              <w:rPr>
                <w:i/>
                <w:sz w:val="20"/>
              </w:rPr>
              <w:t>Categoría de </w:t>
            </w:r>
            <w:r>
              <w:rPr>
                <w:i/>
                <w:sz w:val="20"/>
              </w:rPr>
              <w:t>Manejo</w:t>
            </w:r>
          </w:p>
        </w:tc>
        <w:tc>
          <w:tcPr>
            <w:tcW w:w="5857" w:type="dxa"/>
            <w:gridSpan w:val="4"/>
            <w:shd w:val="clear" w:color="auto" w:fill="D9D9D9"/>
          </w:tcPr>
          <w:p>
            <w:pPr>
              <w:pStyle w:val="TableParagraph"/>
              <w:spacing w:line="210" w:lineRule="exact" w:before="0"/>
              <w:ind w:left="2488" w:right="2496"/>
              <w:jc w:val="center"/>
              <w:rPr>
                <w:i/>
                <w:sz w:val="20"/>
              </w:rPr>
            </w:pPr>
            <w:r>
              <w:rPr>
                <w:i/>
                <w:sz w:val="20"/>
              </w:rPr>
              <w:t>Indicador</w:t>
            </w:r>
          </w:p>
        </w:tc>
        <w:tc>
          <w:tcPr>
            <w:tcW w:w="1466" w:type="dxa"/>
            <w:vMerge w:val="restart"/>
            <w:shd w:val="clear" w:color="auto" w:fill="D9D9D9"/>
          </w:tcPr>
          <w:p>
            <w:pPr>
              <w:pStyle w:val="TableParagraph"/>
              <w:spacing w:line="240" w:lineRule="auto" w:before="0"/>
              <w:ind w:left="235" w:right="235" w:firstLine="1"/>
              <w:jc w:val="center"/>
              <w:rPr>
                <w:i/>
                <w:sz w:val="20"/>
              </w:rPr>
            </w:pPr>
            <w:r>
              <w:rPr>
                <w:i/>
                <w:sz w:val="20"/>
              </w:rPr>
              <w:t>Total </w:t>
            </w:r>
            <w:r>
              <w:rPr>
                <w:i/>
                <w:sz w:val="20"/>
              </w:rPr>
              <w:t>Categorías de Manejo</w:t>
            </w:r>
          </w:p>
        </w:tc>
      </w:tr>
      <w:tr>
        <w:trPr>
          <w:trHeight w:val="690" w:hRule="atLeast"/>
        </w:trPr>
        <w:tc>
          <w:tcPr>
            <w:tcW w:w="1709" w:type="dxa"/>
            <w:vMerge/>
            <w:tcBorders>
              <w:top w:val="nil"/>
            </w:tcBorders>
            <w:shd w:val="clear" w:color="auto" w:fill="D9D9D9"/>
          </w:tcPr>
          <w:p>
            <w:pPr>
              <w:rPr>
                <w:sz w:val="2"/>
                <w:szCs w:val="2"/>
              </w:rPr>
            </w:pPr>
          </w:p>
        </w:tc>
        <w:tc>
          <w:tcPr>
            <w:tcW w:w="1385" w:type="dxa"/>
            <w:shd w:val="clear" w:color="auto" w:fill="D9D9D9"/>
          </w:tcPr>
          <w:p>
            <w:pPr>
              <w:pStyle w:val="TableParagraph"/>
              <w:spacing w:line="225" w:lineRule="exact" w:before="0"/>
              <w:ind w:left="81" w:right="86"/>
              <w:jc w:val="center"/>
              <w:rPr>
                <w:i/>
                <w:sz w:val="20"/>
              </w:rPr>
            </w:pPr>
            <w:r>
              <w:rPr>
                <w:i/>
                <w:sz w:val="20"/>
              </w:rPr>
              <w:t>Investigación</w:t>
            </w:r>
          </w:p>
        </w:tc>
        <w:tc>
          <w:tcPr>
            <w:tcW w:w="1105" w:type="dxa"/>
            <w:shd w:val="clear" w:color="auto" w:fill="D9D9D9"/>
          </w:tcPr>
          <w:p>
            <w:pPr>
              <w:pStyle w:val="TableParagraph"/>
              <w:spacing w:line="225" w:lineRule="exact" w:before="0"/>
              <w:ind w:left="82" w:right="82"/>
              <w:jc w:val="center"/>
              <w:rPr>
                <w:i/>
                <w:sz w:val="20"/>
              </w:rPr>
            </w:pPr>
            <w:r>
              <w:rPr>
                <w:i/>
                <w:sz w:val="20"/>
              </w:rPr>
              <w:t>Monitoreo</w:t>
            </w:r>
          </w:p>
        </w:tc>
        <w:tc>
          <w:tcPr>
            <w:tcW w:w="1061" w:type="dxa"/>
            <w:shd w:val="clear" w:color="auto" w:fill="D9D9D9"/>
          </w:tcPr>
          <w:p>
            <w:pPr>
              <w:pStyle w:val="TableParagraph"/>
              <w:spacing w:line="242" w:lineRule="auto" w:before="0"/>
              <w:ind w:left="197" w:firstLine="152"/>
              <w:jc w:val="left"/>
              <w:rPr>
                <w:i/>
                <w:sz w:val="20"/>
              </w:rPr>
            </w:pPr>
            <w:r>
              <w:rPr>
                <w:i/>
                <w:sz w:val="20"/>
              </w:rPr>
              <w:t>Uso </w:t>
            </w:r>
            <w:r>
              <w:rPr>
                <w:i/>
                <w:sz w:val="20"/>
              </w:rPr>
              <w:t>Público</w:t>
            </w:r>
          </w:p>
        </w:tc>
        <w:tc>
          <w:tcPr>
            <w:tcW w:w="2306" w:type="dxa"/>
            <w:shd w:val="clear" w:color="auto" w:fill="D9D9D9"/>
          </w:tcPr>
          <w:p>
            <w:pPr>
              <w:pStyle w:val="TableParagraph"/>
              <w:spacing w:line="225" w:lineRule="exact" w:before="0"/>
              <w:ind w:left="104" w:firstLine="56"/>
              <w:jc w:val="left"/>
              <w:rPr>
                <w:i/>
                <w:sz w:val="20"/>
              </w:rPr>
            </w:pPr>
            <w:r>
              <w:rPr>
                <w:i/>
                <w:sz w:val="20"/>
              </w:rPr>
              <w:t>Uso sostenible por las</w:t>
            </w:r>
          </w:p>
          <w:p>
            <w:pPr>
              <w:pStyle w:val="TableParagraph"/>
              <w:spacing w:line="228" w:lineRule="exact" w:before="8"/>
              <w:ind w:left="332" w:hanging="228"/>
              <w:jc w:val="left"/>
              <w:rPr>
                <w:i/>
                <w:sz w:val="20"/>
              </w:rPr>
            </w:pPr>
            <w:r>
              <w:rPr>
                <w:i/>
                <w:sz w:val="20"/>
              </w:rPr>
              <w:t>comunidades locales y </w:t>
            </w:r>
            <w:r>
              <w:rPr>
                <w:i/>
                <w:sz w:val="20"/>
              </w:rPr>
              <w:t>pueblos indígenas</w:t>
            </w:r>
          </w:p>
        </w:tc>
        <w:tc>
          <w:tcPr>
            <w:tcW w:w="1466" w:type="dxa"/>
            <w:vMerge/>
            <w:tcBorders>
              <w:top w:val="nil"/>
            </w:tcBorders>
            <w:shd w:val="clear" w:color="auto" w:fill="D9D9D9"/>
          </w:tcPr>
          <w:p>
            <w:pPr>
              <w:rPr>
                <w:sz w:val="2"/>
                <w:szCs w:val="2"/>
              </w:rPr>
            </w:pPr>
          </w:p>
        </w:tc>
      </w:tr>
      <w:tr>
        <w:trPr>
          <w:trHeight w:val="230" w:hRule="atLeast"/>
        </w:trPr>
        <w:tc>
          <w:tcPr>
            <w:tcW w:w="1709" w:type="dxa"/>
          </w:tcPr>
          <w:p>
            <w:pPr>
              <w:pStyle w:val="TableParagraph"/>
              <w:spacing w:line="210" w:lineRule="exact" w:before="0"/>
              <w:ind w:left="90" w:right="90"/>
              <w:jc w:val="center"/>
              <w:rPr>
                <w:i/>
                <w:sz w:val="20"/>
              </w:rPr>
            </w:pPr>
            <w:r>
              <w:rPr>
                <w:i/>
                <w:sz w:val="20"/>
              </w:rPr>
              <w:t>Parque Nacional</w:t>
            </w:r>
          </w:p>
        </w:tc>
        <w:tc>
          <w:tcPr>
            <w:tcW w:w="1385" w:type="dxa"/>
          </w:tcPr>
          <w:p>
            <w:pPr>
              <w:pStyle w:val="TableParagraph"/>
              <w:spacing w:line="210" w:lineRule="exact" w:before="0"/>
              <w:ind w:left="81" w:right="82"/>
              <w:jc w:val="center"/>
              <w:rPr>
                <w:i/>
                <w:sz w:val="20"/>
              </w:rPr>
            </w:pPr>
            <w:r>
              <w:rPr>
                <w:i/>
                <w:sz w:val="20"/>
              </w:rPr>
              <w:t>81</w:t>
            </w:r>
          </w:p>
        </w:tc>
        <w:tc>
          <w:tcPr>
            <w:tcW w:w="1105" w:type="dxa"/>
          </w:tcPr>
          <w:p>
            <w:pPr>
              <w:pStyle w:val="TableParagraph"/>
              <w:spacing w:line="210" w:lineRule="exact" w:before="0"/>
              <w:ind w:left="82" w:right="82"/>
              <w:jc w:val="center"/>
              <w:rPr>
                <w:i/>
                <w:sz w:val="20"/>
              </w:rPr>
            </w:pPr>
            <w:r>
              <w:rPr>
                <w:i/>
                <w:sz w:val="20"/>
              </w:rPr>
              <w:t>65</w:t>
            </w:r>
          </w:p>
        </w:tc>
        <w:tc>
          <w:tcPr>
            <w:tcW w:w="1061" w:type="dxa"/>
          </w:tcPr>
          <w:p>
            <w:pPr>
              <w:pStyle w:val="TableParagraph"/>
              <w:spacing w:line="210" w:lineRule="exact" w:before="0"/>
              <w:ind w:left="394" w:right="394"/>
              <w:jc w:val="center"/>
              <w:rPr>
                <w:i/>
                <w:sz w:val="20"/>
              </w:rPr>
            </w:pPr>
            <w:r>
              <w:rPr>
                <w:i/>
                <w:sz w:val="20"/>
              </w:rPr>
              <w:t>53</w:t>
            </w:r>
          </w:p>
        </w:tc>
        <w:tc>
          <w:tcPr>
            <w:tcW w:w="2306" w:type="dxa"/>
          </w:tcPr>
          <w:p>
            <w:pPr>
              <w:pStyle w:val="TableParagraph"/>
              <w:spacing w:line="210" w:lineRule="exact" w:before="0"/>
              <w:ind w:left="1014" w:right="1018"/>
              <w:jc w:val="center"/>
              <w:rPr>
                <w:i/>
                <w:sz w:val="20"/>
              </w:rPr>
            </w:pPr>
            <w:r>
              <w:rPr>
                <w:i/>
                <w:color w:val="FF0000"/>
                <w:sz w:val="20"/>
              </w:rPr>
              <w:t>44</w:t>
            </w:r>
          </w:p>
        </w:tc>
        <w:tc>
          <w:tcPr>
            <w:tcW w:w="1466" w:type="dxa"/>
            <w:shd w:val="clear" w:color="auto" w:fill="F1F1F1"/>
          </w:tcPr>
          <w:p>
            <w:pPr>
              <w:pStyle w:val="TableParagraph"/>
              <w:spacing w:line="210" w:lineRule="exact" w:before="0"/>
              <w:ind w:left="615"/>
              <w:jc w:val="left"/>
              <w:rPr>
                <w:i/>
                <w:sz w:val="20"/>
              </w:rPr>
            </w:pPr>
            <w:r>
              <w:rPr>
                <w:i/>
                <w:sz w:val="20"/>
              </w:rPr>
              <w:t>61</w:t>
            </w:r>
          </w:p>
        </w:tc>
      </w:tr>
      <w:tr>
        <w:trPr>
          <w:trHeight w:val="457" w:hRule="atLeast"/>
        </w:trPr>
        <w:tc>
          <w:tcPr>
            <w:tcW w:w="1709" w:type="dxa"/>
          </w:tcPr>
          <w:p>
            <w:pPr>
              <w:pStyle w:val="TableParagraph"/>
              <w:spacing w:line="225" w:lineRule="exact" w:before="0"/>
              <w:ind w:left="89" w:right="90"/>
              <w:jc w:val="center"/>
              <w:rPr>
                <w:i/>
                <w:sz w:val="20"/>
              </w:rPr>
            </w:pPr>
            <w:r>
              <w:rPr>
                <w:i/>
                <w:sz w:val="20"/>
              </w:rPr>
              <w:t>Refugio de Vida</w:t>
            </w:r>
          </w:p>
          <w:p>
            <w:pPr>
              <w:pStyle w:val="TableParagraph"/>
              <w:spacing w:line="211" w:lineRule="exact" w:before="2"/>
              <w:ind w:left="90" w:right="89"/>
              <w:jc w:val="center"/>
              <w:rPr>
                <w:i/>
                <w:sz w:val="20"/>
              </w:rPr>
            </w:pPr>
            <w:r>
              <w:rPr>
                <w:i/>
                <w:sz w:val="20"/>
              </w:rPr>
              <w:t>Silvestre</w:t>
            </w:r>
          </w:p>
        </w:tc>
        <w:tc>
          <w:tcPr>
            <w:tcW w:w="1385" w:type="dxa"/>
          </w:tcPr>
          <w:p>
            <w:pPr>
              <w:pStyle w:val="TableParagraph"/>
              <w:spacing w:line="225" w:lineRule="exact" w:before="0"/>
              <w:ind w:left="81" w:right="82"/>
              <w:jc w:val="center"/>
              <w:rPr>
                <w:i/>
                <w:sz w:val="20"/>
              </w:rPr>
            </w:pPr>
            <w:r>
              <w:rPr>
                <w:i/>
                <w:sz w:val="20"/>
              </w:rPr>
              <w:t>58</w:t>
            </w:r>
          </w:p>
        </w:tc>
        <w:tc>
          <w:tcPr>
            <w:tcW w:w="1105" w:type="dxa"/>
          </w:tcPr>
          <w:p>
            <w:pPr>
              <w:pStyle w:val="TableParagraph"/>
              <w:spacing w:line="225" w:lineRule="exact" w:before="0"/>
              <w:ind w:left="82" w:right="82"/>
              <w:jc w:val="center"/>
              <w:rPr>
                <w:i/>
                <w:sz w:val="20"/>
              </w:rPr>
            </w:pPr>
            <w:r>
              <w:rPr>
                <w:i/>
                <w:color w:val="FF0000"/>
                <w:sz w:val="20"/>
              </w:rPr>
              <w:t>46</w:t>
            </w:r>
          </w:p>
        </w:tc>
        <w:tc>
          <w:tcPr>
            <w:tcW w:w="1061" w:type="dxa"/>
          </w:tcPr>
          <w:p>
            <w:pPr>
              <w:pStyle w:val="TableParagraph"/>
              <w:spacing w:line="225" w:lineRule="exact" w:before="0"/>
              <w:ind w:left="394" w:right="394"/>
              <w:jc w:val="center"/>
              <w:rPr>
                <w:i/>
                <w:sz w:val="20"/>
              </w:rPr>
            </w:pPr>
            <w:r>
              <w:rPr>
                <w:i/>
                <w:color w:val="FF0000"/>
                <w:sz w:val="20"/>
              </w:rPr>
              <w:t>44</w:t>
            </w:r>
          </w:p>
        </w:tc>
        <w:tc>
          <w:tcPr>
            <w:tcW w:w="2306" w:type="dxa"/>
          </w:tcPr>
          <w:p>
            <w:pPr>
              <w:pStyle w:val="TableParagraph"/>
              <w:spacing w:line="225" w:lineRule="exact" w:before="0"/>
              <w:ind w:left="1014" w:right="1018"/>
              <w:jc w:val="center"/>
              <w:rPr>
                <w:i/>
                <w:sz w:val="20"/>
              </w:rPr>
            </w:pPr>
            <w:r>
              <w:rPr>
                <w:i/>
                <w:color w:val="FF0000"/>
                <w:sz w:val="20"/>
              </w:rPr>
              <w:t>37</w:t>
            </w:r>
          </w:p>
        </w:tc>
        <w:tc>
          <w:tcPr>
            <w:tcW w:w="1466" w:type="dxa"/>
            <w:shd w:val="clear" w:color="auto" w:fill="F1F1F1"/>
          </w:tcPr>
          <w:p>
            <w:pPr>
              <w:pStyle w:val="TableParagraph"/>
              <w:spacing w:line="225" w:lineRule="exact" w:before="0"/>
              <w:ind w:left="615"/>
              <w:jc w:val="left"/>
              <w:rPr>
                <w:i/>
                <w:sz w:val="20"/>
              </w:rPr>
            </w:pPr>
            <w:r>
              <w:rPr>
                <w:i/>
                <w:color w:val="FF0000"/>
                <w:sz w:val="20"/>
              </w:rPr>
              <w:t>46</w:t>
            </w:r>
          </w:p>
        </w:tc>
      </w:tr>
      <w:tr>
        <w:trPr>
          <w:trHeight w:val="462" w:hRule="atLeast"/>
        </w:trPr>
        <w:tc>
          <w:tcPr>
            <w:tcW w:w="1709" w:type="dxa"/>
          </w:tcPr>
          <w:p>
            <w:pPr>
              <w:pStyle w:val="TableParagraph"/>
              <w:spacing w:line="228" w:lineRule="exact" w:before="4"/>
              <w:ind w:left="442" w:right="252" w:firstLine="32"/>
              <w:jc w:val="left"/>
              <w:rPr>
                <w:i/>
                <w:sz w:val="20"/>
              </w:rPr>
            </w:pPr>
            <w:r>
              <w:rPr>
                <w:i/>
                <w:sz w:val="20"/>
              </w:rPr>
              <w:t>Reserva </w:t>
            </w:r>
            <w:r>
              <w:rPr>
                <w:i/>
                <w:sz w:val="20"/>
              </w:rPr>
              <w:t>Biológica</w:t>
            </w:r>
          </w:p>
        </w:tc>
        <w:tc>
          <w:tcPr>
            <w:tcW w:w="1385" w:type="dxa"/>
          </w:tcPr>
          <w:p>
            <w:pPr>
              <w:pStyle w:val="TableParagraph"/>
              <w:spacing w:line="229" w:lineRule="exact" w:before="0"/>
              <w:ind w:left="81" w:right="82"/>
              <w:jc w:val="center"/>
              <w:rPr>
                <w:i/>
                <w:sz w:val="20"/>
              </w:rPr>
            </w:pPr>
            <w:r>
              <w:rPr>
                <w:i/>
                <w:sz w:val="20"/>
              </w:rPr>
              <w:t>69</w:t>
            </w:r>
          </w:p>
        </w:tc>
        <w:tc>
          <w:tcPr>
            <w:tcW w:w="1105" w:type="dxa"/>
          </w:tcPr>
          <w:p>
            <w:pPr>
              <w:pStyle w:val="TableParagraph"/>
              <w:spacing w:line="229" w:lineRule="exact" w:before="0"/>
              <w:ind w:left="82" w:right="82"/>
              <w:jc w:val="center"/>
              <w:rPr>
                <w:i/>
                <w:sz w:val="20"/>
              </w:rPr>
            </w:pPr>
            <w:r>
              <w:rPr>
                <w:i/>
                <w:sz w:val="20"/>
              </w:rPr>
              <w:t>56</w:t>
            </w:r>
          </w:p>
        </w:tc>
        <w:tc>
          <w:tcPr>
            <w:tcW w:w="1061" w:type="dxa"/>
          </w:tcPr>
          <w:p>
            <w:pPr>
              <w:pStyle w:val="TableParagraph"/>
              <w:spacing w:line="229" w:lineRule="exact" w:before="0"/>
              <w:ind w:left="394" w:right="394"/>
              <w:jc w:val="center"/>
              <w:rPr>
                <w:i/>
                <w:sz w:val="20"/>
              </w:rPr>
            </w:pPr>
            <w:r>
              <w:rPr>
                <w:i/>
                <w:color w:val="FF0000"/>
                <w:sz w:val="20"/>
              </w:rPr>
              <w:t>44</w:t>
            </w:r>
          </w:p>
        </w:tc>
        <w:tc>
          <w:tcPr>
            <w:tcW w:w="2306" w:type="dxa"/>
          </w:tcPr>
          <w:p>
            <w:pPr>
              <w:pStyle w:val="TableParagraph"/>
              <w:spacing w:line="229" w:lineRule="exact" w:before="0"/>
              <w:ind w:left="1014" w:right="1018"/>
              <w:jc w:val="center"/>
              <w:rPr>
                <w:i/>
                <w:sz w:val="20"/>
              </w:rPr>
            </w:pPr>
            <w:r>
              <w:rPr>
                <w:i/>
                <w:color w:val="FF0000"/>
                <w:sz w:val="20"/>
              </w:rPr>
              <w:t>34</w:t>
            </w:r>
          </w:p>
        </w:tc>
        <w:tc>
          <w:tcPr>
            <w:tcW w:w="1466" w:type="dxa"/>
            <w:shd w:val="clear" w:color="auto" w:fill="F1F1F1"/>
          </w:tcPr>
          <w:p>
            <w:pPr>
              <w:pStyle w:val="TableParagraph"/>
              <w:spacing w:line="229" w:lineRule="exact" w:before="0"/>
              <w:ind w:left="615"/>
              <w:jc w:val="left"/>
              <w:rPr>
                <w:i/>
                <w:sz w:val="20"/>
              </w:rPr>
            </w:pPr>
            <w:r>
              <w:rPr>
                <w:i/>
                <w:sz w:val="20"/>
              </w:rPr>
              <w:t>51</w:t>
            </w:r>
          </w:p>
        </w:tc>
      </w:tr>
      <w:tr>
        <w:trPr>
          <w:trHeight w:val="458" w:hRule="atLeast"/>
        </w:trPr>
        <w:tc>
          <w:tcPr>
            <w:tcW w:w="1709" w:type="dxa"/>
          </w:tcPr>
          <w:p>
            <w:pPr>
              <w:pStyle w:val="TableParagraph"/>
              <w:spacing w:line="225" w:lineRule="exact" w:before="0"/>
              <w:ind w:left="475"/>
              <w:jc w:val="left"/>
              <w:rPr>
                <w:i/>
                <w:sz w:val="20"/>
              </w:rPr>
            </w:pPr>
            <w:r>
              <w:rPr>
                <w:i/>
                <w:sz w:val="20"/>
              </w:rPr>
              <w:t>Reserva</w:t>
            </w:r>
          </w:p>
          <w:p>
            <w:pPr>
              <w:pStyle w:val="TableParagraph"/>
              <w:spacing w:line="211" w:lineRule="exact" w:before="2"/>
              <w:ind w:left="486"/>
              <w:jc w:val="left"/>
              <w:rPr>
                <w:i/>
                <w:sz w:val="20"/>
              </w:rPr>
            </w:pPr>
            <w:r>
              <w:rPr>
                <w:i/>
                <w:sz w:val="20"/>
              </w:rPr>
              <w:t>Forestal</w:t>
            </w:r>
          </w:p>
        </w:tc>
        <w:tc>
          <w:tcPr>
            <w:tcW w:w="1385" w:type="dxa"/>
          </w:tcPr>
          <w:p>
            <w:pPr>
              <w:pStyle w:val="TableParagraph"/>
              <w:spacing w:line="225" w:lineRule="exact" w:before="0"/>
              <w:ind w:left="81" w:right="82"/>
              <w:jc w:val="center"/>
              <w:rPr>
                <w:i/>
                <w:sz w:val="20"/>
              </w:rPr>
            </w:pPr>
            <w:r>
              <w:rPr>
                <w:i/>
                <w:sz w:val="20"/>
              </w:rPr>
              <w:t>50</w:t>
            </w:r>
          </w:p>
        </w:tc>
        <w:tc>
          <w:tcPr>
            <w:tcW w:w="1105" w:type="dxa"/>
          </w:tcPr>
          <w:p>
            <w:pPr>
              <w:pStyle w:val="TableParagraph"/>
              <w:spacing w:line="225" w:lineRule="exact" w:before="0"/>
              <w:ind w:left="82" w:right="82"/>
              <w:jc w:val="center"/>
              <w:rPr>
                <w:i/>
                <w:sz w:val="20"/>
              </w:rPr>
            </w:pPr>
            <w:r>
              <w:rPr>
                <w:i/>
                <w:color w:val="FF0000"/>
                <w:sz w:val="20"/>
              </w:rPr>
              <w:t>47</w:t>
            </w:r>
          </w:p>
        </w:tc>
        <w:tc>
          <w:tcPr>
            <w:tcW w:w="1061" w:type="dxa"/>
          </w:tcPr>
          <w:p>
            <w:pPr>
              <w:pStyle w:val="TableParagraph"/>
              <w:spacing w:line="225" w:lineRule="exact" w:before="0"/>
              <w:ind w:left="394" w:right="394"/>
              <w:jc w:val="center"/>
              <w:rPr>
                <w:i/>
                <w:sz w:val="20"/>
              </w:rPr>
            </w:pPr>
            <w:r>
              <w:rPr>
                <w:i/>
                <w:color w:val="FF0000"/>
                <w:sz w:val="20"/>
              </w:rPr>
              <w:t>44</w:t>
            </w:r>
          </w:p>
        </w:tc>
        <w:tc>
          <w:tcPr>
            <w:tcW w:w="2306" w:type="dxa"/>
          </w:tcPr>
          <w:p>
            <w:pPr>
              <w:pStyle w:val="TableParagraph"/>
              <w:spacing w:line="225" w:lineRule="exact" w:before="0"/>
              <w:ind w:left="1014" w:right="1018"/>
              <w:jc w:val="center"/>
              <w:rPr>
                <w:i/>
                <w:sz w:val="20"/>
              </w:rPr>
            </w:pPr>
            <w:r>
              <w:rPr>
                <w:i/>
                <w:sz w:val="20"/>
              </w:rPr>
              <w:t>50</w:t>
            </w:r>
          </w:p>
        </w:tc>
        <w:tc>
          <w:tcPr>
            <w:tcW w:w="1466" w:type="dxa"/>
            <w:shd w:val="clear" w:color="auto" w:fill="F1F1F1"/>
          </w:tcPr>
          <w:p>
            <w:pPr>
              <w:pStyle w:val="TableParagraph"/>
              <w:spacing w:line="225" w:lineRule="exact" w:before="0"/>
              <w:ind w:left="615"/>
              <w:jc w:val="left"/>
              <w:rPr>
                <w:i/>
                <w:sz w:val="20"/>
              </w:rPr>
            </w:pPr>
            <w:r>
              <w:rPr>
                <w:i/>
                <w:color w:val="FF0000"/>
                <w:sz w:val="20"/>
              </w:rPr>
              <w:t>48</w:t>
            </w:r>
          </w:p>
        </w:tc>
      </w:tr>
      <w:tr>
        <w:trPr>
          <w:trHeight w:val="230" w:hRule="atLeast"/>
        </w:trPr>
        <w:tc>
          <w:tcPr>
            <w:tcW w:w="1709" w:type="dxa"/>
          </w:tcPr>
          <w:p>
            <w:pPr>
              <w:pStyle w:val="TableParagraph"/>
              <w:spacing w:line="210" w:lineRule="exact" w:before="0"/>
              <w:ind w:left="90" w:right="90"/>
              <w:jc w:val="center"/>
              <w:rPr>
                <w:i/>
                <w:sz w:val="20"/>
              </w:rPr>
            </w:pPr>
            <w:r>
              <w:rPr>
                <w:i/>
                <w:sz w:val="20"/>
              </w:rPr>
              <w:t>Zona Protectora</w:t>
            </w:r>
          </w:p>
        </w:tc>
        <w:tc>
          <w:tcPr>
            <w:tcW w:w="1385" w:type="dxa"/>
          </w:tcPr>
          <w:p>
            <w:pPr>
              <w:pStyle w:val="TableParagraph"/>
              <w:spacing w:line="210" w:lineRule="exact" w:before="0"/>
              <w:ind w:left="81" w:right="82"/>
              <w:jc w:val="center"/>
              <w:rPr>
                <w:i/>
                <w:sz w:val="20"/>
              </w:rPr>
            </w:pPr>
            <w:r>
              <w:rPr>
                <w:i/>
                <w:color w:val="FF0000"/>
                <w:sz w:val="20"/>
              </w:rPr>
              <w:t>45</w:t>
            </w:r>
          </w:p>
        </w:tc>
        <w:tc>
          <w:tcPr>
            <w:tcW w:w="1105" w:type="dxa"/>
          </w:tcPr>
          <w:p>
            <w:pPr>
              <w:pStyle w:val="TableParagraph"/>
              <w:spacing w:line="210" w:lineRule="exact" w:before="0"/>
              <w:ind w:left="82" w:right="82"/>
              <w:jc w:val="center"/>
              <w:rPr>
                <w:i/>
                <w:sz w:val="20"/>
              </w:rPr>
            </w:pPr>
            <w:r>
              <w:rPr>
                <w:i/>
                <w:color w:val="FF0000"/>
                <w:sz w:val="20"/>
              </w:rPr>
              <w:t>40</w:t>
            </w:r>
          </w:p>
        </w:tc>
        <w:tc>
          <w:tcPr>
            <w:tcW w:w="1061" w:type="dxa"/>
          </w:tcPr>
          <w:p>
            <w:pPr>
              <w:pStyle w:val="TableParagraph"/>
              <w:spacing w:line="210" w:lineRule="exact" w:before="0"/>
              <w:ind w:left="394" w:right="394"/>
              <w:jc w:val="center"/>
              <w:rPr>
                <w:i/>
                <w:sz w:val="20"/>
              </w:rPr>
            </w:pPr>
            <w:r>
              <w:rPr>
                <w:i/>
                <w:color w:val="FF0000"/>
                <w:sz w:val="20"/>
              </w:rPr>
              <w:t>39</w:t>
            </w:r>
          </w:p>
        </w:tc>
        <w:tc>
          <w:tcPr>
            <w:tcW w:w="2306" w:type="dxa"/>
          </w:tcPr>
          <w:p>
            <w:pPr>
              <w:pStyle w:val="TableParagraph"/>
              <w:spacing w:line="210" w:lineRule="exact" w:before="0"/>
              <w:ind w:left="1014" w:right="1018"/>
              <w:jc w:val="center"/>
              <w:rPr>
                <w:i/>
                <w:sz w:val="20"/>
              </w:rPr>
            </w:pPr>
            <w:r>
              <w:rPr>
                <w:i/>
                <w:color w:val="FF0000"/>
                <w:sz w:val="20"/>
              </w:rPr>
              <w:t>40</w:t>
            </w:r>
          </w:p>
        </w:tc>
        <w:tc>
          <w:tcPr>
            <w:tcW w:w="1466" w:type="dxa"/>
            <w:shd w:val="clear" w:color="auto" w:fill="F1F1F1"/>
          </w:tcPr>
          <w:p>
            <w:pPr>
              <w:pStyle w:val="TableParagraph"/>
              <w:spacing w:line="210" w:lineRule="exact" w:before="0"/>
              <w:ind w:left="615"/>
              <w:jc w:val="left"/>
              <w:rPr>
                <w:i/>
                <w:sz w:val="20"/>
              </w:rPr>
            </w:pPr>
            <w:r>
              <w:rPr>
                <w:i/>
                <w:color w:val="FF0000"/>
                <w:sz w:val="20"/>
              </w:rPr>
              <w:t>41</w:t>
            </w:r>
          </w:p>
        </w:tc>
      </w:tr>
      <w:tr>
        <w:trPr>
          <w:trHeight w:val="229" w:hRule="atLeast"/>
        </w:trPr>
        <w:tc>
          <w:tcPr>
            <w:tcW w:w="1709" w:type="dxa"/>
            <w:tcBorders>
              <w:bottom w:val="single" w:sz="6" w:space="0" w:color="000000"/>
            </w:tcBorders>
          </w:tcPr>
          <w:p>
            <w:pPr>
              <w:pStyle w:val="TableParagraph"/>
              <w:spacing w:line="209" w:lineRule="exact" w:before="0"/>
              <w:ind w:left="90" w:right="84"/>
              <w:jc w:val="center"/>
              <w:rPr>
                <w:i/>
                <w:sz w:val="20"/>
              </w:rPr>
            </w:pPr>
            <w:r>
              <w:rPr>
                <w:i/>
                <w:sz w:val="20"/>
              </w:rPr>
              <w:t>Humedal</w:t>
            </w:r>
          </w:p>
        </w:tc>
        <w:tc>
          <w:tcPr>
            <w:tcW w:w="1385" w:type="dxa"/>
            <w:tcBorders>
              <w:bottom w:val="single" w:sz="6" w:space="0" w:color="000000"/>
            </w:tcBorders>
          </w:tcPr>
          <w:p>
            <w:pPr>
              <w:pStyle w:val="TableParagraph"/>
              <w:spacing w:line="209" w:lineRule="exact" w:before="0"/>
              <w:ind w:left="81" w:right="82"/>
              <w:jc w:val="center"/>
              <w:rPr>
                <w:i/>
                <w:sz w:val="20"/>
              </w:rPr>
            </w:pPr>
            <w:r>
              <w:rPr>
                <w:i/>
                <w:color w:val="FF0000"/>
                <w:sz w:val="20"/>
              </w:rPr>
              <w:t>35</w:t>
            </w:r>
          </w:p>
        </w:tc>
        <w:tc>
          <w:tcPr>
            <w:tcW w:w="1105" w:type="dxa"/>
            <w:tcBorders>
              <w:bottom w:val="single" w:sz="6" w:space="0" w:color="000000"/>
            </w:tcBorders>
          </w:tcPr>
          <w:p>
            <w:pPr>
              <w:pStyle w:val="TableParagraph"/>
              <w:spacing w:line="209" w:lineRule="exact" w:before="0"/>
              <w:ind w:left="82" w:right="82"/>
              <w:jc w:val="center"/>
              <w:rPr>
                <w:i/>
                <w:sz w:val="20"/>
              </w:rPr>
            </w:pPr>
            <w:r>
              <w:rPr>
                <w:i/>
                <w:color w:val="FF0000"/>
                <w:sz w:val="20"/>
              </w:rPr>
              <w:t>38</w:t>
            </w:r>
          </w:p>
        </w:tc>
        <w:tc>
          <w:tcPr>
            <w:tcW w:w="1061" w:type="dxa"/>
            <w:tcBorders>
              <w:bottom w:val="single" w:sz="6" w:space="0" w:color="000000"/>
            </w:tcBorders>
          </w:tcPr>
          <w:p>
            <w:pPr>
              <w:pStyle w:val="TableParagraph"/>
              <w:spacing w:line="209" w:lineRule="exact" w:before="0"/>
              <w:ind w:left="394" w:right="394"/>
              <w:jc w:val="center"/>
              <w:rPr>
                <w:i/>
                <w:sz w:val="20"/>
              </w:rPr>
            </w:pPr>
            <w:r>
              <w:rPr>
                <w:i/>
                <w:color w:val="FF0000"/>
                <w:sz w:val="20"/>
              </w:rPr>
              <w:t>33</w:t>
            </w:r>
          </w:p>
        </w:tc>
        <w:tc>
          <w:tcPr>
            <w:tcW w:w="2306" w:type="dxa"/>
            <w:tcBorders>
              <w:bottom w:val="single" w:sz="6" w:space="0" w:color="000000"/>
            </w:tcBorders>
          </w:tcPr>
          <w:p>
            <w:pPr>
              <w:pStyle w:val="TableParagraph"/>
              <w:spacing w:line="209" w:lineRule="exact" w:before="0"/>
              <w:ind w:left="1014" w:right="1018"/>
              <w:jc w:val="center"/>
              <w:rPr>
                <w:i/>
                <w:sz w:val="20"/>
              </w:rPr>
            </w:pPr>
            <w:r>
              <w:rPr>
                <w:i/>
                <w:color w:val="FF0000"/>
                <w:sz w:val="20"/>
              </w:rPr>
              <w:t>35</w:t>
            </w:r>
          </w:p>
        </w:tc>
        <w:tc>
          <w:tcPr>
            <w:tcW w:w="1466" w:type="dxa"/>
            <w:shd w:val="clear" w:color="auto" w:fill="F1F1F1"/>
          </w:tcPr>
          <w:p>
            <w:pPr>
              <w:pStyle w:val="TableParagraph"/>
              <w:spacing w:line="209" w:lineRule="exact" w:before="0"/>
              <w:ind w:left="615"/>
              <w:jc w:val="left"/>
              <w:rPr>
                <w:i/>
                <w:sz w:val="20"/>
              </w:rPr>
            </w:pPr>
            <w:r>
              <w:rPr>
                <w:i/>
                <w:color w:val="FF0000"/>
                <w:sz w:val="20"/>
              </w:rPr>
              <w:t>35</w:t>
            </w:r>
          </w:p>
        </w:tc>
      </w:tr>
      <w:tr>
        <w:trPr>
          <w:trHeight w:val="229" w:hRule="atLeast"/>
        </w:trPr>
        <w:tc>
          <w:tcPr>
            <w:tcW w:w="1709" w:type="dxa"/>
            <w:shd w:val="clear" w:color="auto" w:fill="F1F1F1"/>
          </w:tcPr>
          <w:p>
            <w:pPr>
              <w:pStyle w:val="TableParagraph"/>
              <w:spacing w:line="209" w:lineRule="exact" w:before="0"/>
              <w:ind w:left="90" w:right="90"/>
              <w:jc w:val="center"/>
              <w:rPr>
                <w:i/>
                <w:sz w:val="20"/>
              </w:rPr>
            </w:pPr>
            <w:r>
              <w:rPr>
                <w:i/>
                <w:sz w:val="20"/>
              </w:rPr>
              <w:t>Total Indicador</w:t>
            </w:r>
          </w:p>
        </w:tc>
        <w:tc>
          <w:tcPr>
            <w:tcW w:w="1385" w:type="dxa"/>
            <w:shd w:val="clear" w:color="auto" w:fill="F1F1F1"/>
          </w:tcPr>
          <w:p>
            <w:pPr>
              <w:pStyle w:val="TableParagraph"/>
              <w:spacing w:line="209" w:lineRule="exact" w:before="0"/>
              <w:ind w:left="81" w:right="82"/>
              <w:jc w:val="center"/>
              <w:rPr>
                <w:i/>
                <w:sz w:val="20"/>
              </w:rPr>
            </w:pPr>
            <w:r>
              <w:rPr>
                <w:i/>
                <w:sz w:val="20"/>
              </w:rPr>
              <w:t>56</w:t>
            </w:r>
          </w:p>
        </w:tc>
        <w:tc>
          <w:tcPr>
            <w:tcW w:w="1105" w:type="dxa"/>
            <w:shd w:val="clear" w:color="auto" w:fill="F1F1F1"/>
          </w:tcPr>
          <w:p>
            <w:pPr>
              <w:pStyle w:val="TableParagraph"/>
              <w:spacing w:line="209" w:lineRule="exact" w:before="0"/>
              <w:ind w:left="82" w:right="82"/>
              <w:jc w:val="center"/>
              <w:rPr>
                <w:i/>
                <w:sz w:val="20"/>
              </w:rPr>
            </w:pPr>
            <w:r>
              <w:rPr>
                <w:i/>
                <w:color w:val="FF0000"/>
                <w:sz w:val="20"/>
              </w:rPr>
              <w:t>49</w:t>
            </w:r>
          </w:p>
        </w:tc>
        <w:tc>
          <w:tcPr>
            <w:tcW w:w="1061" w:type="dxa"/>
            <w:shd w:val="clear" w:color="auto" w:fill="F1F1F1"/>
          </w:tcPr>
          <w:p>
            <w:pPr>
              <w:pStyle w:val="TableParagraph"/>
              <w:spacing w:line="209" w:lineRule="exact" w:before="0"/>
              <w:ind w:left="394" w:right="394"/>
              <w:jc w:val="center"/>
              <w:rPr>
                <w:i/>
                <w:sz w:val="20"/>
              </w:rPr>
            </w:pPr>
            <w:r>
              <w:rPr>
                <w:i/>
                <w:color w:val="FF0000"/>
                <w:sz w:val="20"/>
              </w:rPr>
              <w:t>43</w:t>
            </w:r>
          </w:p>
        </w:tc>
        <w:tc>
          <w:tcPr>
            <w:tcW w:w="2306" w:type="dxa"/>
            <w:shd w:val="clear" w:color="auto" w:fill="F1F1F1"/>
          </w:tcPr>
          <w:p>
            <w:pPr>
              <w:pStyle w:val="TableParagraph"/>
              <w:spacing w:line="209" w:lineRule="exact" w:before="0"/>
              <w:ind w:left="1014" w:right="1018"/>
              <w:jc w:val="center"/>
              <w:rPr>
                <w:i/>
                <w:sz w:val="20"/>
              </w:rPr>
            </w:pPr>
            <w:r>
              <w:rPr>
                <w:i/>
                <w:color w:val="FF0000"/>
                <w:sz w:val="20"/>
              </w:rPr>
              <w:t>40</w:t>
            </w:r>
          </w:p>
        </w:tc>
        <w:tc>
          <w:tcPr>
            <w:tcW w:w="1466" w:type="dxa"/>
            <w:shd w:val="clear" w:color="auto" w:fill="F1F1F1"/>
          </w:tcPr>
          <w:p>
            <w:pPr>
              <w:pStyle w:val="TableParagraph"/>
              <w:spacing w:line="209" w:lineRule="exact" w:before="0"/>
              <w:ind w:left="615"/>
              <w:jc w:val="left"/>
              <w:rPr>
                <w:i/>
                <w:sz w:val="20"/>
              </w:rPr>
            </w:pPr>
            <w:r>
              <w:rPr>
                <w:i/>
                <w:color w:val="FF0000"/>
                <w:sz w:val="20"/>
              </w:rPr>
              <w:t>47</w:t>
            </w:r>
          </w:p>
        </w:tc>
      </w:tr>
    </w:tbl>
    <w:p>
      <w:pPr>
        <w:spacing w:line="226" w:lineRule="exact" w:before="0"/>
        <w:ind w:left="1200" w:right="0" w:firstLine="0"/>
        <w:jc w:val="left"/>
        <w:rPr>
          <w:i/>
          <w:sz w:val="20"/>
        </w:rPr>
      </w:pPr>
      <w:r>
        <w:rPr>
          <w:i/>
          <w:sz w:val="20"/>
        </w:rPr>
        <w:t>Escala de Calificación: Bueno (76 a 100 puntos) Moderado (51 a 75 puntos) Débil (26 a 50 puntos)</w:t>
      </w:r>
    </w:p>
    <w:p>
      <w:pPr>
        <w:spacing w:line="229" w:lineRule="exact" w:before="0"/>
        <w:ind w:left="1200" w:right="0" w:firstLine="0"/>
        <w:jc w:val="left"/>
        <w:rPr>
          <w:i/>
          <w:sz w:val="20"/>
        </w:rPr>
      </w:pPr>
      <w:r>
        <w:rPr>
          <w:i/>
          <w:sz w:val="20"/>
        </w:rPr>
        <w:t>Deficiente (0 a 25 puntos).</w:t>
      </w:r>
    </w:p>
    <w:p>
      <w:pPr>
        <w:pStyle w:val="BodyText"/>
        <w:rPr>
          <w:i/>
          <w:sz w:val="22"/>
        </w:rPr>
      </w:pPr>
    </w:p>
    <w:p>
      <w:pPr>
        <w:pStyle w:val="BodyText"/>
        <w:spacing w:line="360" w:lineRule="auto" w:before="163"/>
        <w:ind w:left="1200" w:right="1199"/>
        <w:jc w:val="both"/>
      </w:pPr>
      <w:r>
        <w:rPr/>
        <w:t>La importancia ecológica del área, justificación de su creación, se relaciona sobre todo con su función de provisión de agua para las comunidades aledañas y usos agrícolas. Sin embargo, su valor de conservación específico es alto por su biodiversidad en mariposas, orquídeas y otros, además de su función como corredor biológico entre las cordilleras Volcánica Central y de Talamanca. Es en ese sentido uno de los puentes de conectividad entre los ecosistemas de América del Norte y del Sur. Asimismo, la ZPLC tiene un alto valor histórico y cultural para el cantón de La Unión (provincia de Cartago),</w:t>
      </w:r>
    </w:p>
    <w:p>
      <w:pPr>
        <w:spacing w:after="0" w:line="360" w:lineRule="auto"/>
        <w:jc w:val="both"/>
        <w:sectPr>
          <w:pgSz w:w="12240" w:h="15840"/>
          <w:pgMar w:header="0" w:footer="1062" w:top="1360" w:bottom="1260" w:left="240" w:right="240"/>
        </w:sectPr>
      </w:pPr>
    </w:p>
    <w:p>
      <w:pPr>
        <w:pStyle w:val="BodyText"/>
        <w:spacing w:line="357" w:lineRule="auto" w:before="79"/>
        <w:ind w:left="1200" w:right="1199"/>
        <w:jc w:val="both"/>
      </w:pPr>
      <w:r>
        <w:rPr/>
        <w:t>en</w:t>
      </w:r>
      <w:r>
        <w:rPr>
          <w:spacing w:val="-12"/>
        </w:rPr>
        <w:t> </w:t>
      </w:r>
      <w:r>
        <w:rPr/>
        <w:t>cuya</w:t>
      </w:r>
      <w:r>
        <w:rPr>
          <w:spacing w:val="-8"/>
        </w:rPr>
        <w:t> </w:t>
      </w:r>
      <w:r>
        <w:rPr/>
        <w:t>jurisdicción</w:t>
      </w:r>
      <w:r>
        <w:rPr>
          <w:spacing w:val="-12"/>
        </w:rPr>
        <w:t> </w:t>
      </w:r>
      <w:r>
        <w:rPr/>
        <w:t>se</w:t>
      </w:r>
      <w:r>
        <w:rPr>
          <w:spacing w:val="-8"/>
        </w:rPr>
        <w:t> </w:t>
      </w:r>
      <w:r>
        <w:rPr/>
        <w:t>encuentra</w:t>
      </w:r>
      <w:r>
        <w:rPr>
          <w:spacing w:val="-12"/>
        </w:rPr>
        <w:t> </w:t>
      </w:r>
      <w:r>
        <w:rPr/>
        <w:t>el</w:t>
      </w:r>
      <w:r>
        <w:rPr>
          <w:spacing w:val="-11"/>
        </w:rPr>
        <w:t> </w:t>
      </w:r>
      <w:r>
        <w:rPr/>
        <w:t>41%</w:t>
      </w:r>
      <w:r>
        <w:rPr>
          <w:spacing w:val="-12"/>
        </w:rPr>
        <w:t> </w:t>
      </w:r>
      <w:r>
        <w:rPr/>
        <w:t>de</w:t>
      </w:r>
      <w:r>
        <w:rPr>
          <w:spacing w:val="-11"/>
        </w:rPr>
        <w:t> </w:t>
      </w:r>
      <w:r>
        <w:rPr/>
        <w:t>su</w:t>
      </w:r>
      <w:r>
        <w:rPr>
          <w:spacing w:val="-12"/>
        </w:rPr>
        <w:t> </w:t>
      </w:r>
      <w:r>
        <w:rPr/>
        <w:t>territorio</w:t>
      </w:r>
      <w:r>
        <w:rPr>
          <w:spacing w:val="-7"/>
        </w:rPr>
        <w:t> </w:t>
      </w:r>
      <w:r>
        <w:rPr/>
        <w:t>(Comisión</w:t>
      </w:r>
      <w:r>
        <w:rPr>
          <w:spacing w:val="-8"/>
        </w:rPr>
        <w:t> </w:t>
      </w:r>
      <w:r>
        <w:rPr/>
        <w:t>Interinstitucional</w:t>
      </w:r>
      <w:r>
        <w:rPr>
          <w:spacing w:val="-11"/>
        </w:rPr>
        <w:t> </w:t>
      </w:r>
      <w:r>
        <w:rPr/>
        <w:t>para la Zona Protectora Cerros de La Carpintera,</w:t>
      </w:r>
      <w:r>
        <w:rPr>
          <w:spacing w:val="-6"/>
        </w:rPr>
        <w:t> </w:t>
      </w:r>
      <w:r>
        <w:rPr/>
        <w:t>2012).</w:t>
      </w:r>
    </w:p>
    <w:p>
      <w:pPr>
        <w:pStyle w:val="BodyText"/>
        <w:spacing w:before="9"/>
        <w:rPr>
          <w:sz w:val="15"/>
        </w:rPr>
      </w:pPr>
      <w:r>
        <w:rPr/>
        <w:pict>
          <v:group style="position:absolute;margin-left:92.25pt;margin-top:11.074492pt;width:427.2pt;height:320.75pt;mso-position-horizontal-relative:page;mso-position-vertical-relative:paragraph;z-index:-15707648;mso-wrap-distance-left:0;mso-wrap-distance-right:0" coordorigin="1845,221" coordsize="8544,6415">
            <v:shape style="position:absolute;left:1860;top:872;width:8263;height:5723" type="#_x0000_t75" stroked="false">
              <v:imagedata r:id="rId46" o:title=""/>
            </v:shape>
            <v:rect style="position:absolute;left:1852;top:228;width:8529;height:6400" filled="false" stroked="true" strokeweight=".75pt" strokecolor="#000000">
              <v:stroke dashstyle="solid"/>
            </v:rect>
            <w10:wrap type="topAndBottom"/>
          </v:group>
        </w:pict>
      </w:r>
    </w:p>
    <w:p>
      <w:pPr>
        <w:pStyle w:val="BodyText"/>
        <w:spacing w:before="5"/>
        <w:rPr>
          <w:sz w:val="28"/>
        </w:rPr>
      </w:pPr>
    </w:p>
    <w:p>
      <w:pPr>
        <w:spacing w:line="229" w:lineRule="exact" w:before="0"/>
        <w:ind w:left="1340" w:right="1340" w:firstLine="0"/>
        <w:jc w:val="center"/>
        <w:rPr>
          <w:i/>
          <w:sz w:val="20"/>
        </w:rPr>
      </w:pPr>
      <w:bookmarkStart w:name="_bookmark9" w:id="13"/>
      <w:bookmarkEnd w:id="13"/>
      <w:r>
        <w:rPr/>
      </w:r>
      <w:r>
        <w:rPr>
          <w:i/>
          <w:sz w:val="20"/>
        </w:rPr>
        <w:t>Figura 7- Ubicación de la ZP La Carpintera dentro de la ACCVC (Hoy Área de Conservación Central).</w:t>
      </w:r>
    </w:p>
    <w:p>
      <w:pPr>
        <w:spacing w:line="229" w:lineRule="exact" w:before="0"/>
        <w:ind w:left="2389" w:right="2387" w:firstLine="0"/>
        <w:jc w:val="center"/>
        <w:rPr>
          <w:i/>
          <w:sz w:val="20"/>
        </w:rPr>
      </w:pPr>
      <w:r>
        <w:rPr>
          <w:i/>
          <w:sz w:val="20"/>
        </w:rPr>
        <w:t>Fuente: Elaboración propia</w:t>
      </w:r>
    </w:p>
    <w:p>
      <w:pPr>
        <w:pStyle w:val="BodyText"/>
        <w:spacing w:before="10"/>
        <w:rPr>
          <w:i/>
          <w:sz w:val="27"/>
        </w:rPr>
      </w:pPr>
    </w:p>
    <w:p>
      <w:pPr>
        <w:pStyle w:val="BodyText"/>
        <w:spacing w:line="360" w:lineRule="auto"/>
        <w:ind w:left="1200" w:right="1203"/>
        <w:jc w:val="both"/>
      </w:pPr>
      <w:r>
        <w:rPr/>
        <w:t>La Unión es la municipalidad con mayor área de la ZPLC (Cuadro 3). Junto con la municipalidad del cantón central de Cartago conforman más del 80% del territorio, perteneciendo</w:t>
      </w:r>
      <w:r>
        <w:rPr>
          <w:spacing w:val="-4"/>
        </w:rPr>
        <w:t> </w:t>
      </w:r>
      <w:r>
        <w:rPr/>
        <w:t>así</w:t>
      </w:r>
      <w:r>
        <w:rPr>
          <w:spacing w:val="-5"/>
        </w:rPr>
        <w:t> </w:t>
      </w:r>
      <w:r>
        <w:rPr/>
        <w:t>en</w:t>
      </w:r>
      <w:r>
        <w:rPr>
          <w:spacing w:val="-8"/>
        </w:rPr>
        <w:t> </w:t>
      </w:r>
      <w:r>
        <w:rPr/>
        <w:t>su</w:t>
      </w:r>
      <w:r>
        <w:rPr>
          <w:spacing w:val="-4"/>
        </w:rPr>
        <w:t> </w:t>
      </w:r>
      <w:r>
        <w:rPr/>
        <w:t>mayoría</w:t>
      </w:r>
      <w:r>
        <w:rPr>
          <w:spacing w:val="-7"/>
        </w:rPr>
        <w:t> </w:t>
      </w:r>
      <w:r>
        <w:rPr/>
        <w:t>a</w:t>
      </w:r>
      <w:r>
        <w:rPr>
          <w:spacing w:val="-8"/>
        </w:rPr>
        <w:t> </w:t>
      </w:r>
      <w:r>
        <w:rPr/>
        <w:t>la</w:t>
      </w:r>
      <w:r>
        <w:rPr>
          <w:spacing w:val="-4"/>
        </w:rPr>
        <w:t> </w:t>
      </w:r>
      <w:r>
        <w:rPr/>
        <w:t>provincia</w:t>
      </w:r>
      <w:r>
        <w:rPr>
          <w:spacing w:val="-7"/>
        </w:rPr>
        <w:t> </w:t>
      </w:r>
      <w:r>
        <w:rPr/>
        <w:t>cartaginesa.</w:t>
      </w:r>
      <w:r>
        <w:rPr>
          <w:spacing w:val="-5"/>
        </w:rPr>
        <w:t> </w:t>
      </w:r>
      <w:r>
        <w:rPr/>
        <w:t>El</w:t>
      </w:r>
      <w:r>
        <w:rPr>
          <w:spacing w:val="-8"/>
        </w:rPr>
        <w:t> </w:t>
      </w:r>
      <w:r>
        <w:rPr/>
        <w:t>restante</w:t>
      </w:r>
      <w:r>
        <w:rPr>
          <w:spacing w:val="-7"/>
        </w:rPr>
        <w:t> </w:t>
      </w:r>
      <w:r>
        <w:rPr/>
        <w:t>19%</w:t>
      </w:r>
      <w:r>
        <w:rPr>
          <w:spacing w:val="-4"/>
        </w:rPr>
        <w:t> </w:t>
      </w:r>
      <w:r>
        <w:rPr/>
        <w:t>se</w:t>
      </w:r>
      <w:r>
        <w:rPr>
          <w:spacing w:val="-8"/>
        </w:rPr>
        <w:t> </w:t>
      </w:r>
      <w:r>
        <w:rPr/>
        <w:t>ubica</w:t>
      </w:r>
      <w:r>
        <w:rPr>
          <w:spacing w:val="-7"/>
        </w:rPr>
        <w:t> </w:t>
      </w:r>
      <w:r>
        <w:rPr/>
        <w:t>en cantones de la provincia de San José (Torres, 2001; Ramos &amp; Quirós,</w:t>
      </w:r>
      <w:r>
        <w:rPr>
          <w:spacing w:val="-8"/>
        </w:rPr>
        <w:t> </w:t>
      </w:r>
      <w:r>
        <w:rPr/>
        <w:t>2011).</w:t>
      </w:r>
    </w:p>
    <w:p>
      <w:pPr>
        <w:pStyle w:val="BodyText"/>
        <w:spacing w:line="360" w:lineRule="auto" w:before="201"/>
        <w:ind w:left="1200" w:right="1199"/>
        <w:jc w:val="both"/>
      </w:pPr>
      <w:r>
        <w:rPr/>
        <w:t>La cobertura del suelo en la zona se caracteriza por bosque primario en las zonas altas y en la parte media, bosques secundarios, pastos, lecherías y cultivos de café. Desde mediados del Siglo XX ha habido una importante recuperación de la cobertura boscosa en su perfil norte dada la baja rentabilidad de la ganadería y el café en la zona (Ramos &amp; Quirós, 2011).</w:t>
      </w:r>
    </w:p>
    <w:p>
      <w:pPr>
        <w:spacing w:after="0" w:line="360" w:lineRule="auto"/>
        <w:jc w:val="both"/>
        <w:sectPr>
          <w:pgSz w:w="12240" w:h="15840"/>
          <w:pgMar w:header="0" w:footer="1062" w:top="1360" w:bottom="1260" w:left="240" w:right="240"/>
        </w:sectPr>
      </w:pPr>
    </w:p>
    <w:p>
      <w:pPr>
        <w:pStyle w:val="BodyText"/>
        <w:spacing w:before="2"/>
        <w:rPr>
          <w:sz w:val="22"/>
        </w:rPr>
      </w:pPr>
    </w:p>
    <w:p>
      <w:pPr>
        <w:spacing w:before="94"/>
        <w:ind w:left="2389" w:right="2390" w:firstLine="0"/>
        <w:jc w:val="center"/>
        <w:rPr>
          <w:i/>
          <w:sz w:val="20"/>
        </w:rPr>
      </w:pPr>
      <w:bookmarkStart w:name="_bookmark10" w:id="14"/>
      <w:bookmarkEnd w:id="14"/>
      <w:r>
        <w:rPr/>
      </w:r>
      <w:r>
        <w:rPr>
          <w:i/>
          <w:sz w:val="20"/>
        </w:rPr>
        <w:t>Cuadro 3- Porcentaje de Tierras en ZPLC de Acuerdo con Cantón.</w:t>
      </w:r>
    </w:p>
    <w:p>
      <w:pPr>
        <w:spacing w:before="2"/>
        <w:ind w:left="2389" w:right="2386" w:firstLine="0"/>
        <w:jc w:val="center"/>
        <w:rPr>
          <w:i/>
          <w:sz w:val="20"/>
        </w:rPr>
      </w:pPr>
      <w:r>
        <w:rPr>
          <w:i/>
          <w:sz w:val="20"/>
        </w:rPr>
        <w:t>Fuente: Torres (2001)</w:t>
      </w:r>
    </w:p>
    <w:p>
      <w:pPr>
        <w:pStyle w:val="BodyText"/>
        <w:spacing w:before="7"/>
        <w:rPr>
          <w:i/>
          <w:sz w:val="27"/>
        </w:rPr>
      </w:pPr>
    </w:p>
    <w:tbl>
      <w:tblPr>
        <w:tblW w:w="0" w:type="auto"/>
        <w:jc w:val="left"/>
        <w:tblInd w:w="225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17"/>
        <w:gridCol w:w="2401"/>
        <w:gridCol w:w="3058"/>
      </w:tblGrid>
      <w:tr>
        <w:trPr>
          <w:trHeight w:val="426" w:hRule="atLeast"/>
        </w:trPr>
        <w:tc>
          <w:tcPr>
            <w:tcW w:w="1817" w:type="dxa"/>
            <w:tcBorders>
              <w:top w:val="nil"/>
              <w:left w:val="nil"/>
              <w:bottom w:val="nil"/>
              <w:right w:val="nil"/>
            </w:tcBorders>
            <w:shd w:val="clear" w:color="auto" w:fill="000000"/>
          </w:tcPr>
          <w:p>
            <w:pPr>
              <w:pStyle w:val="TableParagraph"/>
              <w:spacing w:line="240" w:lineRule="auto" w:before="14"/>
              <w:ind w:left="80"/>
              <w:jc w:val="left"/>
              <w:rPr>
                <w:sz w:val="24"/>
              </w:rPr>
            </w:pPr>
            <w:r>
              <w:rPr>
                <w:color w:val="FFFFFF"/>
                <w:sz w:val="24"/>
              </w:rPr>
              <w:t>Cantón</w:t>
            </w:r>
          </w:p>
        </w:tc>
        <w:tc>
          <w:tcPr>
            <w:tcW w:w="2401" w:type="dxa"/>
            <w:tcBorders>
              <w:top w:val="nil"/>
              <w:left w:val="nil"/>
              <w:bottom w:val="nil"/>
              <w:right w:val="nil"/>
            </w:tcBorders>
            <w:shd w:val="clear" w:color="auto" w:fill="000000"/>
          </w:tcPr>
          <w:p>
            <w:pPr>
              <w:pStyle w:val="TableParagraph"/>
              <w:spacing w:line="240" w:lineRule="auto" w:before="14"/>
              <w:ind w:left="384" w:right="375"/>
              <w:jc w:val="center"/>
              <w:rPr>
                <w:sz w:val="24"/>
              </w:rPr>
            </w:pPr>
            <w:r>
              <w:rPr>
                <w:color w:val="FFFFFF"/>
                <w:sz w:val="24"/>
              </w:rPr>
              <w:t>Superficie (Ha)</w:t>
            </w:r>
          </w:p>
        </w:tc>
        <w:tc>
          <w:tcPr>
            <w:tcW w:w="3058" w:type="dxa"/>
            <w:tcBorders>
              <w:top w:val="nil"/>
              <w:left w:val="nil"/>
              <w:bottom w:val="nil"/>
              <w:right w:val="nil"/>
            </w:tcBorders>
            <w:shd w:val="clear" w:color="auto" w:fill="000000"/>
          </w:tcPr>
          <w:p>
            <w:pPr>
              <w:pStyle w:val="TableParagraph"/>
              <w:spacing w:line="240" w:lineRule="auto" w:before="14"/>
              <w:ind w:left="721" w:right="709"/>
              <w:jc w:val="center"/>
              <w:rPr>
                <w:sz w:val="24"/>
              </w:rPr>
            </w:pPr>
            <w:r>
              <w:rPr>
                <w:color w:val="FFFFFF"/>
                <w:sz w:val="24"/>
              </w:rPr>
              <w:t>Porcentaje (%)</w:t>
            </w:r>
          </w:p>
        </w:tc>
      </w:tr>
      <w:tr>
        <w:trPr>
          <w:trHeight w:val="417" w:hRule="atLeast"/>
        </w:trPr>
        <w:tc>
          <w:tcPr>
            <w:tcW w:w="1817" w:type="dxa"/>
          </w:tcPr>
          <w:p>
            <w:pPr>
              <w:pStyle w:val="TableParagraph"/>
              <w:spacing w:line="240" w:lineRule="auto" w:before="1"/>
              <w:ind w:left="72"/>
              <w:jc w:val="left"/>
              <w:rPr>
                <w:sz w:val="24"/>
              </w:rPr>
            </w:pPr>
            <w:r>
              <w:rPr>
                <w:sz w:val="24"/>
              </w:rPr>
              <w:t>Cartago</w:t>
            </w:r>
          </w:p>
        </w:tc>
        <w:tc>
          <w:tcPr>
            <w:tcW w:w="2401" w:type="dxa"/>
          </w:tcPr>
          <w:p>
            <w:pPr>
              <w:pStyle w:val="TableParagraph"/>
              <w:spacing w:line="240" w:lineRule="auto" w:before="1"/>
              <w:ind w:left="257" w:right="247"/>
              <w:jc w:val="center"/>
              <w:rPr>
                <w:sz w:val="24"/>
              </w:rPr>
            </w:pPr>
            <w:r>
              <w:rPr>
                <w:sz w:val="24"/>
              </w:rPr>
              <w:t>964</w:t>
            </w:r>
          </w:p>
        </w:tc>
        <w:tc>
          <w:tcPr>
            <w:tcW w:w="3058" w:type="dxa"/>
          </w:tcPr>
          <w:p>
            <w:pPr>
              <w:pStyle w:val="TableParagraph"/>
              <w:spacing w:line="240" w:lineRule="auto" w:before="1"/>
              <w:ind w:left="1305" w:right="1293"/>
              <w:jc w:val="center"/>
              <w:rPr>
                <w:sz w:val="24"/>
              </w:rPr>
            </w:pPr>
            <w:r>
              <w:rPr>
                <w:sz w:val="24"/>
              </w:rPr>
              <w:t>40</w:t>
            </w:r>
          </w:p>
        </w:tc>
      </w:tr>
      <w:tr>
        <w:trPr>
          <w:trHeight w:val="413" w:hRule="atLeast"/>
        </w:trPr>
        <w:tc>
          <w:tcPr>
            <w:tcW w:w="1817" w:type="dxa"/>
          </w:tcPr>
          <w:p>
            <w:pPr>
              <w:pStyle w:val="TableParagraph"/>
              <w:spacing w:line="273" w:lineRule="exact" w:before="0"/>
              <w:ind w:left="72"/>
              <w:jc w:val="left"/>
              <w:rPr>
                <w:sz w:val="24"/>
              </w:rPr>
            </w:pPr>
            <w:r>
              <w:rPr>
                <w:sz w:val="24"/>
              </w:rPr>
              <w:t>La Unión</w:t>
            </w:r>
          </w:p>
        </w:tc>
        <w:tc>
          <w:tcPr>
            <w:tcW w:w="2401" w:type="dxa"/>
          </w:tcPr>
          <w:p>
            <w:pPr>
              <w:pStyle w:val="TableParagraph"/>
              <w:spacing w:line="273" w:lineRule="exact" w:before="0"/>
              <w:ind w:left="257" w:right="247"/>
              <w:jc w:val="center"/>
              <w:rPr>
                <w:sz w:val="24"/>
              </w:rPr>
            </w:pPr>
            <w:r>
              <w:rPr>
                <w:sz w:val="24"/>
              </w:rPr>
              <w:t>975</w:t>
            </w:r>
          </w:p>
        </w:tc>
        <w:tc>
          <w:tcPr>
            <w:tcW w:w="3058" w:type="dxa"/>
          </w:tcPr>
          <w:p>
            <w:pPr>
              <w:pStyle w:val="TableParagraph"/>
              <w:spacing w:line="273" w:lineRule="exact" w:before="0"/>
              <w:ind w:left="1305" w:right="1293"/>
              <w:jc w:val="center"/>
              <w:rPr>
                <w:sz w:val="24"/>
              </w:rPr>
            </w:pPr>
            <w:r>
              <w:rPr>
                <w:sz w:val="24"/>
              </w:rPr>
              <w:t>41</w:t>
            </w:r>
          </w:p>
        </w:tc>
      </w:tr>
      <w:tr>
        <w:trPr>
          <w:trHeight w:val="412" w:hRule="atLeast"/>
        </w:trPr>
        <w:tc>
          <w:tcPr>
            <w:tcW w:w="1817" w:type="dxa"/>
          </w:tcPr>
          <w:p>
            <w:pPr>
              <w:pStyle w:val="TableParagraph"/>
              <w:spacing w:line="240" w:lineRule="auto" w:before="1"/>
              <w:ind w:left="72"/>
              <w:jc w:val="left"/>
              <w:rPr>
                <w:sz w:val="24"/>
              </w:rPr>
            </w:pPr>
            <w:r>
              <w:rPr>
                <w:sz w:val="24"/>
              </w:rPr>
              <w:t>Desamparados</w:t>
            </w:r>
          </w:p>
        </w:tc>
        <w:tc>
          <w:tcPr>
            <w:tcW w:w="2401" w:type="dxa"/>
          </w:tcPr>
          <w:p>
            <w:pPr>
              <w:pStyle w:val="TableParagraph"/>
              <w:spacing w:line="240" w:lineRule="auto" w:before="1"/>
              <w:ind w:left="257" w:right="247"/>
              <w:jc w:val="center"/>
              <w:rPr>
                <w:sz w:val="24"/>
              </w:rPr>
            </w:pPr>
            <w:r>
              <w:rPr>
                <w:sz w:val="24"/>
              </w:rPr>
              <w:t>429</w:t>
            </w:r>
          </w:p>
        </w:tc>
        <w:tc>
          <w:tcPr>
            <w:tcW w:w="3058" w:type="dxa"/>
          </w:tcPr>
          <w:p>
            <w:pPr>
              <w:pStyle w:val="TableParagraph"/>
              <w:spacing w:line="240" w:lineRule="auto" w:before="1"/>
              <w:ind w:left="1305" w:right="1293"/>
              <w:jc w:val="center"/>
              <w:rPr>
                <w:sz w:val="24"/>
              </w:rPr>
            </w:pPr>
            <w:r>
              <w:rPr>
                <w:sz w:val="24"/>
              </w:rPr>
              <w:t>18</w:t>
            </w:r>
          </w:p>
        </w:tc>
      </w:tr>
      <w:tr>
        <w:trPr>
          <w:trHeight w:val="413" w:hRule="atLeast"/>
        </w:trPr>
        <w:tc>
          <w:tcPr>
            <w:tcW w:w="1817" w:type="dxa"/>
          </w:tcPr>
          <w:p>
            <w:pPr>
              <w:pStyle w:val="TableParagraph"/>
              <w:spacing w:line="240" w:lineRule="auto" w:before="1"/>
              <w:ind w:left="72"/>
              <w:jc w:val="left"/>
              <w:rPr>
                <w:sz w:val="24"/>
              </w:rPr>
            </w:pPr>
            <w:r>
              <w:rPr>
                <w:sz w:val="24"/>
              </w:rPr>
              <w:t>Curridabat</w:t>
            </w:r>
          </w:p>
        </w:tc>
        <w:tc>
          <w:tcPr>
            <w:tcW w:w="2401" w:type="dxa"/>
          </w:tcPr>
          <w:p>
            <w:pPr>
              <w:pStyle w:val="TableParagraph"/>
              <w:spacing w:line="240" w:lineRule="auto" w:before="1"/>
              <w:ind w:left="261" w:right="247"/>
              <w:jc w:val="center"/>
              <w:rPr>
                <w:sz w:val="24"/>
              </w:rPr>
            </w:pPr>
            <w:r>
              <w:rPr>
                <w:sz w:val="24"/>
              </w:rPr>
              <w:t>28</w:t>
            </w:r>
          </w:p>
        </w:tc>
        <w:tc>
          <w:tcPr>
            <w:tcW w:w="3058" w:type="dxa"/>
          </w:tcPr>
          <w:p>
            <w:pPr>
              <w:pStyle w:val="TableParagraph"/>
              <w:spacing w:line="240" w:lineRule="auto" w:before="1"/>
              <w:ind w:left="18"/>
              <w:jc w:val="center"/>
              <w:rPr>
                <w:sz w:val="24"/>
              </w:rPr>
            </w:pPr>
            <w:r>
              <w:rPr>
                <w:w w:val="99"/>
                <w:sz w:val="24"/>
              </w:rPr>
              <w:t>1</w:t>
            </w:r>
          </w:p>
        </w:tc>
      </w:tr>
      <w:tr>
        <w:trPr>
          <w:trHeight w:val="417" w:hRule="atLeast"/>
        </w:trPr>
        <w:tc>
          <w:tcPr>
            <w:tcW w:w="1817" w:type="dxa"/>
          </w:tcPr>
          <w:p>
            <w:pPr>
              <w:pStyle w:val="TableParagraph"/>
              <w:spacing w:line="240" w:lineRule="auto" w:before="1"/>
              <w:ind w:left="72"/>
              <w:jc w:val="left"/>
              <w:rPr>
                <w:sz w:val="24"/>
              </w:rPr>
            </w:pPr>
            <w:r>
              <w:rPr>
                <w:sz w:val="24"/>
              </w:rPr>
              <w:t>Total</w:t>
            </w:r>
          </w:p>
        </w:tc>
        <w:tc>
          <w:tcPr>
            <w:tcW w:w="2401" w:type="dxa"/>
          </w:tcPr>
          <w:p>
            <w:pPr>
              <w:pStyle w:val="TableParagraph"/>
              <w:spacing w:line="240" w:lineRule="auto" w:before="1"/>
              <w:ind w:left="261" w:right="247"/>
              <w:jc w:val="center"/>
              <w:rPr>
                <w:sz w:val="24"/>
              </w:rPr>
            </w:pPr>
            <w:r>
              <w:rPr>
                <w:sz w:val="24"/>
              </w:rPr>
              <w:t>2396</w:t>
            </w:r>
          </w:p>
        </w:tc>
        <w:tc>
          <w:tcPr>
            <w:tcW w:w="3058" w:type="dxa"/>
          </w:tcPr>
          <w:p>
            <w:pPr>
              <w:pStyle w:val="TableParagraph"/>
              <w:spacing w:line="240" w:lineRule="auto" w:before="1"/>
              <w:ind w:left="1305" w:right="1297"/>
              <w:jc w:val="center"/>
              <w:rPr>
                <w:sz w:val="24"/>
              </w:rPr>
            </w:pPr>
            <w:r>
              <w:rPr>
                <w:sz w:val="24"/>
              </w:rPr>
              <w:t>100</w:t>
            </w:r>
          </w:p>
        </w:tc>
      </w:tr>
    </w:tbl>
    <w:p>
      <w:pPr>
        <w:pStyle w:val="BodyText"/>
        <w:rPr>
          <w:i/>
          <w:sz w:val="22"/>
        </w:rPr>
      </w:pPr>
    </w:p>
    <w:p>
      <w:pPr>
        <w:pStyle w:val="BodyText"/>
        <w:spacing w:before="5"/>
        <w:rPr>
          <w:i/>
          <w:sz w:val="31"/>
        </w:rPr>
      </w:pPr>
    </w:p>
    <w:p>
      <w:pPr>
        <w:pStyle w:val="BodyText"/>
        <w:spacing w:line="360" w:lineRule="auto"/>
        <w:ind w:left="1200" w:right="1198"/>
        <w:jc w:val="both"/>
      </w:pPr>
      <w:r>
        <w:rPr/>
        <w:t>Este proceso ha generado un aumento en el valor estético de la zona y de los servicios ecosistémicos relacionados a la cobertura boscosa. La Figura 8 muestra una comparación visual producto de fotos en zonas comparables de 1949 y 1954 comparadas con fotos del año 2010 (Conejo, 2010).</w:t>
      </w:r>
    </w:p>
    <w:p>
      <w:pPr>
        <w:pStyle w:val="BodyText"/>
        <w:rPr>
          <w:sz w:val="14"/>
        </w:rPr>
      </w:pPr>
      <w:r>
        <w:rPr/>
        <w:drawing>
          <wp:anchor distT="0" distB="0" distL="0" distR="0" allowOverlap="1" layoutInCell="1" locked="0" behindDoc="0" simplePos="0" relativeHeight="42">
            <wp:simplePos x="0" y="0"/>
            <wp:positionH relativeFrom="page">
              <wp:posOffset>1524000</wp:posOffset>
            </wp:positionH>
            <wp:positionV relativeFrom="paragraph">
              <wp:posOffset>127185</wp:posOffset>
            </wp:positionV>
            <wp:extent cx="4712223" cy="3545966"/>
            <wp:effectExtent l="0" t="0" r="0" b="0"/>
            <wp:wrapTopAndBottom/>
            <wp:docPr id="25" name="image38.jpeg"/>
            <wp:cNvGraphicFramePr>
              <a:graphicFrameLocks noChangeAspect="1"/>
            </wp:cNvGraphicFramePr>
            <a:graphic>
              <a:graphicData uri="http://schemas.openxmlformats.org/drawingml/2006/picture">
                <pic:pic>
                  <pic:nvPicPr>
                    <pic:cNvPr id="26" name="image38.jpeg"/>
                    <pic:cNvPicPr/>
                  </pic:nvPicPr>
                  <pic:blipFill>
                    <a:blip r:embed="rId47" cstate="print"/>
                    <a:stretch>
                      <a:fillRect/>
                    </a:stretch>
                  </pic:blipFill>
                  <pic:spPr>
                    <a:xfrm>
                      <a:off x="0" y="0"/>
                      <a:ext cx="4712223" cy="3545966"/>
                    </a:xfrm>
                    <a:prstGeom prst="rect">
                      <a:avLst/>
                    </a:prstGeom>
                  </pic:spPr>
                </pic:pic>
              </a:graphicData>
            </a:graphic>
          </wp:anchor>
        </w:drawing>
      </w:r>
    </w:p>
    <w:p>
      <w:pPr>
        <w:pStyle w:val="BodyText"/>
        <w:spacing w:before="4"/>
        <w:rPr>
          <w:sz w:val="27"/>
        </w:rPr>
      </w:pPr>
    </w:p>
    <w:p>
      <w:pPr>
        <w:spacing w:before="0"/>
        <w:ind w:left="1340" w:right="1340" w:firstLine="0"/>
        <w:jc w:val="center"/>
        <w:rPr>
          <w:i/>
          <w:sz w:val="20"/>
        </w:rPr>
      </w:pPr>
      <w:bookmarkStart w:name="_bookmark11" w:id="15"/>
      <w:bookmarkEnd w:id="15"/>
      <w:r>
        <w:rPr/>
      </w:r>
      <w:r>
        <w:rPr>
          <w:i/>
          <w:sz w:val="20"/>
        </w:rPr>
        <w:t>Figura 8 – Recopilación de Fotos de la ZPLC en su Frente Norte Comparando la Cobertura del Suelo </w:t>
      </w:r>
      <w:r>
        <w:rPr>
          <w:i/>
          <w:sz w:val="20"/>
        </w:rPr>
        <w:t>entre la Mitad del Siglo XX y el Inicio de la Presente Década.</w:t>
      </w:r>
    </w:p>
    <w:p>
      <w:pPr>
        <w:spacing w:before="0"/>
        <w:ind w:left="2389" w:right="2385" w:firstLine="0"/>
        <w:jc w:val="center"/>
        <w:rPr>
          <w:i/>
          <w:sz w:val="20"/>
        </w:rPr>
      </w:pPr>
      <w:r>
        <w:rPr>
          <w:i/>
          <w:sz w:val="20"/>
        </w:rPr>
        <w:t>Fuente: Conejo (2010).</w:t>
      </w:r>
    </w:p>
    <w:p>
      <w:pPr>
        <w:spacing w:after="0"/>
        <w:jc w:val="center"/>
        <w:rPr>
          <w:sz w:val="20"/>
        </w:rPr>
        <w:sectPr>
          <w:pgSz w:w="12240" w:h="15840"/>
          <w:pgMar w:header="0" w:footer="1062" w:top="1500" w:bottom="1260" w:left="240" w:right="240"/>
        </w:sectPr>
      </w:pPr>
    </w:p>
    <w:p>
      <w:pPr>
        <w:pStyle w:val="BodyText"/>
        <w:spacing w:line="360" w:lineRule="auto" w:before="79"/>
        <w:ind w:left="1200" w:right="1198"/>
        <w:jc w:val="both"/>
      </w:pPr>
      <w:r>
        <w:rPr/>
        <w:t>La Figura 9 muestra cómo esa recuperación boscosa es utilizada para efectos del mercadeo</w:t>
      </w:r>
      <w:r>
        <w:rPr>
          <w:spacing w:val="-13"/>
        </w:rPr>
        <w:t> </w:t>
      </w:r>
      <w:r>
        <w:rPr/>
        <w:t>de</w:t>
      </w:r>
      <w:r>
        <w:rPr>
          <w:spacing w:val="-12"/>
        </w:rPr>
        <w:t> </w:t>
      </w:r>
      <w:r>
        <w:rPr/>
        <w:t>bienes</w:t>
      </w:r>
      <w:r>
        <w:rPr>
          <w:spacing w:val="-11"/>
        </w:rPr>
        <w:t> </w:t>
      </w:r>
      <w:r>
        <w:rPr/>
        <w:t>raíces</w:t>
      </w:r>
      <w:r>
        <w:rPr>
          <w:spacing w:val="-10"/>
        </w:rPr>
        <w:t> </w:t>
      </w:r>
      <w:r>
        <w:rPr/>
        <w:t>aprovechando</w:t>
      </w:r>
      <w:r>
        <w:rPr>
          <w:spacing w:val="-12"/>
        </w:rPr>
        <w:t> </w:t>
      </w:r>
      <w:r>
        <w:rPr/>
        <w:t>el</w:t>
      </w:r>
      <w:r>
        <w:rPr>
          <w:spacing w:val="-12"/>
        </w:rPr>
        <w:t> </w:t>
      </w:r>
      <w:r>
        <w:rPr/>
        <w:t>agradable</w:t>
      </w:r>
      <w:r>
        <w:rPr>
          <w:spacing w:val="-12"/>
        </w:rPr>
        <w:t> </w:t>
      </w:r>
      <w:r>
        <w:rPr/>
        <w:t>efecto</w:t>
      </w:r>
      <w:r>
        <w:rPr>
          <w:spacing w:val="-12"/>
        </w:rPr>
        <w:t> </w:t>
      </w:r>
      <w:r>
        <w:rPr/>
        <w:t>estético.</w:t>
      </w:r>
      <w:r>
        <w:rPr>
          <w:spacing w:val="-10"/>
        </w:rPr>
        <w:t> </w:t>
      </w:r>
      <w:r>
        <w:rPr/>
        <w:t>Este</w:t>
      </w:r>
      <w:r>
        <w:rPr>
          <w:spacing w:val="-12"/>
        </w:rPr>
        <w:t> </w:t>
      </w:r>
      <w:r>
        <w:rPr/>
        <w:t>beneficio</w:t>
      </w:r>
      <w:r>
        <w:rPr>
          <w:spacing w:val="-12"/>
        </w:rPr>
        <w:t> </w:t>
      </w:r>
      <w:r>
        <w:rPr/>
        <w:t>se detecta en forma similar en el sector comercial y en el sector residencial. La distribución en hectáreas de las diferentes coberturas indica evidencia de los cambios históricos en los usos del suelo (Cuadro</w:t>
      </w:r>
      <w:r>
        <w:rPr>
          <w:spacing w:val="-2"/>
        </w:rPr>
        <w:t> </w:t>
      </w:r>
      <w:r>
        <w:rPr/>
        <w:t>4).</w:t>
      </w:r>
    </w:p>
    <w:p>
      <w:pPr>
        <w:pStyle w:val="BodyText"/>
        <w:rPr>
          <w:sz w:val="14"/>
        </w:rPr>
      </w:pPr>
      <w:r>
        <w:rPr/>
        <w:drawing>
          <wp:anchor distT="0" distB="0" distL="0" distR="0" allowOverlap="1" layoutInCell="1" locked="0" behindDoc="0" simplePos="0" relativeHeight="43">
            <wp:simplePos x="0" y="0"/>
            <wp:positionH relativeFrom="page">
              <wp:posOffset>1444699</wp:posOffset>
            </wp:positionH>
            <wp:positionV relativeFrom="paragraph">
              <wp:posOffset>127619</wp:posOffset>
            </wp:positionV>
            <wp:extent cx="5109373" cy="3162300"/>
            <wp:effectExtent l="0" t="0" r="0" b="0"/>
            <wp:wrapTopAndBottom/>
            <wp:docPr id="27" name="image39.jpeg"/>
            <wp:cNvGraphicFramePr>
              <a:graphicFrameLocks noChangeAspect="1"/>
            </wp:cNvGraphicFramePr>
            <a:graphic>
              <a:graphicData uri="http://schemas.openxmlformats.org/drawingml/2006/picture">
                <pic:pic>
                  <pic:nvPicPr>
                    <pic:cNvPr id="28" name="image39.jpeg"/>
                    <pic:cNvPicPr/>
                  </pic:nvPicPr>
                  <pic:blipFill>
                    <a:blip r:embed="rId48" cstate="print"/>
                    <a:stretch>
                      <a:fillRect/>
                    </a:stretch>
                  </pic:blipFill>
                  <pic:spPr>
                    <a:xfrm>
                      <a:off x="0" y="0"/>
                      <a:ext cx="5109373" cy="3162300"/>
                    </a:xfrm>
                    <a:prstGeom prst="rect">
                      <a:avLst/>
                    </a:prstGeom>
                  </pic:spPr>
                </pic:pic>
              </a:graphicData>
            </a:graphic>
          </wp:anchor>
        </w:drawing>
      </w:r>
    </w:p>
    <w:p>
      <w:pPr>
        <w:spacing w:before="199"/>
        <w:ind w:left="1344" w:right="1340" w:firstLine="0"/>
        <w:jc w:val="center"/>
        <w:rPr>
          <w:i/>
          <w:sz w:val="20"/>
        </w:rPr>
      </w:pPr>
      <w:bookmarkStart w:name="_bookmark12" w:id="16"/>
      <w:bookmarkEnd w:id="16"/>
      <w:r>
        <w:rPr/>
      </w:r>
      <w:r>
        <w:rPr>
          <w:i/>
          <w:sz w:val="20"/>
        </w:rPr>
        <w:t>Figura 9- Muestra de Utilización del Servicio Estético en el Flanco Norte de la ZPLC para Promocionar </w:t>
      </w:r>
      <w:r>
        <w:rPr>
          <w:i/>
          <w:sz w:val="20"/>
        </w:rPr>
        <w:t>Bienes Raíces.</w:t>
      </w:r>
    </w:p>
    <w:p>
      <w:pPr>
        <w:spacing w:before="1"/>
        <w:ind w:left="2389" w:right="2390" w:firstLine="0"/>
        <w:jc w:val="center"/>
        <w:rPr>
          <w:i/>
          <w:sz w:val="20"/>
        </w:rPr>
      </w:pPr>
      <w:r>
        <w:rPr>
          <w:i/>
          <w:sz w:val="20"/>
        </w:rPr>
        <w:t>Fuente: Modificado de </w:t>
      </w:r>
      <w:hyperlink r:id="rId49">
        <w:r>
          <w:rPr>
            <w:i/>
            <w:sz w:val="20"/>
          </w:rPr>
          <w:t>http://www.terracampus.cr/</w:t>
        </w:r>
      </w:hyperlink>
    </w:p>
    <w:p>
      <w:pPr>
        <w:pStyle w:val="BodyText"/>
        <w:spacing w:before="3"/>
        <w:rPr>
          <w:i/>
          <w:sz w:val="27"/>
        </w:rPr>
      </w:pPr>
    </w:p>
    <w:p>
      <w:pPr>
        <w:spacing w:before="0"/>
        <w:ind w:left="2389" w:right="2387" w:firstLine="0"/>
        <w:jc w:val="center"/>
        <w:rPr>
          <w:i/>
          <w:sz w:val="20"/>
        </w:rPr>
      </w:pPr>
      <w:bookmarkStart w:name="_bookmark13" w:id="17"/>
      <w:bookmarkEnd w:id="17"/>
      <w:r>
        <w:rPr/>
      </w:r>
      <w:r>
        <w:rPr>
          <w:i/>
          <w:sz w:val="20"/>
        </w:rPr>
        <w:t>Cuadro 4- Usos del Suelo en la ZPLC 2001 y 2010.</w:t>
      </w:r>
    </w:p>
    <w:p>
      <w:pPr>
        <w:spacing w:before="2"/>
        <w:ind w:left="2389" w:right="2393" w:firstLine="0"/>
        <w:jc w:val="center"/>
        <w:rPr>
          <w:i/>
          <w:sz w:val="20"/>
        </w:rPr>
      </w:pPr>
      <w:r>
        <w:rPr>
          <w:i/>
          <w:sz w:val="20"/>
        </w:rPr>
        <w:t>Fuente: Torres (2001) y Comisión Interinstitucional para la ZPLC (2012).</w:t>
      </w:r>
    </w:p>
    <w:p>
      <w:pPr>
        <w:pStyle w:val="BodyText"/>
        <w:spacing w:before="7" w:after="1"/>
        <w:rPr>
          <w:i/>
          <w:sz w:val="27"/>
        </w:rPr>
      </w:pPr>
    </w:p>
    <w:tbl>
      <w:tblPr>
        <w:tblW w:w="0" w:type="auto"/>
        <w:jc w:val="left"/>
        <w:tblInd w:w="1171"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CellMar>
          <w:top w:w="0" w:type="dxa"/>
          <w:left w:w="0" w:type="dxa"/>
          <w:bottom w:w="0" w:type="dxa"/>
          <w:right w:w="0" w:type="dxa"/>
        </w:tblCellMar>
        <w:tblLook w:val="01E0"/>
      </w:tblPr>
      <w:tblGrid>
        <w:gridCol w:w="2793"/>
        <w:gridCol w:w="1528"/>
        <w:gridCol w:w="1704"/>
        <w:gridCol w:w="1704"/>
        <w:gridCol w:w="1704"/>
      </w:tblGrid>
      <w:tr>
        <w:trPr>
          <w:trHeight w:val="688" w:hRule="atLeast"/>
        </w:trPr>
        <w:tc>
          <w:tcPr>
            <w:tcW w:w="2793" w:type="dxa"/>
            <w:shd w:val="clear" w:color="auto" w:fill="000000"/>
          </w:tcPr>
          <w:p>
            <w:pPr>
              <w:pStyle w:val="TableParagraph"/>
              <w:spacing w:line="229" w:lineRule="exact" w:before="0"/>
              <w:ind w:left="72"/>
              <w:jc w:val="left"/>
              <w:rPr>
                <w:sz w:val="20"/>
              </w:rPr>
            </w:pPr>
            <w:r>
              <w:rPr>
                <w:color w:val="FFFFFF"/>
                <w:sz w:val="20"/>
              </w:rPr>
              <w:t>Uso de la Tierra</w:t>
            </w:r>
          </w:p>
        </w:tc>
        <w:tc>
          <w:tcPr>
            <w:tcW w:w="1528" w:type="dxa"/>
            <w:shd w:val="clear" w:color="auto" w:fill="000000"/>
          </w:tcPr>
          <w:p>
            <w:pPr>
              <w:pStyle w:val="TableParagraph"/>
              <w:spacing w:line="229" w:lineRule="exact" w:before="0"/>
              <w:ind w:left="287" w:right="263"/>
              <w:jc w:val="center"/>
              <w:rPr>
                <w:sz w:val="20"/>
              </w:rPr>
            </w:pPr>
            <w:r>
              <w:rPr>
                <w:color w:val="FFFFFF"/>
                <w:sz w:val="20"/>
              </w:rPr>
              <w:t>Área 2001</w:t>
            </w:r>
          </w:p>
          <w:p>
            <w:pPr>
              <w:pStyle w:val="TableParagraph"/>
              <w:spacing w:line="240" w:lineRule="auto" w:before="114"/>
              <w:ind w:left="284" w:right="263"/>
              <w:jc w:val="center"/>
              <w:rPr>
                <w:sz w:val="20"/>
              </w:rPr>
            </w:pPr>
            <w:r>
              <w:rPr>
                <w:color w:val="FFFFFF"/>
                <w:sz w:val="20"/>
              </w:rPr>
              <w:t>(ha)</w:t>
            </w:r>
          </w:p>
        </w:tc>
        <w:tc>
          <w:tcPr>
            <w:tcW w:w="1704" w:type="dxa"/>
            <w:shd w:val="clear" w:color="auto" w:fill="000000"/>
          </w:tcPr>
          <w:p>
            <w:pPr>
              <w:pStyle w:val="TableParagraph"/>
              <w:spacing w:line="229" w:lineRule="exact" w:before="0"/>
              <w:ind w:left="102" w:right="90"/>
              <w:jc w:val="center"/>
              <w:rPr>
                <w:sz w:val="20"/>
              </w:rPr>
            </w:pPr>
            <w:r>
              <w:rPr>
                <w:color w:val="FFFFFF"/>
                <w:sz w:val="20"/>
              </w:rPr>
              <w:t>Porcentaje 2001</w:t>
            </w:r>
          </w:p>
          <w:p>
            <w:pPr>
              <w:pStyle w:val="TableParagraph"/>
              <w:spacing w:line="240" w:lineRule="auto" w:before="114"/>
              <w:ind w:left="97" w:right="90"/>
              <w:jc w:val="center"/>
              <w:rPr>
                <w:sz w:val="20"/>
              </w:rPr>
            </w:pPr>
            <w:r>
              <w:rPr>
                <w:color w:val="FFFFFF"/>
                <w:sz w:val="20"/>
              </w:rPr>
              <w:t>(%)</w:t>
            </w:r>
          </w:p>
        </w:tc>
        <w:tc>
          <w:tcPr>
            <w:tcW w:w="1704" w:type="dxa"/>
            <w:shd w:val="clear" w:color="auto" w:fill="000000"/>
          </w:tcPr>
          <w:p>
            <w:pPr>
              <w:pStyle w:val="TableParagraph"/>
              <w:spacing w:line="229" w:lineRule="exact" w:before="0"/>
              <w:ind w:left="102" w:right="87"/>
              <w:jc w:val="center"/>
              <w:rPr>
                <w:sz w:val="20"/>
              </w:rPr>
            </w:pPr>
            <w:r>
              <w:rPr>
                <w:color w:val="FFFFFF"/>
                <w:sz w:val="20"/>
              </w:rPr>
              <w:t>Área 2010</w:t>
            </w:r>
          </w:p>
          <w:p>
            <w:pPr>
              <w:pStyle w:val="TableParagraph"/>
              <w:spacing w:line="240" w:lineRule="auto" w:before="114"/>
              <w:ind w:left="102" w:right="86"/>
              <w:jc w:val="center"/>
              <w:rPr>
                <w:sz w:val="20"/>
              </w:rPr>
            </w:pPr>
            <w:r>
              <w:rPr>
                <w:color w:val="FFFFFF"/>
                <w:sz w:val="20"/>
              </w:rPr>
              <w:t>(ha)</w:t>
            </w:r>
          </w:p>
        </w:tc>
        <w:tc>
          <w:tcPr>
            <w:tcW w:w="1704" w:type="dxa"/>
            <w:shd w:val="clear" w:color="auto" w:fill="000000"/>
          </w:tcPr>
          <w:p>
            <w:pPr>
              <w:pStyle w:val="TableParagraph"/>
              <w:spacing w:line="229" w:lineRule="exact" w:before="0"/>
              <w:ind w:left="102" w:right="90"/>
              <w:jc w:val="center"/>
              <w:rPr>
                <w:sz w:val="20"/>
              </w:rPr>
            </w:pPr>
            <w:r>
              <w:rPr>
                <w:color w:val="FFFFFF"/>
                <w:sz w:val="20"/>
              </w:rPr>
              <w:t>Porcentaje 2010</w:t>
            </w:r>
          </w:p>
          <w:p>
            <w:pPr>
              <w:pStyle w:val="TableParagraph"/>
              <w:spacing w:line="240" w:lineRule="auto" w:before="114"/>
              <w:ind w:left="99" w:right="90"/>
              <w:jc w:val="center"/>
              <w:rPr>
                <w:sz w:val="20"/>
              </w:rPr>
            </w:pPr>
            <w:r>
              <w:rPr>
                <w:color w:val="FFFFFF"/>
                <w:sz w:val="20"/>
              </w:rPr>
              <w:t>(%)</w:t>
            </w:r>
          </w:p>
        </w:tc>
      </w:tr>
      <w:tr>
        <w:trPr>
          <w:trHeight w:val="345" w:hRule="atLeast"/>
        </w:trPr>
        <w:tc>
          <w:tcPr>
            <w:tcW w:w="2793" w:type="dxa"/>
          </w:tcPr>
          <w:p>
            <w:pPr>
              <w:pStyle w:val="TableParagraph"/>
              <w:spacing w:line="229" w:lineRule="exact" w:before="0"/>
              <w:ind w:left="72"/>
              <w:jc w:val="left"/>
              <w:rPr>
                <w:sz w:val="20"/>
              </w:rPr>
            </w:pPr>
            <w:r>
              <w:rPr>
                <w:sz w:val="20"/>
              </w:rPr>
              <w:t>Bosque primario</w:t>
            </w:r>
          </w:p>
        </w:tc>
        <w:tc>
          <w:tcPr>
            <w:tcW w:w="1528" w:type="dxa"/>
          </w:tcPr>
          <w:p>
            <w:pPr>
              <w:pStyle w:val="TableParagraph"/>
              <w:spacing w:line="229" w:lineRule="exact" w:before="0"/>
              <w:ind w:right="46"/>
              <w:rPr>
                <w:sz w:val="20"/>
              </w:rPr>
            </w:pPr>
            <w:r>
              <w:rPr>
                <w:w w:val="95"/>
                <w:sz w:val="20"/>
              </w:rPr>
              <w:t>618</w:t>
            </w:r>
          </w:p>
        </w:tc>
        <w:tc>
          <w:tcPr>
            <w:tcW w:w="1704" w:type="dxa"/>
          </w:tcPr>
          <w:p>
            <w:pPr>
              <w:pStyle w:val="TableParagraph"/>
              <w:spacing w:line="229" w:lineRule="exact" w:before="0"/>
              <w:ind w:right="727"/>
              <w:rPr>
                <w:sz w:val="20"/>
              </w:rPr>
            </w:pPr>
            <w:r>
              <w:rPr>
                <w:w w:val="95"/>
                <w:sz w:val="20"/>
              </w:rPr>
              <w:t>26</w:t>
            </w:r>
          </w:p>
        </w:tc>
        <w:tc>
          <w:tcPr>
            <w:tcW w:w="1704" w:type="dxa"/>
          </w:tcPr>
          <w:p>
            <w:pPr>
              <w:pStyle w:val="TableParagraph"/>
              <w:spacing w:line="229" w:lineRule="exact" w:before="0"/>
              <w:ind w:right="49"/>
              <w:rPr>
                <w:sz w:val="20"/>
              </w:rPr>
            </w:pPr>
            <w:r>
              <w:rPr>
                <w:w w:val="95"/>
                <w:sz w:val="20"/>
              </w:rPr>
              <w:t>613</w:t>
            </w:r>
          </w:p>
        </w:tc>
        <w:tc>
          <w:tcPr>
            <w:tcW w:w="1704" w:type="dxa"/>
          </w:tcPr>
          <w:p>
            <w:pPr>
              <w:pStyle w:val="TableParagraph"/>
              <w:spacing w:line="229" w:lineRule="exact" w:before="0"/>
              <w:ind w:left="101" w:right="90"/>
              <w:jc w:val="center"/>
              <w:rPr>
                <w:sz w:val="20"/>
              </w:rPr>
            </w:pPr>
            <w:r>
              <w:rPr>
                <w:sz w:val="20"/>
              </w:rPr>
              <w:t>26</w:t>
            </w:r>
          </w:p>
        </w:tc>
      </w:tr>
      <w:tr>
        <w:trPr>
          <w:trHeight w:val="345" w:hRule="atLeast"/>
        </w:trPr>
        <w:tc>
          <w:tcPr>
            <w:tcW w:w="2793" w:type="dxa"/>
          </w:tcPr>
          <w:p>
            <w:pPr>
              <w:pStyle w:val="TableParagraph"/>
              <w:spacing w:line="229" w:lineRule="exact" w:before="0"/>
              <w:ind w:left="72"/>
              <w:jc w:val="left"/>
              <w:rPr>
                <w:sz w:val="20"/>
              </w:rPr>
            </w:pPr>
            <w:r>
              <w:rPr>
                <w:sz w:val="20"/>
              </w:rPr>
              <w:t>Bosque secundario</w:t>
            </w:r>
          </w:p>
        </w:tc>
        <w:tc>
          <w:tcPr>
            <w:tcW w:w="1528" w:type="dxa"/>
          </w:tcPr>
          <w:p>
            <w:pPr>
              <w:pStyle w:val="TableParagraph"/>
              <w:spacing w:line="229" w:lineRule="exact" w:before="0"/>
              <w:ind w:right="46"/>
              <w:rPr>
                <w:sz w:val="20"/>
              </w:rPr>
            </w:pPr>
            <w:r>
              <w:rPr>
                <w:w w:val="95"/>
                <w:sz w:val="20"/>
              </w:rPr>
              <w:t>194</w:t>
            </w:r>
          </w:p>
        </w:tc>
        <w:tc>
          <w:tcPr>
            <w:tcW w:w="1704" w:type="dxa"/>
          </w:tcPr>
          <w:p>
            <w:pPr>
              <w:pStyle w:val="TableParagraph"/>
              <w:spacing w:line="229" w:lineRule="exact" w:before="0"/>
              <w:ind w:left="8"/>
              <w:jc w:val="center"/>
              <w:rPr>
                <w:sz w:val="20"/>
              </w:rPr>
            </w:pPr>
            <w:r>
              <w:rPr>
                <w:w w:val="99"/>
                <w:sz w:val="20"/>
              </w:rPr>
              <w:t>8</w:t>
            </w:r>
          </w:p>
        </w:tc>
        <w:tc>
          <w:tcPr>
            <w:tcW w:w="1704" w:type="dxa"/>
          </w:tcPr>
          <w:p>
            <w:pPr>
              <w:pStyle w:val="TableParagraph"/>
              <w:spacing w:line="229" w:lineRule="exact" w:before="0"/>
              <w:ind w:right="49"/>
              <w:rPr>
                <w:sz w:val="20"/>
              </w:rPr>
            </w:pPr>
            <w:r>
              <w:rPr>
                <w:w w:val="95"/>
                <w:sz w:val="20"/>
              </w:rPr>
              <w:t>876</w:t>
            </w:r>
          </w:p>
        </w:tc>
        <w:tc>
          <w:tcPr>
            <w:tcW w:w="1704" w:type="dxa"/>
          </w:tcPr>
          <w:p>
            <w:pPr>
              <w:pStyle w:val="TableParagraph"/>
              <w:spacing w:line="229" w:lineRule="exact" w:before="0"/>
              <w:ind w:left="101" w:right="90"/>
              <w:jc w:val="center"/>
              <w:rPr>
                <w:sz w:val="20"/>
              </w:rPr>
            </w:pPr>
            <w:r>
              <w:rPr>
                <w:sz w:val="20"/>
              </w:rPr>
              <w:t>37</w:t>
            </w:r>
          </w:p>
        </w:tc>
      </w:tr>
      <w:tr>
        <w:trPr>
          <w:trHeight w:val="345" w:hRule="atLeast"/>
        </w:trPr>
        <w:tc>
          <w:tcPr>
            <w:tcW w:w="2793" w:type="dxa"/>
          </w:tcPr>
          <w:p>
            <w:pPr>
              <w:pStyle w:val="TableParagraph"/>
              <w:spacing w:line="229" w:lineRule="exact" w:before="0"/>
              <w:ind w:left="72"/>
              <w:jc w:val="left"/>
              <w:rPr>
                <w:sz w:val="20"/>
              </w:rPr>
            </w:pPr>
            <w:r>
              <w:rPr>
                <w:sz w:val="20"/>
              </w:rPr>
              <w:t>Charral</w:t>
            </w:r>
          </w:p>
        </w:tc>
        <w:tc>
          <w:tcPr>
            <w:tcW w:w="1528" w:type="dxa"/>
          </w:tcPr>
          <w:p>
            <w:pPr>
              <w:pStyle w:val="TableParagraph"/>
              <w:spacing w:line="229" w:lineRule="exact" w:before="0"/>
              <w:ind w:right="50"/>
              <w:rPr>
                <w:sz w:val="20"/>
              </w:rPr>
            </w:pPr>
            <w:r>
              <w:rPr>
                <w:w w:val="95"/>
                <w:sz w:val="20"/>
              </w:rPr>
              <w:t>57</w:t>
            </w:r>
          </w:p>
        </w:tc>
        <w:tc>
          <w:tcPr>
            <w:tcW w:w="1704" w:type="dxa"/>
          </w:tcPr>
          <w:p>
            <w:pPr>
              <w:pStyle w:val="TableParagraph"/>
              <w:spacing w:line="229" w:lineRule="exact" w:before="0"/>
              <w:ind w:left="8"/>
              <w:jc w:val="center"/>
              <w:rPr>
                <w:sz w:val="20"/>
              </w:rPr>
            </w:pPr>
            <w:r>
              <w:rPr>
                <w:w w:val="99"/>
                <w:sz w:val="20"/>
              </w:rPr>
              <w:t>2</w:t>
            </w:r>
          </w:p>
        </w:tc>
        <w:tc>
          <w:tcPr>
            <w:tcW w:w="1704" w:type="dxa"/>
          </w:tcPr>
          <w:p>
            <w:pPr>
              <w:pStyle w:val="TableParagraph"/>
              <w:spacing w:line="229" w:lineRule="exact" w:before="0"/>
              <w:ind w:right="49"/>
              <w:rPr>
                <w:sz w:val="20"/>
              </w:rPr>
            </w:pPr>
            <w:r>
              <w:rPr>
                <w:w w:val="95"/>
                <w:sz w:val="20"/>
              </w:rPr>
              <w:t>120</w:t>
            </w:r>
          </w:p>
        </w:tc>
        <w:tc>
          <w:tcPr>
            <w:tcW w:w="1704" w:type="dxa"/>
          </w:tcPr>
          <w:p>
            <w:pPr>
              <w:pStyle w:val="TableParagraph"/>
              <w:spacing w:line="229" w:lineRule="exact" w:before="0"/>
              <w:ind w:left="10"/>
              <w:jc w:val="center"/>
              <w:rPr>
                <w:sz w:val="20"/>
              </w:rPr>
            </w:pPr>
            <w:r>
              <w:rPr>
                <w:w w:val="99"/>
                <w:sz w:val="20"/>
              </w:rPr>
              <w:t>5</w:t>
            </w:r>
          </w:p>
        </w:tc>
      </w:tr>
      <w:tr>
        <w:trPr>
          <w:trHeight w:val="345" w:hRule="atLeast"/>
        </w:trPr>
        <w:tc>
          <w:tcPr>
            <w:tcW w:w="2793" w:type="dxa"/>
          </w:tcPr>
          <w:p>
            <w:pPr>
              <w:pStyle w:val="TableParagraph"/>
              <w:spacing w:line="229" w:lineRule="exact" w:before="0"/>
              <w:ind w:left="72"/>
              <w:jc w:val="left"/>
              <w:rPr>
                <w:sz w:val="20"/>
              </w:rPr>
            </w:pPr>
            <w:r>
              <w:rPr>
                <w:sz w:val="20"/>
              </w:rPr>
              <w:t>Cultivos y pasto</w:t>
            </w:r>
          </w:p>
        </w:tc>
        <w:tc>
          <w:tcPr>
            <w:tcW w:w="1528" w:type="dxa"/>
          </w:tcPr>
          <w:p>
            <w:pPr>
              <w:pStyle w:val="TableParagraph"/>
              <w:spacing w:line="229" w:lineRule="exact" w:before="0"/>
              <w:ind w:right="46"/>
              <w:rPr>
                <w:sz w:val="20"/>
              </w:rPr>
            </w:pPr>
            <w:r>
              <w:rPr>
                <w:w w:val="95"/>
                <w:sz w:val="20"/>
              </w:rPr>
              <w:t>769</w:t>
            </w:r>
          </w:p>
        </w:tc>
        <w:tc>
          <w:tcPr>
            <w:tcW w:w="1704" w:type="dxa"/>
          </w:tcPr>
          <w:p>
            <w:pPr>
              <w:pStyle w:val="TableParagraph"/>
              <w:spacing w:line="229" w:lineRule="exact" w:before="0"/>
              <w:ind w:right="727"/>
              <w:rPr>
                <w:sz w:val="20"/>
              </w:rPr>
            </w:pPr>
            <w:r>
              <w:rPr>
                <w:w w:val="95"/>
                <w:sz w:val="20"/>
              </w:rPr>
              <w:t>32</w:t>
            </w:r>
          </w:p>
        </w:tc>
        <w:tc>
          <w:tcPr>
            <w:tcW w:w="1704" w:type="dxa"/>
          </w:tcPr>
          <w:p>
            <w:pPr>
              <w:pStyle w:val="TableParagraph"/>
              <w:spacing w:line="229" w:lineRule="exact" w:before="0"/>
              <w:ind w:right="49"/>
              <w:rPr>
                <w:sz w:val="20"/>
              </w:rPr>
            </w:pPr>
            <w:r>
              <w:rPr>
                <w:w w:val="95"/>
                <w:sz w:val="20"/>
              </w:rPr>
              <w:t>573</w:t>
            </w:r>
          </w:p>
        </w:tc>
        <w:tc>
          <w:tcPr>
            <w:tcW w:w="1704" w:type="dxa"/>
          </w:tcPr>
          <w:p>
            <w:pPr>
              <w:pStyle w:val="TableParagraph"/>
              <w:spacing w:line="229" w:lineRule="exact" w:before="0"/>
              <w:ind w:left="101" w:right="90"/>
              <w:jc w:val="center"/>
              <w:rPr>
                <w:sz w:val="20"/>
              </w:rPr>
            </w:pPr>
            <w:r>
              <w:rPr>
                <w:sz w:val="20"/>
              </w:rPr>
              <w:t>24</w:t>
            </w:r>
          </w:p>
        </w:tc>
      </w:tr>
      <w:tr>
        <w:trPr>
          <w:trHeight w:val="688" w:hRule="atLeast"/>
        </w:trPr>
        <w:tc>
          <w:tcPr>
            <w:tcW w:w="2793" w:type="dxa"/>
          </w:tcPr>
          <w:p>
            <w:pPr>
              <w:pStyle w:val="TableParagraph"/>
              <w:spacing w:line="229" w:lineRule="exact" w:before="0"/>
              <w:ind w:left="72"/>
              <w:jc w:val="left"/>
              <w:rPr>
                <w:sz w:val="20"/>
              </w:rPr>
            </w:pPr>
            <w:r>
              <w:rPr>
                <w:sz w:val="20"/>
              </w:rPr>
              <w:t>Suelo desnudo y residencial</w:t>
            </w:r>
          </w:p>
          <w:p>
            <w:pPr>
              <w:pStyle w:val="TableParagraph"/>
              <w:spacing w:line="240" w:lineRule="auto" w:before="114"/>
              <w:ind w:left="72"/>
              <w:jc w:val="left"/>
              <w:rPr>
                <w:sz w:val="20"/>
              </w:rPr>
            </w:pPr>
            <w:r>
              <w:rPr>
                <w:sz w:val="20"/>
              </w:rPr>
              <w:t>(otros usos)</w:t>
            </w:r>
          </w:p>
        </w:tc>
        <w:tc>
          <w:tcPr>
            <w:tcW w:w="1528" w:type="dxa"/>
          </w:tcPr>
          <w:p>
            <w:pPr>
              <w:pStyle w:val="TableParagraph"/>
              <w:spacing w:line="229" w:lineRule="exact" w:before="0"/>
              <w:ind w:right="46"/>
              <w:rPr>
                <w:sz w:val="20"/>
              </w:rPr>
            </w:pPr>
            <w:r>
              <w:rPr>
                <w:w w:val="95"/>
                <w:sz w:val="20"/>
              </w:rPr>
              <w:t>256</w:t>
            </w:r>
          </w:p>
        </w:tc>
        <w:tc>
          <w:tcPr>
            <w:tcW w:w="1704" w:type="dxa"/>
          </w:tcPr>
          <w:p>
            <w:pPr>
              <w:pStyle w:val="TableParagraph"/>
              <w:spacing w:line="229" w:lineRule="exact" w:before="0"/>
              <w:ind w:right="727"/>
              <w:rPr>
                <w:sz w:val="20"/>
              </w:rPr>
            </w:pPr>
            <w:r>
              <w:rPr>
                <w:w w:val="95"/>
                <w:sz w:val="20"/>
              </w:rPr>
              <w:t>11</w:t>
            </w:r>
          </w:p>
        </w:tc>
        <w:tc>
          <w:tcPr>
            <w:tcW w:w="1704" w:type="dxa"/>
          </w:tcPr>
          <w:p>
            <w:pPr>
              <w:pStyle w:val="TableParagraph"/>
              <w:spacing w:line="229" w:lineRule="exact" w:before="0"/>
              <w:ind w:right="49"/>
              <w:rPr>
                <w:sz w:val="20"/>
              </w:rPr>
            </w:pPr>
            <w:r>
              <w:rPr>
                <w:w w:val="95"/>
                <w:sz w:val="20"/>
              </w:rPr>
              <w:t>187</w:t>
            </w:r>
          </w:p>
        </w:tc>
        <w:tc>
          <w:tcPr>
            <w:tcW w:w="1704" w:type="dxa"/>
          </w:tcPr>
          <w:p>
            <w:pPr>
              <w:pStyle w:val="TableParagraph"/>
              <w:spacing w:line="229" w:lineRule="exact" w:before="0"/>
              <w:ind w:left="10"/>
              <w:jc w:val="center"/>
              <w:rPr>
                <w:sz w:val="20"/>
              </w:rPr>
            </w:pPr>
            <w:r>
              <w:rPr>
                <w:w w:val="99"/>
                <w:sz w:val="20"/>
              </w:rPr>
              <w:t>7</w:t>
            </w:r>
          </w:p>
        </w:tc>
      </w:tr>
      <w:tr>
        <w:trPr>
          <w:trHeight w:val="345" w:hRule="atLeast"/>
        </w:trPr>
        <w:tc>
          <w:tcPr>
            <w:tcW w:w="2793" w:type="dxa"/>
          </w:tcPr>
          <w:p>
            <w:pPr>
              <w:pStyle w:val="TableParagraph"/>
              <w:spacing w:line="229" w:lineRule="exact" w:before="0"/>
              <w:ind w:left="72"/>
              <w:jc w:val="left"/>
              <w:rPr>
                <w:sz w:val="20"/>
              </w:rPr>
            </w:pPr>
            <w:r>
              <w:rPr>
                <w:sz w:val="20"/>
              </w:rPr>
              <w:t>Reforestación/recuperación</w:t>
            </w:r>
          </w:p>
        </w:tc>
        <w:tc>
          <w:tcPr>
            <w:tcW w:w="1528" w:type="dxa"/>
          </w:tcPr>
          <w:p>
            <w:pPr>
              <w:pStyle w:val="TableParagraph"/>
              <w:spacing w:line="229" w:lineRule="exact" w:before="0"/>
              <w:ind w:right="46"/>
              <w:rPr>
                <w:sz w:val="20"/>
              </w:rPr>
            </w:pPr>
            <w:r>
              <w:rPr>
                <w:w w:val="95"/>
                <w:sz w:val="20"/>
              </w:rPr>
              <w:t>502</w:t>
            </w:r>
          </w:p>
        </w:tc>
        <w:tc>
          <w:tcPr>
            <w:tcW w:w="1704" w:type="dxa"/>
          </w:tcPr>
          <w:p>
            <w:pPr>
              <w:pStyle w:val="TableParagraph"/>
              <w:spacing w:line="229" w:lineRule="exact" w:before="0"/>
              <w:ind w:right="727"/>
              <w:rPr>
                <w:sz w:val="20"/>
              </w:rPr>
            </w:pPr>
            <w:r>
              <w:rPr>
                <w:w w:val="95"/>
                <w:sz w:val="20"/>
              </w:rPr>
              <w:t>21</w:t>
            </w:r>
          </w:p>
        </w:tc>
        <w:tc>
          <w:tcPr>
            <w:tcW w:w="1704" w:type="dxa"/>
          </w:tcPr>
          <w:p>
            <w:pPr>
              <w:pStyle w:val="TableParagraph"/>
              <w:spacing w:line="229" w:lineRule="exact" w:before="0"/>
              <w:ind w:right="54"/>
              <w:rPr>
                <w:sz w:val="20"/>
              </w:rPr>
            </w:pPr>
            <w:r>
              <w:rPr>
                <w:w w:val="95"/>
                <w:sz w:val="20"/>
              </w:rPr>
              <w:t>27</w:t>
            </w:r>
          </w:p>
        </w:tc>
        <w:tc>
          <w:tcPr>
            <w:tcW w:w="1704" w:type="dxa"/>
          </w:tcPr>
          <w:p>
            <w:pPr>
              <w:pStyle w:val="TableParagraph"/>
              <w:spacing w:line="229" w:lineRule="exact" w:before="0"/>
              <w:ind w:left="10"/>
              <w:jc w:val="center"/>
              <w:rPr>
                <w:sz w:val="20"/>
              </w:rPr>
            </w:pPr>
            <w:r>
              <w:rPr>
                <w:w w:val="99"/>
                <w:sz w:val="20"/>
              </w:rPr>
              <w:t>1</w:t>
            </w:r>
          </w:p>
        </w:tc>
      </w:tr>
      <w:tr>
        <w:trPr>
          <w:trHeight w:val="348" w:hRule="atLeast"/>
        </w:trPr>
        <w:tc>
          <w:tcPr>
            <w:tcW w:w="2793" w:type="dxa"/>
          </w:tcPr>
          <w:p>
            <w:pPr>
              <w:pStyle w:val="TableParagraph"/>
              <w:spacing w:line="229" w:lineRule="exact" w:before="0"/>
              <w:ind w:left="72"/>
              <w:jc w:val="left"/>
              <w:rPr>
                <w:sz w:val="20"/>
              </w:rPr>
            </w:pPr>
            <w:r>
              <w:rPr>
                <w:sz w:val="20"/>
              </w:rPr>
              <w:t>Total</w:t>
            </w:r>
          </w:p>
        </w:tc>
        <w:tc>
          <w:tcPr>
            <w:tcW w:w="1528" w:type="dxa"/>
          </w:tcPr>
          <w:p>
            <w:pPr>
              <w:pStyle w:val="TableParagraph"/>
              <w:spacing w:line="229" w:lineRule="exact" w:before="0"/>
              <w:ind w:right="46"/>
              <w:rPr>
                <w:sz w:val="20"/>
              </w:rPr>
            </w:pPr>
            <w:r>
              <w:rPr>
                <w:w w:val="95"/>
                <w:sz w:val="20"/>
              </w:rPr>
              <w:t>2396</w:t>
            </w:r>
          </w:p>
        </w:tc>
        <w:tc>
          <w:tcPr>
            <w:tcW w:w="1704" w:type="dxa"/>
          </w:tcPr>
          <w:p>
            <w:pPr>
              <w:pStyle w:val="TableParagraph"/>
              <w:spacing w:line="229" w:lineRule="exact" w:before="0"/>
              <w:ind w:right="667"/>
              <w:rPr>
                <w:sz w:val="20"/>
              </w:rPr>
            </w:pPr>
            <w:r>
              <w:rPr>
                <w:w w:val="95"/>
                <w:sz w:val="20"/>
              </w:rPr>
              <w:t>100</w:t>
            </w:r>
          </w:p>
        </w:tc>
        <w:tc>
          <w:tcPr>
            <w:tcW w:w="1704" w:type="dxa"/>
          </w:tcPr>
          <w:p>
            <w:pPr>
              <w:pStyle w:val="TableParagraph"/>
              <w:spacing w:line="229" w:lineRule="exact" w:before="0"/>
              <w:ind w:right="49"/>
              <w:rPr>
                <w:sz w:val="20"/>
              </w:rPr>
            </w:pPr>
            <w:r>
              <w:rPr>
                <w:w w:val="95"/>
                <w:sz w:val="20"/>
              </w:rPr>
              <w:t>2396</w:t>
            </w:r>
          </w:p>
        </w:tc>
        <w:tc>
          <w:tcPr>
            <w:tcW w:w="1704" w:type="dxa"/>
          </w:tcPr>
          <w:p>
            <w:pPr>
              <w:pStyle w:val="TableParagraph"/>
              <w:spacing w:line="229" w:lineRule="exact" w:before="0"/>
              <w:ind w:left="102" w:right="83"/>
              <w:jc w:val="center"/>
              <w:rPr>
                <w:sz w:val="20"/>
              </w:rPr>
            </w:pPr>
            <w:r>
              <w:rPr>
                <w:sz w:val="20"/>
              </w:rPr>
              <w:t>100</w:t>
            </w:r>
          </w:p>
        </w:tc>
      </w:tr>
    </w:tbl>
    <w:p>
      <w:pPr>
        <w:spacing w:after="0" w:line="229" w:lineRule="exact"/>
        <w:jc w:val="center"/>
        <w:rPr>
          <w:sz w:val="20"/>
        </w:rPr>
        <w:sectPr>
          <w:pgSz w:w="12240" w:h="15840"/>
          <w:pgMar w:header="0" w:footer="1062" w:top="1360" w:bottom="1260" w:left="240" w:right="240"/>
        </w:sectPr>
      </w:pPr>
    </w:p>
    <w:p>
      <w:pPr>
        <w:pStyle w:val="BodyText"/>
        <w:rPr>
          <w:i/>
          <w:sz w:val="20"/>
        </w:rPr>
      </w:pPr>
    </w:p>
    <w:p>
      <w:pPr>
        <w:pStyle w:val="BodyText"/>
        <w:spacing w:before="10"/>
        <w:rPr>
          <w:i/>
          <w:sz w:val="19"/>
        </w:rPr>
      </w:pPr>
    </w:p>
    <w:p>
      <w:pPr>
        <w:pStyle w:val="BodyText"/>
        <w:spacing w:line="360" w:lineRule="auto" w:before="93"/>
        <w:ind w:left="1200" w:right="1193"/>
        <w:jc w:val="both"/>
      </w:pPr>
      <w:r>
        <w:rPr/>
        <w:t>Para el año 2001, la zona mostraba un 57% en coberturas de diferentes edades, desde el charral, pasando por las plantaciones y la recuperación boscosa hasta los bosques secundarios y los de mayor edad. Pueden compararse las cifras de cobertura boscosa con</w:t>
      </w:r>
      <w:r>
        <w:rPr>
          <w:spacing w:val="-8"/>
        </w:rPr>
        <w:t> </w:t>
      </w:r>
      <w:r>
        <w:rPr/>
        <w:t>el</w:t>
      </w:r>
      <w:r>
        <w:rPr>
          <w:spacing w:val="-7"/>
        </w:rPr>
        <w:t> </w:t>
      </w:r>
      <w:r>
        <w:rPr/>
        <w:t>estudio</w:t>
      </w:r>
      <w:r>
        <w:rPr>
          <w:spacing w:val="-4"/>
        </w:rPr>
        <w:t> </w:t>
      </w:r>
      <w:r>
        <w:rPr/>
        <w:t>de</w:t>
      </w:r>
      <w:r>
        <w:rPr>
          <w:spacing w:val="-8"/>
        </w:rPr>
        <w:t> </w:t>
      </w:r>
      <w:r>
        <w:rPr/>
        <w:t>un</w:t>
      </w:r>
      <w:r>
        <w:rPr>
          <w:spacing w:val="-7"/>
        </w:rPr>
        <w:t> </w:t>
      </w:r>
      <w:r>
        <w:rPr/>
        <w:t>cuadrante</w:t>
      </w:r>
      <w:r>
        <w:rPr>
          <w:spacing w:val="-4"/>
        </w:rPr>
        <w:t> </w:t>
      </w:r>
      <w:r>
        <w:rPr/>
        <w:t>mayor</w:t>
      </w:r>
      <w:r>
        <w:rPr>
          <w:spacing w:val="-2"/>
        </w:rPr>
        <w:t> </w:t>
      </w:r>
      <w:r>
        <w:rPr/>
        <w:t>que</w:t>
      </w:r>
      <w:r>
        <w:rPr>
          <w:spacing w:val="-8"/>
        </w:rPr>
        <w:t> </w:t>
      </w:r>
      <w:r>
        <w:rPr/>
        <w:t>incluye</w:t>
      </w:r>
      <w:r>
        <w:rPr>
          <w:spacing w:val="-8"/>
        </w:rPr>
        <w:t> </w:t>
      </w:r>
      <w:r>
        <w:rPr/>
        <w:t>la</w:t>
      </w:r>
      <w:r>
        <w:rPr>
          <w:spacing w:val="-7"/>
        </w:rPr>
        <w:t> </w:t>
      </w:r>
      <w:r>
        <w:rPr/>
        <w:t>ZP,</w:t>
      </w:r>
      <w:r>
        <w:rPr>
          <w:spacing w:val="-5"/>
        </w:rPr>
        <w:t> </w:t>
      </w:r>
      <w:r>
        <w:rPr/>
        <w:t>realizado</w:t>
      </w:r>
      <w:r>
        <w:rPr>
          <w:spacing w:val="-8"/>
        </w:rPr>
        <w:t> </w:t>
      </w:r>
      <w:r>
        <w:rPr/>
        <w:t>con</w:t>
      </w:r>
      <w:r>
        <w:rPr>
          <w:spacing w:val="-8"/>
        </w:rPr>
        <w:t> </w:t>
      </w:r>
      <w:r>
        <w:rPr/>
        <w:t>el</w:t>
      </w:r>
      <w:r>
        <w:rPr>
          <w:spacing w:val="-6"/>
        </w:rPr>
        <w:t> </w:t>
      </w:r>
      <w:r>
        <w:rPr/>
        <w:t>fin</w:t>
      </w:r>
      <w:r>
        <w:rPr>
          <w:spacing w:val="-4"/>
        </w:rPr>
        <w:t> </w:t>
      </w:r>
      <w:r>
        <w:rPr/>
        <w:t>de</w:t>
      </w:r>
      <w:r>
        <w:rPr>
          <w:spacing w:val="-8"/>
        </w:rPr>
        <w:t> </w:t>
      </w:r>
      <w:r>
        <w:rPr/>
        <w:t>proponer la</w:t>
      </w:r>
      <w:r>
        <w:rPr>
          <w:spacing w:val="-4"/>
        </w:rPr>
        <w:t> </w:t>
      </w:r>
      <w:r>
        <w:rPr/>
        <w:t>creación</w:t>
      </w:r>
      <w:r>
        <w:rPr>
          <w:spacing w:val="-4"/>
        </w:rPr>
        <w:t> </w:t>
      </w:r>
      <w:r>
        <w:rPr/>
        <w:t>de</w:t>
      </w:r>
      <w:r>
        <w:rPr>
          <w:spacing w:val="-4"/>
        </w:rPr>
        <w:t> </w:t>
      </w:r>
      <w:r>
        <w:rPr/>
        <w:t>un</w:t>
      </w:r>
      <w:r>
        <w:rPr>
          <w:spacing w:val="-4"/>
        </w:rPr>
        <w:t> </w:t>
      </w:r>
      <w:r>
        <w:rPr/>
        <w:t>área</w:t>
      </w:r>
      <w:r>
        <w:rPr>
          <w:spacing w:val="-1"/>
        </w:rPr>
        <w:t> </w:t>
      </w:r>
      <w:r>
        <w:rPr/>
        <w:t>protegida</w:t>
      </w:r>
      <w:r>
        <w:rPr>
          <w:spacing w:val="-4"/>
        </w:rPr>
        <w:t> </w:t>
      </w:r>
      <w:r>
        <w:rPr/>
        <w:t>recreativa</w:t>
      </w:r>
      <w:r>
        <w:rPr>
          <w:spacing w:val="-4"/>
        </w:rPr>
        <w:t> </w:t>
      </w:r>
      <w:r>
        <w:rPr/>
        <w:t>en</w:t>
      </w:r>
      <w:r>
        <w:rPr>
          <w:spacing w:val="-4"/>
        </w:rPr>
        <w:t> </w:t>
      </w:r>
      <w:r>
        <w:rPr/>
        <w:t>la</w:t>
      </w:r>
      <w:r>
        <w:rPr>
          <w:spacing w:val="-4"/>
        </w:rPr>
        <w:t> </w:t>
      </w:r>
      <w:r>
        <w:rPr/>
        <w:t>zona.</w:t>
      </w:r>
      <w:r>
        <w:rPr>
          <w:spacing w:val="-2"/>
        </w:rPr>
        <w:t> </w:t>
      </w:r>
      <w:r>
        <w:rPr/>
        <w:t>Este</w:t>
      </w:r>
      <w:r>
        <w:rPr>
          <w:spacing w:val="-4"/>
        </w:rPr>
        <w:t> </w:t>
      </w:r>
      <w:r>
        <w:rPr/>
        <w:t>estudio,</w:t>
      </w:r>
      <w:r>
        <w:rPr>
          <w:spacing w:val="-2"/>
        </w:rPr>
        <w:t> </w:t>
      </w:r>
      <w:r>
        <w:rPr/>
        <w:t>analizó</w:t>
      </w:r>
      <w:r>
        <w:rPr>
          <w:spacing w:val="-4"/>
        </w:rPr>
        <w:t> </w:t>
      </w:r>
      <w:r>
        <w:rPr/>
        <w:t>los</w:t>
      </w:r>
      <w:r>
        <w:rPr>
          <w:spacing w:val="-2"/>
        </w:rPr>
        <w:t> </w:t>
      </w:r>
      <w:r>
        <w:rPr/>
        <w:t>usos</w:t>
      </w:r>
      <w:r>
        <w:rPr>
          <w:spacing w:val="-2"/>
        </w:rPr>
        <w:t> </w:t>
      </w:r>
      <w:r>
        <w:rPr/>
        <w:t>de la tierra en un cuadrante de 8400 hectáreas que incluye los Cerros de La Carpintera mediante fotointerpretación. Según sus resultados, el cuadrante que es 4 veces mayor que la ZPLC tenía en el año 1979 tan sólo 420 hectáreas (un 68% de la cantidad de la ZPLC en el año 2001) de bosque categorizado como denso (Meza, 1979). Esta es la categoría</w:t>
      </w:r>
      <w:r>
        <w:rPr>
          <w:spacing w:val="-8"/>
        </w:rPr>
        <w:t> </w:t>
      </w:r>
      <w:r>
        <w:rPr/>
        <w:t>que</w:t>
      </w:r>
      <w:r>
        <w:rPr>
          <w:spacing w:val="-8"/>
        </w:rPr>
        <w:t> </w:t>
      </w:r>
      <w:r>
        <w:rPr/>
        <w:t>por</w:t>
      </w:r>
      <w:r>
        <w:rPr>
          <w:spacing w:val="-10"/>
        </w:rPr>
        <w:t> </w:t>
      </w:r>
      <w:r>
        <w:rPr/>
        <w:t>su</w:t>
      </w:r>
      <w:r>
        <w:rPr>
          <w:spacing w:val="-11"/>
        </w:rPr>
        <w:t> </w:t>
      </w:r>
      <w:r>
        <w:rPr/>
        <w:t>descripción</w:t>
      </w:r>
      <w:r>
        <w:rPr>
          <w:spacing w:val="-12"/>
        </w:rPr>
        <w:t> </w:t>
      </w:r>
      <w:r>
        <w:rPr/>
        <w:t>es</w:t>
      </w:r>
      <w:r>
        <w:rPr>
          <w:spacing w:val="-6"/>
        </w:rPr>
        <w:t> </w:t>
      </w:r>
      <w:r>
        <w:rPr/>
        <w:t>equiparable</w:t>
      </w:r>
      <w:r>
        <w:rPr>
          <w:spacing w:val="-8"/>
        </w:rPr>
        <w:t> </w:t>
      </w:r>
      <w:r>
        <w:rPr/>
        <w:t>al</w:t>
      </w:r>
      <w:r>
        <w:rPr>
          <w:spacing w:val="-6"/>
        </w:rPr>
        <w:t> </w:t>
      </w:r>
      <w:r>
        <w:rPr/>
        <w:t>bosque</w:t>
      </w:r>
      <w:r>
        <w:rPr>
          <w:spacing w:val="-8"/>
        </w:rPr>
        <w:t> </w:t>
      </w:r>
      <w:r>
        <w:rPr/>
        <w:t>primario</w:t>
      </w:r>
      <w:r>
        <w:rPr>
          <w:spacing w:val="-12"/>
        </w:rPr>
        <w:t> </w:t>
      </w:r>
      <w:r>
        <w:rPr/>
        <w:t>reportado</w:t>
      </w:r>
      <w:r>
        <w:rPr>
          <w:spacing w:val="-11"/>
        </w:rPr>
        <w:t> </w:t>
      </w:r>
      <w:r>
        <w:rPr/>
        <w:t>por</w:t>
      </w:r>
      <w:r>
        <w:rPr>
          <w:spacing w:val="-5"/>
        </w:rPr>
        <w:t> </w:t>
      </w:r>
      <w:r>
        <w:rPr/>
        <w:t>Torres (2001). Para el 2010, las cifras que se derivan del mapa de uso del suelo (Figura 10) muestran que las categorías en bosques han mantenido estabilidad en lo que se puede definir como bosque primario (denso) y ha habido un aumento en el bosque secundario (menos</w:t>
      </w:r>
      <w:r>
        <w:rPr>
          <w:spacing w:val="-10"/>
        </w:rPr>
        <w:t> </w:t>
      </w:r>
      <w:r>
        <w:rPr/>
        <w:t>denso)</w:t>
      </w:r>
      <w:r>
        <w:rPr>
          <w:spacing w:val="-10"/>
        </w:rPr>
        <w:t> </w:t>
      </w:r>
      <w:r>
        <w:rPr/>
        <w:t>de</w:t>
      </w:r>
      <w:r>
        <w:rPr>
          <w:spacing w:val="-11"/>
        </w:rPr>
        <w:t> </w:t>
      </w:r>
      <w:r>
        <w:rPr/>
        <w:t>682</w:t>
      </w:r>
      <w:r>
        <w:rPr>
          <w:spacing w:val="-12"/>
        </w:rPr>
        <w:t> </w:t>
      </w:r>
      <w:r>
        <w:rPr/>
        <w:t>hectáreas.</w:t>
      </w:r>
      <w:r>
        <w:rPr>
          <w:spacing w:val="-8"/>
        </w:rPr>
        <w:t> </w:t>
      </w:r>
      <w:r>
        <w:rPr/>
        <w:t>El</w:t>
      </w:r>
      <w:r>
        <w:rPr>
          <w:spacing w:val="-12"/>
        </w:rPr>
        <w:t> </w:t>
      </w:r>
      <w:r>
        <w:rPr/>
        <w:t>total</w:t>
      </w:r>
      <w:r>
        <w:rPr>
          <w:spacing w:val="-10"/>
        </w:rPr>
        <w:t> </w:t>
      </w:r>
      <w:r>
        <w:rPr/>
        <w:t>de</w:t>
      </w:r>
      <w:r>
        <w:rPr>
          <w:spacing w:val="-12"/>
        </w:rPr>
        <w:t> </w:t>
      </w:r>
      <w:r>
        <w:rPr/>
        <w:t>categorías</w:t>
      </w:r>
      <w:r>
        <w:rPr>
          <w:spacing w:val="-10"/>
        </w:rPr>
        <w:t> </w:t>
      </w:r>
      <w:r>
        <w:rPr/>
        <w:t>de</w:t>
      </w:r>
      <w:r>
        <w:rPr>
          <w:spacing w:val="-11"/>
        </w:rPr>
        <w:t> </w:t>
      </w:r>
      <w:r>
        <w:rPr/>
        <w:t>estados</w:t>
      </w:r>
      <w:r>
        <w:rPr>
          <w:spacing w:val="-10"/>
        </w:rPr>
        <w:t> </w:t>
      </w:r>
      <w:r>
        <w:rPr/>
        <w:t>de</w:t>
      </w:r>
      <w:r>
        <w:rPr>
          <w:spacing w:val="-11"/>
        </w:rPr>
        <w:t> </w:t>
      </w:r>
      <w:r>
        <w:rPr/>
        <w:t>sucesión</w:t>
      </w:r>
      <w:r>
        <w:rPr>
          <w:spacing w:val="-12"/>
        </w:rPr>
        <w:t> </w:t>
      </w:r>
      <w:r>
        <w:rPr/>
        <w:t>boscosa suma un 69% de la</w:t>
      </w:r>
      <w:r>
        <w:rPr>
          <w:spacing w:val="-6"/>
        </w:rPr>
        <w:t> </w:t>
      </w:r>
      <w:r>
        <w:rPr/>
        <w:t>ZPLC.</w:t>
      </w:r>
    </w:p>
    <w:p>
      <w:pPr>
        <w:pStyle w:val="BodyText"/>
        <w:spacing w:line="360" w:lineRule="auto" w:before="204"/>
        <w:ind w:left="1200" w:right="1197"/>
        <w:jc w:val="both"/>
      </w:pPr>
      <w:r>
        <w:rPr/>
        <w:t>La</w:t>
      </w:r>
      <w:r>
        <w:rPr>
          <w:spacing w:val="-11"/>
        </w:rPr>
        <w:t> </w:t>
      </w:r>
      <w:r>
        <w:rPr/>
        <w:t>Figura</w:t>
      </w:r>
      <w:r>
        <w:rPr>
          <w:spacing w:val="-11"/>
        </w:rPr>
        <w:t> </w:t>
      </w:r>
      <w:r>
        <w:rPr/>
        <w:t>10</w:t>
      </w:r>
      <w:r>
        <w:rPr>
          <w:spacing w:val="-11"/>
        </w:rPr>
        <w:t> </w:t>
      </w:r>
      <w:r>
        <w:rPr/>
        <w:t>tomada</w:t>
      </w:r>
      <w:r>
        <w:rPr>
          <w:spacing w:val="-8"/>
        </w:rPr>
        <w:t> </w:t>
      </w:r>
      <w:r>
        <w:rPr/>
        <w:t>del</w:t>
      </w:r>
      <w:r>
        <w:rPr>
          <w:spacing w:val="-10"/>
        </w:rPr>
        <w:t> </w:t>
      </w:r>
      <w:r>
        <w:rPr/>
        <w:t>Plan</w:t>
      </w:r>
      <w:r>
        <w:rPr>
          <w:spacing w:val="-11"/>
        </w:rPr>
        <w:t> </w:t>
      </w:r>
      <w:r>
        <w:rPr/>
        <w:t>de</w:t>
      </w:r>
      <w:r>
        <w:rPr>
          <w:spacing w:val="-7"/>
        </w:rPr>
        <w:t> </w:t>
      </w:r>
      <w:r>
        <w:rPr/>
        <w:t>Manejo</w:t>
      </w:r>
      <w:r>
        <w:rPr>
          <w:spacing w:val="-5"/>
        </w:rPr>
        <w:t> </w:t>
      </w:r>
      <w:r>
        <w:rPr/>
        <w:t>muestra</w:t>
      </w:r>
      <w:r>
        <w:rPr>
          <w:spacing w:val="-10"/>
        </w:rPr>
        <w:t> </w:t>
      </w:r>
      <w:r>
        <w:rPr/>
        <w:t>la</w:t>
      </w:r>
      <w:r>
        <w:rPr>
          <w:spacing w:val="-11"/>
        </w:rPr>
        <w:t> </w:t>
      </w:r>
      <w:r>
        <w:rPr/>
        <w:t>distribución</w:t>
      </w:r>
      <w:r>
        <w:rPr>
          <w:spacing w:val="-11"/>
        </w:rPr>
        <w:t> </w:t>
      </w:r>
      <w:r>
        <w:rPr/>
        <w:t>espacial</w:t>
      </w:r>
      <w:r>
        <w:rPr>
          <w:spacing w:val="-6"/>
        </w:rPr>
        <w:t> </w:t>
      </w:r>
      <w:r>
        <w:rPr/>
        <w:t>de</w:t>
      </w:r>
      <w:r>
        <w:rPr>
          <w:spacing w:val="-6"/>
        </w:rPr>
        <w:t> </w:t>
      </w:r>
      <w:r>
        <w:rPr/>
        <w:t>los</w:t>
      </w:r>
      <w:r>
        <w:rPr>
          <w:spacing w:val="-9"/>
        </w:rPr>
        <w:t> </w:t>
      </w:r>
      <w:r>
        <w:rPr/>
        <w:t>usos.</w:t>
      </w:r>
      <w:r>
        <w:rPr>
          <w:spacing w:val="-7"/>
        </w:rPr>
        <w:t> </w:t>
      </w:r>
      <w:r>
        <w:rPr/>
        <w:t>Se puede</w:t>
      </w:r>
      <w:r>
        <w:rPr>
          <w:spacing w:val="-20"/>
        </w:rPr>
        <w:t> </w:t>
      </w:r>
      <w:r>
        <w:rPr/>
        <w:t>observar</w:t>
      </w:r>
      <w:r>
        <w:rPr>
          <w:spacing w:val="-17"/>
        </w:rPr>
        <w:t> </w:t>
      </w:r>
      <w:r>
        <w:rPr/>
        <w:t>como</w:t>
      </w:r>
      <w:r>
        <w:rPr>
          <w:spacing w:val="-19"/>
        </w:rPr>
        <w:t> </w:t>
      </w:r>
      <w:r>
        <w:rPr/>
        <w:t>los</w:t>
      </w:r>
      <w:r>
        <w:rPr>
          <w:spacing w:val="-17"/>
        </w:rPr>
        <w:t> </w:t>
      </w:r>
      <w:r>
        <w:rPr/>
        <w:t>bosques</w:t>
      </w:r>
      <w:r>
        <w:rPr>
          <w:spacing w:val="-13"/>
        </w:rPr>
        <w:t> </w:t>
      </w:r>
      <w:r>
        <w:rPr/>
        <w:t>densos</w:t>
      </w:r>
      <w:r>
        <w:rPr>
          <w:spacing w:val="-17"/>
        </w:rPr>
        <w:t> </w:t>
      </w:r>
      <w:r>
        <w:rPr/>
        <w:t>(de</w:t>
      </w:r>
      <w:r>
        <w:rPr>
          <w:spacing w:val="-16"/>
        </w:rPr>
        <w:t> </w:t>
      </w:r>
      <w:r>
        <w:rPr/>
        <w:t>mayor</w:t>
      </w:r>
      <w:r>
        <w:rPr>
          <w:spacing w:val="-17"/>
        </w:rPr>
        <w:t> </w:t>
      </w:r>
      <w:r>
        <w:rPr/>
        <w:t>edad)</w:t>
      </w:r>
      <w:r>
        <w:rPr>
          <w:spacing w:val="-17"/>
        </w:rPr>
        <w:t> </w:t>
      </w:r>
      <w:r>
        <w:rPr/>
        <w:t>se</w:t>
      </w:r>
      <w:r>
        <w:rPr>
          <w:spacing w:val="-15"/>
        </w:rPr>
        <w:t> </w:t>
      </w:r>
      <w:r>
        <w:rPr/>
        <w:t>encuentran</w:t>
      </w:r>
      <w:r>
        <w:rPr>
          <w:spacing w:val="-19"/>
        </w:rPr>
        <w:t> </w:t>
      </w:r>
      <w:r>
        <w:rPr/>
        <w:t>hacia</w:t>
      </w:r>
      <w:r>
        <w:rPr>
          <w:spacing w:val="-19"/>
        </w:rPr>
        <w:t> </w:t>
      </w:r>
      <w:r>
        <w:rPr/>
        <w:t>el</w:t>
      </w:r>
      <w:r>
        <w:rPr>
          <w:spacing w:val="-19"/>
        </w:rPr>
        <w:t> </w:t>
      </w:r>
      <w:r>
        <w:rPr/>
        <w:t>centro y el norte de la ZP. El área con presencia de pastos se ubica hacia el este de la zona, representando las áreas cercanas a la ciudad de Cartago. La zona oeste, </w:t>
      </w:r>
      <w:r>
        <w:rPr>
          <w:spacing w:val="-2"/>
        </w:rPr>
        <w:t>más </w:t>
      </w:r>
      <w:r>
        <w:rPr/>
        <w:t>cercana a los cantones de Desamparados, presenta un cuadro </w:t>
      </w:r>
      <w:r>
        <w:rPr>
          <w:spacing w:val="2"/>
        </w:rPr>
        <w:t>que </w:t>
      </w:r>
      <w:r>
        <w:rPr/>
        <w:t>alterna cafetales y de asentamientos urbanos (zonas mayoritariamente de clase baja o media</w:t>
      </w:r>
      <w:r>
        <w:rPr>
          <w:spacing w:val="-7"/>
        </w:rPr>
        <w:t> </w:t>
      </w:r>
      <w:r>
        <w:rPr/>
        <w:t>baja).</w:t>
      </w:r>
    </w:p>
    <w:p>
      <w:pPr>
        <w:pStyle w:val="BodyText"/>
        <w:spacing w:line="360" w:lineRule="auto" w:before="200"/>
        <w:ind w:left="1200" w:right="1199"/>
        <w:jc w:val="both"/>
      </w:pPr>
      <w:r>
        <w:rPr/>
        <w:t>Según Torres (2001), las tendencias demográficas y socioeconómicas esperadas para las primeras décadas del siglo actual incrementarían la presión en los ecosistemas nativos</w:t>
      </w:r>
      <w:r>
        <w:rPr>
          <w:spacing w:val="-14"/>
        </w:rPr>
        <w:t> </w:t>
      </w:r>
      <w:r>
        <w:rPr/>
        <w:t>de</w:t>
      </w:r>
      <w:r>
        <w:rPr>
          <w:spacing w:val="-15"/>
        </w:rPr>
        <w:t> </w:t>
      </w:r>
      <w:r>
        <w:rPr/>
        <w:t>esta</w:t>
      </w:r>
      <w:r>
        <w:rPr>
          <w:spacing w:val="-11"/>
        </w:rPr>
        <w:t> </w:t>
      </w:r>
      <w:r>
        <w:rPr/>
        <w:t>área</w:t>
      </w:r>
      <w:r>
        <w:rPr>
          <w:spacing w:val="-15"/>
        </w:rPr>
        <w:t> </w:t>
      </w:r>
      <w:r>
        <w:rPr/>
        <w:t>protegida,</w:t>
      </w:r>
      <w:r>
        <w:rPr>
          <w:spacing w:val="-12"/>
        </w:rPr>
        <w:t> </w:t>
      </w:r>
      <w:r>
        <w:rPr/>
        <w:t>dado</w:t>
      </w:r>
      <w:r>
        <w:rPr>
          <w:spacing w:val="-12"/>
        </w:rPr>
        <w:t> </w:t>
      </w:r>
      <w:r>
        <w:rPr/>
        <w:t>que</w:t>
      </w:r>
      <w:r>
        <w:rPr>
          <w:spacing w:val="-15"/>
        </w:rPr>
        <w:t> </w:t>
      </w:r>
      <w:r>
        <w:rPr/>
        <w:t>se</w:t>
      </w:r>
      <w:r>
        <w:rPr>
          <w:spacing w:val="-11"/>
        </w:rPr>
        <w:t> </w:t>
      </w:r>
      <w:r>
        <w:rPr/>
        <w:t>localiza</w:t>
      </w:r>
      <w:r>
        <w:rPr>
          <w:spacing w:val="-11"/>
        </w:rPr>
        <w:t> </w:t>
      </w:r>
      <w:r>
        <w:rPr/>
        <w:t>en</w:t>
      </w:r>
      <w:r>
        <w:rPr>
          <w:spacing w:val="-12"/>
        </w:rPr>
        <w:t> </w:t>
      </w:r>
      <w:r>
        <w:rPr/>
        <w:t>la</w:t>
      </w:r>
      <w:r>
        <w:rPr>
          <w:spacing w:val="-15"/>
        </w:rPr>
        <w:t> </w:t>
      </w:r>
      <w:r>
        <w:rPr/>
        <w:t>vecindad</w:t>
      </w:r>
      <w:r>
        <w:rPr>
          <w:spacing w:val="-11"/>
        </w:rPr>
        <w:t> </w:t>
      </w:r>
      <w:r>
        <w:rPr/>
        <w:t>de</w:t>
      </w:r>
      <w:r>
        <w:rPr>
          <w:spacing w:val="-15"/>
        </w:rPr>
        <w:t> </w:t>
      </w:r>
      <w:r>
        <w:rPr/>
        <w:t>ciudades</w:t>
      </w:r>
      <w:r>
        <w:rPr>
          <w:spacing w:val="-13"/>
        </w:rPr>
        <w:t> </w:t>
      </w:r>
      <w:r>
        <w:rPr/>
        <w:t>en</w:t>
      </w:r>
      <w:r>
        <w:rPr>
          <w:spacing w:val="-16"/>
        </w:rPr>
        <w:t> </w:t>
      </w:r>
      <w:r>
        <w:rPr/>
        <w:t>pleno crecimiento</w:t>
      </w:r>
      <w:r>
        <w:rPr>
          <w:spacing w:val="-12"/>
        </w:rPr>
        <w:t> </w:t>
      </w:r>
      <w:r>
        <w:rPr/>
        <w:t>y</w:t>
      </w:r>
      <w:r>
        <w:rPr>
          <w:spacing w:val="-18"/>
        </w:rPr>
        <w:t> </w:t>
      </w:r>
      <w:r>
        <w:rPr/>
        <w:t>amenazan</w:t>
      </w:r>
      <w:r>
        <w:rPr>
          <w:spacing w:val="-16"/>
        </w:rPr>
        <w:t> </w:t>
      </w:r>
      <w:r>
        <w:rPr/>
        <w:t>significativamente</w:t>
      </w:r>
      <w:r>
        <w:rPr>
          <w:spacing w:val="-16"/>
        </w:rPr>
        <w:t> </w:t>
      </w:r>
      <w:r>
        <w:rPr/>
        <w:t>la</w:t>
      </w:r>
      <w:r>
        <w:rPr>
          <w:spacing w:val="-16"/>
        </w:rPr>
        <w:t> </w:t>
      </w:r>
      <w:r>
        <w:rPr/>
        <w:t>integridad</w:t>
      </w:r>
      <w:r>
        <w:rPr>
          <w:spacing w:val="-15"/>
        </w:rPr>
        <w:t> </w:t>
      </w:r>
      <w:r>
        <w:rPr/>
        <w:t>de</w:t>
      </w:r>
      <w:r>
        <w:rPr>
          <w:spacing w:val="-16"/>
        </w:rPr>
        <w:t> </w:t>
      </w:r>
      <w:r>
        <w:rPr/>
        <w:t>la</w:t>
      </w:r>
      <w:r>
        <w:rPr>
          <w:spacing w:val="-16"/>
        </w:rPr>
        <w:t> </w:t>
      </w:r>
      <w:r>
        <w:rPr/>
        <w:t>ZP</w:t>
      </w:r>
      <w:r>
        <w:rPr>
          <w:spacing w:val="-14"/>
        </w:rPr>
        <w:t> </w:t>
      </w:r>
      <w:r>
        <w:rPr/>
        <w:t>y</w:t>
      </w:r>
      <w:r>
        <w:rPr>
          <w:spacing w:val="-17"/>
        </w:rPr>
        <w:t> </w:t>
      </w:r>
      <w:r>
        <w:rPr/>
        <w:t>sus</w:t>
      </w:r>
      <w:r>
        <w:rPr>
          <w:spacing w:val="-14"/>
        </w:rPr>
        <w:t> </w:t>
      </w:r>
      <w:r>
        <w:rPr/>
        <w:t>recursos</w:t>
      </w:r>
      <w:r>
        <w:rPr>
          <w:spacing w:val="-14"/>
        </w:rPr>
        <w:t> </w:t>
      </w:r>
      <w:r>
        <w:rPr/>
        <w:t>hídricos. Ello se sustenta en la tendencia al establecimiento de comunidades no planificadas, por ejemplo San Vicente y Linda Vista de Patarrá y en el interés percibido en realizar varias urbanizaciones dentro de la</w:t>
      </w:r>
      <w:r>
        <w:rPr>
          <w:spacing w:val="-3"/>
        </w:rPr>
        <w:t> </w:t>
      </w:r>
      <w:r>
        <w:rPr/>
        <w:t>ZPLC.</w:t>
      </w:r>
    </w:p>
    <w:p>
      <w:pPr>
        <w:spacing w:after="0" w:line="360" w:lineRule="auto"/>
        <w:jc w:val="both"/>
        <w:sectPr>
          <w:pgSz w:w="12240" w:h="15840"/>
          <w:pgMar w:header="0" w:footer="1062" w:top="1500" w:bottom="1260" w:left="240" w:right="240"/>
        </w:sectPr>
      </w:pPr>
    </w:p>
    <w:p>
      <w:pPr>
        <w:pStyle w:val="BodyText"/>
        <w:rPr>
          <w:sz w:val="20"/>
        </w:rPr>
      </w:pPr>
    </w:p>
    <w:p>
      <w:pPr>
        <w:pStyle w:val="BodyText"/>
        <w:spacing w:before="7"/>
        <w:rPr>
          <w:sz w:val="29"/>
        </w:rPr>
      </w:pPr>
    </w:p>
    <w:p>
      <w:pPr>
        <w:pStyle w:val="BodyText"/>
        <w:ind w:left="480"/>
        <w:rPr>
          <w:sz w:val="20"/>
        </w:rPr>
      </w:pPr>
      <w:r>
        <w:rPr>
          <w:sz w:val="20"/>
        </w:rPr>
        <w:drawing>
          <wp:inline distT="0" distB="0" distL="0" distR="0">
            <wp:extent cx="6414002" cy="5049393"/>
            <wp:effectExtent l="0" t="0" r="0" b="0"/>
            <wp:docPr id="29" name="image40.jpeg"/>
            <wp:cNvGraphicFramePr>
              <a:graphicFrameLocks noChangeAspect="1"/>
            </wp:cNvGraphicFramePr>
            <a:graphic>
              <a:graphicData uri="http://schemas.openxmlformats.org/drawingml/2006/picture">
                <pic:pic>
                  <pic:nvPicPr>
                    <pic:cNvPr id="30" name="image40.jpeg"/>
                    <pic:cNvPicPr/>
                  </pic:nvPicPr>
                  <pic:blipFill>
                    <a:blip r:embed="rId51" cstate="print"/>
                    <a:stretch>
                      <a:fillRect/>
                    </a:stretch>
                  </pic:blipFill>
                  <pic:spPr>
                    <a:xfrm>
                      <a:off x="0" y="0"/>
                      <a:ext cx="6414002" cy="5049393"/>
                    </a:xfrm>
                    <a:prstGeom prst="rect">
                      <a:avLst/>
                    </a:prstGeom>
                  </pic:spPr>
                </pic:pic>
              </a:graphicData>
            </a:graphic>
          </wp:inline>
        </w:drawing>
      </w:r>
      <w:r>
        <w:rPr>
          <w:sz w:val="20"/>
        </w:rPr>
      </w:r>
    </w:p>
    <w:p>
      <w:pPr>
        <w:pStyle w:val="BodyText"/>
        <w:rPr>
          <w:sz w:val="20"/>
        </w:rPr>
      </w:pPr>
    </w:p>
    <w:p>
      <w:pPr>
        <w:pStyle w:val="BodyText"/>
        <w:spacing w:before="10"/>
        <w:rPr>
          <w:sz w:val="26"/>
        </w:rPr>
      </w:pPr>
    </w:p>
    <w:p>
      <w:pPr>
        <w:spacing w:line="242" w:lineRule="auto" w:before="94"/>
        <w:ind w:left="3193" w:right="3171" w:firstLine="340"/>
        <w:jc w:val="left"/>
        <w:rPr>
          <w:i/>
          <w:sz w:val="20"/>
        </w:rPr>
      </w:pPr>
      <w:bookmarkStart w:name="_bookmark14" w:id="18"/>
      <w:bookmarkEnd w:id="18"/>
      <w:r>
        <w:rPr/>
      </w:r>
      <w:r>
        <w:rPr>
          <w:i/>
          <w:sz w:val="20"/>
        </w:rPr>
        <w:t>Figura 10- Mapa de Usos del Suelo en la ZPLC. </w:t>
      </w:r>
      <w:r>
        <w:rPr>
          <w:i/>
          <w:sz w:val="20"/>
        </w:rPr>
        <w:t>Fuente: Comisión Interinstitucional para la ZPLC (2012)</w:t>
      </w:r>
    </w:p>
    <w:p>
      <w:pPr>
        <w:spacing w:after="0" w:line="242" w:lineRule="auto"/>
        <w:jc w:val="left"/>
        <w:rPr>
          <w:sz w:val="20"/>
        </w:rPr>
        <w:sectPr>
          <w:footerReference w:type="default" r:id="rId50"/>
          <w:pgSz w:w="15840" w:h="12240" w:orient="landscape"/>
          <w:pgMar w:footer="1062" w:header="0" w:top="1140" w:bottom="1260" w:left="2260" w:right="2260"/>
        </w:sectPr>
      </w:pPr>
    </w:p>
    <w:p>
      <w:pPr>
        <w:pStyle w:val="BodyText"/>
        <w:spacing w:line="360" w:lineRule="auto" w:before="107"/>
        <w:ind w:left="100" w:right="117"/>
        <w:jc w:val="both"/>
      </w:pPr>
      <w:r>
        <w:rPr/>
        <w:t>Asimismo, se señalan procesos de extracción de material, tipo mina a cielo abierto, en Quebrada Honda, Alto Coris y Coris (Sector suroeste). Esta actividad tiene varias décadas de realizarse con sus evidentes impactos ambientales. Así, la disponibilidad y calidad del agua de la ZPLC se encuentran, según los diagnósticos, gravemente amenazadas</w:t>
      </w:r>
      <w:r>
        <w:rPr>
          <w:spacing w:val="-8"/>
        </w:rPr>
        <w:t> </w:t>
      </w:r>
      <w:r>
        <w:rPr/>
        <w:t>debido</w:t>
      </w:r>
      <w:r>
        <w:rPr>
          <w:spacing w:val="-9"/>
        </w:rPr>
        <w:t> </w:t>
      </w:r>
      <w:r>
        <w:rPr/>
        <w:t>a</w:t>
      </w:r>
      <w:r>
        <w:rPr>
          <w:spacing w:val="-9"/>
        </w:rPr>
        <w:t> </w:t>
      </w:r>
      <w:r>
        <w:rPr/>
        <w:t>diversos</w:t>
      </w:r>
      <w:r>
        <w:rPr>
          <w:spacing w:val="-8"/>
        </w:rPr>
        <w:t> </w:t>
      </w:r>
      <w:r>
        <w:rPr/>
        <w:t>factores,</w:t>
      </w:r>
      <w:r>
        <w:rPr>
          <w:spacing w:val="-6"/>
        </w:rPr>
        <w:t> </w:t>
      </w:r>
      <w:r>
        <w:rPr/>
        <w:t>tales</w:t>
      </w:r>
      <w:r>
        <w:rPr>
          <w:spacing w:val="-8"/>
        </w:rPr>
        <w:t> </w:t>
      </w:r>
      <w:r>
        <w:rPr/>
        <w:t>como</w:t>
      </w:r>
      <w:r>
        <w:rPr>
          <w:spacing w:val="-9"/>
        </w:rPr>
        <w:t> </w:t>
      </w:r>
      <w:r>
        <w:rPr/>
        <w:t>la</w:t>
      </w:r>
      <w:r>
        <w:rPr>
          <w:spacing w:val="-9"/>
        </w:rPr>
        <w:t> </w:t>
      </w:r>
      <w:r>
        <w:rPr/>
        <w:t>deforestación,</w:t>
      </w:r>
      <w:r>
        <w:rPr>
          <w:spacing w:val="-7"/>
        </w:rPr>
        <w:t> </w:t>
      </w:r>
      <w:r>
        <w:rPr/>
        <w:t>la</w:t>
      </w:r>
      <w:r>
        <w:rPr>
          <w:spacing w:val="-9"/>
        </w:rPr>
        <w:t> </w:t>
      </w:r>
      <w:r>
        <w:rPr/>
        <w:t>ampliación</w:t>
      </w:r>
      <w:r>
        <w:rPr>
          <w:spacing w:val="-9"/>
        </w:rPr>
        <w:t> </w:t>
      </w:r>
      <w:r>
        <w:rPr/>
        <w:t>de</w:t>
      </w:r>
      <w:r>
        <w:rPr>
          <w:spacing w:val="-10"/>
        </w:rPr>
        <w:t> </w:t>
      </w:r>
      <w:r>
        <w:rPr/>
        <w:t>la frontera agrícola y pecuaria, el desarrollo urbano no planificado, asentamientos informales</w:t>
      </w:r>
      <w:r>
        <w:rPr>
          <w:spacing w:val="-19"/>
        </w:rPr>
        <w:t> </w:t>
      </w:r>
      <w:r>
        <w:rPr/>
        <w:t>y</w:t>
      </w:r>
      <w:r>
        <w:rPr>
          <w:spacing w:val="-23"/>
        </w:rPr>
        <w:t> </w:t>
      </w:r>
      <w:r>
        <w:rPr/>
        <w:t>la</w:t>
      </w:r>
      <w:r>
        <w:rPr>
          <w:spacing w:val="-17"/>
        </w:rPr>
        <w:t> </w:t>
      </w:r>
      <w:r>
        <w:rPr/>
        <w:t>minería,</w:t>
      </w:r>
      <w:r>
        <w:rPr>
          <w:spacing w:val="-18"/>
        </w:rPr>
        <w:t> </w:t>
      </w:r>
      <w:r>
        <w:rPr/>
        <w:t>entre</w:t>
      </w:r>
      <w:r>
        <w:rPr>
          <w:spacing w:val="-21"/>
        </w:rPr>
        <w:t> </w:t>
      </w:r>
      <w:r>
        <w:rPr/>
        <w:t>otros</w:t>
      </w:r>
      <w:r>
        <w:rPr>
          <w:spacing w:val="-16"/>
        </w:rPr>
        <w:t> </w:t>
      </w:r>
      <w:r>
        <w:rPr/>
        <w:t>(Torres,</w:t>
      </w:r>
      <w:r>
        <w:rPr>
          <w:spacing w:val="-18"/>
        </w:rPr>
        <w:t> </w:t>
      </w:r>
      <w:r>
        <w:rPr/>
        <w:t>2001;</w:t>
      </w:r>
      <w:r>
        <w:rPr>
          <w:spacing w:val="-17"/>
        </w:rPr>
        <w:t> </w:t>
      </w:r>
      <w:r>
        <w:rPr/>
        <w:t>Comisión</w:t>
      </w:r>
      <w:r>
        <w:rPr>
          <w:spacing w:val="-21"/>
        </w:rPr>
        <w:t> </w:t>
      </w:r>
      <w:r>
        <w:rPr/>
        <w:t>Interinstitucional</w:t>
      </w:r>
      <w:r>
        <w:rPr>
          <w:spacing w:val="-16"/>
        </w:rPr>
        <w:t> </w:t>
      </w:r>
      <w:r>
        <w:rPr/>
        <w:t>para</w:t>
      </w:r>
      <w:r>
        <w:rPr>
          <w:spacing w:val="-21"/>
        </w:rPr>
        <w:t> </w:t>
      </w:r>
      <w:r>
        <w:rPr/>
        <w:t>la</w:t>
      </w:r>
      <w:r>
        <w:rPr>
          <w:spacing w:val="-21"/>
        </w:rPr>
        <w:t> </w:t>
      </w:r>
      <w:r>
        <w:rPr/>
        <w:t>Zona Protectora Cerros de La Carpintera,</w:t>
      </w:r>
      <w:r>
        <w:rPr>
          <w:spacing w:val="1"/>
        </w:rPr>
        <w:t> </w:t>
      </w:r>
      <w:r>
        <w:rPr/>
        <w:t>2012).</w:t>
      </w:r>
    </w:p>
    <w:p>
      <w:pPr>
        <w:pStyle w:val="BodyText"/>
        <w:spacing w:line="360" w:lineRule="auto" w:before="201"/>
        <w:ind w:left="100" w:right="115"/>
        <w:jc w:val="both"/>
      </w:pPr>
      <w:r>
        <w:rPr/>
        <w:t>El avance de estos usos pone en riesgo la generalidad de funciones y servicios ecosistémicos que la zona provee. No parece viable el que la frontera agrícola se expanda.</w:t>
      </w:r>
      <w:r>
        <w:rPr>
          <w:spacing w:val="-11"/>
        </w:rPr>
        <w:t> </w:t>
      </w:r>
      <w:r>
        <w:rPr/>
        <w:t>En</w:t>
      </w:r>
      <w:r>
        <w:rPr>
          <w:spacing w:val="-13"/>
        </w:rPr>
        <w:t> </w:t>
      </w:r>
      <w:r>
        <w:rPr/>
        <w:t>contraste,</w:t>
      </w:r>
      <w:r>
        <w:rPr>
          <w:spacing w:val="-10"/>
        </w:rPr>
        <w:t> </w:t>
      </w:r>
      <w:r>
        <w:rPr/>
        <w:t>es</w:t>
      </w:r>
      <w:r>
        <w:rPr>
          <w:spacing w:val="-11"/>
        </w:rPr>
        <w:t> </w:t>
      </w:r>
      <w:r>
        <w:rPr/>
        <w:t>posible</w:t>
      </w:r>
      <w:r>
        <w:rPr>
          <w:spacing w:val="-13"/>
        </w:rPr>
        <w:t> </w:t>
      </w:r>
      <w:r>
        <w:rPr/>
        <w:t>que</w:t>
      </w:r>
      <w:r>
        <w:rPr>
          <w:spacing w:val="-10"/>
        </w:rPr>
        <w:t> </w:t>
      </w:r>
      <w:r>
        <w:rPr/>
        <w:t>la</w:t>
      </w:r>
      <w:r>
        <w:rPr>
          <w:spacing w:val="-13"/>
        </w:rPr>
        <w:t> </w:t>
      </w:r>
      <w:r>
        <w:rPr/>
        <w:t>expansión</w:t>
      </w:r>
      <w:r>
        <w:rPr>
          <w:spacing w:val="-13"/>
        </w:rPr>
        <w:t> </w:t>
      </w:r>
      <w:r>
        <w:rPr/>
        <w:t>de</w:t>
      </w:r>
      <w:r>
        <w:rPr>
          <w:spacing w:val="-13"/>
        </w:rPr>
        <w:t> </w:t>
      </w:r>
      <w:r>
        <w:rPr/>
        <w:t>los</w:t>
      </w:r>
      <w:r>
        <w:rPr>
          <w:spacing w:val="-11"/>
        </w:rPr>
        <w:t> </w:t>
      </w:r>
      <w:r>
        <w:rPr/>
        <w:t>proyectos</w:t>
      </w:r>
      <w:r>
        <w:rPr>
          <w:spacing w:val="-11"/>
        </w:rPr>
        <w:t> </w:t>
      </w:r>
      <w:r>
        <w:rPr/>
        <w:t>inmobiliarios</w:t>
      </w:r>
      <w:r>
        <w:rPr>
          <w:spacing w:val="-12"/>
        </w:rPr>
        <w:t> </w:t>
      </w:r>
      <w:r>
        <w:rPr/>
        <w:t>dentro de la ZP aumente. La minería todavía tiene presencia en la zona. En la Figura 11 se observan algunos de los efectos de estas</w:t>
      </w:r>
      <w:r>
        <w:rPr>
          <w:spacing w:val="-3"/>
        </w:rPr>
        <w:t> </w:t>
      </w:r>
      <w:r>
        <w:rPr/>
        <w:t>actividades.</w:t>
      </w:r>
    </w:p>
    <w:p>
      <w:pPr>
        <w:pStyle w:val="BodyText"/>
        <w:spacing w:line="360" w:lineRule="auto" w:before="203"/>
        <w:ind w:left="100" w:right="115"/>
        <w:jc w:val="both"/>
      </w:pPr>
      <w:r>
        <w:rPr/>
        <w:t>La minería se ha establecido en la zona en diversas expresiones. Mediante una segregación de tierras autorizada por un decreto en la administración Rodríguez Echeverría</w:t>
      </w:r>
      <w:r>
        <w:rPr>
          <w:spacing w:val="-13"/>
        </w:rPr>
        <w:t> </w:t>
      </w:r>
      <w:r>
        <w:rPr/>
        <w:t>(2000-2004)</w:t>
      </w:r>
      <w:r>
        <w:rPr>
          <w:spacing w:val="-11"/>
        </w:rPr>
        <w:t> </w:t>
      </w:r>
      <w:r>
        <w:rPr/>
        <w:t>de</w:t>
      </w:r>
      <w:r>
        <w:rPr>
          <w:spacing w:val="-13"/>
        </w:rPr>
        <w:t> </w:t>
      </w:r>
      <w:r>
        <w:rPr/>
        <w:t>una</w:t>
      </w:r>
      <w:r>
        <w:rPr>
          <w:spacing w:val="-12"/>
        </w:rPr>
        <w:t> </w:t>
      </w:r>
      <w:r>
        <w:rPr/>
        <w:t>sección</w:t>
      </w:r>
      <w:r>
        <w:rPr>
          <w:spacing w:val="-13"/>
        </w:rPr>
        <w:t> </w:t>
      </w:r>
      <w:r>
        <w:rPr/>
        <w:t>de</w:t>
      </w:r>
      <w:r>
        <w:rPr>
          <w:spacing w:val="-13"/>
        </w:rPr>
        <w:t> </w:t>
      </w:r>
      <w:r>
        <w:rPr/>
        <w:t>la</w:t>
      </w:r>
      <w:r>
        <w:rPr>
          <w:spacing w:val="-12"/>
        </w:rPr>
        <w:t> </w:t>
      </w:r>
      <w:r>
        <w:rPr/>
        <w:t>ZPLC,</w:t>
      </w:r>
      <w:r>
        <w:rPr>
          <w:spacing w:val="-10"/>
        </w:rPr>
        <w:t> </w:t>
      </w:r>
      <w:r>
        <w:rPr/>
        <w:t>cuya</w:t>
      </w:r>
      <w:r>
        <w:rPr>
          <w:spacing w:val="-13"/>
        </w:rPr>
        <w:t> </w:t>
      </w:r>
      <w:r>
        <w:rPr/>
        <w:t>constitucionalidad</w:t>
      </w:r>
      <w:r>
        <w:rPr>
          <w:spacing w:val="-9"/>
        </w:rPr>
        <w:t> </w:t>
      </w:r>
      <w:r>
        <w:rPr/>
        <w:t>hoy</w:t>
      </w:r>
      <w:r>
        <w:rPr>
          <w:spacing w:val="-15"/>
        </w:rPr>
        <w:t> </w:t>
      </w:r>
      <w:r>
        <w:rPr/>
        <w:t>día</w:t>
      </w:r>
      <w:r>
        <w:rPr>
          <w:spacing w:val="-12"/>
        </w:rPr>
        <w:t> </w:t>
      </w:r>
      <w:r>
        <w:rPr/>
        <w:t>está recurrida, se benefició a la compañía SICORSA para que desarrollara extracción de sílice</w:t>
      </w:r>
      <w:r>
        <w:rPr>
          <w:position w:val="8"/>
          <w:sz w:val="16"/>
        </w:rPr>
        <w:t>13</w:t>
      </w:r>
      <w:r>
        <w:rPr/>
        <w:t>. Si el decreto es declarado inconstitucional, este impacto se encontraría dentro de la ZP, de lo contrario, los impactos de borde son evidentes (11A). Por mucho tiempo la comunidad de Coris ha mostrado recelo por la vecindad de la mina y los potenciales efectos sobre la salud de sus habitantes (Anon., 1999; Córdoba, 2015). En 11C se observa otra de las actividades extractivas que se desarrollan en la zona: piedra caliza. Se observan en la zona de Río Azul, las casas de asentamientos urbano-marginales en violación</w:t>
      </w:r>
      <w:r>
        <w:rPr>
          <w:spacing w:val="-12"/>
        </w:rPr>
        <w:t> </w:t>
      </w:r>
      <w:r>
        <w:rPr/>
        <w:t>de</w:t>
      </w:r>
      <w:r>
        <w:rPr>
          <w:spacing w:val="-11"/>
        </w:rPr>
        <w:t> </w:t>
      </w:r>
      <w:r>
        <w:rPr/>
        <w:t>la</w:t>
      </w:r>
      <w:r>
        <w:rPr>
          <w:spacing w:val="-12"/>
        </w:rPr>
        <w:t> </w:t>
      </w:r>
      <w:r>
        <w:rPr/>
        <w:t>protección</w:t>
      </w:r>
      <w:r>
        <w:rPr>
          <w:spacing w:val="-11"/>
        </w:rPr>
        <w:t> </w:t>
      </w:r>
      <w:r>
        <w:rPr/>
        <w:t>de</w:t>
      </w:r>
      <w:r>
        <w:rPr>
          <w:spacing w:val="-12"/>
        </w:rPr>
        <w:t> </w:t>
      </w:r>
      <w:r>
        <w:rPr/>
        <w:t>las</w:t>
      </w:r>
      <w:r>
        <w:rPr>
          <w:spacing w:val="-9"/>
        </w:rPr>
        <w:t> </w:t>
      </w:r>
      <w:r>
        <w:rPr/>
        <w:t>zonas</w:t>
      </w:r>
      <w:r>
        <w:rPr>
          <w:spacing w:val="-6"/>
        </w:rPr>
        <w:t> </w:t>
      </w:r>
      <w:r>
        <w:rPr/>
        <w:t>ribereñas</w:t>
      </w:r>
      <w:r>
        <w:rPr>
          <w:spacing w:val="-10"/>
        </w:rPr>
        <w:t> </w:t>
      </w:r>
      <w:r>
        <w:rPr/>
        <w:t>(11B).</w:t>
      </w:r>
      <w:r>
        <w:rPr>
          <w:spacing w:val="-8"/>
        </w:rPr>
        <w:t> </w:t>
      </w:r>
      <w:r>
        <w:rPr/>
        <w:t>En</w:t>
      </w:r>
      <w:r>
        <w:rPr>
          <w:spacing w:val="-12"/>
        </w:rPr>
        <w:t> </w:t>
      </w:r>
      <w:r>
        <w:rPr/>
        <w:t>la</w:t>
      </w:r>
      <w:r>
        <w:rPr>
          <w:spacing w:val="-11"/>
        </w:rPr>
        <w:t> </w:t>
      </w:r>
      <w:r>
        <w:rPr/>
        <w:t>zona</w:t>
      </w:r>
      <w:r>
        <w:rPr>
          <w:spacing w:val="-12"/>
        </w:rPr>
        <w:t> </w:t>
      </w:r>
      <w:r>
        <w:rPr/>
        <w:t>de</w:t>
      </w:r>
      <w:r>
        <w:rPr>
          <w:spacing w:val="-11"/>
        </w:rPr>
        <w:t> </w:t>
      </w:r>
      <w:r>
        <w:rPr/>
        <w:t>San</w:t>
      </w:r>
      <w:r>
        <w:rPr>
          <w:spacing w:val="-12"/>
        </w:rPr>
        <w:t> </w:t>
      </w:r>
      <w:r>
        <w:rPr/>
        <w:t>Diego</w:t>
      </w:r>
      <w:r>
        <w:rPr>
          <w:spacing w:val="-11"/>
        </w:rPr>
        <w:t> </w:t>
      </w:r>
      <w:r>
        <w:rPr/>
        <w:t>de</w:t>
      </w:r>
      <w:r>
        <w:rPr>
          <w:spacing w:val="-12"/>
        </w:rPr>
        <w:t> </w:t>
      </w:r>
      <w:r>
        <w:rPr/>
        <w:t>Tres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r>
        <w:rPr/>
        <w:pict>
          <v:rect style="position:absolute;margin-left:72.025002pt;margin-top:16.325937pt;width:144.050pt;height:.60004pt;mso-position-horizontal-relative:page;mso-position-vertical-relative:paragraph;z-index:-15706112;mso-wrap-distance-left:0;mso-wrap-distance-right:0" filled="true" fillcolor="#000000" stroked="false">
            <v:fill type="solid"/>
            <w10:wrap type="topAndBottom"/>
          </v:rect>
        </w:pict>
      </w:r>
    </w:p>
    <w:p>
      <w:pPr>
        <w:spacing w:before="71"/>
        <w:ind w:left="100" w:right="0" w:firstLine="0"/>
        <w:jc w:val="left"/>
        <w:rPr>
          <w:sz w:val="20"/>
        </w:rPr>
      </w:pPr>
      <w:r>
        <w:rPr>
          <w:sz w:val="20"/>
          <w:vertAlign w:val="superscript"/>
        </w:rPr>
        <w:t>13</w:t>
      </w:r>
      <w:r>
        <w:rPr>
          <w:sz w:val="20"/>
          <w:vertAlign w:val="baseline"/>
        </w:rPr>
        <w:t> Acción de Inconstitucionalidad N° 14-005836-0007-CO, aún por resolverse.</w:t>
      </w:r>
    </w:p>
    <w:p>
      <w:pPr>
        <w:spacing w:after="0"/>
        <w:jc w:val="left"/>
        <w:rPr>
          <w:sz w:val="20"/>
        </w:rPr>
        <w:sectPr>
          <w:footerReference w:type="default" r:id="rId52"/>
          <w:pgSz w:w="12240" w:h="15840"/>
          <w:pgMar w:footer="1330" w:header="0" w:top="1500" w:bottom="1520" w:left="1340" w:right="1320"/>
          <w:pgNumType w:start="30"/>
        </w:sectPr>
      </w:pPr>
    </w:p>
    <w:p>
      <w:pPr>
        <w:pStyle w:val="BodyText"/>
        <w:spacing w:line="362" w:lineRule="auto" w:before="107"/>
        <w:ind w:left="100" w:right="126"/>
        <w:jc w:val="both"/>
      </w:pPr>
      <w:r>
        <w:rPr/>
        <w:drawing>
          <wp:anchor distT="0" distB="0" distL="0" distR="0" allowOverlap="1" layoutInCell="1" locked="0" behindDoc="1" simplePos="0" relativeHeight="473284608">
            <wp:simplePos x="0" y="0"/>
            <wp:positionH relativeFrom="page">
              <wp:posOffset>914400</wp:posOffset>
            </wp:positionH>
            <wp:positionV relativeFrom="paragraph">
              <wp:posOffset>530680</wp:posOffset>
            </wp:positionV>
            <wp:extent cx="5841365" cy="3557905"/>
            <wp:effectExtent l="0" t="0" r="0" b="0"/>
            <wp:wrapNone/>
            <wp:docPr id="31" name="image41.jpeg"/>
            <wp:cNvGraphicFramePr>
              <a:graphicFrameLocks noChangeAspect="1"/>
            </wp:cNvGraphicFramePr>
            <a:graphic>
              <a:graphicData uri="http://schemas.openxmlformats.org/drawingml/2006/picture">
                <pic:pic>
                  <pic:nvPicPr>
                    <pic:cNvPr id="32" name="image41.jpeg"/>
                    <pic:cNvPicPr/>
                  </pic:nvPicPr>
                  <pic:blipFill>
                    <a:blip r:embed="rId53" cstate="print"/>
                    <a:stretch>
                      <a:fillRect/>
                    </a:stretch>
                  </pic:blipFill>
                  <pic:spPr>
                    <a:xfrm>
                      <a:off x="0" y="0"/>
                      <a:ext cx="5841365" cy="3557905"/>
                    </a:xfrm>
                    <a:prstGeom prst="rect">
                      <a:avLst/>
                    </a:prstGeom>
                  </pic:spPr>
                </pic:pic>
              </a:graphicData>
            </a:graphic>
          </wp:anchor>
        </w:drawing>
      </w:r>
      <w:r>
        <w:rPr/>
        <w:t>Ríos, el impacto de la vivienda de clase media baja sobre el servicio estético del perfil norte es evidente (11D).</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3"/>
        <w:rPr>
          <w:sz w:val="38"/>
        </w:rPr>
      </w:pPr>
    </w:p>
    <w:p>
      <w:pPr>
        <w:spacing w:before="0"/>
        <w:ind w:left="504" w:right="0" w:firstLine="0"/>
        <w:jc w:val="left"/>
        <w:rPr>
          <w:i/>
          <w:sz w:val="20"/>
        </w:rPr>
      </w:pPr>
      <w:r>
        <w:rPr>
          <w:i/>
          <w:sz w:val="20"/>
        </w:rPr>
        <w:t>Figura 11- Impactos de las Actividades Mineras y de los Asentamientos Urbanos en la ZPLC.</w:t>
      </w:r>
    </w:p>
    <w:p>
      <w:pPr>
        <w:pStyle w:val="BodyText"/>
        <w:spacing w:before="3"/>
        <w:rPr>
          <w:i/>
          <w:sz w:val="18"/>
        </w:rPr>
      </w:pPr>
    </w:p>
    <w:p>
      <w:pPr>
        <w:spacing w:before="0"/>
        <w:ind w:left="3569" w:right="0" w:firstLine="0"/>
        <w:jc w:val="both"/>
        <w:rPr>
          <w:i/>
          <w:sz w:val="20"/>
        </w:rPr>
      </w:pPr>
      <w:r>
        <w:rPr>
          <w:i/>
          <w:sz w:val="20"/>
        </w:rPr>
        <w:t>Fuente: Elaboración Propia</w:t>
      </w:r>
    </w:p>
    <w:p>
      <w:pPr>
        <w:pStyle w:val="BodyText"/>
        <w:spacing w:line="360" w:lineRule="auto" w:before="117"/>
        <w:ind w:left="100" w:right="118"/>
        <w:jc w:val="both"/>
      </w:pPr>
      <w:r>
        <w:rPr/>
        <w:t>El</w:t>
      </w:r>
      <w:r>
        <w:rPr>
          <w:spacing w:val="-8"/>
        </w:rPr>
        <w:t> </w:t>
      </w:r>
      <w:r>
        <w:rPr/>
        <w:t>fenómeno</w:t>
      </w:r>
      <w:r>
        <w:rPr>
          <w:spacing w:val="-3"/>
        </w:rPr>
        <w:t> </w:t>
      </w:r>
      <w:r>
        <w:rPr/>
        <w:t>de</w:t>
      </w:r>
      <w:r>
        <w:rPr>
          <w:spacing w:val="-3"/>
        </w:rPr>
        <w:t> </w:t>
      </w:r>
      <w:r>
        <w:rPr/>
        <w:t>población</w:t>
      </w:r>
      <w:r>
        <w:rPr>
          <w:spacing w:val="-3"/>
        </w:rPr>
        <w:t> </w:t>
      </w:r>
      <w:r>
        <w:rPr/>
        <w:t>del</w:t>
      </w:r>
      <w:r>
        <w:rPr>
          <w:spacing w:val="-6"/>
        </w:rPr>
        <w:t> </w:t>
      </w:r>
      <w:r>
        <w:rPr/>
        <w:t>sector</w:t>
      </w:r>
      <w:r>
        <w:rPr>
          <w:spacing w:val="-5"/>
        </w:rPr>
        <w:t> </w:t>
      </w:r>
      <w:r>
        <w:rPr/>
        <w:t>oeste</w:t>
      </w:r>
      <w:r>
        <w:rPr>
          <w:spacing w:val="-7"/>
        </w:rPr>
        <w:t> </w:t>
      </w:r>
      <w:r>
        <w:rPr/>
        <w:t>tuvo</w:t>
      </w:r>
      <w:r>
        <w:rPr>
          <w:spacing w:val="-7"/>
        </w:rPr>
        <w:t> </w:t>
      </w:r>
      <w:r>
        <w:rPr/>
        <w:t>el</w:t>
      </w:r>
      <w:r>
        <w:rPr>
          <w:spacing w:val="-6"/>
        </w:rPr>
        <w:t> </w:t>
      </w:r>
      <w:r>
        <w:rPr/>
        <w:t>impulso</w:t>
      </w:r>
      <w:r>
        <w:rPr>
          <w:spacing w:val="-7"/>
        </w:rPr>
        <w:t> </w:t>
      </w:r>
      <w:r>
        <w:rPr/>
        <w:t>de</w:t>
      </w:r>
      <w:r>
        <w:rPr>
          <w:spacing w:val="-7"/>
        </w:rPr>
        <w:t> </w:t>
      </w:r>
      <w:r>
        <w:rPr/>
        <w:t>varios</w:t>
      </w:r>
      <w:r>
        <w:rPr>
          <w:spacing w:val="-5"/>
        </w:rPr>
        <w:t> </w:t>
      </w:r>
      <w:r>
        <w:rPr/>
        <w:t>factores.</w:t>
      </w:r>
      <w:r>
        <w:rPr>
          <w:spacing w:val="-4"/>
        </w:rPr>
        <w:t> </w:t>
      </w:r>
      <w:r>
        <w:rPr/>
        <w:t>El</w:t>
      </w:r>
      <w:r>
        <w:rPr>
          <w:spacing w:val="-7"/>
        </w:rPr>
        <w:t> </w:t>
      </w:r>
      <w:r>
        <w:rPr/>
        <w:t>Relleno de Río Azul se ubicó desde 1973 en la esquina noroeste de lo que se convirtió en la ZPLC (Aguilar González, 2014; Aguilar González, 2015). La Figura 12 muestra la ubicación exacta. Se observan hacia el oeste y sur inmediato, dentro de la ZP, la comunidad de Río Azul (Cantón de La Unión). Hacia el noreste se ubica la comunidad de Tirrases (Curridabat) y más hacia el sur, dentro de la ZP también, las comunidades de Linda Vista (La Unión) y Barrio Los Ángeles de Patarrá (Desamparados). Estas comunidades</w:t>
      </w:r>
      <w:r>
        <w:rPr>
          <w:spacing w:val="-8"/>
        </w:rPr>
        <w:t> </w:t>
      </w:r>
      <w:r>
        <w:rPr/>
        <w:t>se</w:t>
      </w:r>
      <w:r>
        <w:rPr>
          <w:spacing w:val="-9"/>
        </w:rPr>
        <w:t> </w:t>
      </w:r>
      <w:r>
        <w:rPr/>
        <w:t>crean</w:t>
      </w:r>
      <w:r>
        <w:rPr>
          <w:spacing w:val="-9"/>
        </w:rPr>
        <w:t> </w:t>
      </w:r>
      <w:r>
        <w:rPr/>
        <w:t>en</w:t>
      </w:r>
      <w:r>
        <w:rPr>
          <w:spacing w:val="-9"/>
        </w:rPr>
        <w:t> </w:t>
      </w:r>
      <w:r>
        <w:rPr/>
        <w:t>parte</w:t>
      </w:r>
      <w:r>
        <w:rPr>
          <w:spacing w:val="-9"/>
        </w:rPr>
        <w:t> </w:t>
      </w:r>
      <w:r>
        <w:rPr/>
        <w:t>por</w:t>
      </w:r>
      <w:r>
        <w:rPr>
          <w:spacing w:val="-7"/>
        </w:rPr>
        <w:t> </w:t>
      </w:r>
      <w:r>
        <w:rPr/>
        <w:t>la</w:t>
      </w:r>
      <w:r>
        <w:rPr>
          <w:spacing w:val="-9"/>
        </w:rPr>
        <w:t> </w:t>
      </w:r>
      <w:r>
        <w:rPr/>
        <w:t>atracción</w:t>
      </w:r>
      <w:r>
        <w:rPr>
          <w:spacing w:val="-9"/>
        </w:rPr>
        <w:t> </w:t>
      </w:r>
      <w:r>
        <w:rPr/>
        <w:t>de</w:t>
      </w:r>
      <w:r>
        <w:rPr>
          <w:spacing w:val="-9"/>
        </w:rPr>
        <w:t> </w:t>
      </w:r>
      <w:r>
        <w:rPr/>
        <w:t>oportunidades</w:t>
      </w:r>
      <w:r>
        <w:rPr>
          <w:spacing w:val="-7"/>
        </w:rPr>
        <w:t> </w:t>
      </w:r>
      <w:r>
        <w:rPr/>
        <w:t>que</w:t>
      </w:r>
      <w:r>
        <w:rPr>
          <w:spacing w:val="-9"/>
        </w:rPr>
        <w:t> </w:t>
      </w:r>
      <w:r>
        <w:rPr/>
        <w:t>significó</w:t>
      </w:r>
      <w:r>
        <w:rPr>
          <w:spacing w:val="-9"/>
        </w:rPr>
        <w:t> </w:t>
      </w:r>
      <w:r>
        <w:rPr/>
        <w:t>el</w:t>
      </w:r>
      <w:r>
        <w:rPr>
          <w:spacing w:val="-9"/>
        </w:rPr>
        <w:t> </w:t>
      </w:r>
      <w:r>
        <w:rPr/>
        <w:t>relleno para reciclaje y la recuperación de desechos para uso y venta, a pesar de los posibles efectos sobre la salud que implicó su mal</w:t>
      </w:r>
      <w:r>
        <w:rPr>
          <w:spacing w:val="-5"/>
        </w:rPr>
        <w:t> </w:t>
      </w:r>
      <w:r>
        <w:rPr/>
        <w:t>manejo.</w:t>
      </w:r>
    </w:p>
    <w:p>
      <w:pPr>
        <w:spacing w:after="0" w:line="360" w:lineRule="auto"/>
        <w:jc w:val="both"/>
        <w:sectPr>
          <w:pgSz w:w="12240" w:h="15840"/>
          <w:pgMar w:header="0" w:footer="1330" w:top="1500" w:bottom="1580" w:left="1340" w:right="1320"/>
        </w:sectPr>
      </w:pPr>
    </w:p>
    <w:p>
      <w:pPr>
        <w:pStyle w:val="BodyText"/>
        <w:spacing w:before="6"/>
        <w:rPr>
          <w:sz w:val="9"/>
        </w:rPr>
      </w:pPr>
    </w:p>
    <w:p>
      <w:pPr>
        <w:pStyle w:val="BodyText"/>
        <w:ind w:left="620"/>
        <w:rPr>
          <w:sz w:val="20"/>
        </w:rPr>
      </w:pPr>
      <w:r>
        <w:rPr>
          <w:sz w:val="20"/>
        </w:rPr>
        <w:drawing>
          <wp:inline distT="0" distB="0" distL="0" distR="0">
            <wp:extent cx="5168550" cy="3401567"/>
            <wp:effectExtent l="0" t="0" r="0" b="0"/>
            <wp:docPr id="33" name="image42.jpeg"/>
            <wp:cNvGraphicFramePr>
              <a:graphicFrameLocks noChangeAspect="1"/>
            </wp:cNvGraphicFramePr>
            <a:graphic>
              <a:graphicData uri="http://schemas.openxmlformats.org/drawingml/2006/picture">
                <pic:pic>
                  <pic:nvPicPr>
                    <pic:cNvPr id="34" name="image42.jpeg"/>
                    <pic:cNvPicPr/>
                  </pic:nvPicPr>
                  <pic:blipFill>
                    <a:blip r:embed="rId54" cstate="print"/>
                    <a:stretch>
                      <a:fillRect/>
                    </a:stretch>
                  </pic:blipFill>
                  <pic:spPr>
                    <a:xfrm>
                      <a:off x="0" y="0"/>
                      <a:ext cx="5168550" cy="3401567"/>
                    </a:xfrm>
                    <a:prstGeom prst="rect">
                      <a:avLst/>
                    </a:prstGeom>
                  </pic:spPr>
                </pic:pic>
              </a:graphicData>
            </a:graphic>
          </wp:inline>
        </w:drawing>
      </w:r>
      <w:r>
        <w:rPr>
          <w:sz w:val="20"/>
        </w:rPr>
      </w:r>
    </w:p>
    <w:p>
      <w:pPr>
        <w:pStyle w:val="BodyText"/>
        <w:rPr>
          <w:sz w:val="21"/>
        </w:rPr>
      </w:pPr>
    </w:p>
    <w:p>
      <w:pPr>
        <w:spacing w:line="463" w:lineRule="auto" w:before="94"/>
        <w:ind w:left="3305" w:right="855" w:hanging="2633"/>
        <w:jc w:val="both"/>
        <w:rPr>
          <w:i/>
          <w:sz w:val="20"/>
        </w:rPr>
      </w:pPr>
      <w:r>
        <w:rPr>
          <w:i/>
          <w:sz w:val="20"/>
        </w:rPr>
        <w:t>Figura 12 - Ubicación del Basurero de Río Azul dentro de la Esquina Noroeste de la ZPLC. </w:t>
      </w:r>
      <w:r>
        <w:rPr>
          <w:i/>
          <w:sz w:val="20"/>
        </w:rPr>
        <w:t>Fuente: Aguilar González (2014).</w:t>
      </w:r>
    </w:p>
    <w:p>
      <w:pPr>
        <w:pStyle w:val="BodyText"/>
        <w:spacing w:line="360" w:lineRule="auto" w:before="106"/>
        <w:ind w:left="100" w:right="117"/>
        <w:jc w:val="both"/>
      </w:pPr>
      <w:r>
        <w:rPr/>
        <w:t>La ZPLC tiene en el relleno de Río Azul, dentro del montículo de residuos depositados, un estimado de entre 70,000 y 100,000 toneladas métricas de desechos conteniendo, entre otros, plomo, cadmio y mercurio (Mora &amp; Mora, 2003). Se depositaron allí entre 1978</w:t>
      </w:r>
      <w:r>
        <w:rPr>
          <w:spacing w:val="-16"/>
        </w:rPr>
        <w:t> </w:t>
      </w:r>
      <w:r>
        <w:rPr/>
        <w:t>y</w:t>
      </w:r>
      <w:r>
        <w:rPr>
          <w:spacing w:val="-18"/>
        </w:rPr>
        <w:t> </w:t>
      </w:r>
      <w:r>
        <w:rPr/>
        <w:t>el</w:t>
      </w:r>
      <w:r>
        <w:rPr>
          <w:spacing w:val="-15"/>
        </w:rPr>
        <w:t> </w:t>
      </w:r>
      <w:r>
        <w:rPr/>
        <w:t>año</w:t>
      </w:r>
      <w:r>
        <w:rPr>
          <w:spacing w:val="-15"/>
        </w:rPr>
        <w:t> </w:t>
      </w:r>
      <w:r>
        <w:rPr/>
        <w:t>2002,</w:t>
      </w:r>
      <w:r>
        <w:rPr>
          <w:spacing w:val="-17"/>
        </w:rPr>
        <w:t> </w:t>
      </w:r>
      <w:r>
        <w:rPr/>
        <w:t>a</w:t>
      </w:r>
      <w:r>
        <w:rPr>
          <w:spacing w:val="-19"/>
        </w:rPr>
        <w:t> </w:t>
      </w:r>
      <w:r>
        <w:rPr/>
        <w:t>una</w:t>
      </w:r>
      <w:r>
        <w:rPr>
          <w:spacing w:val="-20"/>
        </w:rPr>
        <w:t> </w:t>
      </w:r>
      <w:r>
        <w:rPr/>
        <w:t>distancia</w:t>
      </w:r>
      <w:r>
        <w:rPr>
          <w:spacing w:val="-20"/>
        </w:rPr>
        <w:t> </w:t>
      </w:r>
      <w:r>
        <w:rPr/>
        <w:t>lineal</w:t>
      </w:r>
      <w:r>
        <w:rPr>
          <w:spacing w:val="-18"/>
        </w:rPr>
        <w:t> </w:t>
      </w:r>
      <w:r>
        <w:rPr/>
        <w:t>de</w:t>
      </w:r>
      <w:r>
        <w:rPr>
          <w:spacing w:val="-16"/>
        </w:rPr>
        <w:t> </w:t>
      </w:r>
      <w:r>
        <w:rPr/>
        <w:t>menos</w:t>
      </w:r>
      <w:r>
        <w:rPr>
          <w:spacing w:val="-17"/>
        </w:rPr>
        <w:t> </w:t>
      </w:r>
      <w:r>
        <w:rPr/>
        <w:t>de1</w:t>
      </w:r>
      <w:r>
        <w:rPr>
          <w:spacing w:val="-20"/>
        </w:rPr>
        <w:t> </w:t>
      </w:r>
      <w:r>
        <w:rPr/>
        <w:t>kilómetro</w:t>
      </w:r>
      <w:r>
        <w:rPr>
          <w:spacing w:val="-16"/>
        </w:rPr>
        <w:t> </w:t>
      </w:r>
      <w:r>
        <w:rPr/>
        <w:t>de</w:t>
      </w:r>
      <w:r>
        <w:rPr>
          <w:spacing w:val="-15"/>
        </w:rPr>
        <w:t> </w:t>
      </w:r>
      <w:r>
        <w:rPr/>
        <w:t>estas</w:t>
      </w:r>
      <w:r>
        <w:rPr>
          <w:spacing w:val="-18"/>
        </w:rPr>
        <w:t> </w:t>
      </w:r>
      <w:r>
        <w:rPr/>
        <w:t>comunidades. Para el año 2009 todavía se reportaban lixiviados con níquel, cromo y mercurio, estimándose necesidad de trabajos de restauración hasta el año 2024 (Díaz,</w:t>
      </w:r>
      <w:r>
        <w:rPr>
          <w:spacing w:val="-21"/>
        </w:rPr>
        <w:t> </w:t>
      </w:r>
      <w:r>
        <w:rPr/>
        <w:t>2009).</w:t>
      </w:r>
    </w:p>
    <w:p>
      <w:pPr>
        <w:pStyle w:val="BodyText"/>
        <w:spacing w:line="364" w:lineRule="auto" w:before="201"/>
        <w:ind w:left="100" w:right="116"/>
        <w:jc w:val="both"/>
      </w:pPr>
      <w:r>
        <w:rPr/>
        <w:t>En la Figura 13 se observa la Quebrada o Río Azul, con su naciente en la ZPLC y coincidiendo con la ubicación del relleno. En el 2003, el Semanario Universidad reportó la presencia de varios de los metales pesados detectados en la quebrada (Cordero, 2003).</w:t>
      </w:r>
    </w:p>
    <w:p>
      <w:pPr>
        <w:spacing w:after="0" w:line="364" w:lineRule="auto"/>
        <w:jc w:val="both"/>
        <w:sectPr>
          <w:pgSz w:w="12240" w:h="15840"/>
          <w:pgMar w:header="0" w:footer="1330" w:top="1500" w:bottom="1580" w:left="1340" w:right="1320"/>
        </w:sectPr>
      </w:pPr>
    </w:p>
    <w:p>
      <w:pPr>
        <w:pStyle w:val="BodyText"/>
        <w:spacing w:before="6"/>
        <w:rPr>
          <w:sz w:val="9"/>
        </w:rPr>
      </w:pPr>
    </w:p>
    <w:p>
      <w:pPr>
        <w:pStyle w:val="BodyText"/>
        <w:ind w:left="2420"/>
        <w:rPr>
          <w:sz w:val="20"/>
        </w:rPr>
      </w:pPr>
      <w:r>
        <w:rPr>
          <w:sz w:val="20"/>
        </w:rPr>
        <w:drawing>
          <wp:inline distT="0" distB="0" distL="0" distR="0">
            <wp:extent cx="2982282" cy="3173729"/>
            <wp:effectExtent l="0" t="0" r="0" b="0"/>
            <wp:docPr id="35" name="image43.jpeg"/>
            <wp:cNvGraphicFramePr>
              <a:graphicFrameLocks noChangeAspect="1"/>
            </wp:cNvGraphicFramePr>
            <a:graphic>
              <a:graphicData uri="http://schemas.openxmlformats.org/drawingml/2006/picture">
                <pic:pic>
                  <pic:nvPicPr>
                    <pic:cNvPr id="36" name="image43.jpeg"/>
                    <pic:cNvPicPr/>
                  </pic:nvPicPr>
                  <pic:blipFill>
                    <a:blip r:embed="rId55" cstate="print"/>
                    <a:stretch>
                      <a:fillRect/>
                    </a:stretch>
                  </pic:blipFill>
                  <pic:spPr>
                    <a:xfrm>
                      <a:off x="0" y="0"/>
                      <a:ext cx="2982282" cy="3173729"/>
                    </a:xfrm>
                    <a:prstGeom prst="rect">
                      <a:avLst/>
                    </a:prstGeom>
                  </pic:spPr>
                </pic:pic>
              </a:graphicData>
            </a:graphic>
          </wp:inline>
        </w:drawing>
      </w:r>
      <w:r>
        <w:rPr>
          <w:sz w:val="20"/>
        </w:rPr>
      </w:r>
    </w:p>
    <w:p>
      <w:pPr>
        <w:pStyle w:val="BodyText"/>
        <w:spacing w:before="3"/>
        <w:rPr>
          <w:sz w:val="23"/>
        </w:rPr>
      </w:pPr>
    </w:p>
    <w:p>
      <w:pPr>
        <w:spacing w:before="94"/>
        <w:ind w:left="1661" w:right="499" w:hanging="1161"/>
        <w:jc w:val="left"/>
        <w:rPr>
          <w:i/>
          <w:sz w:val="20"/>
        </w:rPr>
      </w:pPr>
      <w:bookmarkStart w:name="_bookmark15" w:id="19"/>
      <w:bookmarkEnd w:id="19"/>
      <w:r>
        <w:rPr/>
      </w:r>
      <w:r>
        <w:rPr>
          <w:i/>
          <w:sz w:val="20"/>
        </w:rPr>
        <w:t>Figura 13 – Ubicación del Río o Quebrada Azul saliendo desde la Esquina Noroeste de la ZPLC. </w:t>
      </w:r>
      <w:r>
        <w:rPr>
          <w:i/>
          <w:sz w:val="20"/>
        </w:rPr>
        <w:t>Fuente: Modificado de Comisión Interinstitucional para la ZPLC (2012)</w:t>
      </w:r>
    </w:p>
    <w:p>
      <w:pPr>
        <w:pStyle w:val="BodyText"/>
        <w:rPr>
          <w:i/>
          <w:sz w:val="22"/>
        </w:rPr>
      </w:pPr>
    </w:p>
    <w:p>
      <w:pPr>
        <w:pStyle w:val="BodyText"/>
        <w:spacing w:before="2"/>
        <w:rPr>
          <w:i/>
        </w:rPr>
      </w:pPr>
    </w:p>
    <w:p>
      <w:pPr>
        <w:pStyle w:val="BodyText"/>
        <w:spacing w:line="360" w:lineRule="auto"/>
        <w:ind w:left="100" w:right="114"/>
        <w:jc w:val="both"/>
      </w:pPr>
      <w:r>
        <w:rPr/>
        <w:t>La misma tiene un tramo que se reportaba desbordando durante la temporada lluviosa, inundando varias casas y depositando sedimentos por todo el barrio. La investigación reportó un contenido de zinc de casi 1.000 partes por millón (ppm), cuando el umbral máximo es de 315 ppm, según normas internacionales que se tomaron de ejemplo de Canadá. Excepto dos puntos de muestreo, el resto estaba por encima de los valores de fondo de la concentración media de la corteza terrestre y arriba del umbral establecido por las normas que miden el efecto probable sobre la salud. En este sentido, al zinc se le achacan problemas neurológicos, desarrollo anormal del feto, y la eliminación de la vida acuática. Es posible que provenga de desechos de baterías. Asimismo reportaron niveles de contaminación moderada de vanadio y manganeso (Cordero, 2003).</w:t>
      </w:r>
    </w:p>
    <w:p>
      <w:pPr>
        <w:pStyle w:val="BodyText"/>
        <w:spacing w:line="360" w:lineRule="auto" w:before="202"/>
        <w:ind w:left="100" w:right="117"/>
        <w:jc w:val="both"/>
      </w:pPr>
      <w:r>
        <w:rPr/>
        <w:t>Los malos olores se convirtieron en un motivo de disgusto para las comunidades y definitivamente en un factor definitorio de su mala calidad de vida, afectando incluso los precios</w:t>
      </w:r>
      <w:r>
        <w:rPr>
          <w:spacing w:val="-2"/>
        </w:rPr>
        <w:t> </w:t>
      </w:r>
      <w:r>
        <w:rPr/>
        <w:t>de</w:t>
      </w:r>
      <w:r>
        <w:rPr>
          <w:spacing w:val="-8"/>
        </w:rPr>
        <w:t> </w:t>
      </w:r>
      <w:r>
        <w:rPr/>
        <w:t>las</w:t>
      </w:r>
      <w:r>
        <w:rPr>
          <w:spacing w:val="-6"/>
        </w:rPr>
        <w:t> </w:t>
      </w:r>
      <w:r>
        <w:rPr/>
        <w:t>casas</w:t>
      </w:r>
      <w:r>
        <w:rPr>
          <w:spacing w:val="-6"/>
        </w:rPr>
        <w:t> </w:t>
      </w:r>
      <w:r>
        <w:rPr/>
        <w:t>en</w:t>
      </w:r>
      <w:r>
        <w:rPr>
          <w:spacing w:val="-7"/>
        </w:rPr>
        <w:t> </w:t>
      </w:r>
      <w:r>
        <w:rPr/>
        <w:t>la</w:t>
      </w:r>
      <w:r>
        <w:rPr>
          <w:spacing w:val="-4"/>
        </w:rPr>
        <w:t> </w:t>
      </w:r>
      <w:r>
        <w:rPr/>
        <w:t>zona</w:t>
      </w:r>
      <w:r>
        <w:rPr>
          <w:spacing w:val="-4"/>
        </w:rPr>
        <w:t> </w:t>
      </w:r>
      <w:r>
        <w:rPr/>
        <w:t>negativamente</w:t>
      </w:r>
      <w:r>
        <w:rPr>
          <w:spacing w:val="-4"/>
        </w:rPr>
        <w:t> </w:t>
      </w:r>
      <w:r>
        <w:rPr/>
        <w:t>(Suárez</w:t>
      </w:r>
      <w:r>
        <w:rPr>
          <w:spacing w:val="-9"/>
        </w:rPr>
        <w:t> </w:t>
      </w:r>
      <w:r>
        <w:rPr/>
        <w:t>&amp;</w:t>
      </w:r>
      <w:r>
        <w:rPr>
          <w:spacing w:val="-6"/>
        </w:rPr>
        <w:t> </w:t>
      </w:r>
      <w:r>
        <w:rPr/>
        <w:t>Sequeira,</w:t>
      </w:r>
      <w:r>
        <w:rPr>
          <w:spacing w:val="-5"/>
        </w:rPr>
        <w:t> </w:t>
      </w:r>
      <w:r>
        <w:rPr/>
        <w:t>2000;</w:t>
      </w:r>
      <w:r>
        <w:rPr>
          <w:spacing w:val="-2"/>
        </w:rPr>
        <w:t> </w:t>
      </w:r>
      <w:r>
        <w:rPr/>
        <w:t>Mora</w:t>
      </w:r>
      <w:r>
        <w:rPr>
          <w:spacing w:val="-8"/>
        </w:rPr>
        <w:t> </w:t>
      </w:r>
      <w:r>
        <w:rPr/>
        <w:t>&amp;</w:t>
      </w:r>
      <w:r>
        <w:rPr>
          <w:spacing w:val="-5"/>
        </w:rPr>
        <w:t> </w:t>
      </w:r>
      <w:r>
        <w:rPr/>
        <w:t>Mora, 2003). El rechazo de las comunidades generó protestas hasta niveles de</w:t>
      </w:r>
      <w:r>
        <w:rPr>
          <w:spacing w:val="11"/>
        </w:rPr>
        <w:t> </w:t>
      </w:r>
      <w:r>
        <w:rPr/>
        <w:t>intensidad</w:t>
      </w:r>
    </w:p>
    <w:p>
      <w:pPr>
        <w:spacing w:after="0" w:line="360" w:lineRule="auto"/>
        <w:jc w:val="both"/>
        <w:sectPr>
          <w:pgSz w:w="12240" w:h="15840"/>
          <w:pgMar w:header="0" w:footer="1330" w:top="1500" w:bottom="1580" w:left="1340" w:right="1320"/>
        </w:sectPr>
      </w:pPr>
    </w:p>
    <w:p>
      <w:pPr>
        <w:pStyle w:val="BodyText"/>
        <w:spacing w:line="360" w:lineRule="auto" w:before="107"/>
        <w:ind w:left="100" w:right="114"/>
        <w:jc w:val="both"/>
      </w:pPr>
      <w:r>
        <w:rPr/>
        <w:t>significativos (incluyendo bloqueos y acciones legales) pidiendo el cierre del relleno, lo cual</w:t>
      </w:r>
      <w:r>
        <w:rPr>
          <w:spacing w:val="-6"/>
        </w:rPr>
        <w:t> </w:t>
      </w:r>
      <w:r>
        <w:rPr/>
        <w:t>lograron</w:t>
      </w:r>
      <w:r>
        <w:rPr>
          <w:spacing w:val="-2"/>
        </w:rPr>
        <w:t> </w:t>
      </w:r>
      <w:r>
        <w:rPr/>
        <w:t>en</w:t>
      </w:r>
      <w:r>
        <w:rPr>
          <w:spacing w:val="-7"/>
        </w:rPr>
        <w:t> </w:t>
      </w:r>
      <w:r>
        <w:rPr/>
        <w:t>el</w:t>
      </w:r>
      <w:r>
        <w:rPr>
          <w:spacing w:val="-5"/>
        </w:rPr>
        <w:t> </w:t>
      </w:r>
      <w:r>
        <w:rPr/>
        <w:t>año</w:t>
      </w:r>
      <w:r>
        <w:rPr>
          <w:spacing w:val="-6"/>
        </w:rPr>
        <w:t> </w:t>
      </w:r>
      <w:r>
        <w:rPr/>
        <w:t>2007</w:t>
      </w:r>
      <w:r>
        <w:rPr>
          <w:spacing w:val="-6"/>
        </w:rPr>
        <w:t> </w:t>
      </w:r>
      <w:r>
        <w:rPr/>
        <w:t>(Mora</w:t>
      </w:r>
      <w:r>
        <w:rPr>
          <w:spacing w:val="-6"/>
        </w:rPr>
        <w:t> </w:t>
      </w:r>
      <w:r>
        <w:rPr/>
        <w:t>&amp;</w:t>
      </w:r>
      <w:r>
        <w:rPr>
          <w:spacing w:val="-1"/>
        </w:rPr>
        <w:t> </w:t>
      </w:r>
      <w:r>
        <w:rPr/>
        <w:t>Mora,</w:t>
      </w:r>
      <w:r>
        <w:rPr>
          <w:spacing w:val="-3"/>
        </w:rPr>
        <w:t> </w:t>
      </w:r>
      <w:r>
        <w:rPr/>
        <w:t>2003).</w:t>
      </w:r>
      <w:r>
        <w:rPr>
          <w:spacing w:val="-4"/>
        </w:rPr>
        <w:t> </w:t>
      </w:r>
      <w:r>
        <w:rPr/>
        <w:t>Luego</w:t>
      </w:r>
      <w:r>
        <w:rPr>
          <w:spacing w:val="-2"/>
        </w:rPr>
        <w:t> </w:t>
      </w:r>
      <w:r>
        <w:rPr/>
        <w:t>de</w:t>
      </w:r>
      <w:r>
        <w:rPr>
          <w:spacing w:val="-6"/>
        </w:rPr>
        <w:t> </w:t>
      </w:r>
      <w:r>
        <w:rPr/>
        <w:t>ese</w:t>
      </w:r>
      <w:r>
        <w:rPr>
          <w:spacing w:val="-7"/>
        </w:rPr>
        <w:t> </w:t>
      </w:r>
      <w:r>
        <w:rPr/>
        <w:t>cierre</w:t>
      </w:r>
      <w:r>
        <w:rPr>
          <w:spacing w:val="-4"/>
        </w:rPr>
        <w:t> </w:t>
      </w:r>
      <w:r>
        <w:rPr/>
        <w:t>el</w:t>
      </w:r>
      <w:r>
        <w:rPr>
          <w:spacing w:val="-6"/>
        </w:rPr>
        <w:t> </w:t>
      </w:r>
      <w:r>
        <w:rPr/>
        <w:t>relleno</w:t>
      </w:r>
      <w:r>
        <w:rPr>
          <w:spacing w:val="-6"/>
        </w:rPr>
        <w:t> </w:t>
      </w:r>
      <w:r>
        <w:rPr/>
        <w:t>es</w:t>
      </w:r>
      <w:r>
        <w:rPr>
          <w:spacing w:val="-4"/>
        </w:rPr>
        <w:t> </w:t>
      </w:r>
      <w:r>
        <w:rPr/>
        <w:t>aún un componente significativo del paisaje en la ZPLC conforme lo ilustra la Figura 14. Puede verse en el modelo tridimensional generado recientemente (Gutiérrez, et al., 2015), con el delineamiento aproximado de la ZPLC, que la línea de vista desde el noroeste y norte incluirá en espacios importantes la combinación del relleno y de las comunidades que se formaron alrededor del</w:t>
      </w:r>
      <w:r>
        <w:rPr>
          <w:spacing w:val="3"/>
        </w:rPr>
        <w:t> </w:t>
      </w:r>
      <w:r>
        <w:rPr/>
        <w:t>mismo.</w:t>
      </w:r>
    </w:p>
    <w:p>
      <w:pPr>
        <w:pStyle w:val="BodyText"/>
        <w:spacing w:before="3"/>
        <w:rPr>
          <w:sz w:val="14"/>
        </w:rPr>
      </w:pPr>
      <w:r>
        <w:rPr/>
        <w:drawing>
          <wp:anchor distT="0" distB="0" distL="0" distR="0" allowOverlap="1" layoutInCell="1" locked="0" behindDoc="0" simplePos="0" relativeHeight="46">
            <wp:simplePos x="0" y="0"/>
            <wp:positionH relativeFrom="page">
              <wp:posOffset>1491614</wp:posOffset>
            </wp:positionH>
            <wp:positionV relativeFrom="paragraph">
              <wp:posOffset>129061</wp:posOffset>
            </wp:positionV>
            <wp:extent cx="4773143" cy="3007042"/>
            <wp:effectExtent l="0" t="0" r="0" b="0"/>
            <wp:wrapTopAndBottom/>
            <wp:docPr id="37" name="image44.jpeg"/>
            <wp:cNvGraphicFramePr>
              <a:graphicFrameLocks noChangeAspect="1"/>
            </wp:cNvGraphicFramePr>
            <a:graphic>
              <a:graphicData uri="http://schemas.openxmlformats.org/drawingml/2006/picture">
                <pic:pic>
                  <pic:nvPicPr>
                    <pic:cNvPr id="38" name="image44.jpeg"/>
                    <pic:cNvPicPr/>
                  </pic:nvPicPr>
                  <pic:blipFill>
                    <a:blip r:embed="rId56" cstate="print"/>
                    <a:stretch>
                      <a:fillRect/>
                    </a:stretch>
                  </pic:blipFill>
                  <pic:spPr>
                    <a:xfrm>
                      <a:off x="0" y="0"/>
                      <a:ext cx="4773143" cy="3007042"/>
                    </a:xfrm>
                    <a:prstGeom prst="rect">
                      <a:avLst/>
                    </a:prstGeom>
                  </pic:spPr>
                </pic:pic>
              </a:graphicData>
            </a:graphic>
          </wp:anchor>
        </w:drawing>
      </w:r>
    </w:p>
    <w:p>
      <w:pPr>
        <w:pStyle w:val="BodyText"/>
        <w:rPr>
          <w:sz w:val="28"/>
        </w:rPr>
      </w:pPr>
    </w:p>
    <w:p>
      <w:pPr>
        <w:spacing w:line="242" w:lineRule="auto" w:before="0"/>
        <w:ind w:left="142" w:right="158" w:firstLine="0"/>
        <w:jc w:val="center"/>
        <w:rPr>
          <w:i/>
          <w:sz w:val="20"/>
        </w:rPr>
      </w:pPr>
      <w:bookmarkStart w:name="_bookmark16" w:id="20"/>
      <w:bookmarkEnd w:id="20"/>
      <w:r>
        <w:rPr/>
      </w:r>
      <w:r>
        <w:rPr>
          <w:i/>
          <w:sz w:val="20"/>
        </w:rPr>
        <w:t>Figura 14- Modelo Tridimensional del Relleno Sanitario de Río Azul con la ZPLC Delineada y </w:t>
      </w:r>
      <w:r>
        <w:rPr>
          <w:i/>
          <w:sz w:val="20"/>
        </w:rPr>
        <w:t>Comunidades que se Extienden dentro de la ZP.</w:t>
      </w:r>
    </w:p>
    <w:p>
      <w:pPr>
        <w:spacing w:line="225" w:lineRule="exact" w:before="0"/>
        <w:ind w:left="142" w:right="162" w:firstLine="0"/>
        <w:jc w:val="center"/>
        <w:rPr>
          <w:i/>
          <w:sz w:val="20"/>
        </w:rPr>
      </w:pPr>
      <w:r>
        <w:rPr>
          <w:i/>
          <w:sz w:val="20"/>
        </w:rPr>
        <w:t>Fuente: Modificado de Gutiérrez, et al., 2015.</w:t>
      </w:r>
    </w:p>
    <w:p>
      <w:pPr>
        <w:pStyle w:val="BodyText"/>
        <w:spacing w:before="10"/>
        <w:rPr>
          <w:i/>
          <w:sz w:val="27"/>
        </w:rPr>
      </w:pPr>
    </w:p>
    <w:p>
      <w:pPr>
        <w:pStyle w:val="BodyText"/>
        <w:spacing w:line="360" w:lineRule="auto"/>
        <w:ind w:left="100" w:right="115"/>
        <w:jc w:val="both"/>
      </w:pPr>
      <w:r>
        <w:rPr/>
        <w:t>Otro factor que atrajo población fue la posibilidad de invadir tierras de propiedad pública en la zona que dejaron de ser deseables en razón de la presencia del relleno y de un leprosario</w:t>
      </w:r>
      <w:r>
        <w:rPr>
          <w:spacing w:val="-12"/>
        </w:rPr>
        <w:t> </w:t>
      </w:r>
      <w:r>
        <w:rPr/>
        <w:t>que</w:t>
      </w:r>
      <w:r>
        <w:rPr>
          <w:spacing w:val="-12"/>
        </w:rPr>
        <w:t> </w:t>
      </w:r>
      <w:r>
        <w:rPr/>
        <w:t>mantuvo</w:t>
      </w:r>
      <w:r>
        <w:rPr>
          <w:spacing w:val="-16"/>
        </w:rPr>
        <w:t> </w:t>
      </w:r>
      <w:r>
        <w:rPr/>
        <w:t>por</w:t>
      </w:r>
      <w:r>
        <w:rPr>
          <w:spacing w:val="-14"/>
        </w:rPr>
        <w:t> </w:t>
      </w:r>
      <w:r>
        <w:rPr/>
        <w:t>muchos</w:t>
      </w:r>
      <w:r>
        <w:rPr>
          <w:spacing w:val="-14"/>
        </w:rPr>
        <w:t> </w:t>
      </w:r>
      <w:r>
        <w:rPr/>
        <w:t>años</w:t>
      </w:r>
      <w:r>
        <w:rPr>
          <w:spacing w:val="-14"/>
        </w:rPr>
        <w:t> </w:t>
      </w:r>
      <w:r>
        <w:rPr/>
        <w:t>el</w:t>
      </w:r>
      <w:r>
        <w:rPr>
          <w:spacing w:val="-11"/>
        </w:rPr>
        <w:t> </w:t>
      </w:r>
      <w:r>
        <w:rPr/>
        <w:t>Ministerio</w:t>
      </w:r>
      <w:r>
        <w:rPr>
          <w:spacing w:val="-15"/>
        </w:rPr>
        <w:t> </w:t>
      </w:r>
      <w:r>
        <w:rPr/>
        <w:t>de</w:t>
      </w:r>
      <w:r>
        <w:rPr>
          <w:spacing w:val="-16"/>
        </w:rPr>
        <w:t> </w:t>
      </w:r>
      <w:r>
        <w:rPr/>
        <w:t>Salud</w:t>
      </w:r>
      <w:r>
        <w:rPr>
          <w:spacing w:val="-16"/>
        </w:rPr>
        <w:t> </w:t>
      </w:r>
      <w:r>
        <w:rPr/>
        <w:t>en</w:t>
      </w:r>
      <w:r>
        <w:rPr>
          <w:spacing w:val="-16"/>
        </w:rPr>
        <w:t> </w:t>
      </w:r>
      <w:r>
        <w:rPr/>
        <w:t>lo</w:t>
      </w:r>
      <w:r>
        <w:rPr>
          <w:spacing w:val="-15"/>
        </w:rPr>
        <w:t> </w:t>
      </w:r>
      <w:r>
        <w:rPr/>
        <w:t>que</w:t>
      </w:r>
      <w:r>
        <w:rPr>
          <w:spacing w:val="-16"/>
        </w:rPr>
        <w:t> </w:t>
      </w:r>
      <w:r>
        <w:rPr/>
        <w:t>hoy</w:t>
      </w:r>
      <w:r>
        <w:rPr>
          <w:spacing w:val="-18"/>
        </w:rPr>
        <w:t> </w:t>
      </w:r>
      <w:r>
        <w:rPr/>
        <w:t>es</w:t>
      </w:r>
      <w:r>
        <w:rPr>
          <w:spacing w:val="-14"/>
        </w:rPr>
        <w:t> </w:t>
      </w:r>
      <w:r>
        <w:rPr/>
        <w:t>Tirrases (Cruz Roja Costarricense, 2004). Así, de acuerdo con datos del Ministerio de Vivienda y Asentamientos Humanos (MIVAH)</w:t>
      </w:r>
      <w:r>
        <w:rPr>
          <w:position w:val="8"/>
          <w:sz w:val="16"/>
        </w:rPr>
        <w:t>14</w:t>
      </w:r>
      <w:r>
        <w:rPr/>
        <w:t>, en el caso de los asentamientos informales de Linda Vista/Loma Gobierno, San Diego Entrada al Monte y Pueblo Nuevo fueron fundados</w:t>
      </w:r>
      <w:r>
        <w:rPr>
          <w:spacing w:val="14"/>
        </w:rPr>
        <w:t> </w:t>
      </w:r>
      <w:r>
        <w:rPr/>
        <w:t>entre</w:t>
      </w:r>
      <w:r>
        <w:rPr>
          <w:spacing w:val="12"/>
        </w:rPr>
        <w:t> </w:t>
      </w:r>
      <w:r>
        <w:rPr/>
        <w:t>1979</w:t>
      </w:r>
      <w:r>
        <w:rPr>
          <w:spacing w:val="12"/>
        </w:rPr>
        <w:t> </w:t>
      </w:r>
      <w:r>
        <w:rPr/>
        <w:t>y</w:t>
      </w:r>
      <w:r>
        <w:rPr>
          <w:spacing w:val="10"/>
        </w:rPr>
        <w:t> </w:t>
      </w:r>
      <w:r>
        <w:rPr/>
        <w:t>1986</w:t>
      </w:r>
      <w:r>
        <w:rPr>
          <w:spacing w:val="13"/>
        </w:rPr>
        <w:t> </w:t>
      </w:r>
      <w:r>
        <w:rPr/>
        <w:t>en</w:t>
      </w:r>
      <w:r>
        <w:rPr>
          <w:spacing w:val="12"/>
        </w:rPr>
        <w:t> </w:t>
      </w:r>
      <w:r>
        <w:rPr/>
        <w:t>fincas</w:t>
      </w:r>
      <w:r>
        <w:rPr>
          <w:spacing w:val="14"/>
        </w:rPr>
        <w:t> </w:t>
      </w:r>
      <w:r>
        <w:rPr/>
        <w:t>del</w:t>
      </w:r>
      <w:r>
        <w:rPr>
          <w:spacing w:val="12"/>
        </w:rPr>
        <w:t> </w:t>
      </w:r>
      <w:r>
        <w:rPr/>
        <w:t>Ministerio</w:t>
      </w:r>
      <w:r>
        <w:rPr>
          <w:spacing w:val="12"/>
        </w:rPr>
        <w:t> </w:t>
      </w:r>
      <w:r>
        <w:rPr/>
        <w:t>de</w:t>
      </w:r>
      <w:r>
        <w:rPr>
          <w:spacing w:val="12"/>
        </w:rPr>
        <w:t> </w:t>
      </w:r>
      <w:r>
        <w:rPr/>
        <w:t>Salud,</w:t>
      </w:r>
      <w:r>
        <w:rPr>
          <w:spacing w:val="14"/>
        </w:rPr>
        <w:t> </w:t>
      </w:r>
      <w:r>
        <w:rPr/>
        <w:t>MOPT</w:t>
      </w:r>
      <w:r>
        <w:rPr>
          <w:spacing w:val="19"/>
        </w:rPr>
        <w:t> </w:t>
      </w:r>
      <w:r>
        <w:rPr/>
        <w:t>y</w:t>
      </w:r>
      <w:r>
        <w:rPr>
          <w:spacing w:val="10"/>
        </w:rPr>
        <w:t> </w:t>
      </w:r>
      <w:r>
        <w:rPr/>
        <w:t>del</w:t>
      </w:r>
      <w:r>
        <w:rPr>
          <w:spacing w:val="11"/>
        </w:rPr>
        <w:t> </w:t>
      </w:r>
      <w:r>
        <w:rPr/>
        <w:t>INVU.</w:t>
      </w:r>
      <w:r>
        <w:rPr>
          <w:spacing w:val="42"/>
        </w:rPr>
        <w:t> </w:t>
      </w:r>
      <w:r>
        <w:rPr/>
        <w:t>En</w:t>
      </w:r>
    </w:p>
    <w:p>
      <w:pPr>
        <w:pStyle w:val="BodyText"/>
        <w:spacing w:before="2"/>
        <w:rPr>
          <w:sz w:val="12"/>
        </w:rPr>
      </w:pPr>
      <w:r>
        <w:rPr/>
        <w:pict>
          <v:rect style="position:absolute;margin-left:72.025002pt;margin-top:8.99288pt;width:144.050pt;height:.60004pt;mso-position-horizontal-relative:page;mso-position-vertical-relative:paragraph;z-index:-15704576;mso-wrap-distance-left:0;mso-wrap-distance-right:0" filled="true" fillcolor="#000000" stroked="false">
            <v:fill type="solid"/>
            <w10:wrap type="topAndBottom"/>
          </v:rect>
        </w:pict>
      </w:r>
    </w:p>
    <w:p>
      <w:pPr>
        <w:spacing w:before="71"/>
        <w:ind w:left="100" w:right="0" w:firstLine="0"/>
        <w:jc w:val="left"/>
        <w:rPr>
          <w:sz w:val="20"/>
        </w:rPr>
      </w:pPr>
      <w:r>
        <w:rPr>
          <w:sz w:val="20"/>
          <w:vertAlign w:val="superscript"/>
        </w:rPr>
        <w:t>14</w:t>
      </w:r>
      <w:r>
        <w:rPr>
          <w:sz w:val="20"/>
          <w:vertAlign w:val="baseline"/>
        </w:rPr>
        <w:t> Disponibles en </w:t>
      </w:r>
      <w:hyperlink r:id="rId57">
        <w:r>
          <w:rPr>
            <w:color w:val="0000FF"/>
            <w:sz w:val="20"/>
            <w:u w:val="single" w:color="0000FF"/>
            <w:vertAlign w:val="baseline"/>
          </w:rPr>
          <w:t>https://www.mivah.go.cr/Documentos/precarios/</w:t>
        </w:r>
        <w:r>
          <w:rPr>
            <w:color w:val="0000FF"/>
            <w:sz w:val="20"/>
            <w:vertAlign w:val="baseline"/>
          </w:rPr>
          <w:t> </w:t>
        </w:r>
      </w:hyperlink>
      <w:r>
        <w:rPr>
          <w:sz w:val="20"/>
          <w:vertAlign w:val="baseline"/>
        </w:rPr>
        <w:t>.</w:t>
      </w:r>
    </w:p>
    <w:p>
      <w:pPr>
        <w:spacing w:after="0"/>
        <w:jc w:val="left"/>
        <w:rPr>
          <w:sz w:val="20"/>
        </w:rPr>
        <w:sectPr>
          <w:pgSz w:w="12240" w:h="15840"/>
          <w:pgMar w:header="0" w:footer="1330" w:top="1500" w:bottom="1520" w:left="1340" w:right="1320"/>
        </w:sectPr>
      </w:pPr>
    </w:p>
    <w:p>
      <w:pPr>
        <w:pStyle w:val="BodyText"/>
        <w:spacing w:line="360" w:lineRule="auto" w:before="107"/>
        <w:ind w:left="100" w:right="117"/>
        <w:jc w:val="both"/>
      </w:pPr>
      <w:r>
        <w:rPr/>
        <w:t>otros, como el caso del asentamiento de San Vicente (1973) fue fundado en tierras de las</w:t>
      </w:r>
      <w:r>
        <w:rPr>
          <w:spacing w:val="-17"/>
        </w:rPr>
        <w:t> </w:t>
      </w:r>
      <w:r>
        <w:rPr/>
        <w:t>Damas</w:t>
      </w:r>
      <w:r>
        <w:rPr>
          <w:spacing w:val="-16"/>
        </w:rPr>
        <w:t> </w:t>
      </w:r>
      <w:r>
        <w:rPr/>
        <w:t>Vicentinas</w:t>
      </w:r>
      <w:r>
        <w:rPr>
          <w:spacing w:val="-17"/>
        </w:rPr>
        <w:t> </w:t>
      </w:r>
      <w:r>
        <w:rPr/>
        <w:t>de</w:t>
      </w:r>
      <w:r>
        <w:rPr>
          <w:spacing w:val="-18"/>
        </w:rPr>
        <w:t> </w:t>
      </w:r>
      <w:r>
        <w:rPr/>
        <w:t>la</w:t>
      </w:r>
      <w:r>
        <w:rPr>
          <w:spacing w:val="-18"/>
        </w:rPr>
        <w:t> </w:t>
      </w:r>
      <w:r>
        <w:rPr/>
        <w:t>Caridad.</w:t>
      </w:r>
      <w:r>
        <w:rPr>
          <w:spacing w:val="-15"/>
        </w:rPr>
        <w:t> </w:t>
      </w:r>
      <w:r>
        <w:rPr/>
        <w:t>Todos</w:t>
      </w:r>
      <w:r>
        <w:rPr>
          <w:spacing w:val="-17"/>
        </w:rPr>
        <w:t> </w:t>
      </w:r>
      <w:r>
        <w:rPr/>
        <w:t>los</w:t>
      </w:r>
      <w:r>
        <w:rPr>
          <w:spacing w:val="-16"/>
        </w:rPr>
        <w:t> </w:t>
      </w:r>
      <w:r>
        <w:rPr/>
        <w:t>terrenos</w:t>
      </w:r>
      <w:r>
        <w:rPr>
          <w:spacing w:val="-16"/>
        </w:rPr>
        <w:t> </w:t>
      </w:r>
      <w:r>
        <w:rPr/>
        <w:t>son</w:t>
      </w:r>
      <w:r>
        <w:rPr>
          <w:spacing w:val="-19"/>
        </w:rPr>
        <w:t> </w:t>
      </w:r>
      <w:r>
        <w:rPr/>
        <w:t>de</w:t>
      </w:r>
      <w:r>
        <w:rPr>
          <w:spacing w:val="-18"/>
        </w:rPr>
        <w:t> </w:t>
      </w:r>
      <w:r>
        <w:rPr/>
        <w:t>fuertes</w:t>
      </w:r>
      <w:r>
        <w:rPr>
          <w:spacing w:val="-16"/>
        </w:rPr>
        <w:t> </w:t>
      </w:r>
      <w:r>
        <w:rPr/>
        <w:t>pendientes,</w:t>
      </w:r>
      <w:r>
        <w:rPr>
          <w:spacing w:val="-15"/>
        </w:rPr>
        <w:t> </w:t>
      </w:r>
      <w:r>
        <w:rPr/>
        <w:t>tienen problemas de deslizamientos o se encuentran en las áreas de protección de los</w:t>
      </w:r>
      <w:r>
        <w:rPr>
          <w:spacing w:val="-26"/>
        </w:rPr>
        <w:t> </w:t>
      </w:r>
      <w:r>
        <w:rPr/>
        <w:t>ríos.</w:t>
      </w:r>
    </w:p>
    <w:p>
      <w:pPr>
        <w:pStyle w:val="BodyText"/>
        <w:spacing w:line="360" w:lineRule="auto" w:before="203"/>
        <w:ind w:left="100" w:right="115"/>
        <w:jc w:val="both"/>
      </w:pPr>
      <w:r>
        <w:rPr/>
        <w:t>En el año 2011 se aprueba el Plan de Manejo de la ZPLC, producto de un proceso participativo</w:t>
      </w:r>
      <w:r>
        <w:rPr>
          <w:spacing w:val="-5"/>
        </w:rPr>
        <w:t> </w:t>
      </w:r>
      <w:r>
        <w:rPr/>
        <w:t>con</w:t>
      </w:r>
      <w:r>
        <w:rPr>
          <w:spacing w:val="-5"/>
        </w:rPr>
        <w:t> </w:t>
      </w:r>
      <w:r>
        <w:rPr/>
        <w:t>apoyo</w:t>
      </w:r>
      <w:r>
        <w:rPr>
          <w:spacing w:val="-4"/>
        </w:rPr>
        <w:t> </w:t>
      </w:r>
      <w:r>
        <w:rPr/>
        <w:t>significativo</w:t>
      </w:r>
      <w:r>
        <w:rPr>
          <w:spacing w:val="-5"/>
        </w:rPr>
        <w:t> </w:t>
      </w:r>
      <w:r>
        <w:rPr/>
        <w:t>de</w:t>
      </w:r>
      <w:r>
        <w:rPr>
          <w:spacing w:val="-5"/>
        </w:rPr>
        <w:t> </w:t>
      </w:r>
      <w:r>
        <w:rPr/>
        <w:t>grupos</w:t>
      </w:r>
      <w:r>
        <w:rPr>
          <w:spacing w:val="-2"/>
        </w:rPr>
        <w:t> </w:t>
      </w:r>
      <w:r>
        <w:rPr/>
        <w:t>organizados</w:t>
      </w:r>
      <w:r>
        <w:rPr>
          <w:spacing w:val="-3"/>
        </w:rPr>
        <w:t> </w:t>
      </w:r>
      <w:r>
        <w:rPr/>
        <w:t>sobre</w:t>
      </w:r>
      <w:r>
        <w:rPr>
          <w:spacing w:val="-5"/>
        </w:rPr>
        <w:t> </w:t>
      </w:r>
      <w:r>
        <w:rPr/>
        <w:t>todo</w:t>
      </w:r>
      <w:r>
        <w:rPr>
          <w:spacing w:val="-4"/>
        </w:rPr>
        <w:t> </w:t>
      </w:r>
      <w:r>
        <w:rPr/>
        <w:t>del</w:t>
      </w:r>
      <w:r>
        <w:rPr>
          <w:spacing w:val="-5"/>
        </w:rPr>
        <w:t> </w:t>
      </w:r>
      <w:r>
        <w:rPr/>
        <w:t>Cantón</w:t>
      </w:r>
      <w:r>
        <w:rPr>
          <w:spacing w:val="-5"/>
        </w:rPr>
        <w:t> </w:t>
      </w:r>
      <w:r>
        <w:rPr/>
        <w:t>de</w:t>
      </w:r>
      <w:r>
        <w:rPr>
          <w:spacing w:val="-4"/>
        </w:rPr>
        <w:t> </w:t>
      </w:r>
      <w:r>
        <w:rPr/>
        <w:t>La Unión, junto con representantes del SINAC y de otras entidades. El plan adopta varias estrategias innovadoras. Entre ellas se puede citar un sistema mezclado de</w:t>
      </w:r>
      <w:r>
        <w:rPr>
          <w:spacing w:val="-40"/>
        </w:rPr>
        <w:t> </w:t>
      </w:r>
      <w:r>
        <w:rPr/>
        <w:t>zonificación general</w:t>
      </w:r>
      <w:r>
        <w:rPr>
          <w:spacing w:val="-8"/>
        </w:rPr>
        <w:t> </w:t>
      </w:r>
      <w:r>
        <w:rPr/>
        <w:t>y</w:t>
      </w:r>
      <w:r>
        <w:rPr>
          <w:spacing w:val="-15"/>
        </w:rPr>
        <w:t> </w:t>
      </w:r>
      <w:r>
        <w:rPr/>
        <w:t>de</w:t>
      </w:r>
      <w:r>
        <w:rPr>
          <w:spacing w:val="-8"/>
        </w:rPr>
        <w:t> </w:t>
      </w:r>
      <w:r>
        <w:rPr/>
        <w:t>zonificación</w:t>
      </w:r>
      <w:r>
        <w:rPr>
          <w:spacing w:val="-13"/>
        </w:rPr>
        <w:t> </w:t>
      </w:r>
      <w:r>
        <w:rPr/>
        <w:t>por</w:t>
      </w:r>
      <w:r>
        <w:rPr>
          <w:spacing w:val="-10"/>
        </w:rPr>
        <w:t> </w:t>
      </w:r>
      <w:r>
        <w:rPr/>
        <w:t>sitios</w:t>
      </w:r>
      <w:r>
        <w:rPr>
          <w:spacing w:val="-10"/>
        </w:rPr>
        <w:t> </w:t>
      </w:r>
      <w:r>
        <w:rPr/>
        <w:t>con</w:t>
      </w:r>
      <w:r>
        <w:rPr>
          <w:spacing w:val="-9"/>
        </w:rPr>
        <w:t> </w:t>
      </w:r>
      <w:r>
        <w:rPr/>
        <w:t>el</w:t>
      </w:r>
      <w:r>
        <w:rPr>
          <w:spacing w:val="-11"/>
        </w:rPr>
        <w:t> </w:t>
      </w:r>
      <w:r>
        <w:rPr/>
        <w:t>fin</w:t>
      </w:r>
      <w:r>
        <w:rPr>
          <w:spacing w:val="-13"/>
        </w:rPr>
        <w:t> </w:t>
      </w:r>
      <w:r>
        <w:rPr/>
        <w:t>de</w:t>
      </w:r>
      <w:r>
        <w:rPr>
          <w:spacing w:val="-12"/>
        </w:rPr>
        <w:t> </w:t>
      </w:r>
      <w:r>
        <w:rPr/>
        <w:t>adaptar</w:t>
      </w:r>
      <w:r>
        <w:rPr>
          <w:spacing w:val="-11"/>
        </w:rPr>
        <w:t> </w:t>
      </w:r>
      <w:r>
        <w:rPr/>
        <w:t>las</w:t>
      </w:r>
      <w:r>
        <w:rPr>
          <w:spacing w:val="-10"/>
        </w:rPr>
        <w:t> </w:t>
      </w:r>
      <w:r>
        <w:rPr/>
        <w:t>limitaciones</w:t>
      </w:r>
      <w:r>
        <w:rPr>
          <w:spacing w:val="-11"/>
        </w:rPr>
        <w:t> </w:t>
      </w:r>
      <w:r>
        <w:rPr/>
        <w:t>de</w:t>
      </w:r>
      <w:r>
        <w:rPr>
          <w:spacing w:val="-12"/>
        </w:rPr>
        <w:t> </w:t>
      </w:r>
      <w:r>
        <w:rPr/>
        <w:t>ordenamiento territorial</w:t>
      </w:r>
      <w:r>
        <w:rPr>
          <w:spacing w:val="-12"/>
        </w:rPr>
        <w:t> </w:t>
      </w:r>
      <w:r>
        <w:rPr/>
        <w:t>al</w:t>
      </w:r>
      <w:r>
        <w:rPr>
          <w:spacing w:val="-15"/>
        </w:rPr>
        <w:t> </w:t>
      </w:r>
      <w:r>
        <w:rPr/>
        <w:t>complejo</w:t>
      </w:r>
      <w:r>
        <w:rPr>
          <w:spacing w:val="-8"/>
        </w:rPr>
        <w:t> </w:t>
      </w:r>
      <w:r>
        <w:rPr/>
        <w:t>mosaico</w:t>
      </w:r>
      <w:r>
        <w:rPr>
          <w:spacing w:val="-12"/>
        </w:rPr>
        <w:t> </w:t>
      </w:r>
      <w:r>
        <w:rPr/>
        <w:t>de</w:t>
      </w:r>
      <w:r>
        <w:rPr>
          <w:spacing w:val="-16"/>
        </w:rPr>
        <w:t> </w:t>
      </w:r>
      <w:r>
        <w:rPr/>
        <w:t>tenencia</w:t>
      </w:r>
      <w:r>
        <w:rPr>
          <w:spacing w:val="-12"/>
        </w:rPr>
        <w:t> </w:t>
      </w:r>
      <w:r>
        <w:rPr/>
        <w:t>de</w:t>
      </w:r>
      <w:r>
        <w:rPr>
          <w:spacing w:val="-15"/>
        </w:rPr>
        <w:t> </w:t>
      </w:r>
      <w:r>
        <w:rPr/>
        <w:t>la</w:t>
      </w:r>
      <w:r>
        <w:rPr>
          <w:spacing w:val="-12"/>
        </w:rPr>
        <w:t> </w:t>
      </w:r>
      <w:r>
        <w:rPr/>
        <w:t>zona.</w:t>
      </w:r>
      <w:r>
        <w:rPr>
          <w:spacing w:val="-8"/>
        </w:rPr>
        <w:t> </w:t>
      </w:r>
      <w:r>
        <w:rPr/>
        <w:t>Se</w:t>
      </w:r>
      <w:r>
        <w:rPr>
          <w:spacing w:val="-12"/>
        </w:rPr>
        <w:t> </w:t>
      </w:r>
      <w:r>
        <w:rPr/>
        <w:t>designa</w:t>
      </w:r>
      <w:r>
        <w:rPr>
          <w:spacing w:val="-16"/>
        </w:rPr>
        <w:t> </w:t>
      </w:r>
      <w:r>
        <w:rPr/>
        <w:t>la</w:t>
      </w:r>
      <w:r>
        <w:rPr>
          <w:spacing w:val="-16"/>
        </w:rPr>
        <w:t> </w:t>
      </w:r>
      <w:r>
        <w:rPr/>
        <w:t>finca</w:t>
      </w:r>
      <w:r>
        <w:rPr>
          <w:spacing w:val="-15"/>
        </w:rPr>
        <w:t> </w:t>
      </w:r>
      <w:r>
        <w:rPr/>
        <w:t>como</w:t>
      </w:r>
      <w:r>
        <w:rPr>
          <w:spacing w:val="-12"/>
        </w:rPr>
        <w:t> </w:t>
      </w:r>
      <w:r>
        <w:rPr/>
        <w:t>la</w:t>
      </w:r>
      <w:r>
        <w:rPr>
          <w:spacing w:val="-12"/>
        </w:rPr>
        <w:t> </w:t>
      </w:r>
      <w:r>
        <w:rPr/>
        <w:t>unidad mínima de territorio para el manejo. El Plan de Manejo y su zonificación establecen directrices de carácter general. Para un efectivo cumplimiento de los objetivos de la ZPLC, se requiere un manejo al nivel de la finca, en donde cada propietario toma las decisiones de uso de su territorio y puede incorporar las normativas de la zonificación general (Comisión Interinstitucional para la Zona Protectora Cerros de La Carpintera, 2012).</w:t>
      </w:r>
    </w:p>
    <w:p>
      <w:pPr>
        <w:pStyle w:val="BodyText"/>
        <w:spacing w:line="360" w:lineRule="auto" w:before="201"/>
        <w:ind w:left="100" w:right="123"/>
        <w:jc w:val="both"/>
      </w:pPr>
      <w:r>
        <w:rPr/>
        <w:t>Se define un área de influencia inmediata en las comunidades y territorios inmediatos alrededor</w:t>
      </w:r>
      <w:r>
        <w:rPr>
          <w:spacing w:val="-12"/>
        </w:rPr>
        <w:t> </w:t>
      </w:r>
      <w:r>
        <w:rPr/>
        <w:t>del</w:t>
      </w:r>
      <w:r>
        <w:rPr>
          <w:spacing w:val="-12"/>
        </w:rPr>
        <w:t> </w:t>
      </w:r>
      <w:r>
        <w:rPr/>
        <w:t>límite</w:t>
      </w:r>
      <w:r>
        <w:rPr>
          <w:spacing w:val="-13"/>
        </w:rPr>
        <w:t> </w:t>
      </w:r>
      <w:r>
        <w:rPr/>
        <w:t>exterior</w:t>
      </w:r>
      <w:r>
        <w:rPr>
          <w:spacing w:val="-11"/>
        </w:rPr>
        <w:t> </w:t>
      </w:r>
      <w:r>
        <w:rPr/>
        <w:t>de</w:t>
      </w:r>
      <w:r>
        <w:rPr>
          <w:spacing w:val="-14"/>
        </w:rPr>
        <w:t> </w:t>
      </w:r>
      <w:r>
        <w:rPr/>
        <w:t>la</w:t>
      </w:r>
      <w:r>
        <w:rPr>
          <w:spacing w:val="-13"/>
        </w:rPr>
        <w:t> </w:t>
      </w:r>
      <w:r>
        <w:rPr/>
        <w:t>ZPLC</w:t>
      </w:r>
      <w:r>
        <w:rPr>
          <w:spacing w:val="-12"/>
        </w:rPr>
        <w:t> </w:t>
      </w:r>
      <w:r>
        <w:rPr/>
        <w:t>en</w:t>
      </w:r>
      <w:r>
        <w:rPr>
          <w:spacing w:val="-13"/>
        </w:rPr>
        <w:t> </w:t>
      </w:r>
      <w:r>
        <w:rPr/>
        <w:t>donde,</w:t>
      </w:r>
      <w:r>
        <w:rPr>
          <w:spacing w:val="-10"/>
        </w:rPr>
        <w:t> </w:t>
      </w:r>
      <w:r>
        <w:rPr/>
        <w:t>por</w:t>
      </w:r>
      <w:r>
        <w:rPr>
          <w:spacing w:val="-12"/>
        </w:rPr>
        <w:t> </w:t>
      </w:r>
      <w:r>
        <w:rPr/>
        <w:t>su</w:t>
      </w:r>
      <w:r>
        <w:rPr>
          <w:spacing w:val="-13"/>
        </w:rPr>
        <w:t> </w:t>
      </w:r>
      <w:r>
        <w:rPr/>
        <w:t>cercanía,</w:t>
      </w:r>
      <w:r>
        <w:rPr>
          <w:spacing w:val="-10"/>
        </w:rPr>
        <w:t> </w:t>
      </w:r>
      <w:r>
        <w:rPr/>
        <w:t>las</w:t>
      </w:r>
      <w:r>
        <w:rPr>
          <w:spacing w:val="-11"/>
        </w:rPr>
        <w:t> </w:t>
      </w:r>
      <w:r>
        <w:rPr/>
        <w:t>actividades</w:t>
      </w:r>
      <w:r>
        <w:rPr>
          <w:spacing w:val="-8"/>
        </w:rPr>
        <w:t> </w:t>
      </w:r>
      <w:r>
        <w:rPr/>
        <w:t>y</w:t>
      </w:r>
      <w:r>
        <w:rPr>
          <w:spacing w:val="-15"/>
        </w:rPr>
        <w:t> </w:t>
      </w:r>
      <w:r>
        <w:rPr/>
        <w:t>usos que se desarrollan en ellos tienen un efecto directo sobre la dinámica interna del área protegida.</w:t>
      </w:r>
      <w:r>
        <w:rPr>
          <w:spacing w:val="-18"/>
        </w:rPr>
        <w:t> </w:t>
      </w:r>
      <w:r>
        <w:rPr/>
        <w:t>En</w:t>
      </w:r>
      <w:r>
        <w:rPr>
          <w:spacing w:val="-21"/>
        </w:rPr>
        <w:t> </w:t>
      </w:r>
      <w:r>
        <w:rPr/>
        <w:t>esta</w:t>
      </w:r>
      <w:r>
        <w:rPr>
          <w:spacing w:val="-16"/>
        </w:rPr>
        <w:t> </w:t>
      </w:r>
      <w:r>
        <w:rPr/>
        <w:t>área</w:t>
      </w:r>
      <w:r>
        <w:rPr>
          <w:spacing w:val="-20"/>
        </w:rPr>
        <w:t> </w:t>
      </w:r>
      <w:r>
        <w:rPr/>
        <w:t>se</w:t>
      </w:r>
      <w:r>
        <w:rPr>
          <w:spacing w:val="-19"/>
        </w:rPr>
        <w:t> </w:t>
      </w:r>
      <w:r>
        <w:rPr/>
        <w:t>buscan</w:t>
      </w:r>
      <w:r>
        <w:rPr>
          <w:spacing w:val="-20"/>
        </w:rPr>
        <w:t> </w:t>
      </w:r>
      <w:r>
        <w:rPr/>
        <w:t>alianzas</w:t>
      </w:r>
      <w:r>
        <w:rPr>
          <w:spacing w:val="-18"/>
        </w:rPr>
        <w:t> </w:t>
      </w:r>
      <w:r>
        <w:rPr/>
        <w:t>estratégicas</w:t>
      </w:r>
      <w:r>
        <w:rPr>
          <w:spacing w:val="-19"/>
        </w:rPr>
        <w:t> </w:t>
      </w:r>
      <w:r>
        <w:rPr/>
        <w:t>con</w:t>
      </w:r>
      <w:r>
        <w:rPr>
          <w:spacing w:val="-20"/>
        </w:rPr>
        <w:t> </w:t>
      </w:r>
      <w:r>
        <w:rPr/>
        <w:t>gobiernos</w:t>
      </w:r>
      <w:r>
        <w:rPr>
          <w:spacing w:val="-19"/>
        </w:rPr>
        <w:t> </w:t>
      </w:r>
      <w:r>
        <w:rPr/>
        <w:t>locales,</w:t>
      </w:r>
      <w:r>
        <w:rPr>
          <w:spacing w:val="-17"/>
        </w:rPr>
        <w:t> </w:t>
      </w:r>
      <w:r>
        <w:rPr/>
        <w:t>entidades estatales, comunidades y propietarios privados, para coordinar acciones conjuntas que coadyuven</w:t>
      </w:r>
      <w:r>
        <w:rPr>
          <w:spacing w:val="-5"/>
        </w:rPr>
        <w:t> </w:t>
      </w:r>
      <w:r>
        <w:rPr/>
        <w:t>a</w:t>
      </w:r>
      <w:r>
        <w:rPr>
          <w:spacing w:val="-4"/>
        </w:rPr>
        <w:t> </w:t>
      </w:r>
      <w:r>
        <w:rPr/>
        <w:t>la</w:t>
      </w:r>
      <w:r>
        <w:rPr>
          <w:spacing w:val="-5"/>
        </w:rPr>
        <w:t> </w:t>
      </w:r>
      <w:r>
        <w:rPr/>
        <w:t>conservación</w:t>
      </w:r>
      <w:r>
        <w:rPr>
          <w:spacing w:val="-4"/>
        </w:rPr>
        <w:t> </w:t>
      </w:r>
      <w:r>
        <w:rPr/>
        <w:t>de</w:t>
      </w:r>
      <w:r>
        <w:rPr>
          <w:spacing w:val="-5"/>
        </w:rPr>
        <w:t> </w:t>
      </w:r>
      <w:r>
        <w:rPr/>
        <w:t>la</w:t>
      </w:r>
      <w:r>
        <w:rPr>
          <w:spacing w:val="-4"/>
        </w:rPr>
        <w:t> </w:t>
      </w:r>
      <w:r>
        <w:rPr/>
        <w:t>ZP.</w:t>
      </w:r>
      <w:r>
        <w:rPr>
          <w:spacing w:val="-3"/>
        </w:rPr>
        <w:t> </w:t>
      </w:r>
      <w:r>
        <w:rPr/>
        <w:t>Por</w:t>
      </w:r>
      <w:r>
        <w:rPr>
          <w:spacing w:val="-2"/>
        </w:rPr>
        <w:t> </w:t>
      </w:r>
      <w:r>
        <w:rPr/>
        <w:t>ejemplo,</w:t>
      </w:r>
      <w:r>
        <w:rPr>
          <w:spacing w:val="-3"/>
        </w:rPr>
        <w:t> </w:t>
      </w:r>
      <w:r>
        <w:rPr/>
        <w:t>el</w:t>
      </w:r>
      <w:r>
        <w:rPr>
          <w:spacing w:val="-4"/>
        </w:rPr>
        <w:t> </w:t>
      </w:r>
      <w:r>
        <w:rPr/>
        <w:t>programa</w:t>
      </w:r>
      <w:r>
        <w:rPr>
          <w:spacing w:val="-5"/>
        </w:rPr>
        <w:t> </w:t>
      </w:r>
      <w:r>
        <w:rPr/>
        <w:t>de</w:t>
      </w:r>
      <w:r>
        <w:rPr>
          <w:spacing w:val="-4"/>
        </w:rPr>
        <w:t> </w:t>
      </w:r>
      <w:r>
        <w:rPr/>
        <w:t>gestión</w:t>
      </w:r>
      <w:r>
        <w:rPr>
          <w:spacing w:val="-1"/>
        </w:rPr>
        <w:t> </w:t>
      </w:r>
      <w:r>
        <w:rPr/>
        <w:t>comunitaria y</w:t>
      </w:r>
      <w:r>
        <w:rPr>
          <w:spacing w:val="-19"/>
        </w:rPr>
        <w:t> </w:t>
      </w:r>
      <w:r>
        <w:rPr/>
        <w:t>educación</w:t>
      </w:r>
      <w:r>
        <w:rPr>
          <w:spacing w:val="-16"/>
        </w:rPr>
        <w:t> </w:t>
      </w:r>
      <w:r>
        <w:rPr/>
        <w:t>ambiental</w:t>
      </w:r>
      <w:r>
        <w:rPr>
          <w:spacing w:val="-15"/>
        </w:rPr>
        <w:t> </w:t>
      </w:r>
      <w:r>
        <w:rPr/>
        <w:t>debe</w:t>
      </w:r>
      <w:r>
        <w:rPr>
          <w:spacing w:val="-16"/>
        </w:rPr>
        <w:t> </w:t>
      </w:r>
      <w:r>
        <w:rPr/>
        <w:t>enfocar</w:t>
      </w:r>
      <w:r>
        <w:rPr>
          <w:spacing w:val="-15"/>
        </w:rPr>
        <w:t> </w:t>
      </w:r>
      <w:r>
        <w:rPr/>
        <w:t>esfuerzos</w:t>
      </w:r>
      <w:r>
        <w:rPr>
          <w:spacing w:val="-14"/>
        </w:rPr>
        <w:t> </w:t>
      </w:r>
      <w:r>
        <w:rPr/>
        <w:t>de</w:t>
      </w:r>
      <w:r>
        <w:rPr>
          <w:spacing w:val="-17"/>
        </w:rPr>
        <w:t> </w:t>
      </w:r>
      <w:r>
        <w:rPr/>
        <w:t>educación</w:t>
      </w:r>
      <w:r>
        <w:rPr>
          <w:spacing w:val="-16"/>
        </w:rPr>
        <w:t> </w:t>
      </w:r>
      <w:r>
        <w:rPr/>
        <w:t>ambiental</w:t>
      </w:r>
      <w:r>
        <w:rPr>
          <w:spacing w:val="-15"/>
        </w:rPr>
        <w:t> </w:t>
      </w:r>
      <w:r>
        <w:rPr/>
        <w:t>en</w:t>
      </w:r>
      <w:r>
        <w:rPr>
          <w:spacing w:val="-16"/>
        </w:rPr>
        <w:t> </w:t>
      </w:r>
      <w:r>
        <w:rPr/>
        <w:t>esta</w:t>
      </w:r>
      <w:r>
        <w:rPr>
          <w:spacing w:val="-17"/>
        </w:rPr>
        <w:t> </w:t>
      </w:r>
      <w:r>
        <w:rPr/>
        <w:t>área</w:t>
      </w:r>
      <w:r>
        <w:rPr>
          <w:spacing w:val="-16"/>
        </w:rPr>
        <w:t> </w:t>
      </w:r>
      <w:r>
        <w:rPr/>
        <w:t>para desarrollar conocimientos, valores, capacidades y cultura ambiental de los actores locales (Comisión Interinstitucional para la Zona Protectora Cerros de La Carpintera, 2012).</w:t>
      </w:r>
    </w:p>
    <w:p>
      <w:pPr>
        <w:pStyle w:val="BodyText"/>
        <w:spacing w:line="360" w:lineRule="auto" w:before="201"/>
        <w:ind w:left="100" w:right="115"/>
        <w:jc w:val="both"/>
      </w:pPr>
      <w:r>
        <w:rPr/>
        <w:t>Asimismo, el Plan de Manejo recurre a lo establecido en el Decreto 25902-MIVAH-MP- MINAE de 12 de febrero de 1997 para regular las áreas que clasifica como Zonas de Asentamientos</w:t>
      </w:r>
      <w:r>
        <w:rPr>
          <w:spacing w:val="-11"/>
        </w:rPr>
        <w:t> </w:t>
      </w:r>
      <w:r>
        <w:rPr/>
        <w:t>Humanos</w:t>
      </w:r>
      <w:r>
        <w:rPr>
          <w:spacing w:val="-11"/>
        </w:rPr>
        <w:t> </w:t>
      </w:r>
      <w:r>
        <w:rPr/>
        <w:t>(ZAH).</w:t>
      </w:r>
      <w:r>
        <w:rPr>
          <w:spacing w:val="-10"/>
        </w:rPr>
        <w:t> </w:t>
      </w:r>
      <w:r>
        <w:rPr/>
        <w:t>Estas</w:t>
      </w:r>
      <w:r>
        <w:rPr>
          <w:spacing w:val="-11"/>
        </w:rPr>
        <w:t> </w:t>
      </w:r>
      <w:r>
        <w:rPr/>
        <w:t>regulaciones</w:t>
      </w:r>
      <w:r>
        <w:rPr>
          <w:spacing w:val="-11"/>
        </w:rPr>
        <w:t> </w:t>
      </w:r>
      <w:r>
        <w:rPr/>
        <w:t>establecen</w:t>
      </w:r>
      <w:r>
        <w:rPr>
          <w:spacing w:val="-12"/>
        </w:rPr>
        <w:t> </w:t>
      </w:r>
      <w:r>
        <w:rPr/>
        <w:t>la</w:t>
      </w:r>
      <w:r>
        <w:rPr>
          <w:spacing w:val="-13"/>
        </w:rPr>
        <w:t> </w:t>
      </w:r>
      <w:r>
        <w:rPr/>
        <w:t>prohibición</w:t>
      </w:r>
      <w:r>
        <w:rPr>
          <w:spacing w:val="-13"/>
        </w:rPr>
        <w:t> </w:t>
      </w:r>
      <w:r>
        <w:rPr/>
        <w:t>de</w:t>
      </w:r>
      <w:r>
        <w:rPr>
          <w:spacing w:val="-12"/>
        </w:rPr>
        <w:t> </w:t>
      </w:r>
      <w:r>
        <w:rPr/>
        <w:t>nuevas urbanizaciones</w:t>
      </w:r>
      <w:r>
        <w:rPr>
          <w:spacing w:val="16"/>
        </w:rPr>
        <w:t> </w:t>
      </w:r>
      <w:r>
        <w:rPr/>
        <w:t>y</w:t>
      </w:r>
      <w:r>
        <w:rPr>
          <w:spacing w:val="13"/>
        </w:rPr>
        <w:t> </w:t>
      </w:r>
      <w:r>
        <w:rPr/>
        <w:t>de</w:t>
      </w:r>
      <w:r>
        <w:rPr>
          <w:spacing w:val="14"/>
        </w:rPr>
        <w:t> </w:t>
      </w:r>
      <w:r>
        <w:rPr/>
        <w:t>fraccionamientos</w:t>
      </w:r>
      <w:r>
        <w:rPr>
          <w:spacing w:val="19"/>
        </w:rPr>
        <w:t> </w:t>
      </w:r>
      <w:r>
        <w:rPr/>
        <w:t>menores</w:t>
      </w:r>
      <w:r>
        <w:rPr>
          <w:spacing w:val="16"/>
        </w:rPr>
        <w:t> </w:t>
      </w:r>
      <w:r>
        <w:rPr/>
        <w:t>a</w:t>
      </w:r>
      <w:r>
        <w:rPr>
          <w:spacing w:val="14"/>
        </w:rPr>
        <w:t> </w:t>
      </w:r>
      <w:r>
        <w:rPr/>
        <w:t>cinco</w:t>
      </w:r>
      <w:r>
        <w:rPr>
          <w:spacing w:val="14"/>
        </w:rPr>
        <w:t> </w:t>
      </w:r>
      <w:r>
        <w:rPr/>
        <w:t>hectáreas.</w:t>
      </w:r>
      <w:r>
        <w:rPr>
          <w:spacing w:val="17"/>
        </w:rPr>
        <w:t> </w:t>
      </w:r>
      <w:r>
        <w:rPr/>
        <w:t>Específicamente</w:t>
      </w:r>
      <w:r>
        <w:rPr>
          <w:spacing w:val="14"/>
        </w:rPr>
        <w:t> </w:t>
      </w:r>
      <w:r>
        <w:rPr/>
        <w:t>se</w:t>
      </w:r>
    </w:p>
    <w:p>
      <w:pPr>
        <w:spacing w:after="0" w:line="360" w:lineRule="auto"/>
        <w:jc w:val="both"/>
        <w:sectPr>
          <w:pgSz w:w="12240" w:h="15840"/>
          <w:pgMar w:header="0" w:footer="1330" w:top="1500" w:bottom="1580" w:left="1340" w:right="1320"/>
        </w:sectPr>
      </w:pPr>
    </w:p>
    <w:p>
      <w:pPr>
        <w:pStyle w:val="BodyText"/>
        <w:spacing w:line="360" w:lineRule="auto" w:before="107"/>
        <w:ind w:left="100" w:right="116"/>
        <w:jc w:val="both"/>
      </w:pPr>
      <w:r>
        <w:rPr/>
        <w:t>establece</w:t>
      </w:r>
      <w:r>
        <w:rPr>
          <w:spacing w:val="-13"/>
        </w:rPr>
        <w:t> </w:t>
      </w:r>
      <w:r>
        <w:rPr/>
        <w:t>que</w:t>
      </w:r>
      <w:r>
        <w:rPr>
          <w:spacing w:val="-12"/>
        </w:rPr>
        <w:t> </w:t>
      </w:r>
      <w:r>
        <w:rPr/>
        <w:t>sólo</w:t>
      </w:r>
      <w:r>
        <w:rPr>
          <w:spacing w:val="-13"/>
        </w:rPr>
        <w:t> </w:t>
      </w:r>
      <w:r>
        <w:rPr/>
        <w:t>se</w:t>
      </w:r>
      <w:r>
        <w:rPr>
          <w:spacing w:val="-12"/>
        </w:rPr>
        <w:t> </w:t>
      </w:r>
      <w:r>
        <w:rPr/>
        <w:t>permite</w:t>
      </w:r>
      <w:r>
        <w:rPr>
          <w:spacing w:val="-13"/>
        </w:rPr>
        <w:t> </w:t>
      </w:r>
      <w:r>
        <w:rPr/>
        <w:t>en</w:t>
      </w:r>
      <w:r>
        <w:rPr>
          <w:spacing w:val="-12"/>
        </w:rPr>
        <w:t> </w:t>
      </w:r>
      <w:r>
        <w:rPr/>
        <w:t>estas</w:t>
      </w:r>
      <w:r>
        <w:rPr>
          <w:spacing w:val="-11"/>
        </w:rPr>
        <w:t> </w:t>
      </w:r>
      <w:r>
        <w:rPr/>
        <w:t>áreas</w:t>
      </w:r>
      <w:r>
        <w:rPr>
          <w:spacing w:val="-10"/>
        </w:rPr>
        <w:t> </w:t>
      </w:r>
      <w:r>
        <w:rPr/>
        <w:t>una</w:t>
      </w:r>
      <w:r>
        <w:rPr>
          <w:spacing w:val="-13"/>
        </w:rPr>
        <w:t> </w:t>
      </w:r>
      <w:r>
        <w:rPr/>
        <w:t>vivienda</w:t>
      </w:r>
      <w:r>
        <w:rPr>
          <w:spacing w:val="-12"/>
        </w:rPr>
        <w:t> </w:t>
      </w:r>
      <w:r>
        <w:rPr/>
        <w:t>por</w:t>
      </w:r>
      <w:r>
        <w:rPr>
          <w:spacing w:val="-11"/>
        </w:rPr>
        <w:t> </w:t>
      </w:r>
      <w:r>
        <w:rPr/>
        <w:t>inmueble</w:t>
      </w:r>
      <w:r>
        <w:rPr>
          <w:spacing w:val="-12"/>
        </w:rPr>
        <w:t> </w:t>
      </w:r>
      <w:r>
        <w:rPr/>
        <w:t>y</w:t>
      </w:r>
      <w:r>
        <w:rPr>
          <w:spacing w:val="-15"/>
        </w:rPr>
        <w:t> </w:t>
      </w:r>
      <w:r>
        <w:rPr/>
        <w:t>las</w:t>
      </w:r>
      <w:r>
        <w:rPr>
          <w:spacing w:val="-10"/>
        </w:rPr>
        <w:t> </w:t>
      </w:r>
      <w:r>
        <w:rPr/>
        <w:t>necesarias para servicios, las relacionadas a la actividad agrícola y clubes campestres. El plan designa ésta como una zona meta para educación ambiental y se habla de trabajar en incorporar otros criterios de ordenamiento y de tratamiento de desechos. Se identifica expresamente los asentamientos ilegales como una de las mayores amenazas para la ZP. Se establece que el límite entre esta zona y las tierras circundantes deben de ser prioridad</w:t>
      </w:r>
      <w:r>
        <w:rPr>
          <w:spacing w:val="-18"/>
        </w:rPr>
        <w:t> </w:t>
      </w:r>
      <w:r>
        <w:rPr/>
        <w:t>para</w:t>
      </w:r>
      <w:r>
        <w:rPr>
          <w:spacing w:val="-20"/>
        </w:rPr>
        <w:t> </w:t>
      </w:r>
      <w:r>
        <w:rPr/>
        <w:t>el</w:t>
      </w:r>
      <w:r>
        <w:rPr>
          <w:spacing w:val="-20"/>
        </w:rPr>
        <w:t> </w:t>
      </w:r>
      <w:r>
        <w:rPr/>
        <w:t>programa</w:t>
      </w:r>
      <w:r>
        <w:rPr>
          <w:spacing w:val="-21"/>
        </w:rPr>
        <w:t> </w:t>
      </w:r>
      <w:r>
        <w:rPr/>
        <w:t>de</w:t>
      </w:r>
      <w:r>
        <w:rPr>
          <w:spacing w:val="-21"/>
        </w:rPr>
        <w:t> </w:t>
      </w:r>
      <w:r>
        <w:rPr/>
        <w:t>control</w:t>
      </w:r>
      <w:r>
        <w:rPr>
          <w:spacing w:val="-16"/>
        </w:rPr>
        <w:t> </w:t>
      </w:r>
      <w:r>
        <w:rPr/>
        <w:t>y</w:t>
      </w:r>
      <w:r>
        <w:rPr>
          <w:spacing w:val="-19"/>
        </w:rPr>
        <w:t> </w:t>
      </w:r>
      <w:r>
        <w:rPr/>
        <w:t>protección,</w:t>
      </w:r>
      <w:r>
        <w:rPr>
          <w:spacing w:val="-18"/>
        </w:rPr>
        <w:t> </w:t>
      </w:r>
      <w:r>
        <w:rPr/>
        <w:t>para</w:t>
      </w:r>
      <w:r>
        <w:rPr>
          <w:spacing w:val="-21"/>
        </w:rPr>
        <w:t> </w:t>
      </w:r>
      <w:r>
        <w:rPr/>
        <w:t>definir</w:t>
      </w:r>
      <w:r>
        <w:rPr>
          <w:spacing w:val="-15"/>
        </w:rPr>
        <w:t> </w:t>
      </w:r>
      <w:r>
        <w:rPr/>
        <w:t>una</w:t>
      </w:r>
      <w:r>
        <w:rPr>
          <w:spacing w:val="-21"/>
        </w:rPr>
        <w:t> </w:t>
      </w:r>
      <w:r>
        <w:rPr/>
        <w:t>estrategia</w:t>
      </w:r>
      <w:r>
        <w:rPr>
          <w:spacing w:val="-17"/>
        </w:rPr>
        <w:t> </w:t>
      </w:r>
      <w:r>
        <w:rPr/>
        <w:t>que</w:t>
      </w:r>
      <w:r>
        <w:rPr>
          <w:spacing w:val="-21"/>
        </w:rPr>
        <w:t> </w:t>
      </w:r>
      <w:r>
        <w:rPr/>
        <w:t>permita frenar</w:t>
      </w:r>
      <w:r>
        <w:rPr>
          <w:spacing w:val="-14"/>
        </w:rPr>
        <w:t> </w:t>
      </w:r>
      <w:r>
        <w:rPr/>
        <w:t>el</w:t>
      </w:r>
      <w:r>
        <w:rPr>
          <w:spacing w:val="-15"/>
        </w:rPr>
        <w:t> </w:t>
      </w:r>
      <w:r>
        <w:rPr/>
        <w:t>avance</w:t>
      </w:r>
      <w:r>
        <w:rPr>
          <w:spacing w:val="-16"/>
        </w:rPr>
        <w:t> </w:t>
      </w:r>
      <w:r>
        <w:rPr/>
        <w:t>de</w:t>
      </w:r>
      <w:r>
        <w:rPr>
          <w:spacing w:val="-16"/>
        </w:rPr>
        <w:t> </w:t>
      </w:r>
      <w:r>
        <w:rPr/>
        <w:t>caseríos</w:t>
      </w:r>
      <w:r>
        <w:rPr>
          <w:spacing w:val="-14"/>
        </w:rPr>
        <w:t> </w:t>
      </w:r>
      <w:r>
        <w:rPr/>
        <w:t>ilegales</w:t>
      </w:r>
      <w:r>
        <w:rPr>
          <w:spacing w:val="-14"/>
        </w:rPr>
        <w:t> </w:t>
      </w:r>
      <w:r>
        <w:rPr/>
        <w:t>hacia</w:t>
      </w:r>
      <w:r>
        <w:rPr>
          <w:spacing w:val="-16"/>
        </w:rPr>
        <w:t> </w:t>
      </w:r>
      <w:r>
        <w:rPr/>
        <w:t>el</w:t>
      </w:r>
      <w:r>
        <w:rPr>
          <w:spacing w:val="-11"/>
        </w:rPr>
        <w:t> </w:t>
      </w:r>
      <w:r>
        <w:rPr/>
        <w:t>interior</w:t>
      </w:r>
      <w:r>
        <w:rPr>
          <w:spacing w:val="-14"/>
        </w:rPr>
        <w:t> </w:t>
      </w:r>
      <w:r>
        <w:rPr/>
        <w:t>de</w:t>
      </w:r>
      <w:r>
        <w:rPr>
          <w:spacing w:val="-16"/>
        </w:rPr>
        <w:t> </w:t>
      </w:r>
      <w:r>
        <w:rPr/>
        <w:t>la</w:t>
      </w:r>
      <w:r>
        <w:rPr>
          <w:spacing w:val="-16"/>
        </w:rPr>
        <w:t> </w:t>
      </w:r>
      <w:r>
        <w:rPr/>
        <w:t>ZPLC.</w:t>
      </w:r>
      <w:r>
        <w:rPr>
          <w:spacing w:val="-13"/>
        </w:rPr>
        <w:t> </w:t>
      </w:r>
      <w:r>
        <w:rPr/>
        <w:t>Asimismo,</w:t>
      </w:r>
      <w:r>
        <w:rPr>
          <w:spacing w:val="-13"/>
        </w:rPr>
        <w:t> </w:t>
      </w:r>
      <w:r>
        <w:rPr/>
        <w:t>se</w:t>
      </w:r>
      <w:r>
        <w:rPr>
          <w:spacing w:val="-9"/>
        </w:rPr>
        <w:t> </w:t>
      </w:r>
      <w:r>
        <w:rPr/>
        <w:t>establece que la compra de tierras para la conservación deberá dirigirse prioritariamente a los límites de esta zona. Como acciones orientadoras del plan se establecieron: 1) desarrollar un diagnóstico de estas áreas para orientar los programas de manejo, 2) desarrollar urgentemente una estrategia para la protección de las tierras circundantes a los asentamientos humanos, de tal forma que se frenase la expansión de caseríos ilegales y las invasiones en fincas, 3) Promover el trabajo con propietarios en las tierras circundantes para fortalecer el control y la protección, incrementando la sensibilización ambiental y la capacidad técnica y 4) promover la compra de tierras mediante un fideicomiso creado al efecto (Comisión Interinstitucional para la Zona Protectora Cerros de La Carpintera,</w:t>
      </w:r>
      <w:r>
        <w:rPr>
          <w:spacing w:val="-2"/>
        </w:rPr>
        <w:t> </w:t>
      </w:r>
      <w:r>
        <w:rPr/>
        <w:t>2012).</w:t>
      </w:r>
    </w:p>
    <w:p>
      <w:pPr>
        <w:pStyle w:val="BodyText"/>
        <w:spacing w:line="360" w:lineRule="auto" w:before="203"/>
        <w:ind w:left="100" w:right="121"/>
        <w:jc w:val="both"/>
      </w:pPr>
      <w:r>
        <w:rPr/>
        <w:t>Conforme puede observarse el enfoque adoptado por el Plan de Manejo frente a estas comunidades</w:t>
      </w:r>
      <w:r>
        <w:rPr>
          <w:spacing w:val="-19"/>
        </w:rPr>
        <w:t> </w:t>
      </w:r>
      <w:r>
        <w:rPr/>
        <w:t>es</w:t>
      </w:r>
      <w:r>
        <w:rPr>
          <w:spacing w:val="-19"/>
        </w:rPr>
        <w:t> </w:t>
      </w:r>
      <w:r>
        <w:rPr/>
        <w:t>un</w:t>
      </w:r>
      <w:r>
        <w:rPr>
          <w:spacing w:val="-21"/>
        </w:rPr>
        <w:t> </w:t>
      </w:r>
      <w:r>
        <w:rPr/>
        <w:t>enfoque</w:t>
      </w:r>
      <w:r>
        <w:rPr>
          <w:spacing w:val="-17"/>
        </w:rPr>
        <w:t> </w:t>
      </w:r>
      <w:r>
        <w:rPr/>
        <w:t>de</w:t>
      </w:r>
      <w:r>
        <w:rPr>
          <w:spacing w:val="-21"/>
        </w:rPr>
        <w:t> </w:t>
      </w:r>
      <w:r>
        <w:rPr/>
        <w:t>exclusión,</w:t>
      </w:r>
      <w:r>
        <w:rPr>
          <w:spacing w:val="-18"/>
        </w:rPr>
        <w:t> </w:t>
      </w:r>
      <w:r>
        <w:rPr/>
        <w:t>compra</w:t>
      </w:r>
      <w:r>
        <w:rPr>
          <w:spacing w:val="-17"/>
        </w:rPr>
        <w:t> </w:t>
      </w:r>
      <w:r>
        <w:rPr/>
        <w:t>y</w:t>
      </w:r>
      <w:r>
        <w:rPr>
          <w:spacing w:val="-22"/>
        </w:rPr>
        <w:t> </w:t>
      </w:r>
      <w:r>
        <w:rPr/>
        <w:t>regulación</w:t>
      </w:r>
      <w:r>
        <w:rPr>
          <w:spacing w:val="-21"/>
        </w:rPr>
        <w:t> </w:t>
      </w:r>
      <w:r>
        <w:rPr/>
        <w:t>fuerte,</w:t>
      </w:r>
      <w:r>
        <w:rPr>
          <w:spacing w:val="-18"/>
        </w:rPr>
        <w:t> </w:t>
      </w:r>
      <w:r>
        <w:rPr/>
        <w:t>fundamentalmente mediante control y vigilancia, con la sola excepción de las acciones de educación ambiental.</w:t>
      </w:r>
    </w:p>
    <w:p>
      <w:pPr>
        <w:pStyle w:val="BodyText"/>
        <w:spacing w:line="360" w:lineRule="auto" w:before="200"/>
        <w:ind w:left="100" w:right="118"/>
        <w:jc w:val="both"/>
      </w:pPr>
      <w:r>
        <w:rPr/>
        <w:t>Desafortunadamente, a pesar de que el Plan de Manejo representa el proceso de La Carpintera como un proceso participativo, los vecinos de estas comunidades manifestaron, durante los procesos de recolección de datos para esta investigación, ausencia de participación, información o contacto de parte de las autoridades de</w:t>
      </w:r>
      <w:r>
        <w:rPr>
          <w:spacing w:val="-47"/>
        </w:rPr>
        <w:t> </w:t>
      </w:r>
      <w:r>
        <w:rPr/>
        <w:t>SINAC para la aprobación o implementación de este instrumento de gestión. Aseguran que no se les</w:t>
      </w:r>
      <w:r>
        <w:rPr>
          <w:spacing w:val="-1"/>
        </w:rPr>
        <w:t> </w:t>
      </w:r>
      <w:r>
        <w:rPr/>
        <w:t>invitó.</w:t>
      </w:r>
    </w:p>
    <w:p>
      <w:pPr>
        <w:spacing w:after="0" w:line="360" w:lineRule="auto"/>
        <w:jc w:val="both"/>
        <w:sectPr>
          <w:pgSz w:w="12240" w:h="15840"/>
          <w:pgMar w:header="0" w:footer="1330" w:top="1500" w:bottom="1580" w:left="1340" w:right="1320"/>
        </w:sectPr>
      </w:pPr>
    </w:p>
    <w:p>
      <w:pPr>
        <w:pStyle w:val="BodyText"/>
        <w:spacing w:line="360" w:lineRule="auto" w:before="107"/>
        <w:ind w:left="100" w:right="115"/>
        <w:jc w:val="both"/>
      </w:pPr>
      <w:r>
        <w:rPr/>
        <w:t>En sesiones de las instancias de gestión del Plan de Manejo, el autor ha tenido experiencia</w:t>
      </w:r>
      <w:r>
        <w:rPr>
          <w:spacing w:val="-7"/>
        </w:rPr>
        <w:t> </w:t>
      </w:r>
      <w:r>
        <w:rPr/>
        <w:t>de</w:t>
      </w:r>
      <w:r>
        <w:rPr>
          <w:spacing w:val="-7"/>
        </w:rPr>
        <w:t> </w:t>
      </w:r>
      <w:r>
        <w:rPr/>
        <w:t>primera</w:t>
      </w:r>
      <w:r>
        <w:rPr>
          <w:spacing w:val="-4"/>
        </w:rPr>
        <w:t> </w:t>
      </w:r>
      <w:r>
        <w:rPr/>
        <w:t>mano</w:t>
      </w:r>
      <w:r>
        <w:rPr>
          <w:spacing w:val="-7"/>
        </w:rPr>
        <w:t> </w:t>
      </w:r>
      <w:r>
        <w:rPr/>
        <w:t>con</w:t>
      </w:r>
      <w:r>
        <w:rPr>
          <w:spacing w:val="-4"/>
        </w:rPr>
        <w:t> </w:t>
      </w:r>
      <w:r>
        <w:rPr/>
        <w:t>la</w:t>
      </w:r>
      <w:r>
        <w:rPr>
          <w:spacing w:val="-7"/>
        </w:rPr>
        <w:t> </w:t>
      </w:r>
      <w:r>
        <w:rPr/>
        <w:t>tensión</w:t>
      </w:r>
      <w:r>
        <w:rPr>
          <w:spacing w:val="-3"/>
        </w:rPr>
        <w:t> </w:t>
      </w:r>
      <w:r>
        <w:rPr/>
        <w:t>que</w:t>
      </w:r>
      <w:r>
        <w:rPr>
          <w:spacing w:val="-7"/>
        </w:rPr>
        <w:t> </w:t>
      </w:r>
      <w:r>
        <w:rPr/>
        <w:t>existe</w:t>
      </w:r>
      <w:r>
        <w:rPr>
          <w:spacing w:val="-3"/>
        </w:rPr>
        <w:t> </w:t>
      </w:r>
      <w:r>
        <w:rPr/>
        <w:t>hacia</w:t>
      </w:r>
      <w:r>
        <w:rPr>
          <w:spacing w:val="-4"/>
        </w:rPr>
        <w:t> </w:t>
      </w:r>
      <w:r>
        <w:rPr/>
        <w:t>estas</w:t>
      </w:r>
      <w:r>
        <w:rPr>
          <w:spacing w:val="-5"/>
        </w:rPr>
        <w:t> </w:t>
      </w:r>
      <w:r>
        <w:rPr/>
        <w:t>comunidades</w:t>
      </w:r>
      <w:r>
        <w:rPr>
          <w:spacing w:val="-4"/>
        </w:rPr>
        <w:t> </w:t>
      </w:r>
      <w:r>
        <w:rPr/>
        <w:t>pobres y</w:t>
      </w:r>
      <w:r>
        <w:rPr>
          <w:spacing w:val="-15"/>
        </w:rPr>
        <w:t> </w:t>
      </w:r>
      <w:r>
        <w:rPr/>
        <w:t>el</w:t>
      </w:r>
      <w:r>
        <w:rPr>
          <w:spacing w:val="-11"/>
        </w:rPr>
        <w:t> </w:t>
      </w:r>
      <w:r>
        <w:rPr/>
        <w:t>escepticismo</w:t>
      </w:r>
      <w:r>
        <w:rPr>
          <w:spacing w:val="-11"/>
        </w:rPr>
        <w:t> </w:t>
      </w:r>
      <w:r>
        <w:rPr/>
        <w:t>hacia</w:t>
      </w:r>
      <w:r>
        <w:rPr>
          <w:spacing w:val="-13"/>
        </w:rPr>
        <w:t> </w:t>
      </w:r>
      <w:r>
        <w:rPr/>
        <w:t>su</w:t>
      </w:r>
      <w:r>
        <w:rPr>
          <w:spacing w:val="-12"/>
        </w:rPr>
        <w:t> </w:t>
      </w:r>
      <w:r>
        <w:rPr/>
        <w:t>interés</w:t>
      </w:r>
      <w:r>
        <w:rPr>
          <w:spacing w:val="-10"/>
        </w:rPr>
        <w:t> </w:t>
      </w:r>
      <w:r>
        <w:rPr/>
        <w:t>en</w:t>
      </w:r>
      <w:r>
        <w:rPr>
          <w:spacing w:val="-12"/>
        </w:rPr>
        <w:t> </w:t>
      </w:r>
      <w:r>
        <w:rPr/>
        <w:t>participar</w:t>
      </w:r>
      <w:r>
        <w:rPr>
          <w:spacing w:val="-11"/>
        </w:rPr>
        <w:t> </w:t>
      </w:r>
      <w:r>
        <w:rPr/>
        <w:t>en</w:t>
      </w:r>
      <w:r>
        <w:rPr>
          <w:spacing w:val="-12"/>
        </w:rPr>
        <w:t> </w:t>
      </w:r>
      <w:r>
        <w:rPr/>
        <w:t>la</w:t>
      </w:r>
      <w:r>
        <w:rPr>
          <w:spacing w:val="-12"/>
        </w:rPr>
        <w:t> </w:t>
      </w:r>
      <w:r>
        <w:rPr/>
        <w:t>implementación</w:t>
      </w:r>
      <w:r>
        <w:rPr>
          <w:spacing w:val="-13"/>
        </w:rPr>
        <w:t> </w:t>
      </w:r>
      <w:r>
        <w:rPr/>
        <w:t>del</w:t>
      </w:r>
      <w:r>
        <w:rPr>
          <w:spacing w:val="-11"/>
        </w:rPr>
        <w:t> </w:t>
      </w:r>
      <w:r>
        <w:rPr/>
        <w:t>Plan</w:t>
      </w:r>
      <w:r>
        <w:rPr>
          <w:spacing w:val="-8"/>
        </w:rPr>
        <w:t> </w:t>
      </w:r>
      <w:r>
        <w:rPr/>
        <w:t>de</w:t>
      </w:r>
      <w:r>
        <w:rPr>
          <w:spacing w:val="-13"/>
        </w:rPr>
        <w:t> </w:t>
      </w:r>
      <w:r>
        <w:rPr/>
        <w:t>Manejo. Sin el aporte y participación de los propietarios de mayor tamaño, agrupados en ASOPROCA, la aprobación del Plan de Manejo y de sus herramientas para proteger la zona no hubiese sido posible. Sin embargo, es necesario reconocer que, de ser ciertas las acusaciones de no convocatoria intencional, se habría discriminado contra estas comunidades.</w:t>
      </w:r>
    </w:p>
    <w:p>
      <w:pPr>
        <w:pStyle w:val="BodyText"/>
        <w:spacing w:line="360" w:lineRule="auto" w:before="201"/>
        <w:ind w:left="100" w:right="118"/>
        <w:jc w:val="both"/>
      </w:pPr>
      <w:r>
        <w:rPr/>
        <w:t>Esas comunidades urbano marginales forman parte de los conglomerados de pobreza que determina el Atlas de Carencias Crítica de Costa Rica. Específicamente, como se presentó en el Cuadro 1, se trata del conglomerado 10 (que incluye Barrio Los Ángeles de Patarrá), el 11 (que incluye Río Azul, San Diego, Tirrases, Linda Vista) y el 14 (incluyendo Barrio Cristo Rey). En éstos tres conglomerados habitan más de 35000 personas con al menos una necesidad básica insatisfecha. Se reporta en el año 2014 que entre un 35% y un 40% de los hogares de familias pobres tienen jefatura femenina y la tasa de desempleo abierto en estos hogares pobres ronda entre el 26 y el 33% (Sánchez &amp; Trejos, 2014).</w:t>
      </w:r>
    </w:p>
    <w:p>
      <w:pPr>
        <w:pStyle w:val="BodyText"/>
        <w:spacing w:line="360" w:lineRule="auto" w:before="203"/>
        <w:ind w:left="100" w:right="113"/>
        <w:jc w:val="both"/>
      </w:pPr>
      <w:r>
        <w:rPr/>
        <w:t>De conformidad con un diagnóstico elaborado por la Cruz Roja costarricense sobre vulnerabilidades</w:t>
      </w:r>
      <w:r>
        <w:rPr>
          <w:spacing w:val="-5"/>
        </w:rPr>
        <w:t> </w:t>
      </w:r>
      <w:r>
        <w:rPr/>
        <w:t>y</w:t>
      </w:r>
      <w:r>
        <w:rPr>
          <w:spacing w:val="-9"/>
        </w:rPr>
        <w:t> </w:t>
      </w:r>
      <w:r>
        <w:rPr/>
        <w:t>capacidades,</w:t>
      </w:r>
      <w:r>
        <w:rPr>
          <w:spacing w:val="-4"/>
        </w:rPr>
        <w:t> </w:t>
      </w:r>
      <w:r>
        <w:rPr/>
        <w:t>en</w:t>
      </w:r>
      <w:r>
        <w:rPr>
          <w:spacing w:val="-3"/>
        </w:rPr>
        <w:t> </w:t>
      </w:r>
      <w:r>
        <w:rPr/>
        <w:t>el</w:t>
      </w:r>
      <w:r>
        <w:rPr>
          <w:spacing w:val="-3"/>
        </w:rPr>
        <w:t> </w:t>
      </w:r>
      <w:r>
        <w:rPr/>
        <w:t>caso</w:t>
      </w:r>
      <w:r>
        <w:rPr>
          <w:spacing w:val="-7"/>
        </w:rPr>
        <w:t> </w:t>
      </w:r>
      <w:r>
        <w:rPr/>
        <w:t>de</w:t>
      </w:r>
      <w:r>
        <w:rPr>
          <w:spacing w:val="-6"/>
        </w:rPr>
        <w:t> </w:t>
      </w:r>
      <w:r>
        <w:rPr/>
        <w:t>la</w:t>
      </w:r>
      <w:r>
        <w:rPr>
          <w:spacing w:val="-7"/>
        </w:rPr>
        <w:t> </w:t>
      </w:r>
      <w:r>
        <w:rPr/>
        <w:t>comunidad</w:t>
      </w:r>
      <w:r>
        <w:rPr>
          <w:spacing w:val="-6"/>
        </w:rPr>
        <w:t> </w:t>
      </w:r>
      <w:r>
        <w:rPr/>
        <w:t>de</w:t>
      </w:r>
      <w:r>
        <w:rPr>
          <w:spacing w:val="-7"/>
        </w:rPr>
        <w:t> </w:t>
      </w:r>
      <w:r>
        <w:rPr/>
        <w:t>Linda</w:t>
      </w:r>
      <w:r>
        <w:rPr>
          <w:spacing w:val="-6"/>
        </w:rPr>
        <w:t> </w:t>
      </w:r>
      <w:r>
        <w:rPr/>
        <w:t>Vista,</w:t>
      </w:r>
      <w:r>
        <w:rPr>
          <w:spacing w:val="-4"/>
        </w:rPr>
        <w:t> </w:t>
      </w:r>
      <w:r>
        <w:rPr/>
        <w:t>la</w:t>
      </w:r>
      <w:r>
        <w:rPr>
          <w:spacing w:val="-6"/>
        </w:rPr>
        <w:t> </w:t>
      </w:r>
      <w:r>
        <w:rPr/>
        <w:t>noción</w:t>
      </w:r>
      <w:r>
        <w:rPr>
          <w:spacing w:val="-7"/>
        </w:rPr>
        <w:t> </w:t>
      </w:r>
      <w:r>
        <w:rPr/>
        <w:t>de las comunidades de la presencia del Ministerio del Ambiente es inexistente. Las instituciones</w:t>
      </w:r>
      <w:r>
        <w:rPr>
          <w:spacing w:val="-12"/>
        </w:rPr>
        <w:t> </w:t>
      </w:r>
      <w:r>
        <w:rPr/>
        <w:t>más</w:t>
      </w:r>
      <w:r>
        <w:rPr>
          <w:spacing w:val="-11"/>
        </w:rPr>
        <w:t> </w:t>
      </w:r>
      <w:r>
        <w:rPr/>
        <w:t>significativas</w:t>
      </w:r>
      <w:r>
        <w:rPr>
          <w:spacing w:val="-12"/>
        </w:rPr>
        <w:t> </w:t>
      </w:r>
      <w:r>
        <w:rPr/>
        <w:t>para</w:t>
      </w:r>
      <w:r>
        <w:rPr>
          <w:spacing w:val="-13"/>
        </w:rPr>
        <w:t> </w:t>
      </w:r>
      <w:r>
        <w:rPr/>
        <w:t>la</w:t>
      </w:r>
      <w:r>
        <w:rPr>
          <w:spacing w:val="-17"/>
        </w:rPr>
        <w:t> </w:t>
      </w:r>
      <w:r>
        <w:rPr/>
        <w:t>población</w:t>
      </w:r>
      <w:r>
        <w:rPr>
          <w:spacing w:val="-13"/>
        </w:rPr>
        <w:t> </w:t>
      </w:r>
      <w:r>
        <w:rPr/>
        <w:t>tienden</w:t>
      </w:r>
      <w:r>
        <w:rPr>
          <w:spacing w:val="-13"/>
        </w:rPr>
        <w:t> </w:t>
      </w:r>
      <w:r>
        <w:rPr/>
        <w:t>a</w:t>
      </w:r>
      <w:r>
        <w:rPr>
          <w:spacing w:val="-14"/>
        </w:rPr>
        <w:t> </w:t>
      </w:r>
      <w:r>
        <w:rPr/>
        <w:t>ser</w:t>
      </w:r>
      <w:r>
        <w:rPr>
          <w:spacing w:val="-11"/>
        </w:rPr>
        <w:t> </w:t>
      </w:r>
      <w:r>
        <w:rPr/>
        <w:t>las</w:t>
      </w:r>
      <w:r>
        <w:rPr>
          <w:spacing w:val="-11"/>
        </w:rPr>
        <w:t> </w:t>
      </w:r>
      <w:r>
        <w:rPr/>
        <w:t>que</w:t>
      </w:r>
      <w:r>
        <w:rPr>
          <w:spacing w:val="-14"/>
        </w:rPr>
        <w:t> </w:t>
      </w:r>
      <w:r>
        <w:rPr/>
        <w:t>tienen</w:t>
      </w:r>
      <w:r>
        <w:rPr>
          <w:spacing w:val="-13"/>
        </w:rPr>
        <w:t> </w:t>
      </w:r>
      <w:r>
        <w:rPr/>
        <w:t>que</w:t>
      </w:r>
      <w:r>
        <w:rPr>
          <w:spacing w:val="-13"/>
        </w:rPr>
        <w:t> </w:t>
      </w:r>
      <w:r>
        <w:rPr/>
        <w:t>ver</w:t>
      </w:r>
      <w:r>
        <w:rPr>
          <w:spacing w:val="-12"/>
        </w:rPr>
        <w:t> </w:t>
      </w:r>
      <w:r>
        <w:rPr/>
        <w:t>con la</w:t>
      </w:r>
      <w:r>
        <w:rPr>
          <w:spacing w:val="-9"/>
        </w:rPr>
        <w:t> </w:t>
      </w:r>
      <w:r>
        <w:rPr/>
        <w:t>asistencia</w:t>
      </w:r>
      <w:r>
        <w:rPr>
          <w:spacing w:val="-9"/>
        </w:rPr>
        <w:t> </w:t>
      </w:r>
      <w:r>
        <w:rPr/>
        <w:t>social.</w:t>
      </w:r>
      <w:r>
        <w:rPr>
          <w:spacing w:val="-4"/>
        </w:rPr>
        <w:t> </w:t>
      </w:r>
      <w:r>
        <w:rPr/>
        <w:t>La</w:t>
      </w:r>
      <w:r>
        <w:rPr>
          <w:spacing w:val="-5"/>
        </w:rPr>
        <w:t> </w:t>
      </w:r>
      <w:r>
        <w:rPr/>
        <w:t>morbilidad</w:t>
      </w:r>
      <w:r>
        <w:rPr>
          <w:spacing w:val="-9"/>
        </w:rPr>
        <w:t> </w:t>
      </w:r>
      <w:r>
        <w:rPr/>
        <w:t>se</w:t>
      </w:r>
      <w:r>
        <w:rPr>
          <w:spacing w:val="-8"/>
        </w:rPr>
        <w:t> </w:t>
      </w:r>
      <w:r>
        <w:rPr/>
        <w:t>caracteriza</w:t>
      </w:r>
      <w:r>
        <w:rPr>
          <w:spacing w:val="-5"/>
        </w:rPr>
        <w:t> </w:t>
      </w:r>
      <w:r>
        <w:rPr/>
        <w:t>por</w:t>
      </w:r>
      <w:r>
        <w:rPr>
          <w:spacing w:val="-7"/>
        </w:rPr>
        <w:t> </w:t>
      </w:r>
      <w:r>
        <w:rPr/>
        <w:t>enfermedades</w:t>
      </w:r>
      <w:r>
        <w:rPr>
          <w:spacing w:val="-7"/>
        </w:rPr>
        <w:t> </w:t>
      </w:r>
      <w:r>
        <w:rPr/>
        <w:t>consecuencia</w:t>
      </w:r>
      <w:r>
        <w:rPr>
          <w:spacing w:val="-5"/>
        </w:rPr>
        <w:t> </w:t>
      </w:r>
      <w:r>
        <w:rPr/>
        <w:t>de</w:t>
      </w:r>
      <w:r>
        <w:rPr>
          <w:spacing w:val="-8"/>
        </w:rPr>
        <w:t> </w:t>
      </w:r>
      <w:r>
        <w:rPr/>
        <w:t>las condiciones psicosociales, ambientales (relleno sanitario, clima) y socioeconómicas (pobreza,</w:t>
      </w:r>
      <w:r>
        <w:rPr>
          <w:spacing w:val="-10"/>
        </w:rPr>
        <w:t> </w:t>
      </w:r>
      <w:r>
        <w:rPr/>
        <w:t>hacinamiento,</w:t>
      </w:r>
      <w:r>
        <w:rPr>
          <w:spacing w:val="-10"/>
        </w:rPr>
        <w:t> </w:t>
      </w:r>
      <w:r>
        <w:rPr/>
        <w:t>acceso</w:t>
      </w:r>
      <w:r>
        <w:rPr>
          <w:spacing w:val="-9"/>
        </w:rPr>
        <w:t> </w:t>
      </w:r>
      <w:r>
        <w:rPr/>
        <w:t>a</w:t>
      </w:r>
      <w:r>
        <w:rPr>
          <w:spacing w:val="-12"/>
        </w:rPr>
        <w:t> </w:t>
      </w:r>
      <w:r>
        <w:rPr/>
        <w:t>los</w:t>
      </w:r>
      <w:r>
        <w:rPr>
          <w:spacing w:val="-4"/>
        </w:rPr>
        <w:t> </w:t>
      </w:r>
      <w:r>
        <w:rPr/>
        <w:t>servicios</w:t>
      </w:r>
      <w:r>
        <w:rPr>
          <w:spacing w:val="-11"/>
        </w:rPr>
        <w:t> </w:t>
      </w:r>
      <w:r>
        <w:rPr/>
        <w:t>de</w:t>
      </w:r>
      <w:r>
        <w:rPr>
          <w:spacing w:val="-12"/>
        </w:rPr>
        <w:t> </w:t>
      </w:r>
      <w:r>
        <w:rPr/>
        <w:t>salud),</w:t>
      </w:r>
      <w:r>
        <w:rPr>
          <w:spacing w:val="-10"/>
        </w:rPr>
        <w:t> </w:t>
      </w:r>
      <w:r>
        <w:rPr/>
        <w:t>lo</w:t>
      </w:r>
      <w:r>
        <w:rPr>
          <w:spacing w:val="-13"/>
        </w:rPr>
        <w:t> </w:t>
      </w:r>
      <w:r>
        <w:rPr/>
        <w:t>que</w:t>
      </w:r>
      <w:r>
        <w:rPr>
          <w:spacing w:val="-12"/>
        </w:rPr>
        <w:t> </w:t>
      </w:r>
      <w:r>
        <w:rPr/>
        <w:t>incide</w:t>
      </w:r>
      <w:r>
        <w:rPr>
          <w:spacing w:val="-13"/>
        </w:rPr>
        <w:t> </w:t>
      </w:r>
      <w:r>
        <w:rPr/>
        <w:t>en</w:t>
      </w:r>
      <w:r>
        <w:rPr>
          <w:spacing w:val="-12"/>
        </w:rPr>
        <w:t> </w:t>
      </w:r>
      <w:r>
        <w:rPr/>
        <w:t>la</w:t>
      </w:r>
      <w:r>
        <w:rPr>
          <w:spacing w:val="-9"/>
        </w:rPr>
        <w:t> </w:t>
      </w:r>
      <w:r>
        <w:rPr/>
        <w:t>aparición</w:t>
      </w:r>
      <w:r>
        <w:rPr>
          <w:spacing w:val="-9"/>
        </w:rPr>
        <w:t> </w:t>
      </w:r>
      <w:r>
        <w:rPr/>
        <w:t>de enfermedades infectocontagiosas como las infecciones en las vías respiratorias superiores, diarrea, dermatitis y parasitosis. Se reconoce como problema característico de</w:t>
      </w:r>
      <w:r>
        <w:rPr>
          <w:spacing w:val="-9"/>
        </w:rPr>
        <w:t> </w:t>
      </w:r>
      <w:r>
        <w:rPr/>
        <w:t>la</w:t>
      </w:r>
      <w:r>
        <w:rPr>
          <w:spacing w:val="-8"/>
        </w:rPr>
        <w:t> </w:t>
      </w:r>
      <w:r>
        <w:rPr/>
        <w:t>comunidad</w:t>
      </w:r>
      <w:r>
        <w:rPr>
          <w:spacing w:val="-9"/>
        </w:rPr>
        <w:t> </w:t>
      </w:r>
      <w:r>
        <w:rPr/>
        <w:t>la</w:t>
      </w:r>
      <w:r>
        <w:rPr>
          <w:spacing w:val="-8"/>
        </w:rPr>
        <w:t> </w:t>
      </w:r>
      <w:r>
        <w:rPr/>
        <w:t>contaminación</w:t>
      </w:r>
      <w:r>
        <w:rPr>
          <w:spacing w:val="-8"/>
        </w:rPr>
        <w:t> </w:t>
      </w:r>
      <w:r>
        <w:rPr/>
        <w:t>de</w:t>
      </w:r>
      <w:r>
        <w:rPr>
          <w:spacing w:val="-7"/>
        </w:rPr>
        <w:t> </w:t>
      </w:r>
      <w:r>
        <w:rPr/>
        <w:t>los</w:t>
      </w:r>
      <w:r>
        <w:rPr>
          <w:spacing w:val="-6"/>
        </w:rPr>
        <w:t> </w:t>
      </w:r>
      <w:r>
        <w:rPr/>
        <w:t>cuerpos</w:t>
      </w:r>
      <w:r>
        <w:rPr>
          <w:spacing w:val="-7"/>
        </w:rPr>
        <w:t> </w:t>
      </w:r>
      <w:r>
        <w:rPr/>
        <w:t>de</w:t>
      </w:r>
      <w:r>
        <w:rPr>
          <w:spacing w:val="-8"/>
        </w:rPr>
        <w:t> </w:t>
      </w:r>
      <w:r>
        <w:rPr/>
        <w:t>agua</w:t>
      </w:r>
      <w:r>
        <w:rPr>
          <w:spacing w:val="-9"/>
        </w:rPr>
        <w:t> </w:t>
      </w:r>
      <w:r>
        <w:rPr/>
        <w:t>por</w:t>
      </w:r>
      <w:r>
        <w:rPr>
          <w:spacing w:val="-6"/>
        </w:rPr>
        <w:t> </w:t>
      </w:r>
      <w:r>
        <w:rPr/>
        <w:t>la</w:t>
      </w:r>
      <w:r>
        <w:rPr>
          <w:spacing w:val="-8"/>
        </w:rPr>
        <w:t> </w:t>
      </w:r>
      <w:r>
        <w:rPr/>
        <w:t>disposición</w:t>
      </w:r>
      <w:r>
        <w:rPr>
          <w:spacing w:val="-5"/>
        </w:rPr>
        <w:t> </w:t>
      </w:r>
      <w:r>
        <w:rPr/>
        <w:t>inadecuada de</w:t>
      </w:r>
      <w:r>
        <w:rPr>
          <w:spacing w:val="-18"/>
        </w:rPr>
        <w:t> </w:t>
      </w:r>
      <w:r>
        <w:rPr/>
        <w:t>excretas.</w:t>
      </w:r>
      <w:r>
        <w:rPr>
          <w:spacing w:val="-15"/>
        </w:rPr>
        <w:t> </w:t>
      </w:r>
      <w:r>
        <w:rPr/>
        <w:t>Asimismo,</w:t>
      </w:r>
      <w:r>
        <w:rPr>
          <w:spacing w:val="-15"/>
        </w:rPr>
        <w:t> </w:t>
      </w:r>
      <w:r>
        <w:rPr/>
        <w:t>a</w:t>
      </w:r>
      <w:r>
        <w:rPr>
          <w:spacing w:val="-17"/>
        </w:rPr>
        <w:t> </w:t>
      </w:r>
      <w:r>
        <w:rPr/>
        <w:t>pesar</w:t>
      </w:r>
      <w:r>
        <w:rPr>
          <w:spacing w:val="-16"/>
        </w:rPr>
        <w:t> </w:t>
      </w:r>
      <w:r>
        <w:rPr/>
        <w:t>de</w:t>
      </w:r>
      <w:r>
        <w:rPr>
          <w:spacing w:val="-17"/>
        </w:rPr>
        <w:t> </w:t>
      </w:r>
      <w:r>
        <w:rPr/>
        <w:t>existir</w:t>
      </w:r>
      <w:r>
        <w:rPr>
          <w:spacing w:val="-13"/>
        </w:rPr>
        <w:t> </w:t>
      </w:r>
      <w:r>
        <w:rPr/>
        <w:t>servicio</w:t>
      </w:r>
      <w:r>
        <w:rPr>
          <w:spacing w:val="-18"/>
        </w:rPr>
        <w:t> </w:t>
      </w:r>
      <w:r>
        <w:rPr/>
        <w:t>de</w:t>
      </w:r>
      <w:r>
        <w:rPr>
          <w:spacing w:val="-18"/>
        </w:rPr>
        <w:t> </w:t>
      </w:r>
      <w:r>
        <w:rPr/>
        <w:t>recolección</w:t>
      </w:r>
      <w:r>
        <w:rPr>
          <w:spacing w:val="-17"/>
        </w:rPr>
        <w:t> </w:t>
      </w:r>
      <w:r>
        <w:rPr/>
        <w:t>de</w:t>
      </w:r>
      <w:r>
        <w:rPr>
          <w:spacing w:val="-18"/>
        </w:rPr>
        <w:t> </w:t>
      </w:r>
      <w:r>
        <w:rPr/>
        <w:t>basura,</w:t>
      </w:r>
      <w:r>
        <w:rPr>
          <w:spacing w:val="-14"/>
        </w:rPr>
        <w:t> </w:t>
      </w:r>
      <w:r>
        <w:rPr/>
        <w:t>los</w:t>
      </w:r>
      <w:r>
        <w:rPr>
          <w:spacing w:val="-16"/>
        </w:rPr>
        <w:t> </w:t>
      </w:r>
      <w:r>
        <w:rPr/>
        <w:t>desechos sólidos</w:t>
      </w:r>
      <w:r>
        <w:rPr>
          <w:spacing w:val="-9"/>
        </w:rPr>
        <w:t> </w:t>
      </w:r>
      <w:r>
        <w:rPr/>
        <w:t>son</w:t>
      </w:r>
      <w:r>
        <w:rPr>
          <w:spacing w:val="-11"/>
        </w:rPr>
        <w:t> </w:t>
      </w:r>
      <w:r>
        <w:rPr/>
        <w:t>almacenados</w:t>
      </w:r>
      <w:r>
        <w:rPr>
          <w:spacing w:val="-8"/>
        </w:rPr>
        <w:t> </w:t>
      </w:r>
      <w:r>
        <w:rPr/>
        <w:t>en</w:t>
      </w:r>
      <w:r>
        <w:rPr>
          <w:spacing w:val="-11"/>
        </w:rPr>
        <w:t> </w:t>
      </w:r>
      <w:r>
        <w:rPr/>
        <w:t>su</w:t>
      </w:r>
      <w:r>
        <w:rPr>
          <w:spacing w:val="-6"/>
        </w:rPr>
        <w:t> </w:t>
      </w:r>
      <w:r>
        <w:rPr/>
        <w:t>mayoría</w:t>
      </w:r>
      <w:r>
        <w:rPr>
          <w:spacing w:val="-11"/>
        </w:rPr>
        <w:t> </w:t>
      </w:r>
      <w:r>
        <w:rPr/>
        <w:t>al</w:t>
      </w:r>
      <w:r>
        <w:rPr>
          <w:spacing w:val="-9"/>
        </w:rPr>
        <w:t> </w:t>
      </w:r>
      <w:r>
        <w:rPr/>
        <w:t>aire</w:t>
      </w:r>
      <w:r>
        <w:rPr>
          <w:spacing w:val="-7"/>
        </w:rPr>
        <w:t> </w:t>
      </w:r>
      <w:r>
        <w:rPr/>
        <w:t>libre</w:t>
      </w:r>
      <w:r>
        <w:rPr>
          <w:spacing w:val="-10"/>
        </w:rPr>
        <w:t> </w:t>
      </w:r>
      <w:r>
        <w:rPr/>
        <w:t>para</w:t>
      </w:r>
      <w:r>
        <w:rPr>
          <w:spacing w:val="-11"/>
        </w:rPr>
        <w:t> </w:t>
      </w:r>
      <w:r>
        <w:rPr/>
        <w:t>su</w:t>
      </w:r>
      <w:r>
        <w:rPr>
          <w:spacing w:val="-6"/>
        </w:rPr>
        <w:t> </w:t>
      </w:r>
      <w:r>
        <w:rPr/>
        <w:t>recolección,</w:t>
      </w:r>
      <w:r>
        <w:rPr>
          <w:spacing w:val="-8"/>
        </w:rPr>
        <w:t> </w:t>
      </w:r>
      <w:r>
        <w:rPr/>
        <w:t>lo</w:t>
      </w:r>
      <w:r>
        <w:rPr>
          <w:spacing w:val="-10"/>
        </w:rPr>
        <w:t> </w:t>
      </w:r>
      <w:r>
        <w:rPr/>
        <w:t>que</w:t>
      </w:r>
      <w:r>
        <w:rPr>
          <w:spacing w:val="-11"/>
        </w:rPr>
        <w:t> </w:t>
      </w:r>
      <w:r>
        <w:rPr/>
        <w:t>favorece</w:t>
      </w:r>
    </w:p>
    <w:p>
      <w:pPr>
        <w:spacing w:after="0" w:line="360" w:lineRule="auto"/>
        <w:jc w:val="both"/>
        <w:sectPr>
          <w:pgSz w:w="12240" w:h="15840"/>
          <w:pgMar w:header="0" w:footer="1330" w:top="1500" w:bottom="1580" w:left="1340" w:right="1320"/>
        </w:sectPr>
      </w:pPr>
    </w:p>
    <w:p>
      <w:pPr>
        <w:pStyle w:val="BodyText"/>
        <w:spacing w:line="360" w:lineRule="auto" w:before="107"/>
        <w:ind w:left="100" w:right="118"/>
        <w:jc w:val="both"/>
      </w:pPr>
      <w:r>
        <w:rPr/>
        <w:t>la contaminación ambiental de la comunidad con consecuencias en la aparición de enfermedades</w:t>
      </w:r>
      <w:r>
        <w:rPr>
          <w:spacing w:val="-16"/>
        </w:rPr>
        <w:t> </w:t>
      </w:r>
      <w:r>
        <w:rPr/>
        <w:t>contagiosas</w:t>
      </w:r>
      <w:r>
        <w:rPr>
          <w:spacing w:val="-11"/>
        </w:rPr>
        <w:t> </w:t>
      </w:r>
      <w:r>
        <w:rPr/>
        <w:t>y</w:t>
      </w:r>
      <w:r>
        <w:rPr>
          <w:spacing w:val="-19"/>
        </w:rPr>
        <w:t> </w:t>
      </w:r>
      <w:r>
        <w:rPr/>
        <w:t>deterioro</w:t>
      </w:r>
      <w:r>
        <w:rPr>
          <w:spacing w:val="-13"/>
        </w:rPr>
        <w:t> </w:t>
      </w:r>
      <w:r>
        <w:rPr/>
        <w:t>en</w:t>
      </w:r>
      <w:r>
        <w:rPr>
          <w:spacing w:val="-17"/>
        </w:rPr>
        <w:t> </w:t>
      </w:r>
      <w:r>
        <w:rPr/>
        <w:t>la</w:t>
      </w:r>
      <w:r>
        <w:rPr>
          <w:spacing w:val="-17"/>
        </w:rPr>
        <w:t> </w:t>
      </w:r>
      <w:r>
        <w:rPr/>
        <w:t>salud</w:t>
      </w:r>
      <w:r>
        <w:rPr>
          <w:spacing w:val="-17"/>
        </w:rPr>
        <w:t> </w:t>
      </w:r>
      <w:r>
        <w:rPr/>
        <w:t>de</w:t>
      </w:r>
      <w:r>
        <w:rPr>
          <w:spacing w:val="-17"/>
        </w:rPr>
        <w:t> </w:t>
      </w:r>
      <w:r>
        <w:rPr/>
        <w:t>la</w:t>
      </w:r>
      <w:r>
        <w:rPr>
          <w:spacing w:val="-17"/>
        </w:rPr>
        <w:t> </w:t>
      </w:r>
      <w:r>
        <w:rPr/>
        <w:t>población.</w:t>
      </w:r>
      <w:r>
        <w:rPr>
          <w:spacing w:val="-14"/>
        </w:rPr>
        <w:t> </w:t>
      </w:r>
      <w:r>
        <w:rPr/>
        <w:t>De</w:t>
      </w:r>
      <w:r>
        <w:rPr>
          <w:spacing w:val="-17"/>
        </w:rPr>
        <w:t> </w:t>
      </w:r>
      <w:r>
        <w:rPr/>
        <w:t>todas</w:t>
      </w:r>
      <w:r>
        <w:rPr>
          <w:spacing w:val="-15"/>
        </w:rPr>
        <w:t> </w:t>
      </w:r>
      <w:r>
        <w:rPr/>
        <w:t>las</w:t>
      </w:r>
      <w:r>
        <w:rPr>
          <w:spacing w:val="-15"/>
        </w:rPr>
        <w:t> </w:t>
      </w:r>
      <w:r>
        <w:rPr/>
        <w:t>viviendas registradas</w:t>
      </w:r>
      <w:r>
        <w:rPr>
          <w:spacing w:val="-3"/>
        </w:rPr>
        <w:t> </w:t>
      </w:r>
      <w:r>
        <w:rPr/>
        <w:t>(625),</w:t>
      </w:r>
      <w:r>
        <w:rPr>
          <w:spacing w:val="-2"/>
        </w:rPr>
        <w:t> </w:t>
      </w:r>
      <w:r>
        <w:rPr/>
        <w:t>un</w:t>
      </w:r>
      <w:r>
        <w:rPr>
          <w:spacing w:val="-4"/>
        </w:rPr>
        <w:t> </w:t>
      </w:r>
      <w:r>
        <w:rPr/>
        <w:t>30%</w:t>
      </w:r>
      <w:r>
        <w:rPr>
          <w:spacing w:val="-1"/>
        </w:rPr>
        <w:t> </w:t>
      </w:r>
      <w:r>
        <w:rPr/>
        <w:t>se</w:t>
      </w:r>
      <w:r>
        <w:rPr>
          <w:spacing w:val="-5"/>
        </w:rPr>
        <w:t> </w:t>
      </w:r>
      <w:r>
        <w:rPr/>
        <w:t>encuentra</w:t>
      </w:r>
      <w:r>
        <w:rPr>
          <w:spacing w:val="-4"/>
        </w:rPr>
        <w:t> </w:t>
      </w:r>
      <w:r>
        <w:rPr/>
        <w:t>en</w:t>
      </w:r>
      <w:r>
        <w:rPr>
          <w:spacing w:val="-5"/>
        </w:rPr>
        <w:t> </w:t>
      </w:r>
      <w:r>
        <w:rPr/>
        <w:t>regular</w:t>
      </w:r>
      <w:r>
        <w:rPr>
          <w:spacing w:val="-2"/>
        </w:rPr>
        <w:t> </w:t>
      </w:r>
      <w:r>
        <w:rPr/>
        <w:t>estado</w:t>
      </w:r>
      <w:r>
        <w:rPr>
          <w:spacing w:val="-1"/>
        </w:rPr>
        <w:t> </w:t>
      </w:r>
      <w:r>
        <w:rPr/>
        <w:t>y</w:t>
      </w:r>
      <w:r>
        <w:rPr>
          <w:spacing w:val="-7"/>
        </w:rPr>
        <w:t> </w:t>
      </w:r>
      <w:r>
        <w:rPr/>
        <w:t>un</w:t>
      </w:r>
      <w:r>
        <w:rPr>
          <w:spacing w:val="-4"/>
        </w:rPr>
        <w:t> </w:t>
      </w:r>
      <w:r>
        <w:rPr/>
        <w:t>28%</w:t>
      </w:r>
      <w:r>
        <w:rPr>
          <w:spacing w:val="-5"/>
        </w:rPr>
        <w:t> </w:t>
      </w:r>
      <w:r>
        <w:rPr/>
        <w:t>en </w:t>
      </w:r>
      <w:r>
        <w:rPr>
          <w:spacing w:val="-2"/>
        </w:rPr>
        <w:t>mal</w:t>
      </w:r>
      <w:r>
        <w:rPr>
          <w:spacing w:val="-1"/>
        </w:rPr>
        <w:t> </w:t>
      </w:r>
      <w:r>
        <w:rPr/>
        <w:t>estado</w:t>
      </w:r>
      <w:r>
        <w:rPr>
          <w:spacing w:val="-4"/>
        </w:rPr>
        <w:t> </w:t>
      </w:r>
      <w:r>
        <w:rPr/>
        <w:t>en</w:t>
      </w:r>
      <w:r>
        <w:rPr>
          <w:spacing w:val="-5"/>
        </w:rPr>
        <w:t> </w:t>
      </w:r>
      <w:r>
        <w:rPr/>
        <w:t>lo que</w:t>
      </w:r>
      <w:r>
        <w:rPr>
          <w:spacing w:val="-12"/>
        </w:rPr>
        <w:t> </w:t>
      </w:r>
      <w:r>
        <w:rPr/>
        <w:t>respecta</w:t>
      </w:r>
      <w:r>
        <w:rPr>
          <w:spacing w:val="-11"/>
        </w:rPr>
        <w:t> </w:t>
      </w:r>
      <w:r>
        <w:rPr/>
        <w:t>a</w:t>
      </w:r>
      <w:r>
        <w:rPr>
          <w:spacing w:val="-11"/>
        </w:rPr>
        <w:t> </w:t>
      </w:r>
      <w:r>
        <w:rPr/>
        <w:t>la</w:t>
      </w:r>
      <w:r>
        <w:rPr>
          <w:spacing w:val="-11"/>
        </w:rPr>
        <w:t> </w:t>
      </w:r>
      <w:r>
        <w:rPr/>
        <w:t>condición</w:t>
      </w:r>
      <w:r>
        <w:rPr>
          <w:spacing w:val="-9"/>
        </w:rPr>
        <w:t> </w:t>
      </w:r>
      <w:r>
        <w:rPr/>
        <w:t>de</w:t>
      </w:r>
      <w:r>
        <w:rPr>
          <w:spacing w:val="-11"/>
        </w:rPr>
        <w:t> </w:t>
      </w:r>
      <w:r>
        <w:rPr/>
        <w:t>paredes,</w:t>
      </w:r>
      <w:r>
        <w:rPr>
          <w:spacing w:val="-9"/>
        </w:rPr>
        <w:t> </w:t>
      </w:r>
      <w:r>
        <w:rPr/>
        <w:t>pisos</w:t>
      </w:r>
      <w:r>
        <w:rPr>
          <w:spacing w:val="-9"/>
        </w:rPr>
        <w:t> </w:t>
      </w:r>
      <w:r>
        <w:rPr/>
        <w:t>y</w:t>
      </w:r>
      <w:r>
        <w:rPr>
          <w:spacing w:val="-13"/>
        </w:rPr>
        <w:t> </w:t>
      </w:r>
      <w:r>
        <w:rPr/>
        <w:t>techo.</w:t>
      </w:r>
      <w:r>
        <w:rPr>
          <w:spacing w:val="-5"/>
        </w:rPr>
        <w:t> </w:t>
      </w:r>
      <w:r>
        <w:rPr/>
        <w:t>Se</w:t>
      </w:r>
      <w:r>
        <w:rPr>
          <w:spacing w:val="-12"/>
        </w:rPr>
        <w:t> </w:t>
      </w:r>
      <w:r>
        <w:rPr/>
        <w:t>detectó</w:t>
      </w:r>
      <w:r>
        <w:rPr>
          <w:spacing w:val="-11"/>
        </w:rPr>
        <w:t> </w:t>
      </w:r>
      <w:r>
        <w:rPr/>
        <w:t>en</w:t>
      </w:r>
      <w:r>
        <w:rPr>
          <w:spacing w:val="-11"/>
        </w:rPr>
        <w:t> </w:t>
      </w:r>
      <w:r>
        <w:rPr/>
        <w:t>este</w:t>
      </w:r>
      <w:r>
        <w:rPr>
          <w:spacing w:val="-11"/>
        </w:rPr>
        <w:t> </w:t>
      </w:r>
      <w:r>
        <w:rPr/>
        <w:t>estudio</w:t>
      </w:r>
      <w:r>
        <w:rPr>
          <w:spacing w:val="-11"/>
        </w:rPr>
        <w:t> </w:t>
      </w:r>
      <w:r>
        <w:rPr/>
        <w:t>un</w:t>
      </w:r>
      <w:r>
        <w:rPr>
          <w:spacing w:val="-11"/>
        </w:rPr>
        <w:t> </w:t>
      </w:r>
      <w:r>
        <w:rPr/>
        <w:t>alto porcentaje de población migrante, especialmente nicaragüense (Cruz Roja Costarricense, 2004).</w:t>
      </w:r>
    </w:p>
    <w:p>
      <w:pPr>
        <w:pStyle w:val="BodyText"/>
        <w:spacing w:line="360" w:lineRule="auto" w:before="201"/>
        <w:ind w:left="100" w:right="118"/>
        <w:jc w:val="both"/>
      </w:pPr>
      <w:r>
        <w:rPr/>
        <w:t>Las características estructurales de la sociedad costarricense que inciden en esas condiciones</w:t>
      </w:r>
      <w:r>
        <w:rPr>
          <w:spacing w:val="-12"/>
        </w:rPr>
        <w:t> </w:t>
      </w:r>
      <w:r>
        <w:rPr/>
        <w:t>sociales</w:t>
      </w:r>
      <w:r>
        <w:rPr>
          <w:spacing w:val="-11"/>
        </w:rPr>
        <w:t> </w:t>
      </w:r>
      <w:r>
        <w:rPr/>
        <w:t>parecen</w:t>
      </w:r>
      <w:r>
        <w:rPr>
          <w:spacing w:val="-13"/>
        </w:rPr>
        <w:t> </w:t>
      </w:r>
      <w:r>
        <w:rPr/>
        <w:t>ser</w:t>
      </w:r>
      <w:r>
        <w:rPr>
          <w:spacing w:val="-8"/>
        </w:rPr>
        <w:t> </w:t>
      </w:r>
      <w:r>
        <w:rPr/>
        <w:t>agravadas</w:t>
      </w:r>
      <w:r>
        <w:rPr>
          <w:spacing w:val="-9"/>
        </w:rPr>
        <w:t> </w:t>
      </w:r>
      <w:r>
        <w:rPr/>
        <w:t>por</w:t>
      </w:r>
      <w:r>
        <w:rPr>
          <w:spacing w:val="-11"/>
        </w:rPr>
        <w:t> </w:t>
      </w:r>
      <w:r>
        <w:rPr/>
        <w:t>la</w:t>
      </w:r>
      <w:r>
        <w:rPr>
          <w:spacing w:val="-9"/>
        </w:rPr>
        <w:t> </w:t>
      </w:r>
      <w:r>
        <w:rPr/>
        <w:t>normativa</w:t>
      </w:r>
      <w:r>
        <w:rPr>
          <w:spacing w:val="-14"/>
        </w:rPr>
        <w:t> </w:t>
      </w:r>
      <w:r>
        <w:rPr/>
        <w:t>del</w:t>
      </w:r>
      <w:r>
        <w:rPr>
          <w:spacing w:val="-12"/>
        </w:rPr>
        <w:t> </w:t>
      </w:r>
      <w:r>
        <w:rPr/>
        <w:t>ordenamiento</w:t>
      </w:r>
      <w:r>
        <w:rPr>
          <w:spacing w:val="-13"/>
        </w:rPr>
        <w:t> </w:t>
      </w:r>
      <w:r>
        <w:rPr/>
        <w:t>territorial de la ZPLC y por la actitud de la institucionalidad. Así, por ejemplo, los pobladores de Barrio</w:t>
      </w:r>
      <w:r>
        <w:rPr>
          <w:spacing w:val="-9"/>
        </w:rPr>
        <w:t> </w:t>
      </w:r>
      <w:r>
        <w:rPr/>
        <w:t>Los</w:t>
      </w:r>
      <w:r>
        <w:rPr>
          <w:spacing w:val="-8"/>
        </w:rPr>
        <w:t> </w:t>
      </w:r>
      <w:r>
        <w:rPr/>
        <w:t>Ángeles</w:t>
      </w:r>
      <w:r>
        <w:rPr>
          <w:spacing w:val="-7"/>
        </w:rPr>
        <w:t> </w:t>
      </w:r>
      <w:r>
        <w:rPr/>
        <w:t>de</w:t>
      </w:r>
      <w:r>
        <w:rPr>
          <w:spacing w:val="-9"/>
        </w:rPr>
        <w:t> </w:t>
      </w:r>
      <w:r>
        <w:rPr/>
        <w:t>Patarrá</w:t>
      </w:r>
      <w:r>
        <w:rPr>
          <w:spacing w:val="-8"/>
        </w:rPr>
        <w:t> </w:t>
      </w:r>
      <w:r>
        <w:rPr/>
        <w:t>reportan</w:t>
      </w:r>
      <w:r>
        <w:rPr>
          <w:spacing w:val="-9"/>
        </w:rPr>
        <w:t> </w:t>
      </w:r>
      <w:r>
        <w:rPr/>
        <w:t>que</w:t>
      </w:r>
      <w:r>
        <w:rPr>
          <w:spacing w:val="-9"/>
        </w:rPr>
        <w:t> </w:t>
      </w:r>
      <w:r>
        <w:rPr/>
        <w:t>esta</w:t>
      </w:r>
      <w:r>
        <w:rPr>
          <w:spacing w:val="-9"/>
        </w:rPr>
        <w:t> </w:t>
      </w:r>
      <w:r>
        <w:rPr/>
        <w:t>actitud</w:t>
      </w:r>
      <w:r>
        <w:rPr>
          <w:spacing w:val="-9"/>
        </w:rPr>
        <w:t> </w:t>
      </w:r>
      <w:r>
        <w:rPr/>
        <w:t>llevó</w:t>
      </w:r>
      <w:r>
        <w:rPr>
          <w:spacing w:val="-9"/>
        </w:rPr>
        <w:t> </w:t>
      </w:r>
      <w:r>
        <w:rPr/>
        <w:t>por</w:t>
      </w:r>
      <w:r>
        <w:rPr>
          <w:spacing w:val="-5"/>
        </w:rPr>
        <w:t> </w:t>
      </w:r>
      <w:r>
        <w:rPr/>
        <w:t>muchos</w:t>
      </w:r>
      <w:r>
        <w:rPr>
          <w:spacing w:val="-7"/>
        </w:rPr>
        <w:t> </w:t>
      </w:r>
      <w:r>
        <w:rPr/>
        <w:t>años</w:t>
      </w:r>
      <w:r>
        <w:rPr>
          <w:spacing w:val="-7"/>
        </w:rPr>
        <w:t> </w:t>
      </w:r>
      <w:r>
        <w:rPr/>
        <w:t>a</w:t>
      </w:r>
      <w:r>
        <w:rPr>
          <w:spacing w:val="-9"/>
        </w:rPr>
        <w:t> </w:t>
      </w:r>
      <w:r>
        <w:rPr/>
        <w:t>que</w:t>
      </w:r>
      <w:r>
        <w:rPr>
          <w:spacing w:val="-9"/>
        </w:rPr>
        <w:t> </w:t>
      </w:r>
      <w:r>
        <w:rPr/>
        <w:t>las municipalidades</w:t>
      </w:r>
      <w:r>
        <w:rPr>
          <w:spacing w:val="-12"/>
        </w:rPr>
        <w:t> </w:t>
      </w:r>
      <w:r>
        <w:rPr/>
        <w:t>se</w:t>
      </w:r>
      <w:r>
        <w:rPr>
          <w:spacing w:val="-13"/>
        </w:rPr>
        <w:t> </w:t>
      </w:r>
      <w:r>
        <w:rPr/>
        <w:t>negaran</w:t>
      </w:r>
      <w:r>
        <w:rPr>
          <w:spacing w:val="-13"/>
        </w:rPr>
        <w:t> </w:t>
      </w:r>
      <w:r>
        <w:rPr/>
        <w:t>a</w:t>
      </w:r>
      <w:r>
        <w:rPr>
          <w:spacing w:val="-14"/>
        </w:rPr>
        <w:t> </w:t>
      </w:r>
      <w:r>
        <w:rPr/>
        <w:t>pavimentar</w:t>
      </w:r>
      <w:r>
        <w:rPr>
          <w:spacing w:val="-11"/>
        </w:rPr>
        <w:t> </w:t>
      </w:r>
      <w:r>
        <w:rPr/>
        <w:t>las</w:t>
      </w:r>
      <w:r>
        <w:rPr>
          <w:spacing w:val="-11"/>
        </w:rPr>
        <w:t> </w:t>
      </w:r>
      <w:r>
        <w:rPr/>
        <w:t>calles</w:t>
      </w:r>
      <w:r>
        <w:rPr>
          <w:spacing w:val="-12"/>
        </w:rPr>
        <w:t> </w:t>
      </w:r>
      <w:r>
        <w:rPr/>
        <w:t>de</w:t>
      </w:r>
      <w:r>
        <w:rPr>
          <w:spacing w:val="-13"/>
        </w:rPr>
        <w:t> </w:t>
      </w:r>
      <w:r>
        <w:rPr/>
        <w:t>acceso</w:t>
      </w:r>
      <w:r>
        <w:rPr>
          <w:spacing w:val="-13"/>
        </w:rPr>
        <w:t> </w:t>
      </w:r>
      <w:r>
        <w:rPr/>
        <w:t>a</w:t>
      </w:r>
      <w:r>
        <w:rPr>
          <w:spacing w:val="-13"/>
        </w:rPr>
        <w:t> </w:t>
      </w:r>
      <w:r>
        <w:rPr/>
        <w:t>la</w:t>
      </w:r>
      <w:r>
        <w:rPr>
          <w:spacing w:val="-14"/>
        </w:rPr>
        <w:t> </w:t>
      </w:r>
      <w:r>
        <w:rPr/>
        <w:t>comunidad.</w:t>
      </w:r>
      <w:r>
        <w:rPr>
          <w:spacing w:val="-10"/>
        </w:rPr>
        <w:t> </w:t>
      </w:r>
      <w:r>
        <w:rPr/>
        <w:t>Ello</w:t>
      </w:r>
      <w:r>
        <w:rPr>
          <w:spacing w:val="-13"/>
        </w:rPr>
        <w:t> </w:t>
      </w:r>
      <w:r>
        <w:rPr/>
        <w:t>tenía como consecuencia que durante la estación lluviosa el acceso al barrio fuese más difícil y caro, requiriéndose de taxis de doble</w:t>
      </w:r>
      <w:r>
        <w:rPr>
          <w:spacing w:val="-9"/>
        </w:rPr>
        <w:t> </w:t>
      </w:r>
      <w:r>
        <w:rPr/>
        <w:t>tracción.</w:t>
      </w:r>
    </w:p>
    <w:p>
      <w:pPr>
        <w:pStyle w:val="BodyText"/>
        <w:spacing w:line="360" w:lineRule="auto" w:before="203"/>
        <w:ind w:left="100" w:right="120"/>
        <w:jc w:val="both"/>
      </w:pPr>
      <w:r>
        <w:rPr/>
        <w:t>Esas</w:t>
      </w:r>
      <w:r>
        <w:rPr>
          <w:spacing w:val="-10"/>
        </w:rPr>
        <w:t> </w:t>
      </w:r>
      <w:r>
        <w:rPr/>
        <w:t>condiciones</w:t>
      </w:r>
      <w:r>
        <w:rPr>
          <w:spacing w:val="-6"/>
        </w:rPr>
        <w:t> </w:t>
      </w:r>
      <w:r>
        <w:rPr/>
        <w:t>se</w:t>
      </w:r>
      <w:r>
        <w:rPr>
          <w:spacing w:val="-11"/>
        </w:rPr>
        <w:t> </w:t>
      </w:r>
      <w:r>
        <w:rPr/>
        <w:t>observan</w:t>
      </w:r>
      <w:r>
        <w:rPr>
          <w:spacing w:val="-12"/>
        </w:rPr>
        <w:t> </w:t>
      </w:r>
      <w:r>
        <w:rPr/>
        <w:t>en</w:t>
      </w:r>
      <w:r>
        <w:rPr>
          <w:spacing w:val="-8"/>
        </w:rPr>
        <w:t> </w:t>
      </w:r>
      <w:r>
        <w:rPr/>
        <w:t>la</w:t>
      </w:r>
      <w:r>
        <w:rPr>
          <w:spacing w:val="-12"/>
        </w:rPr>
        <w:t> </w:t>
      </w:r>
      <w:r>
        <w:rPr/>
        <w:t>Figura</w:t>
      </w:r>
      <w:r>
        <w:rPr>
          <w:spacing w:val="-7"/>
        </w:rPr>
        <w:t> </w:t>
      </w:r>
      <w:r>
        <w:rPr/>
        <w:t>15A.</w:t>
      </w:r>
      <w:r>
        <w:rPr>
          <w:spacing w:val="-9"/>
        </w:rPr>
        <w:t> </w:t>
      </w:r>
      <w:r>
        <w:rPr/>
        <w:t>Recientemente,</w:t>
      </w:r>
      <w:r>
        <w:rPr>
          <w:spacing w:val="-5"/>
        </w:rPr>
        <w:t> </w:t>
      </w:r>
      <w:r>
        <w:rPr/>
        <w:t>gracias</w:t>
      </w:r>
      <w:r>
        <w:rPr>
          <w:spacing w:val="-9"/>
        </w:rPr>
        <w:t> </w:t>
      </w:r>
      <w:r>
        <w:rPr/>
        <w:t>a</w:t>
      </w:r>
      <w:r>
        <w:rPr>
          <w:spacing w:val="-8"/>
        </w:rPr>
        <w:t> </w:t>
      </w:r>
      <w:r>
        <w:rPr/>
        <w:t>una</w:t>
      </w:r>
      <w:r>
        <w:rPr>
          <w:spacing w:val="-12"/>
        </w:rPr>
        <w:t> </w:t>
      </w:r>
      <w:r>
        <w:rPr/>
        <w:t>donación privada, esta situación está cambiando, en forma parcial (15B) (Partido Unidad Social Cristiana Desamparados,</w:t>
      </w:r>
      <w:r>
        <w:rPr>
          <w:spacing w:val="-1"/>
        </w:rPr>
        <w:t> </w:t>
      </w:r>
      <w:r>
        <w:rPr/>
        <w:t>2015).</w:t>
      </w:r>
    </w:p>
    <w:p>
      <w:pPr>
        <w:pStyle w:val="BodyText"/>
        <w:spacing w:before="8"/>
        <w:rPr>
          <w:sz w:val="14"/>
        </w:rPr>
      </w:pPr>
      <w:r>
        <w:rPr/>
        <w:drawing>
          <wp:anchor distT="0" distB="0" distL="0" distR="0" allowOverlap="1" layoutInCell="1" locked="0" behindDoc="0" simplePos="0" relativeHeight="48">
            <wp:simplePos x="0" y="0"/>
            <wp:positionH relativeFrom="page">
              <wp:posOffset>1435100</wp:posOffset>
            </wp:positionH>
            <wp:positionV relativeFrom="paragraph">
              <wp:posOffset>132691</wp:posOffset>
            </wp:positionV>
            <wp:extent cx="4759287" cy="1706880"/>
            <wp:effectExtent l="0" t="0" r="0" b="0"/>
            <wp:wrapTopAndBottom/>
            <wp:docPr id="39" name="image45.jpeg"/>
            <wp:cNvGraphicFramePr>
              <a:graphicFrameLocks noChangeAspect="1"/>
            </wp:cNvGraphicFramePr>
            <a:graphic>
              <a:graphicData uri="http://schemas.openxmlformats.org/drawingml/2006/picture">
                <pic:pic>
                  <pic:nvPicPr>
                    <pic:cNvPr id="40" name="image45.jpeg"/>
                    <pic:cNvPicPr/>
                  </pic:nvPicPr>
                  <pic:blipFill>
                    <a:blip r:embed="rId58" cstate="print"/>
                    <a:stretch>
                      <a:fillRect/>
                    </a:stretch>
                  </pic:blipFill>
                  <pic:spPr>
                    <a:xfrm>
                      <a:off x="0" y="0"/>
                      <a:ext cx="4759287" cy="1706880"/>
                    </a:xfrm>
                    <a:prstGeom prst="rect">
                      <a:avLst/>
                    </a:prstGeom>
                  </pic:spPr>
                </pic:pic>
              </a:graphicData>
            </a:graphic>
          </wp:anchor>
        </w:drawing>
      </w:r>
    </w:p>
    <w:p>
      <w:pPr>
        <w:spacing w:before="219"/>
        <w:ind w:left="142" w:right="156" w:firstLine="0"/>
        <w:jc w:val="center"/>
        <w:rPr>
          <w:i/>
          <w:sz w:val="20"/>
        </w:rPr>
      </w:pPr>
      <w:bookmarkStart w:name="_bookmark17" w:id="21"/>
      <w:bookmarkEnd w:id="21"/>
      <w:r>
        <w:rPr/>
      </w:r>
      <w:r>
        <w:rPr>
          <w:i/>
          <w:sz w:val="20"/>
        </w:rPr>
        <w:t>Figura 15 Condición de las Calles en Barrio Los Ángeles de Patarrá.</w:t>
      </w:r>
    </w:p>
    <w:p>
      <w:pPr>
        <w:spacing w:before="2"/>
        <w:ind w:left="142" w:right="162" w:firstLine="0"/>
        <w:jc w:val="center"/>
        <w:rPr>
          <w:i/>
          <w:sz w:val="20"/>
        </w:rPr>
      </w:pPr>
      <w:r>
        <w:rPr>
          <w:i/>
          <w:sz w:val="20"/>
        </w:rPr>
        <w:t>Fuente: Modificado de Partido Unidad Social Cristiana Desamparados (2015).</w:t>
      </w:r>
    </w:p>
    <w:p>
      <w:pPr>
        <w:pStyle w:val="BodyText"/>
        <w:spacing w:before="6"/>
        <w:rPr>
          <w:i/>
          <w:sz w:val="27"/>
        </w:rPr>
      </w:pPr>
    </w:p>
    <w:p>
      <w:pPr>
        <w:pStyle w:val="BodyText"/>
        <w:spacing w:line="360" w:lineRule="auto"/>
        <w:ind w:left="100" w:right="119"/>
        <w:jc w:val="both"/>
      </w:pPr>
      <w:r>
        <w:rPr/>
        <w:t>Debe</w:t>
      </w:r>
      <w:r>
        <w:rPr>
          <w:spacing w:val="-16"/>
        </w:rPr>
        <w:t> </w:t>
      </w:r>
      <w:r>
        <w:rPr/>
        <w:t>mencionarse</w:t>
      </w:r>
      <w:r>
        <w:rPr>
          <w:spacing w:val="-20"/>
        </w:rPr>
        <w:t> </w:t>
      </w:r>
      <w:r>
        <w:rPr/>
        <w:t>que</w:t>
      </w:r>
      <w:r>
        <w:rPr>
          <w:spacing w:val="-16"/>
        </w:rPr>
        <w:t> </w:t>
      </w:r>
      <w:r>
        <w:rPr/>
        <w:t>mediante</w:t>
      </w:r>
      <w:r>
        <w:rPr>
          <w:spacing w:val="-20"/>
        </w:rPr>
        <w:t> </w:t>
      </w:r>
      <w:r>
        <w:rPr/>
        <w:t>la</w:t>
      </w:r>
      <w:r>
        <w:rPr>
          <w:spacing w:val="-19"/>
        </w:rPr>
        <w:t> </w:t>
      </w:r>
      <w:r>
        <w:rPr/>
        <w:t>venta</w:t>
      </w:r>
      <w:r>
        <w:rPr>
          <w:spacing w:val="-20"/>
        </w:rPr>
        <w:t> </w:t>
      </w:r>
      <w:r>
        <w:rPr/>
        <w:t>de</w:t>
      </w:r>
      <w:r>
        <w:rPr>
          <w:spacing w:val="-20"/>
        </w:rPr>
        <w:t> </w:t>
      </w:r>
      <w:r>
        <w:rPr/>
        <w:t>derechos</w:t>
      </w:r>
      <w:r>
        <w:rPr>
          <w:spacing w:val="-18"/>
        </w:rPr>
        <w:t> </w:t>
      </w:r>
      <w:r>
        <w:rPr/>
        <w:t>pro</w:t>
      </w:r>
      <w:r>
        <w:rPr>
          <w:spacing w:val="-19"/>
        </w:rPr>
        <w:t> </w:t>
      </w:r>
      <w:r>
        <w:rPr/>
        <w:t>indivisos</w:t>
      </w:r>
      <w:r>
        <w:rPr>
          <w:spacing w:val="-14"/>
        </w:rPr>
        <w:t> </w:t>
      </w:r>
      <w:r>
        <w:rPr/>
        <w:t>y</w:t>
      </w:r>
      <w:r>
        <w:rPr>
          <w:spacing w:val="-22"/>
        </w:rPr>
        <w:t> </w:t>
      </w:r>
      <w:r>
        <w:rPr/>
        <w:t>otras</w:t>
      </w:r>
      <w:r>
        <w:rPr>
          <w:spacing w:val="-18"/>
        </w:rPr>
        <w:t> </w:t>
      </w:r>
      <w:r>
        <w:rPr/>
        <w:t>estratagemas legales, la presión del desarrollo urbano en la zona continúa incluso en zonas de alto riesgo por pendiente y otras condiciones naturales. Ante estas amenazas, ha sido necesaria la intervención del Tribunal Ambiental Administrativo y la</w:t>
      </w:r>
      <w:r>
        <w:rPr>
          <w:spacing w:val="18"/>
        </w:rPr>
        <w:t> </w:t>
      </w:r>
      <w:r>
        <w:rPr/>
        <w:t>creación de una</w:t>
      </w:r>
    </w:p>
    <w:p>
      <w:pPr>
        <w:spacing w:after="0" w:line="360" w:lineRule="auto"/>
        <w:jc w:val="both"/>
        <w:sectPr>
          <w:pgSz w:w="12240" w:h="15840"/>
          <w:pgMar w:header="0" w:footer="1330" w:top="1500" w:bottom="1580" w:left="1340" w:right="1320"/>
        </w:sectPr>
      </w:pPr>
    </w:p>
    <w:p>
      <w:pPr>
        <w:pStyle w:val="BodyText"/>
        <w:spacing w:line="360" w:lineRule="auto" w:before="107"/>
        <w:ind w:left="100" w:right="119"/>
        <w:jc w:val="both"/>
      </w:pPr>
      <w:r>
        <w:rPr/>
        <w:t>nueva comisión interinstitucional para apoyar la implementación del Plan de Manejo y buscar una solución a la expansión inmobiliaria en zonas de alto riesgo compuesta por el MINAE, el Ministerio de Vivienda y Asentamientos Humanos, el Ministerio de Seguridad Pública, el Instituto de Acueductos y Alcantarillados, el Grupo ICE, la Comisión Nacional de Emergencias, la Asociación de Guías y Scouts de Costa Rica, el Consejo Local de la ZPLC y las municipalidades de Cartago, La Unión, Desamparados y Curridabat (Arguedas, 2014; Recio, 2014; Soto, 2015).</w:t>
      </w:r>
    </w:p>
    <w:p>
      <w:pPr>
        <w:pStyle w:val="BodyText"/>
        <w:spacing w:before="9"/>
        <w:rPr>
          <w:sz w:val="20"/>
        </w:rPr>
      </w:pPr>
    </w:p>
    <w:p>
      <w:pPr>
        <w:pStyle w:val="Heading2"/>
        <w:numPr>
          <w:ilvl w:val="0"/>
          <w:numId w:val="3"/>
        </w:numPr>
        <w:tabs>
          <w:tab w:pos="820" w:val="left" w:leader="none"/>
          <w:tab w:pos="821" w:val="left" w:leader="none"/>
        </w:tabs>
        <w:spacing w:line="240" w:lineRule="auto" w:before="0" w:after="0"/>
        <w:ind w:left="820" w:right="0" w:hanging="721"/>
        <w:jc w:val="left"/>
      </w:pPr>
      <w:bookmarkStart w:name="_bookmark18" w:id="22"/>
      <w:bookmarkEnd w:id="22"/>
      <w:r>
        <w:rPr>
          <w:b w:val="0"/>
        </w:rPr>
      </w:r>
      <w:bookmarkStart w:name="_bookmark18" w:id="23"/>
      <w:bookmarkEnd w:id="23"/>
      <w:r>
        <w:rPr/>
        <w:t>L</w:t>
      </w:r>
      <w:r>
        <w:rPr/>
        <w:t>os Lenguajes de Valoración en la Economía</w:t>
      </w:r>
      <w:r>
        <w:rPr>
          <w:spacing w:val="-3"/>
        </w:rPr>
        <w:t> </w:t>
      </w:r>
      <w:r>
        <w:rPr/>
        <w:t>Ecológica.</w:t>
      </w:r>
    </w:p>
    <w:p>
      <w:pPr>
        <w:pStyle w:val="BodyText"/>
        <w:spacing w:before="7"/>
        <w:rPr>
          <w:b/>
          <w:sz w:val="29"/>
        </w:rPr>
      </w:pPr>
    </w:p>
    <w:p>
      <w:pPr>
        <w:pStyle w:val="BodyText"/>
        <w:spacing w:line="360" w:lineRule="auto"/>
        <w:ind w:left="100" w:right="116"/>
        <w:jc w:val="both"/>
      </w:pPr>
      <w:r>
        <w:rPr/>
        <w:t>Se parte en esta investigación de que la conflictividad socio-ecológica distributiva se manifiesta muchas veces a través de la imposición de un lenguaje de valoración sobre otro mediante la legitimación proveniente de las acciones de poder que definen los convencionalismos sociales o privilegios ocasionales y extraordinarios. Así sucede cuando se comparan en términos no conmensurables valores como la pérdida de biodiversidad, del patrimonio cultural, el daño a la vida y al sustento humano y las violaciones de los derechos humanos, las ganancias monetarias de una nueva represa, de un proyecto minero o de la extracción de petróleo. Hay un choque de sistemas o de lenguajes de valoración cuando los derechos territoriales indígenas o la seguridad ambiental son desplegados contra la valoración monetaria de los riesgos y cargas ambientales (O´Connor &amp; Spash, 1999; Concu, 2010; Stanton, 2010; Martínez-Alier, 2011; Pascual, et al., 2014).</w:t>
      </w:r>
    </w:p>
    <w:p>
      <w:pPr>
        <w:pStyle w:val="BodyText"/>
        <w:spacing w:line="360" w:lineRule="auto" w:before="201"/>
        <w:ind w:left="100" w:right="118"/>
        <w:jc w:val="both"/>
      </w:pPr>
      <w:r>
        <w:rPr/>
        <w:t>El resolver esta conflictividad requiere la comprensión de la naturaleza de conceptos clave como lo son los de capital y</w:t>
      </w:r>
      <w:r>
        <w:rPr>
          <w:spacing w:val="-49"/>
        </w:rPr>
        <w:t> </w:t>
      </w:r>
      <w:r>
        <w:rPr/>
        <w:t>valor. En su esfuerzo por caracterizar los procesos de desarrollo y conservación como procesos entrópicos, un grupo de economistas ecológicos plantearon en los años 90 que lo que hacemos es utilizar diversos tipos de capital (Jansson, et al.,</w:t>
      </w:r>
      <w:r>
        <w:rPr>
          <w:spacing w:val="2"/>
        </w:rPr>
        <w:t> </w:t>
      </w:r>
      <w:r>
        <w:rPr/>
        <w:t>1998).</w:t>
      </w:r>
    </w:p>
    <w:p>
      <w:pPr>
        <w:pStyle w:val="BodyText"/>
        <w:spacing w:line="360" w:lineRule="auto" w:before="203"/>
        <w:ind w:left="100" w:right="115"/>
        <w:jc w:val="both"/>
      </w:pPr>
      <w:r>
        <w:rPr/>
        <w:t>Nos encontramos frente a un sistema de capital que va más allá de la noción tradicional del mismo. La Economía Ecológica sugiere en esta concepción una definición más funcional del capital. Lo define como una existencia que produce flujos de bienes o</w:t>
      </w:r>
    </w:p>
    <w:p>
      <w:pPr>
        <w:spacing w:after="0" w:line="360" w:lineRule="auto"/>
        <w:jc w:val="both"/>
        <w:sectPr>
          <w:pgSz w:w="12240" w:h="15840"/>
          <w:pgMar w:header="0" w:footer="1330" w:top="1500" w:bottom="1580" w:left="1340" w:right="1320"/>
        </w:sectPr>
      </w:pPr>
    </w:p>
    <w:p>
      <w:pPr>
        <w:pStyle w:val="BodyText"/>
        <w:spacing w:line="360" w:lineRule="auto" w:before="107"/>
        <w:ind w:left="100" w:right="115"/>
        <w:jc w:val="both"/>
      </w:pPr>
      <w:r>
        <w:rPr/>
        <w:drawing>
          <wp:anchor distT="0" distB="0" distL="0" distR="0" allowOverlap="1" layoutInCell="1" locked="0" behindDoc="0" simplePos="0" relativeHeight="15753728">
            <wp:simplePos x="0" y="0"/>
            <wp:positionH relativeFrom="page">
              <wp:posOffset>1609725</wp:posOffset>
            </wp:positionH>
            <wp:positionV relativeFrom="paragraph">
              <wp:posOffset>1535123</wp:posOffset>
            </wp:positionV>
            <wp:extent cx="4552315" cy="4389120"/>
            <wp:effectExtent l="0" t="0" r="0" b="0"/>
            <wp:wrapNone/>
            <wp:docPr id="41" name="image46.png"/>
            <wp:cNvGraphicFramePr>
              <a:graphicFrameLocks noChangeAspect="1"/>
            </wp:cNvGraphicFramePr>
            <a:graphic>
              <a:graphicData uri="http://schemas.openxmlformats.org/drawingml/2006/picture">
                <pic:pic>
                  <pic:nvPicPr>
                    <pic:cNvPr id="42" name="image46.png"/>
                    <pic:cNvPicPr/>
                  </pic:nvPicPr>
                  <pic:blipFill>
                    <a:blip r:embed="rId59" cstate="print"/>
                    <a:stretch>
                      <a:fillRect/>
                    </a:stretch>
                  </pic:blipFill>
                  <pic:spPr>
                    <a:xfrm>
                      <a:off x="0" y="0"/>
                      <a:ext cx="4552315" cy="4389120"/>
                    </a:xfrm>
                    <a:prstGeom prst="rect">
                      <a:avLst/>
                    </a:prstGeom>
                  </pic:spPr>
                </pic:pic>
              </a:graphicData>
            </a:graphic>
          </wp:anchor>
        </w:drawing>
      </w:r>
      <w:r>
        <w:rPr/>
        <w:t>servicios valiosos hacia el futuro. Los flujos pueden ser considerados como ingreso. Erosionar</w:t>
      </w:r>
      <w:r>
        <w:rPr>
          <w:spacing w:val="-7"/>
        </w:rPr>
        <w:t> </w:t>
      </w:r>
      <w:r>
        <w:rPr/>
        <w:t>las</w:t>
      </w:r>
      <w:r>
        <w:rPr>
          <w:spacing w:val="-7"/>
        </w:rPr>
        <w:t> </w:t>
      </w:r>
      <w:r>
        <w:rPr/>
        <w:t>existencias</w:t>
      </w:r>
      <w:r>
        <w:rPr>
          <w:spacing w:val="-7"/>
        </w:rPr>
        <w:t> </w:t>
      </w:r>
      <w:r>
        <w:rPr/>
        <w:t>es</w:t>
      </w:r>
      <w:r>
        <w:rPr>
          <w:spacing w:val="-6"/>
        </w:rPr>
        <w:t> </w:t>
      </w:r>
      <w:r>
        <w:rPr/>
        <w:t>consumo</w:t>
      </w:r>
      <w:r>
        <w:rPr>
          <w:spacing w:val="-5"/>
        </w:rPr>
        <w:t> </w:t>
      </w:r>
      <w:r>
        <w:rPr/>
        <w:t>de</w:t>
      </w:r>
      <w:r>
        <w:rPr>
          <w:spacing w:val="-9"/>
        </w:rPr>
        <w:t> </w:t>
      </w:r>
      <w:r>
        <w:rPr/>
        <w:t>capital</w:t>
      </w:r>
      <w:r>
        <w:rPr>
          <w:spacing w:val="-6"/>
        </w:rPr>
        <w:t> </w:t>
      </w:r>
      <w:r>
        <w:rPr/>
        <w:t>(Aguilar,</w:t>
      </w:r>
      <w:r>
        <w:rPr>
          <w:spacing w:val="-6"/>
        </w:rPr>
        <w:t> </w:t>
      </w:r>
      <w:r>
        <w:rPr/>
        <w:t>2007).</w:t>
      </w:r>
      <w:r>
        <w:rPr>
          <w:spacing w:val="-5"/>
        </w:rPr>
        <w:t> </w:t>
      </w:r>
      <w:r>
        <w:rPr/>
        <w:t>La</w:t>
      </w:r>
      <w:r>
        <w:rPr>
          <w:spacing w:val="-9"/>
        </w:rPr>
        <w:t> </w:t>
      </w:r>
      <w:r>
        <w:rPr/>
        <w:t>totalidad</w:t>
      </w:r>
      <w:r>
        <w:rPr>
          <w:spacing w:val="-5"/>
        </w:rPr>
        <w:t> </w:t>
      </w:r>
      <w:r>
        <w:rPr/>
        <w:t>del</w:t>
      </w:r>
      <w:r>
        <w:rPr>
          <w:spacing w:val="-8"/>
        </w:rPr>
        <w:t> </w:t>
      </w:r>
      <w:r>
        <w:rPr/>
        <w:t>sistema de capital puede verse en la Figura 16. Por medio de ella se ilustra el conjunto de interacciones entre las categorías de capital y los límites a la escala que imponen esas interacciones.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9"/>
        <w:rPr>
          <w:sz w:val="25"/>
        </w:rPr>
      </w:pPr>
    </w:p>
    <w:p>
      <w:pPr>
        <w:pStyle w:val="BodyText"/>
        <w:ind w:left="100"/>
      </w:pPr>
      <w:r>
        <w:rPr>
          <w:w w:val="100"/>
        </w:rPr>
        <w:t>.</w:t>
      </w:r>
    </w:p>
    <w:p>
      <w:pPr>
        <w:pStyle w:val="BodyText"/>
        <w:rPr>
          <w:sz w:val="26"/>
        </w:rPr>
      </w:pPr>
    </w:p>
    <w:p>
      <w:pPr>
        <w:pStyle w:val="BodyText"/>
        <w:spacing w:before="3"/>
        <w:rPr>
          <w:sz w:val="25"/>
        </w:rPr>
      </w:pPr>
    </w:p>
    <w:p>
      <w:pPr>
        <w:spacing w:before="0"/>
        <w:ind w:left="576" w:right="0" w:firstLine="0"/>
        <w:jc w:val="left"/>
        <w:rPr>
          <w:i/>
          <w:sz w:val="20"/>
        </w:rPr>
      </w:pPr>
      <w:r>
        <w:rPr>
          <w:i/>
          <w:sz w:val="20"/>
        </w:rPr>
        <w:t>Figura 16- Visión Esquemática Conjunta de los Diversos Componentes del Capital en la Biosfera.</w:t>
      </w:r>
    </w:p>
    <w:p>
      <w:pPr>
        <w:spacing w:before="122"/>
        <w:ind w:left="142" w:right="157" w:firstLine="0"/>
        <w:jc w:val="center"/>
        <w:rPr>
          <w:i/>
          <w:sz w:val="20"/>
        </w:rPr>
      </w:pPr>
      <w:r>
        <w:rPr>
          <w:i/>
          <w:sz w:val="20"/>
        </w:rPr>
        <w:t>Fuente: Aguilar (2007)</w:t>
      </w:r>
    </w:p>
    <w:p>
      <w:pPr>
        <w:pStyle w:val="BodyText"/>
        <w:spacing w:before="7"/>
        <w:rPr>
          <w:i/>
          <w:sz w:val="27"/>
        </w:rPr>
      </w:pPr>
    </w:p>
    <w:p>
      <w:pPr>
        <w:pStyle w:val="BodyText"/>
        <w:spacing w:line="360" w:lineRule="auto"/>
        <w:ind w:left="100" w:right="118"/>
        <w:jc w:val="both"/>
      </w:pPr>
      <w:r>
        <w:rPr/>
        <w:t>El capital está compuesto por las existencias de capital natural, capital cultural (o social como lo llaman algunos) y capital manufacturado. Los flujos de materia y energía que pasan</w:t>
      </w:r>
      <w:r>
        <w:rPr>
          <w:spacing w:val="-14"/>
        </w:rPr>
        <w:t> </w:t>
      </w:r>
      <w:r>
        <w:rPr/>
        <w:t>por</w:t>
      </w:r>
      <w:r>
        <w:rPr>
          <w:spacing w:val="-15"/>
        </w:rPr>
        <w:t> </w:t>
      </w:r>
      <w:r>
        <w:rPr/>
        <w:t>estos</w:t>
      </w:r>
      <w:r>
        <w:rPr>
          <w:spacing w:val="-15"/>
        </w:rPr>
        <w:t> </w:t>
      </w:r>
      <w:r>
        <w:rPr/>
        <w:t>subsistemas</w:t>
      </w:r>
      <w:r>
        <w:rPr>
          <w:spacing w:val="-16"/>
        </w:rPr>
        <w:t> </w:t>
      </w:r>
      <w:r>
        <w:rPr/>
        <w:t>hacen</w:t>
      </w:r>
      <w:r>
        <w:rPr>
          <w:spacing w:val="-17"/>
        </w:rPr>
        <w:t> </w:t>
      </w:r>
      <w:r>
        <w:rPr/>
        <w:t>todos</w:t>
      </w:r>
      <w:r>
        <w:rPr>
          <w:spacing w:val="-15"/>
        </w:rPr>
        <w:t> </w:t>
      </w:r>
      <w:r>
        <w:rPr/>
        <w:t>los</w:t>
      </w:r>
      <w:r>
        <w:rPr>
          <w:spacing w:val="-15"/>
        </w:rPr>
        <w:t> </w:t>
      </w:r>
      <w:r>
        <w:rPr/>
        <w:t>procesos</w:t>
      </w:r>
      <w:r>
        <w:rPr>
          <w:spacing w:val="-15"/>
        </w:rPr>
        <w:t> </w:t>
      </w:r>
      <w:r>
        <w:rPr/>
        <w:t>naturales,</w:t>
      </w:r>
      <w:r>
        <w:rPr>
          <w:spacing w:val="-15"/>
        </w:rPr>
        <w:t> </w:t>
      </w:r>
      <w:r>
        <w:rPr/>
        <w:t>sociales</w:t>
      </w:r>
      <w:r>
        <w:rPr>
          <w:spacing w:val="-11"/>
        </w:rPr>
        <w:t> </w:t>
      </w:r>
      <w:r>
        <w:rPr/>
        <w:t>y</w:t>
      </w:r>
      <w:r>
        <w:rPr>
          <w:spacing w:val="-16"/>
        </w:rPr>
        <w:t> </w:t>
      </w:r>
      <w:r>
        <w:rPr/>
        <w:t>económicos posibles.</w:t>
      </w:r>
      <w:r>
        <w:rPr>
          <w:spacing w:val="-4"/>
        </w:rPr>
        <w:t> </w:t>
      </w:r>
      <w:r>
        <w:rPr/>
        <w:t>En</w:t>
      </w:r>
      <w:r>
        <w:rPr>
          <w:spacing w:val="-6"/>
        </w:rPr>
        <w:t> </w:t>
      </w:r>
      <w:r>
        <w:rPr/>
        <w:t>este</w:t>
      </w:r>
      <w:r>
        <w:rPr>
          <w:spacing w:val="-3"/>
        </w:rPr>
        <w:t> </w:t>
      </w:r>
      <w:r>
        <w:rPr/>
        <w:t>modelo</w:t>
      </w:r>
      <w:r>
        <w:rPr>
          <w:spacing w:val="-5"/>
        </w:rPr>
        <w:t> </w:t>
      </w:r>
      <w:r>
        <w:rPr/>
        <w:t>los</w:t>
      </w:r>
      <w:r>
        <w:rPr>
          <w:spacing w:val="-4"/>
        </w:rPr>
        <w:t> </w:t>
      </w:r>
      <w:r>
        <w:rPr/>
        <w:t>límites</w:t>
      </w:r>
      <w:r>
        <w:rPr>
          <w:spacing w:val="-3"/>
        </w:rPr>
        <w:t> </w:t>
      </w:r>
      <w:r>
        <w:rPr/>
        <w:t>del</w:t>
      </w:r>
      <w:r>
        <w:rPr>
          <w:spacing w:val="-4"/>
        </w:rPr>
        <w:t> </w:t>
      </w:r>
      <w:r>
        <w:rPr/>
        <w:t>crecimiento</w:t>
      </w:r>
      <w:r>
        <w:rPr>
          <w:spacing w:val="-5"/>
        </w:rPr>
        <w:t> </w:t>
      </w:r>
      <w:r>
        <w:rPr/>
        <w:t>de</w:t>
      </w:r>
      <w:r>
        <w:rPr>
          <w:spacing w:val="-5"/>
        </w:rPr>
        <w:t> </w:t>
      </w:r>
      <w:r>
        <w:rPr/>
        <w:t>la</w:t>
      </w:r>
      <w:r>
        <w:rPr>
          <w:spacing w:val="-6"/>
        </w:rPr>
        <w:t> </w:t>
      </w:r>
      <w:r>
        <w:rPr/>
        <w:t>economía</w:t>
      </w:r>
      <w:r>
        <w:rPr>
          <w:spacing w:val="-4"/>
        </w:rPr>
        <w:t> </w:t>
      </w:r>
      <w:r>
        <w:rPr/>
        <w:t>están</w:t>
      </w:r>
      <w:r>
        <w:rPr>
          <w:spacing w:val="-4"/>
        </w:rPr>
        <w:t> </w:t>
      </w:r>
      <w:r>
        <w:rPr/>
        <w:t>determinados por su sustrato (el capital cultural y el capital natural). La adaptación entre el capital natural y el capital manufacturado se da gracias al capital cultural/social (Aguilar,</w:t>
      </w:r>
      <w:r>
        <w:rPr>
          <w:spacing w:val="-42"/>
        </w:rPr>
        <w:t> </w:t>
      </w:r>
      <w:r>
        <w:rPr/>
        <w:t>2007).</w:t>
      </w:r>
    </w:p>
    <w:p>
      <w:pPr>
        <w:spacing w:after="0" w:line="360" w:lineRule="auto"/>
        <w:jc w:val="both"/>
        <w:sectPr>
          <w:pgSz w:w="12240" w:h="15840"/>
          <w:pgMar w:header="0" w:footer="1330" w:top="1500" w:bottom="1580" w:left="1340" w:right="1320"/>
        </w:sectPr>
      </w:pPr>
    </w:p>
    <w:p>
      <w:pPr>
        <w:pStyle w:val="BodyText"/>
        <w:spacing w:line="360" w:lineRule="auto" w:before="107"/>
        <w:ind w:left="100" w:right="113"/>
        <w:jc w:val="both"/>
      </w:pPr>
      <w:r>
        <w:rPr/>
        <w:t>Sin embargo, el término capital genera resistencia entre un significativo grupo de economistas ecológicos y de académicos y practicantes cercanos a la Economía Ecológica</w:t>
      </w:r>
      <w:r>
        <w:rPr>
          <w:spacing w:val="-16"/>
        </w:rPr>
        <w:t> </w:t>
      </w:r>
      <w:r>
        <w:rPr/>
        <w:t>en</w:t>
      </w:r>
      <w:r>
        <w:rPr>
          <w:spacing w:val="-16"/>
        </w:rPr>
        <w:t> </w:t>
      </w:r>
      <w:r>
        <w:rPr/>
        <w:t>América</w:t>
      </w:r>
      <w:r>
        <w:rPr>
          <w:spacing w:val="-16"/>
        </w:rPr>
        <w:t> </w:t>
      </w:r>
      <w:r>
        <w:rPr/>
        <w:t>Latina</w:t>
      </w:r>
      <w:r>
        <w:rPr>
          <w:spacing w:val="-14"/>
        </w:rPr>
        <w:t> </w:t>
      </w:r>
      <w:r>
        <w:rPr/>
        <w:t>pues</w:t>
      </w:r>
      <w:r>
        <w:rPr>
          <w:spacing w:val="-14"/>
        </w:rPr>
        <w:t> </w:t>
      </w:r>
      <w:r>
        <w:rPr/>
        <w:t>se</w:t>
      </w:r>
      <w:r>
        <w:rPr>
          <w:spacing w:val="-16"/>
        </w:rPr>
        <w:t> </w:t>
      </w:r>
      <w:r>
        <w:rPr/>
        <w:t>le</w:t>
      </w:r>
      <w:r>
        <w:rPr>
          <w:spacing w:val="-17"/>
        </w:rPr>
        <w:t> </w:t>
      </w:r>
      <w:r>
        <w:rPr/>
        <w:t>relaciona</w:t>
      </w:r>
      <w:r>
        <w:rPr>
          <w:spacing w:val="-16"/>
        </w:rPr>
        <w:t> </w:t>
      </w:r>
      <w:r>
        <w:rPr/>
        <w:t>con</w:t>
      </w:r>
      <w:r>
        <w:rPr>
          <w:spacing w:val="-16"/>
        </w:rPr>
        <w:t> </w:t>
      </w:r>
      <w:r>
        <w:rPr/>
        <w:t>los</w:t>
      </w:r>
      <w:r>
        <w:rPr>
          <w:spacing w:val="-14"/>
        </w:rPr>
        <w:t> </w:t>
      </w:r>
      <w:r>
        <w:rPr/>
        <w:t>modelos</w:t>
      </w:r>
      <w:r>
        <w:rPr>
          <w:spacing w:val="-14"/>
        </w:rPr>
        <w:t> </w:t>
      </w:r>
      <w:r>
        <w:rPr/>
        <w:t>económicos</w:t>
      </w:r>
      <w:r>
        <w:rPr>
          <w:spacing w:val="-15"/>
        </w:rPr>
        <w:t> </w:t>
      </w:r>
      <w:r>
        <w:rPr/>
        <w:t>y</w:t>
      </w:r>
      <w:r>
        <w:rPr>
          <w:spacing w:val="-18"/>
        </w:rPr>
        <w:t> </w:t>
      </w:r>
      <w:r>
        <w:rPr/>
        <w:t>políticos identificados con la prevalencia del capital como conjunto de activos no humanos que pueden ser apropiados e intercambiados en un mercado (Leff, 2004; Acosta, 2010; Toledo, 2013)</w:t>
      </w:r>
      <w:r>
        <w:rPr>
          <w:position w:val="8"/>
          <w:sz w:val="16"/>
        </w:rPr>
        <w:t>15</w:t>
      </w:r>
      <w:r>
        <w:rPr/>
        <w:t>. No siendo este debate objeto de esta investigación, se utiliza de aquí en adelante el término reserva en su sentido de recursos o elementos disponibles para resolver una necesidad o</w:t>
      </w:r>
      <w:r>
        <w:rPr>
          <w:spacing w:val="-3"/>
        </w:rPr>
        <w:t> </w:t>
      </w:r>
      <w:r>
        <w:rPr/>
        <w:t>empresa.</w:t>
      </w:r>
    </w:p>
    <w:p>
      <w:pPr>
        <w:pStyle w:val="BodyText"/>
        <w:spacing w:line="360" w:lineRule="auto" w:before="197"/>
        <w:ind w:left="100" w:right="119"/>
        <w:jc w:val="both"/>
      </w:pPr>
      <w:r>
        <w:rPr/>
        <w:t>Una visión integrada de las reservas justifica la adopción de un marco de valoración integral o una teoría multidimensional del valor (Aguilar, 2007). Como lo describe Martínez Alier, la Economía Ecológica no se compromete con ningún lenguaje de valoración en tanto busca utilizarlos de acuerdo con las necesidades de los contextos específicos (Martínez-Alier, 2011).</w:t>
      </w:r>
    </w:p>
    <w:p>
      <w:pPr>
        <w:pStyle w:val="BodyText"/>
        <w:spacing w:line="360" w:lineRule="auto" w:before="202"/>
        <w:ind w:left="100" w:right="119"/>
        <w:jc w:val="both"/>
      </w:pPr>
      <w:r>
        <w:rPr/>
        <w:t>El reporte TEEB (The Economics of Ecosystems and Biodiversity) del Programa de las Naciones Unidas para el Medio Ambiente (PNUMA) reafirma la coexistencia de los lenguajes de valoración, justificando un enfoque integral. Incluye los enfoques (monetarios y cualitativos) según las preferencias humanas y los enfoques biofísicos (Figura 17), reafirmando la relevancia de la coexistencia de diversos lenguajes de valoración para efectos de un manejo sostenible de los ecosistemas (TEEB, 2010).</w:t>
      </w:r>
    </w:p>
    <w:p>
      <w:pPr>
        <w:pStyle w:val="BodyText"/>
        <w:spacing w:line="360" w:lineRule="auto" w:before="201"/>
        <w:ind w:left="100" w:right="119"/>
        <w:jc w:val="both"/>
      </w:pPr>
      <w:r>
        <w:rPr/>
        <w:t>Metodológicamente esta tesis plantea la estimación de la Deuda Ecológica desde dos ángulos</w:t>
      </w:r>
      <w:r>
        <w:rPr>
          <w:spacing w:val="-4"/>
        </w:rPr>
        <w:t> </w:t>
      </w:r>
      <w:r>
        <w:rPr/>
        <w:t>comparativos</w:t>
      </w:r>
      <w:r>
        <w:rPr>
          <w:spacing w:val="-3"/>
        </w:rPr>
        <w:t> </w:t>
      </w:r>
      <w:r>
        <w:rPr/>
        <w:t>que</w:t>
      </w:r>
      <w:r>
        <w:rPr>
          <w:spacing w:val="-5"/>
        </w:rPr>
        <w:t> </w:t>
      </w:r>
      <w:r>
        <w:rPr/>
        <w:t>buscan</w:t>
      </w:r>
      <w:r>
        <w:rPr>
          <w:spacing w:val="-5"/>
        </w:rPr>
        <w:t> </w:t>
      </w:r>
      <w:r>
        <w:rPr/>
        <w:t>servir</w:t>
      </w:r>
      <w:r>
        <w:rPr>
          <w:spacing w:val="-4"/>
        </w:rPr>
        <w:t> </w:t>
      </w:r>
      <w:r>
        <w:rPr/>
        <w:t>de</w:t>
      </w:r>
      <w:r>
        <w:rPr>
          <w:spacing w:val="-5"/>
        </w:rPr>
        <w:t> </w:t>
      </w:r>
      <w:r>
        <w:rPr/>
        <w:t>base</w:t>
      </w:r>
      <w:r>
        <w:rPr>
          <w:spacing w:val="-5"/>
        </w:rPr>
        <w:t> </w:t>
      </w:r>
      <w:r>
        <w:rPr/>
        <w:t>para</w:t>
      </w:r>
      <w:r>
        <w:rPr>
          <w:spacing w:val="-5"/>
        </w:rPr>
        <w:t> </w:t>
      </w:r>
      <w:r>
        <w:rPr/>
        <w:t>un</w:t>
      </w:r>
      <w:r>
        <w:rPr>
          <w:spacing w:val="-5"/>
        </w:rPr>
        <w:t> </w:t>
      </w:r>
      <w:r>
        <w:rPr/>
        <w:t>proceso</w:t>
      </w:r>
      <w:r>
        <w:rPr>
          <w:spacing w:val="-2"/>
        </w:rPr>
        <w:t> </w:t>
      </w:r>
      <w:r>
        <w:rPr/>
        <w:t>multicriterial,</w:t>
      </w:r>
      <w:r>
        <w:rPr>
          <w:spacing w:val="-3"/>
        </w:rPr>
        <w:t> </w:t>
      </w:r>
      <w:r>
        <w:rPr/>
        <w:t>en</w:t>
      </w:r>
      <w:r>
        <w:rPr>
          <w:spacing w:val="-5"/>
        </w:rPr>
        <w:t> </w:t>
      </w:r>
      <w:r>
        <w:rPr/>
        <w:t>tanto informan las alternativas de decisión. Por ello, se desarrollan los fundamentos teóricos de estos lenguajes a continuación. Por ser los lenguajes monetarios los </w:t>
      </w:r>
      <w:r>
        <w:rPr>
          <w:spacing w:val="-2"/>
        </w:rPr>
        <w:t>más </w:t>
      </w:r>
      <w:r>
        <w:rPr/>
        <w:t>comúnmente identificados con la visión tradicional de la economía, se desarrollan primero, seguidos de los biofísicos y finalmente los</w:t>
      </w:r>
      <w:r>
        <w:rPr>
          <w:spacing w:val="3"/>
        </w:rPr>
        <w:t> </w:t>
      </w:r>
      <w:r>
        <w:rPr/>
        <w:t>cualitativos.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1"/>
        </w:rPr>
      </w:pPr>
      <w:r>
        <w:rPr/>
        <w:pict>
          <v:rect style="position:absolute;margin-left:72.025002pt;margin-top:8.825741pt;width:144.050pt;height:.60004pt;mso-position-horizontal-relative:page;mso-position-vertical-relative:paragraph;z-index:-15703040;mso-wrap-distance-left:0;mso-wrap-distance-right:0" filled="true" fillcolor="#000000" stroked="false">
            <v:fill type="solid"/>
            <w10:wrap type="topAndBottom"/>
          </v:rect>
        </w:pict>
      </w:r>
    </w:p>
    <w:p>
      <w:pPr>
        <w:spacing w:before="71"/>
        <w:ind w:left="100" w:right="0" w:firstLine="0"/>
        <w:jc w:val="left"/>
        <w:rPr>
          <w:sz w:val="20"/>
        </w:rPr>
      </w:pPr>
      <w:r>
        <w:rPr>
          <w:sz w:val="20"/>
          <w:vertAlign w:val="superscript"/>
        </w:rPr>
        <w:t>15</w:t>
      </w:r>
      <w:r>
        <w:rPr>
          <w:spacing w:val="-15"/>
          <w:sz w:val="20"/>
          <w:vertAlign w:val="baseline"/>
        </w:rPr>
        <w:t> </w:t>
      </w:r>
      <w:r>
        <w:rPr>
          <w:sz w:val="20"/>
          <w:vertAlign w:val="baseline"/>
        </w:rPr>
        <w:t>Esta</w:t>
      </w:r>
      <w:r>
        <w:rPr>
          <w:spacing w:val="-12"/>
          <w:sz w:val="20"/>
          <w:vertAlign w:val="baseline"/>
        </w:rPr>
        <w:t> </w:t>
      </w:r>
      <w:r>
        <w:rPr>
          <w:sz w:val="20"/>
          <w:vertAlign w:val="baseline"/>
        </w:rPr>
        <w:t>definición</w:t>
      </w:r>
      <w:r>
        <w:rPr>
          <w:spacing w:val="-16"/>
          <w:sz w:val="20"/>
          <w:vertAlign w:val="baseline"/>
        </w:rPr>
        <w:t> </w:t>
      </w:r>
      <w:r>
        <w:rPr>
          <w:sz w:val="20"/>
          <w:vertAlign w:val="baseline"/>
        </w:rPr>
        <w:t>de</w:t>
      </w:r>
      <w:r>
        <w:rPr>
          <w:spacing w:val="-13"/>
          <w:sz w:val="20"/>
          <w:vertAlign w:val="baseline"/>
        </w:rPr>
        <w:t> </w:t>
      </w:r>
      <w:r>
        <w:rPr>
          <w:sz w:val="20"/>
          <w:vertAlign w:val="baseline"/>
        </w:rPr>
        <w:t>capital</w:t>
      </w:r>
      <w:r>
        <w:rPr>
          <w:spacing w:val="-10"/>
          <w:sz w:val="20"/>
          <w:vertAlign w:val="baseline"/>
        </w:rPr>
        <w:t> </w:t>
      </w:r>
      <w:r>
        <w:rPr>
          <w:sz w:val="20"/>
          <w:vertAlign w:val="baseline"/>
        </w:rPr>
        <w:t>es</w:t>
      </w:r>
      <w:r>
        <w:rPr>
          <w:spacing w:val="-14"/>
          <w:sz w:val="20"/>
          <w:vertAlign w:val="baseline"/>
        </w:rPr>
        <w:t> </w:t>
      </w:r>
      <w:r>
        <w:rPr>
          <w:sz w:val="20"/>
          <w:vertAlign w:val="baseline"/>
        </w:rPr>
        <w:t>utilizada</w:t>
      </w:r>
      <w:r>
        <w:rPr>
          <w:spacing w:val="-12"/>
          <w:sz w:val="20"/>
          <w:vertAlign w:val="baseline"/>
        </w:rPr>
        <w:t> </w:t>
      </w:r>
      <w:r>
        <w:rPr>
          <w:sz w:val="20"/>
          <w:vertAlign w:val="baseline"/>
        </w:rPr>
        <w:t>en</w:t>
      </w:r>
      <w:r>
        <w:rPr>
          <w:spacing w:val="-16"/>
          <w:sz w:val="20"/>
          <w:vertAlign w:val="baseline"/>
        </w:rPr>
        <w:t> </w:t>
      </w:r>
      <w:r>
        <w:rPr>
          <w:sz w:val="20"/>
          <w:vertAlign w:val="baseline"/>
        </w:rPr>
        <w:t>la</w:t>
      </w:r>
      <w:r>
        <w:rPr>
          <w:spacing w:val="-12"/>
          <w:sz w:val="20"/>
          <w:vertAlign w:val="baseline"/>
        </w:rPr>
        <w:t> </w:t>
      </w:r>
      <w:r>
        <w:rPr>
          <w:sz w:val="20"/>
          <w:vertAlign w:val="baseline"/>
        </w:rPr>
        <w:t>obra</w:t>
      </w:r>
      <w:r>
        <w:rPr>
          <w:spacing w:val="-7"/>
          <w:sz w:val="20"/>
          <w:vertAlign w:val="baseline"/>
        </w:rPr>
        <w:t> </w:t>
      </w:r>
      <w:r>
        <w:rPr>
          <w:i/>
          <w:sz w:val="20"/>
          <w:vertAlign w:val="baseline"/>
        </w:rPr>
        <w:t>Capital</w:t>
      </w:r>
      <w:r>
        <w:rPr>
          <w:i/>
          <w:spacing w:val="-13"/>
          <w:sz w:val="20"/>
          <w:vertAlign w:val="baseline"/>
        </w:rPr>
        <w:t> </w:t>
      </w:r>
      <w:r>
        <w:rPr>
          <w:i/>
          <w:sz w:val="20"/>
          <w:vertAlign w:val="baseline"/>
        </w:rPr>
        <w:t>en</w:t>
      </w:r>
      <w:r>
        <w:rPr>
          <w:i/>
          <w:spacing w:val="-13"/>
          <w:sz w:val="20"/>
          <w:vertAlign w:val="baseline"/>
        </w:rPr>
        <w:t> </w:t>
      </w:r>
      <w:r>
        <w:rPr>
          <w:i/>
          <w:sz w:val="20"/>
          <w:vertAlign w:val="baseline"/>
        </w:rPr>
        <w:t>el</w:t>
      </w:r>
      <w:r>
        <w:rPr>
          <w:i/>
          <w:spacing w:val="-13"/>
          <w:sz w:val="20"/>
          <w:vertAlign w:val="baseline"/>
        </w:rPr>
        <w:t> </w:t>
      </w:r>
      <w:r>
        <w:rPr>
          <w:i/>
          <w:sz w:val="20"/>
          <w:vertAlign w:val="baseline"/>
        </w:rPr>
        <w:t>Siglo</w:t>
      </w:r>
      <w:r>
        <w:rPr>
          <w:i/>
          <w:spacing w:val="-12"/>
          <w:sz w:val="20"/>
          <w:vertAlign w:val="baseline"/>
        </w:rPr>
        <w:t> </w:t>
      </w:r>
      <w:r>
        <w:rPr>
          <w:i/>
          <w:sz w:val="20"/>
          <w:vertAlign w:val="baseline"/>
        </w:rPr>
        <w:t>XXI</w:t>
      </w:r>
      <w:r>
        <w:rPr>
          <w:i/>
          <w:spacing w:val="-13"/>
          <w:sz w:val="20"/>
          <w:vertAlign w:val="baseline"/>
        </w:rPr>
        <w:t> </w:t>
      </w:r>
      <w:r>
        <w:rPr>
          <w:sz w:val="20"/>
          <w:vertAlign w:val="baseline"/>
        </w:rPr>
        <w:t>de</w:t>
      </w:r>
      <w:r>
        <w:rPr>
          <w:spacing w:val="-12"/>
          <w:sz w:val="20"/>
          <w:vertAlign w:val="baseline"/>
        </w:rPr>
        <w:t> </w:t>
      </w:r>
      <w:r>
        <w:rPr>
          <w:sz w:val="20"/>
          <w:vertAlign w:val="baseline"/>
        </w:rPr>
        <w:t>Thomas</w:t>
      </w:r>
      <w:r>
        <w:rPr>
          <w:spacing w:val="-13"/>
          <w:sz w:val="20"/>
          <w:vertAlign w:val="baseline"/>
        </w:rPr>
        <w:t> </w:t>
      </w:r>
      <w:r>
        <w:rPr>
          <w:sz w:val="20"/>
          <w:vertAlign w:val="baseline"/>
        </w:rPr>
        <w:t>Piketty</w:t>
      </w:r>
      <w:r>
        <w:rPr>
          <w:spacing w:val="-12"/>
          <w:sz w:val="20"/>
          <w:vertAlign w:val="baseline"/>
        </w:rPr>
        <w:t> </w:t>
      </w:r>
      <w:r>
        <w:rPr>
          <w:sz w:val="20"/>
          <w:vertAlign w:val="baseline"/>
        </w:rPr>
        <w:t>(Piketty,</w:t>
      </w:r>
      <w:r>
        <w:rPr>
          <w:spacing w:val="-12"/>
          <w:sz w:val="20"/>
          <w:vertAlign w:val="baseline"/>
        </w:rPr>
        <w:t> </w:t>
      </w:r>
      <w:r>
        <w:rPr>
          <w:sz w:val="20"/>
          <w:vertAlign w:val="baseline"/>
        </w:rPr>
        <w:t>2014).</w:t>
      </w:r>
    </w:p>
    <w:p>
      <w:pPr>
        <w:spacing w:after="0"/>
        <w:jc w:val="left"/>
        <w:rPr>
          <w:sz w:val="20"/>
        </w:rPr>
        <w:sectPr>
          <w:pgSz w:w="12240" w:h="15840"/>
          <w:pgMar w:header="0" w:footer="1330" w:top="1500" w:bottom="1520" w:left="1340" w:right="1320"/>
        </w:sectPr>
      </w:pPr>
    </w:p>
    <w:p>
      <w:pPr>
        <w:pStyle w:val="BodyText"/>
        <w:spacing w:before="4"/>
      </w:pPr>
    </w:p>
    <w:p>
      <w:pPr>
        <w:pStyle w:val="BodyText"/>
        <w:ind w:left="250"/>
        <w:rPr>
          <w:sz w:val="20"/>
        </w:rPr>
      </w:pPr>
      <w:r>
        <w:rPr>
          <w:sz w:val="20"/>
        </w:rPr>
        <w:drawing>
          <wp:inline distT="0" distB="0" distL="0" distR="0">
            <wp:extent cx="5757424" cy="3576066"/>
            <wp:effectExtent l="0" t="0" r="0" b="0"/>
            <wp:docPr id="43" name="image47.jpeg"/>
            <wp:cNvGraphicFramePr>
              <a:graphicFrameLocks noChangeAspect="1"/>
            </wp:cNvGraphicFramePr>
            <a:graphic>
              <a:graphicData uri="http://schemas.openxmlformats.org/drawingml/2006/picture">
                <pic:pic>
                  <pic:nvPicPr>
                    <pic:cNvPr id="44" name="image47.jpeg"/>
                    <pic:cNvPicPr/>
                  </pic:nvPicPr>
                  <pic:blipFill>
                    <a:blip r:embed="rId60" cstate="print"/>
                    <a:stretch>
                      <a:fillRect/>
                    </a:stretch>
                  </pic:blipFill>
                  <pic:spPr>
                    <a:xfrm>
                      <a:off x="0" y="0"/>
                      <a:ext cx="5757424" cy="3576066"/>
                    </a:xfrm>
                    <a:prstGeom prst="rect">
                      <a:avLst/>
                    </a:prstGeom>
                  </pic:spPr>
                </pic:pic>
              </a:graphicData>
            </a:graphic>
          </wp:inline>
        </w:drawing>
      </w:r>
      <w:r>
        <w:rPr>
          <w:sz w:val="20"/>
        </w:rPr>
      </w:r>
    </w:p>
    <w:p>
      <w:pPr>
        <w:pStyle w:val="BodyText"/>
        <w:rPr>
          <w:sz w:val="20"/>
        </w:rPr>
      </w:pPr>
    </w:p>
    <w:p>
      <w:pPr>
        <w:pStyle w:val="BodyText"/>
        <w:spacing w:before="5"/>
        <w:rPr>
          <w:sz w:val="18"/>
        </w:rPr>
      </w:pPr>
    </w:p>
    <w:p>
      <w:pPr>
        <w:spacing w:line="242" w:lineRule="auto" w:before="0"/>
        <w:ind w:left="142" w:right="166" w:firstLine="0"/>
        <w:jc w:val="center"/>
        <w:rPr>
          <w:i/>
          <w:sz w:val="20"/>
        </w:rPr>
      </w:pPr>
      <w:bookmarkStart w:name="_bookmark19" w:id="24"/>
      <w:bookmarkEnd w:id="24"/>
      <w:r>
        <w:rPr/>
      </w:r>
      <w:r>
        <w:rPr>
          <w:i/>
          <w:sz w:val="20"/>
        </w:rPr>
        <w:t>Figura 17- Síntesis del Informe TEEB de los Enfoques y Métodos para la Determinación del Valor de los </w:t>
      </w:r>
      <w:r>
        <w:rPr>
          <w:i/>
          <w:sz w:val="20"/>
        </w:rPr>
        <w:t>Servicios Ecosistémicos desde una Perspectiva Integral.</w:t>
      </w:r>
    </w:p>
    <w:p>
      <w:pPr>
        <w:spacing w:line="225" w:lineRule="exact" w:before="0"/>
        <w:ind w:left="142" w:right="152" w:firstLine="0"/>
        <w:jc w:val="center"/>
        <w:rPr>
          <w:i/>
          <w:sz w:val="20"/>
        </w:rPr>
      </w:pPr>
      <w:r>
        <w:rPr>
          <w:i/>
          <w:sz w:val="20"/>
        </w:rPr>
        <w:t>Fuente: TEEB (2010).</w:t>
      </w:r>
    </w:p>
    <w:p>
      <w:pPr>
        <w:pStyle w:val="BodyText"/>
        <w:spacing w:before="6"/>
        <w:rPr>
          <w:i/>
          <w:sz w:val="27"/>
        </w:rPr>
      </w:pPr>
    </w:p>
    <w:p>
      <w:pPr>
        <w:pStyle w:val="Heading2"/>
        <w:numPr>
          <w:ilvl w:val="1"/>
          <w:numId w:val="3"/>
        </w:numPr>
        <w:tabs>
          <w:tab w:pos="820" w:val="left" w:leader="none"/>
          <w:tab w:pos="821" w:val="left" w:leader="none"/>
        </w:tabs>
        <w:spacing w:line="240" w:lineRule="auto" w:before="0" w:after="0"/>
        <w:ind w:left="820" w:right="0" w:hanging="721"/>
        <w:jc w:val="left"/>
      </w:pPr>
      <w:bookmarkStart w:name="_bookmark20" w:id="25"/>
      <w:bookmarkEnd w:id="25"/>
      <w:r>
        <w:rPr>
          <w:b w:val="0"/>
        </w:rPr>
      </w:r>
      <w:bookmarkStart w:name="_bookmark20" w:id="26"/>
      <w:bookmarkEnd w:id="26"/>
      <w:r>
        <w:rPr/>
        <w:t>L</w:t>
      </w:r>
      <w:r>
        <w:rPr/>
        <w:t>enguajes Monetarios o</w:t>
      </w:r>
      <w:r>
        <w:rPr>
          <w:spacing w:val="-5"/>
        </w:rPr>
        <w:t> </w:t>
      </w:r>
      <w:r>
        <w:rPr/>
        <w:t>Crematísticos</w:t>
      </w:r>
    </w:p>
    <w:p>
      <w:pPr>
        <w:pStyle w:val="BodyText"/>
        <w:spacing w:before="7"/>
        <w:rPr>
          <w:b/>
          <w:sz w:val="29"/>
        </w:rPr>
      </w:pPr>
    </w:p>
    <w:p>
      <w:pPr>
        <w:pStyle w:val="ListParagraph"/>
        <w:numPr>
          <w:ilvl w:val="0"/>
          <w:numId w:val="4"/>
        </w:numPr>
        <w:tabs>
          <w:tab w:pos="820" w:val="left" w:leader="none"/>
          <w:tab w:pos="821" w:val="left" w:leader="none"/>
        </w:tabs>
        <w:spacing w:line="240" w:lineRule="auto" w:before="0" w:after="0"/>
        <w:ind w:left="820" w:right="0" w:hanging="721"/>
        <w:jc w:val="left"/>
        <w:rPr>
          <w:sz w:val="24"/>
        </w:rPr>
      </w:pPr>
      <w:r>
        <w:rPr>
          <w:sz w:val="24"/>
        </w:rPr>
        <w:t>Teoría</w:t>
      </w:r>
      <w:r>
        <w:rPr>
          <w:spacing w:val="-2"/>
          <w:sz w:val="24"/>
        </w:rPr>
        <w:t> </w:t>
      </w:r>
      <w:r>
        <w:rPr>
          <w:sz w:val="24"/>
        </w:rPr>
        <w:t>General</w:t>
      </w:r>
    </w:p>
    <w:p>
      <w:pPr>
        <w:pStyle w:val="BodyText"/>
        <w:spacing w:before="7"/>
        <w:rPr>
          <w:sz w:val="22"/>
        </w:rPr>
      </w:pPr>
    </w:p>
    <w:p>
      <w:pPr>
        <w:pStyle w:val="BodyText"/>
        <w:spacing w:line="360" w:lineRule="auto"/>
        <w:ind w:left="100" w:right="116"/>
        <w:jc w:val="both"/>
      </w:pPr>
      <w:r>
        <w:rPr/>
        <w:t>Los</w:t>
      </w:r>
      <w:r>
        <w:rPr>
          <w:spacing w:val="-20"/>
        </w:rPr>
        <w:t> </w:t>
      </w:r>
      <w:r>
        <w:rPr/>
        <w:t>lenguajes</w:t>
      </w:r>
      <w:r>
        <w:rPr>
          <w:spacing w:val="-19"/>
        </w:rPr>
        <w:t> </w:t>
      </w:r>
      <w:r>
        <w:rPr/>
        <w:t>de</w:t>
      </w:r>
      <w:r>
        <w:rPr>
          <w:spacing w:val="-22"/>
        </w:rPr>
        <w:t> </w:t>
      </w:r>
      <w:r>
        <w:rPr/>
        <w:t>valoración</w:t>
      </w:r>
      <w:r>
        <w:rPr>
          <w:spacing w:val="-21"/>
        </w:rPr>
        <w:t> </w:t>
      </w:r>
      <w:r>
        <w:rPr/>
        <w:t>monetarios</w:t>
      </w:r>
      <w:r>
        <w:rPr>
          <w:spacing w:val="-19"/>
        </w:rPr>
        <w:t> </w:t>
      </w:r>
      <w:r>
        <w:rPr/>
        <w:t>buscan</w:t>
      </w:r>
      <w:r>
        <w:rPr>
          <w:spacing w:val="-22"/>
        </w:rPr>
        <w:t> </w:t>
      </w:r>
      <w:r>
        <w:rPr/>
        <w:t>establecer</w:t>
      </w:r>
      <w:r>
        <w:rPr>
          <w:spacing w:val="-19"/>
        </w:rPr>
        <w:t> </w:t>
      </w:r>
      <w:r>
        <w:rPr/>
        <w:t>y</w:t>
      </w:r>
      <w:r>
        <w:rPr>
          <w:spacing w:val="-23"/>
        </w:rPr>
        <w:t> </w:t>
      </w:r>
      <w:r>
        <w:rPr/>
        <w:t>utilizar</w:t>
      </w:r>
      <w:r>
        <w:rPr>
          <w:spacing w:val="-16"/>
        </w:rPr>
        <w:t> </w:t>
      </w:r>
      <w:r>
        <w:rPr/>
        <w:t>métodos</w:t>
      </w:r>
      <w:r>
        <w:rPr>
          <w:spacing w:val="-20"/>
        </w:rPr>
        <w:t> </w:t>
      </w:r>
      <w:r>
        <w:rPr/>
        <w:t>de</w:t>
      </w:r>
      <w:r>
        <w:rPr>
          <w:spacing w:val="-21"/>
        </w:rPr>
        <w:t> </w:t>
      </w:r>
      <w:r>
        <w:rPr/>
        <w:t>medición y</w:t>
      </w:r>
      <w:r>
        <w:rPr>
          <w:spacing w:val="-14"/>
        </w:rPr>
        <w:t> </w:t>
      </w:r>
      <w:r>
        <w:rPr/>
        <w:t>comparación</w:t>
      </w:r>
      <w:r>
        <w:rPr>
          <w:spacing w:val="-7"/>
        </w:rPr>
        <w:t> </w:t>
      </w:r>
      <w:r>
        <w:rPr/>
        <w:t>del</w:t>
      </w:r>
      <w:r>
        <w:rPr>
          <w:spacing w:val="-11"/>
        </w:rPr>
        <w:t> </w:t>
      </w:r>
      <w:r>
        <w:rPr/>
        <w:t>valor</w:t>
      </w:r>
      <w:r>
        <w:rPr>
          <w:spacing w:val="-9"/>
        </w:rPr>
        <w:t> </w:t>
      </w:r>
      <w:r>
        <w:rPr/>
        <w:t>entre</w:t>
      </w:r>
      <w:r>
        <w:rPr>
          <w:spacing w:val="-12"/>
        </w:rPr>
        <w:t> </w:t>
      </w:r>
      <w:r>
        <w:rPr/>
        <w:t>los</w:t>
      </w:r>
      <w:r>
        <w:rPr>
          <w:spacing w:val="-9"/>
        </w:rPr>
        <w:t> </w:t>
      </w:r>
      <w:r>
        <w:rPr/>
        <w:t>elementos</w:t>
      </w:r>
      <w:r>
        <w:rPr>
          <w:spacing w:val="-10"/>
        </w:rPr>
        <w:t> </w:t>
      </w:r>
      <w:r>
        <w:rPr/>
        <w:t>de</w:t>
      </w:r>
      <w:r>
        <w:rPr>
          <w:spacing w:val="-11"/>
        </w:rPr>
        <w:t> </w:t>
      </w:r>
      <w:r>
        <w:rPr/>
        <w:t>las</w:t>
      </w:r>
      <w:r>
        <w:rPr>
          <w:spacing w:val="-10"/>
        </w:rPr>
        <w:t> </w:t>
      </w:r>
      <w:r>
        <w:rPr/>
        <w:t>reservas</w:t>
      </w:r>
      <w:r>
        <w:rPr>
          <w:spacing w:val="-5"/>
        </w:rPr>
        <w:t> </w:t>
      </w:r>
      <w:r>
        <w:rPr/>
        <w:t>y</w:t>
      </w:r>
      <w:r>
        <w:rPr>
          <w:spacing w:val="-13"/>
        </w:rPr>
        <w:t> </w:t>
      </w:r>
      <w:r>
        <w:rPr/>
        <w:t>sus</w:t>
      </w:r>
      <w:r>
        <w:rPr>
          <w:spacing w:val="-10"/>
        </w:rPr>
        <w:t> </w:t>
      </w:r>
      <w:r>
        <w:rPr/>
        <w:t>flujos.</w:t>
      </w:r>
      <w:r>
        <w:rPr>
          <w:spacing w:val="-8"/>
        </w:rPr>
        <w:t> </w:t>
      </w:r>
      <w:r>
        <w:rPr/>
        <w:t>Utiliza</w:t>
      </w:r>
      <w:r>
        <w:rPr>
          <w:spacing w:val="-8"/>
        </w:rPr>
        <w:t> </w:t>
      </w:r>
      <w:r>
        <w:rPr/>
        <w:t>la</w:t>
      </w:r>
      <w:r>
        <w:rPr>
          <w:spacing w:val="-11"/>
        </w:rPr>
        <w:t> </w:t>
      </w:r>
      <w:r>
        <w:rPr/>
        <w:t>unidad monetaria como medio de valor. Ello implica un punto de partida del valor de cambio o de mercado que sirve a Martínez Alier para distinguir, utilizando la filosofía griega, entre la “oikonomía” (el arte de aprovisionamiento material de la casa familiar) y la “crematística” (el estudio de la formación de precios de mercado para ganar dinero) (Martínez-Alier,</w:t>
      </w:r>
      <w:r>
        <w:rPr>
          <w:spacing w:val="1"/>
        </w:rPr>
        <w:t> </w:t>
      </w:r>
      <w:r>
        <w:rPr/>
        <w:t>2011).</w:t>
      </w:r>
    </w:p>
    <w:p>
      <w:pPr>
        <w:pStyle w:val="BodyText"/>
        <w:spacing w:line="360" w:lineRule="auto" w:before="119"/>
        <w:ind w:left="100" w:right="117"/>
        <w:jc w:val="both"/>
      </w:pPr>
      <w:r>
        <w:rPr/>
        <w:t>El marco metodológico de valoración monetaria o crematística más utilizado tanto por</w:t>
      </w:r>
      <w:r>
        <w:rPr>
          <w:spacing w:val="-42"/>
        </w:rPr>
        <w:t> </w:t>
      </w:r>
      <w:r>
        <w:rPr/>
        <w:t>la literatura de Economía Ambiental como de Economía Ecológica es el de la ecuación</w:t>
      </w:r>
      <w:r>
        <w:rPr>
          <w:spacing w:val="-36"/>
        </w:rPr>
        <w:t> </w:t>
      </w:r>
      <w:r>
        <w:rPr/>
        <w:t>del valor</w:t>
      </w:r>
      <w:r>
        <w:rPr>
          <w:spacing w:val="-9"/>
        </w:rPr>
        <w:t> </w:t>
      </w:r>
      <w:r>
        <w:rPr/>
        <w:t>total</w:t>
      </w:r>
      <w:r>
        <w:rPr>
          <w:spacing w:val="-9"/>
        </w:rPr>
        <w:t> </w:t>
      </w:r>
      <w:r>
        <w:rPr/>
        <w:t>(McNeely,</w:t>
      </w:r>
      <w:r>
        <w:rPr>
          <w:spacing w:val="-7"/>
        </w:rPr>
        <w:t> </w:t>
      </w:r>
      <w:r>
        <w:rPr/>
        <w:t>1988;</w:t>
      </w:r>
      <w:r>
        <w:rPr>
          <w:spacing w:val="-8"/>
        </w:rPr>
        <w:t> </w:t>
      </w:r>
      <w:r>
        <w:rPr/>
        <w:t>Dixon</w:t>
      </w:r>
      <w:r>
        <w:rPr>
          <w:spacing w:val="-10"/>
        </w:rPr>
        <w:t> </w:t>
      </w:r>
      <w:r>
        <w:rPr/>
        <w:t>&amp;</w:t>
      </w:r>
      <w:r>
        <w:rPr>
          <w:spacing w:val="-9"/>
        </w:rPr>
        <w:t> </w:t>
      </w:r>
      <w:r>
        <w:rPr/>
        <w:t>Sherman,</w:t>
      </w:r>
      <w:r>
        <w:rPr>
          <w:spacing w:val="-8"/>
        </w:rPr>
        <w:t> </w:t>
      </w:r>
      <w:r>
        <w:rPr/>
        <w:t>1990;</w:t>
      </w:r>
      <w:r>
        <w:rPr>
          <w:spacing w:val="-7"/>
        </w:rPr>
        <w:t> </w:t>
      </w:r>
      <w:r>
        <w:rPr/>
        <w:t>Pearce</w:t>
      </w:r>
      <w:r>
        <w:rPr>
          <w:spacing w:val="-11"/>
        </w:rPr>
        <w:t> </w:t>
      </w:r>
      <w:r>
        <w:rPr/>
        <w:t>&amp;</w:t>
      </w:r>
      <w:r>
        <w:rPr>
          <w:spacing w:val="-12"/>
        </w:rPr>
        <w:t> </w:t>
      </w:r>
      <w:r>
        <w:rPr/>
        <w:t>Turner,</w:t>
      </w:r>
      <w:r>
        <w:rPr>
          <w:spacing w:val="-7"/>
        </w:rPr>
        <w:t> </w:t>
      </w:r>
      <w:r>
        <w:rPr/>
        <w:t>1990;</w:t>
      </w:r>
      <w:r>
        <w:rPr>
          <w:spacing w:val="-8"/>
        </w:rPr>
        <w:t> </w:t>
      </w:r>
      <w:r>
        <w:rPr/>
        <w:t>Abramovitz,</w:t>
      </w:r>
    </w:p>
    <w:p>
      <w:pPr>
        <w:spacing w:after="0" w:line="360" w:lineRule="auto"/>
        <w:jc w:val="both"/>
        <w:sectPr>
          <w:pgSz w:w="12240" w:h="15840"/>
          <w:pgMar w:header="0" w:footer="1330" w:top="1500" w:bottom="1580" w:left="1340" w:right="1320"/>
        </w:sectPr>
      </w:pPr>
    </w:p>
    <w:p>
      <w:pPr>
        <w:pStyle w:val="BodyText"/>
        <w:spacing w:line="360" w:lineRule="auto" w:before="107"/>
        <w:ind w:left="100" w:right="116"/>
        <w:jc w:val="both"/>
      </w:pPr>
      <w:r>
        <w:rPr/>
        <w:t>1991; Dixon, et al., 1994; Pearce &amp; Moran, 1994; Aguilar &amp; Semanchin, 1998; Kodzo, 2012). Hoy día se ha integrado con el enfoque de servicios ecosistémicos (Costanza, et al., 1997; de Groot, et al., 2002; Naidoo &amp; Ricketts, 2006; OECD, 2010; ten Brink, 2011; Costanza,</w:t>
      </w:r>
      <w:r>
        <w:rPr>
          <w:spacing w:val="-15"/>
        </w:rPr>
        <w:t> </w:t>
      </w:r>
      <w:r>
        <w:rPr/>
        <w:t>et</w:t>
      </w:r>
      <w:r>
        <w:rPr>
          <w:spacing w:val="-15"/>
        </w:rPr>
        <w:t> </w:t>
      </w:r>
      <w:r>
        <w:rPr/>
        <w:t>al.,</w:t>
      </w:r>
      <w:r>
        <w:rPr>
          <w:spacing w:val="-14"/>
        </w:rPr>
        <w:t> </w:t>
      </w:r>
      <w:r>
        <w:rPr/>
        <w:t>2014;</w:t>
      </w:r>
      <w:r>
        <w:rPr>
          <w:spacing w:val="-15"/>
        </w:rPr>
        <w:t> </w:t>
      </w:r>
      <w:r>
        <w:rPr/>
        <w:t>Lamarque,</w:t>
      </w:r>
      <w:r>
        <w:rPr>
          <w:spacing w:val="-15"/>
        </w:rPr>
        <w:t> </w:t>
      </w:r>
      <w:r>
        <w:rPr/>
        <w:t>et</w:t>
      </w:r>
      <w:r>
        <w:rPr>
          <w:spacing w:val="-14"/>
        </w:rPr>
        <w:t> </w:t>
      </w:r>
      <w:r>
        <w:rPr/>
        <w:t>al.,</w:t>
      </w:r>
      <w:r>
        <w:rPr>
          <w:spacing w:val="-15"/>
        </w:rPr>
        <w:t> </w:t>
      </w:r>
      <w:r>
        <w:rPr/>
        <w:t>2014;</w:t>
      </w:r>
      <w:r>
        <w:rPr>
          <w:spacing w:val="-14"/>
        </w:rPr>
        <w:t> </w:t>
      </w:r>
      <w:r>
        <w:rPr/>
        <w:t>Jones,</w:t>
      </w:r>
      <w:r>
        <w:rPr>
          <w:spacing w:val="-15"/>
        </w:rPr>
        <w:t> </w:t>
      </w:r>
      <w:r>
        <w:rPr/>
        <w:t>et</w:t>
      </w:r>
      <w:r>
        <w:rPr>
          <w:spacing w:val="-15"/>
        </w:rPr>
        <w:t> </w:t>
      </w:r>
      <w:r>
        <w:rPr/>
        <w:t>al.,</w:t>
      </w:r>
      <w:r>
        <w:rPr>
          <w:spacing w:val="-14"/>
        </w:rPr>
        <w:t> </w:t>
      </w:r>
      <w:r>
        <w:rPr/>
        <w:t>2015;</w:t>
      </w:r>
      <w:r>
        <w:rPr>
          <w:spacing w:val="-15"/>
        </w:rPr>
        <w:t> </w:t>
      </w:r>
      <w:r>
        <w:rPr/>
        <w:t>Jones</w:t>
      </w:r>
      <w:r>
        <w:rPr>
          <w:spacing w:val="-15"/>
        </w:rPr>
        <w:t> </w:t>
      </w:r>
      <w:r>
        <w:rPr/>
        <w:t>&amp;</w:t>
      </w:r>
      <w:r>
        <w:rPr>
          <w:spacing w:val="-16"/>
        </w:rPr>
        <w:t> </w:t>
      </w:r>
      <w:r>
        <w:rPr/>
        <w:t>DiPinto,</w:t>
      </w:r>
      <w:r>
        <w:rPr>
          <w:spacing w:val="-14"/>
        </w:rPr>
        <w:t> </w:t>
      </w:r>
      <w:r>
        <w:rPr/>
        <w:t>2017; OECD, 2018).</w:t>
      </w:r>
    </w:p>
    <w:p>
      <w:pPr>
        <w:pStyle w:val="BodyText"/>
        <w:spacing w:line="360" w:lineRule="auto" w:before="203"/>
        <w:ind w:left="100" w:right="117"/>
        <w:jc w:val="both"/>
      </w:pPr>
      <w:r>
        <w:rPr/>
        <w:t>De acuerdo con esta perspectiva los valores de los servicios ambientales pueden ser clasificados</w:t>
      </w:r>
      <w:r>
        <w:rPr>
          <w:spacing w:val="-12"/>
        </w:rPr>
        <w:t> </w:t>
      </w:r>
      <w:r>
        <w:rPr/>
        <w:t>en</w:t>
      </w:r>
      <w:r>
        <w:rPr>
          <w:spacing w:val="-13"/>
        </w:rPr>
        <w:t> </w:t>
      </w:r>
      <w:r>
        <w:rPr/>
        <w:t>dos</w:t>
      </w:r>
      <w:r>
        <w:rPr>
          <w:spacing w:val="-11"/>
        </w:rPr>
        <w:t> </w:t>
      </w:r>
      <w:r>
        <w:rPr/>
        <w:t>grupos</w:t>
      </w:r>
      <w:r>
        <w:rPr>
          <w:spacing w:val="-9"/>
        </w:rPr>
        <w:t> </w:t>
      </w:r>
      <w:r>
        <w:rPr/>
        <w:t>principales:</w:t>
      </w:r>
      <w:r>
        <w:rPr>
          <w:spacing w:val="-6"/>
        </w:rPr>
        <w:t> </w:t>
      </w:r>
      <w:r>
        <w:rPr/>
        <w:t>directos</w:t>
      </w:r>
      <w:r>
        <w:rPr>
          <w:spacing w:val="-12"/>
        </w:rPr>
        <w:t> </w:t>
      </w:r>
      <w:r>
        <w:rPr/>
        <w:t>e</w:t>
      </w:r>
      <w:r>
        <w:rPr>
          <w:spacing w:val="-13"/>
        </w:rPr>
        <w:t> </w:t>
      </w:r>
      <w:r>
        <w:rPr/>
        <w:t>indirectos.</w:t>
      </w:r>
      <w:r>
        <w:rPr>
          <w:spacing w:val="-10"/>
        </w:rPr>
        <w:t> </w:t>
      </w:r>
      <w:r>
        <w:rPr/>
        <w:t>Los</w:t>
      </w:r>
      <w:r>
        <w:rPr>
          <w:spacing w:val="-11"/>
        </w:rPr>
        <w:t> </w:t>
      </w:r>
      <w:r>
        <w:rPr/>
        <w:t>valores</w:t>
      </w:r>
      <w:r>
        <w:rPr>
          <w:spacing w:val="-11"/>
        </w:rPr>
        <w:t> </w:t>
      </w:r>
      <w:r>
        <w:rPr/>
        <w:t>directos</w:t>
      </w:r>
      <w:r>
        <w:rPr>
          <w:spacing w:val="-11"/>
        </w:rPr>
        <w:t> </w:t>
      </w:r>
      <w:r>
        <w:rPr/>
        <w:t>(VD)</w:t>
      </w:r>
      <w:r>
        <w:rPr>
          <w:spacing w:val="-11"/>
        </w:rPr>
        <w:t> </w:t>
      </w:r>
      <w:r>
        <w:rPr/>
        <w:t>se relacionan al consumo físico del servicio y/o de la reserva. Los valores indirectos (VI) usualmente se relacionan a cambios en el bienestar humano que no se originan en el consumo físico y que reconocen el valor intrínseco de la naturaleza (McNeely, 1988; Aguilar,</w:t>
      </w:r>
      <w:r>
        <w:rPr>
          <w:spacing w:val="1"/>
        </w:rPr>
        <w:t> </w:t>
      </w:r>
      <w:r>
        <w:rPr/>
        <w:t>2002).</w:t>
      </w:r>
    </w:p>
    <w:p>
      <w:pPr>
        <w:pStyle w:val="BodyText"/>
        <w:spacing w:line="360" w:lineRule="auto" w:before="201"/>
        <w:ind w:left="100" w:right="114"/>
        <w:jc w:val="both"/>
      </w:pPr>
      <w:r>
        <w:rPr/>
        <w:t>Los VD pueden dividirse en Valores de Uso Productivo (VUP) y Valores de Uso Consuntivo (VUC) Los VUP son los valores de los bienes y servicios ambientales que son intercambiados comercialmente. Este valor se puede identificar con el precio de mercado. El VUC es el valor de los bienes y servicios ambientales que son consumidos sin haberse llevado al mercado para ser valorados pero que podrían ser llevados. Este consumo implica un aumento en el bienestar que proviene de la utilidad que se deriva del</w:t>
      </w:r>
      <w:r>
        <w:rPr>
          <w:spacing w:val="-7"/>
        </w:rPr>
        <w:t> </w:t>
      </w:r>
      <w:r>
        <w:rPr/>
        <w:t>ahorro</w:t>
      </w:r>
      <w:r>
        <w:rPr>
          <w:spacing w:val="-12"/>
        </w:rPr>
        <w:t> </w:t>
      </w:r>
      <w:r>
        <w:rPr/>
        <w:t>por</w:t>
      </w:r>
      <w:r>
        <w:rPr>
          <w:spacing w:val="-6"/>
        </w:rPr>
        <w:t> </w:t>
      </w:r>
      <w:r>
        <w:rPr/>
        <w:t>lo</w:t>
      </w:r>
      <w:r>
        <w:rPr>
          <w:spacing w:val="-8"/>
        </w:rPr>
        <w:t> </w:t>
      </w:r>
      <w:r>
        <w:rPr/>
        <w:t>que</w:t>
      </w:r>
      <w:r>
        <w:rPr>
          <w:spacing w:val="-7"/>
        </w:rPr>
        <w:t> </w:t>
      </w:r>
      <w:r>
        <w:rPr/>
        <w:t>no</w:t>
      </w:r>
      <w:r>
        <w:rPr>
          <w:spacing w:val="-12"/>
        </w:rPr>
        <w:t> </w:t>
      </w:r>
      <w:r>
        <w:rPr/>
        <w:t>se</w:t>
      </w:r>
      <w:r>
        <w:rPr>
          <w:spacing w:val="-11"/>
        </w:rPr>
        <w:t> </w:t>
      </w:r>
      <w:r>
        <w:rPr/>
        <w:t>pagó</w:t>
      </w:r>
      <w:r>
        <w:rPr>
          <w:spacing w:val="-8"/>
        </w:rPr>
        <w:t> </w:t>
      </w:r>
      <w:r>
        <w:rPr/>
        <w:t>en</w:t>
      </w:r>
      <w:r>
        <w:rPr>
          <w:spacing w:val="-8"/>
        </w:rPr>
        <w:t> </w:t>
      </w:r>
      <w:r>
        <w:rPr/>
        <w:t>el</w:t>
      </w:r>
      <w:r>
        <w:rPr>
          <w:spacing w:val="-7"/>
        </w:rPr>
        <w:t> </w:t>
      </w:r>
      <w:r>
        <w:rPr/>
        <w:t>mercado.</w:t>
      </w:r>
      <w:r>
        <w:rPr>
          <w:spacing w:val="-5"/>
        </w:rPr>
        <w:t> </w:t>
      </w:r>
      <w:r>
        <w:rPr/>
        <w:t>Los</w:t>
      </w:r>
      <w:r>
        <w:rPr>
          <w:spacing w:val="-9"/>
        </w:rPr>
        <w:t> </w:t>
      </w:r>
      <w:r>
        <w:rPr/>
        <w:t>productos</w:t>
      </w:r>
      <w:r>
        <w:rPr>
          <w:spacing w:val="-10"/>
        </w:rPr>
        <w:t> </w:t>
      </w:r>
      <w:r>
        <w:rPr/>
        <w:t>para</w:t>
      </w:r>
      <w:r>
        <w:rPr>
          <w:spacing w:val="-12"/>
        </w:rPr>
        <w:t> </w:t>
      </w:r>
      <w:r>
        <w:rPr/>
        <w:t>el</w:t>
      </w:r>
      <w:r>
        <w:rPr>
          <w:spacing w:val="-10"/>
        </w:rPr>
        <w:t> </w:t>
      </w:r>
      <w:r>
        <w:rPr/>
        <w:t>autoconsumo</w:t>
      </w:r>
      <w:r>
        <w:rPr>
          <w:spacing w:val="-8"/>
        </w:rPr>
        <w:t> </w:t>
      </w:r>
      <w:r>
        <w:rPr/>
        <w:t>son un ejemplo típico de este tipo de valor (McNeely, 1988; Aguilar,</w:t>
      </w:r>
      <w:r>
        <w:rPr>
          <w:spacing w:val="-1"/>
        </w:rPr>
        <w:t> </w:t>
      </w:r>
      <w:r>
        <w:rPr/>
        <w:t>2002).</w:t>
      </w:r>
    </w:p>
    <w:p>
      <w:pPr>
        <w:pStyle w:val="BodyText"/>
        <w:spacing w:line="360" w:lineRule="auto" w:before="201"/>
        <w:ind w:left="100" w:right="121"/>
        <w:jc w:val="both"/>
      </w:pPr>
      <w:r>
        <w:rPr/>
        <w:t>Los valores indirectos generalmente se relacionan con servicios del capital natural o cultural generando un bienestar que no está relacionado con el consumo. Pueden dividirse en valores de uso no consuntivo (VUNC), valores de opción (VO) y valores de existencia (VE) (McNeely, 1988; Aguilar, 2002).</w:t>
      </w:r>
    </w:p>
    <w:p>
      <w:pPr>
        <w:pStyle w:val="BodyText"/>
        <w:spacing w:line="360" w:lineRule="auto" w:before="200"/>
        <w:ind w:left="100" w:right="114"/>
        <w:jc w:val="both"/>
      </w:pPr>
      <w:r>
        <w:rPr/>
        <w:t>El VUNC deriva de los servicios del capital natural y cultural que resultan en aumentos en el bienestar, sin implicar consumo o intercambio en el mercado. También deriva de usos que no acarrean consumo del bien o servicio como la recreación, el turismo o la educación.</w:t>
      </w:r>
      <w:r>
        <w:rPr>
          <w:spacing w:val="-6"/>
        </w:rPr>
        <w:t> </w:t>
      </w:r>
      <w:r>
        <w:rPr/>
        <w:t>El</w:t>
      </w:r>
      <w:r>
        <w:rPr>
          <w:spacing w:val="-8"/>
        </w:rPr>
        <w:t> </w:t>
      </w:r>
      <w:r>
        <w:rPr/>
        <w:t>VO</w:t>
      </w:r>
      <w:r>
        <w:rPr>
          <w:spacing w:val="-9"/>
        </w:rPr>
        <w:t> </w:t>
      </w:r>
      <w:r>
        <w:rPr/>
        <w:t>es</w:t>
      </w:r>
      <w:r>
        <w:rPr>
          <w:spacing w:val="-6"/>
        </w:rPr>
        <w:t> </w:t>
      </w:r>
      <w:r>
        <w:rPr/>
        <w:t>una</w:t>
      </w:r>
      <w:r>
        <w:rPr>
          <w:spacing w:val="-8"/>
        </w:rPr>
        <w:t> </w:t>
      </w:r>
      <w:r>
        <w:rPr/>
        <w:t>forma</w:t>
      </w:r>
      <w:r>
        <w:rPr>
          <w:spacing w:val="-8"/>
        </w:rPr>
        <w:t> </w:t>
      </w:r>
      <w:r>
        <w:rPr/>
        <w:t>de</w:t>
      </w:r>
      <w:r>
        <w:rPr>
          <w:spacing w:val="-8"/>
        </w:rPr>
        <w:t> </w:t>
      </w:r>
      <w:r>
        <w:rPr/>
        <w:t>“prima</w:t>
      </w:r>
      <w:r>
        <w:rPr>
          <w:spacing w:val="-7"/>
        </w:rPr>
        <w:t> </w:t>
      </w:r>
      <w:r>
        <w:rPr/>
        <w:t>de</w:t>
      </w:r>
      <w:r>
        <w:rPr>
          <w:spacing w:val="-8"/>
        </w:rPr>
        <w:t> </w:t>
      </w:r>
      <w:r>
        <w:rPr/>
        <w:t>seguro”</w:t>
      </w:r>
      <w:r>
        <w:rPr>
          <w:spacing w:val="-7"/>
        </w:rPr>
        <w:t> </w:t>
      </w:r>
      <w:r>
        <w:rPr/>
        <w:t>por</w:t>
      </w:r>
      <w:r>
        <w:rPr>
          <w:spacing w:val="-6"/>
        </w:rPr>
        <w:t> </w:t>
      </w:r>
      <w:r>
        <w:rPr/>
        <w:t>el</w:t>
      </w:r>
      <w:r>
        <w:rPr>
          <w:spacing w:val="-7"/>
        </w:rPr>
        <w:t> </w:t>
      </w:r>
      <w:r>
        <w:rPr/>
        <w:t>acceso</w:t>
      </w:r>
      <w:r>
        <w:rPr>
          <w:spacing w:val="-8"/>
        </w:rPr>
        <w:t> </w:t>
      </w:r>
      <w:r>
        <w:rPr/>
        <w:t>a</w:t>
      </w:r>
      <w:r>
        <w:rPr>
          <w:spacing w:val="-8"/>
        </w:rPr>
        <w:t> </w:t>
      </w:r>
      <w:r>
        <w:rPr/>
        <w:t>futuros</w:t>
      </w:r>
      <w:r>
        <w:rPr>
          <w:spacing w:val="-6"/>
        </w:rPr>
        <w:t> </w:t>
      </w:r>
      <w:r>
        <w:rPr/>
        <w:t>servicios</w:t>
      </w:r>
      <w:r>
        <w:rPr>
          <w:spacing w:val="-2"/>
        </w:rPr>
        <w:t> </w:t>
      </w:r>
      <w:r>
        <w:rPr/>
        <w:t>de los ecosistemas naturales (McNeely, 1988; Aguilar, 2002). El VE es el</w:t>
      </w:r>
      <w:r>
        <w:rPr>
          <w:spacing w:val="44"/>
        </w:rPr>
        <w:t> </w:t>
      </w:r>
      <w:r>
        <w:rPr/>
        <w:t>intrínseco,</w:t>
      </w:r>
    </w:p>
    <w:p>
      <w:pPr>
        <w:spacing w:after="0" w:line="360" w:lineRule="auto"/>
        <w:jc w:val="both"/>
        <w:sectPr>
          <w:pgSz w:w="12240" w:h="15840"/>
          <w:pgMar w:header="0" w:footer="1330" w:top="1500" w:bottom="1580" w:left="1340" w:right="1320"/>
        </w:sectPr>
      </w:pPr>
    </w:p>
    <w:p>
      <w:pPr>
        <w:pStyle w:val="BodyText"/>
        <w:spacing w:line="362" w:lineRule="auto" w:before="107"/>
        <w:ind w:left="100" w:right="40"/>
      </w:pPr>
      <w:r>
        <w:rPr/>
        <w:t>intangible y ético valor de bienes y servicios que no está necesariamente relacionado con el bienestar del ser humano (Aguilar, 2002).</w:t>
      </w:r>
    </w:p>
    <w:p>
      <w:pPr>
        <w:pStyle w:val="BodyText"/>
        <w:spacing w:line="362" w:lineRule="auto" w:before="195"/>
        <w:ind w:left="100"/>
      </w:pPr>
      <w:r>
        <w:rPr/>
        <w:t>Así, la Ecuación del Valor Total puede ser expresada (McNeely, 1988; Aguilar, 2002) como:</w:t>
      </w:r>
    </w:p>
    <w:p>
      <w:pPr>
        <w:spacing w:after="0" w:line="362" w:lineRule="auto"/>
        <w:sectPr>
          <w:pgSz w:w="12240" w:h="15840"/>
          <w:pgMar w:header="0" w:footer="1330" w:top="1500" w:bottom="1580" w:left="1340" w:right="1320"/>
        </w:sectPr>
      </w:pPr>
    </w:p>
    <w:p>
      <w:pPr>
        <w:pStyle w:val="BodyText"/>
        <w:spacing w:before="5"/>
        <w:rPr>
          <w:sz w:val="36"/>
        </w:rPr>
      </w:pPr>
    </w:p>
    <w:p>
      <w:pPr>
        <w:pStyle w:val="BodyText"/>
        <w:ind w:left="100"/>
      </w:pPr>
      <w:r>
        <w:rPr/>
        <w:t>donde</w:t>
      </w:r>
    </w:p>
    <w:p>
      <w:pPr>
        <w:pStyle w:val="BodyText"/>
        <w:rPr>
          <w:sz w:val="26"/>
        </w:rPr>
      </w:pPr>
    </w:p>
    <w:p>
      <w:pPr>
        <w:pStyle w:val="BodyText"/>
        <w:spacing w:before="8"/>
        <w:rPr>
          <w:sz w:val="22"/>
        </w:rPr>
      </w:pPr>
    </w:p>
    <w:p>
      <w:pPr>
        <w:pStyle w:val="BodyText"/>
        <w:ind w:left="100"/>
      </w:pPr>
      <w:r>
        <w:rPr/>
        <w:t>y</w:t>
      </w:r>
    </w:p>
    <w:p>
      <w:pPr>
        <w:pStyle w:val="BodyText"/>
        <w:ind w:left="202" w:right="3117"/>
        <w:jc w:val="center"/>
        <w:rPr>
          <w:rFonts w:ascii="Times New Roman" w:eastAsia="Times New Roman"/>
        </w:rPr>
      </w:pPr>
      <w:r>
        <w:rPr/>
        <w:br w:type="column"/>
      </w:r>
      <w:r>
        <w:rPr>
          <w:rFonts w:ascii="Times New Roman" w:eastAsia="Times New Roman"/>
          <w:w w:val="124"/>
        </w:rPr>
        <w:t>(</w:t>
      </w:r>
      <w:r>
        <w:rPr>
          <w:rFonts w:ascii="Times New Roman" w:eastAsia="Times New Roman"/>
          <w:spacing w:val="-2"/>
          <w:w w:val="110"/>
        </w:rPr>
        <w:t>1</w:t>
      </w:r>
      <w:r>
        <w:rPr>
          <w:rFonts w:ascii="Times New Roman" w:eastAsia="Times New Roman"/>
          <w:w w:val="124"/>
        </w:rPr>
        <w:t>)</w:t>
      </w:r>
      <w:r>
        <w:rPr>
          <w:rFonts w:ascii="Times New Roman" w:eastAsia="Times New Roman"/>
          <w:spacing w:val="1"/>
          <w:w w:val="80"/>
        </w:rPr>
        <w:t>𝑉</w:t>
      </w:r>
      <w:r>
        <w:rPr>
          <w:rFonts w:ascii="Times New Roman" w:eastAsia="Times New Roman"/>
          <w:spacing w:val="-2"/>
          <w:w w:val="80"/>
        </w:rPr>
        <w:t>𝐸</w:t>
      </w:r>
      <w:r>
        <w:rPr>
          <w:rFonts w:ascii="Times New Roman" w:eastAsia="Times New Roman"/>
          <w:spacing w:val="-23"/>
          <w:w w:val="76"/>
        </w:rPr>
        <w:t>𝑇</w:t>
      </w:r>
      <w:r>
        <w:rPr>
          <w:rFonts w:ascii="Times New Roman" w:eastAsia="Times New Roman"/>
          <w:w w:val="51"/>
          <w:vertAlign w:val="subscript"/>
        </w:rPr>
        <w:t>𝑡</w:t>
      </w:r>
      <w:r>
        <w:rPr>
          <w:rFonts w:ascii="Times New Roman" w:eastAsia="Times New Roman"/>
          <w:vertAlign w:val="baseline"/>
        </w:rPr>
        <w:t> </w:t>
      </w:r>
      <w:r>
        <w:rPr>
          <w:rFonts w:ascii="Times New Roman" w:eastAsia="Times New Roman"/>
          <w:spacing w:val="8"/>
          <w:vertAlign w:val="baseline"/>
        </w:rPr>
        <w:t> </w:t>
      </w:r>
      <w:r>
        <w:rPr>
          <w:rFonts w:ascii="Times New Roman" w:eastAsia="Times New Roman"/>
          <w:w w:val="132"/>
          <w:vertAlign w:val="baseline"/>
        </w:rPr>
        <w:t>=</w:t>
      </w:r>
      <w:r>
        <w:rPr>
          <w:rFonts w:ascii="Times New Roman" w:eastAsia="Times New Roman"/>
          <w:vertAlign w:val="baseline"/>
        </w:rPr>
        <w:t>  </w:t>
      </w:r>
      <w:r>
        <w:rPr>
          <w:rFonts w:ascii="Times New Roman" w:eastAsia="Times New Roman"/>
          <w:w w:val="80"/>
          <w:vertAlign w:val="baseline"/>
        </w:rPr>
        <w:t>𝑉</w:t>
      </w:r>
      <w:r>
        <w:rPr>
          <w:rFonts w:ascii="Times New Roman" w:eastAsia="Times New Roman"/>
          <w:spacing w:val="-16"/>
          <w:w w:val="89"/>
          <w:vertAlign w:val="baseline"/>
        </w:rPr>
        <w:t>𝐷</w:t>
      </w:r>
      <w:r>
        <w:rPr>
          <w:rFonts w:ascii="Times New Roman" w:eastAsia="Times New Roman"/>
          <w:w w:val="51"/>
          <w:vertAlign w:val="subscript"/>
        </w:rPr>
        <w:t>𝑡</w:t>
      </w:r>
      <w:r>
        <w:rPr>
          <w:rFonts w:ascii="Times New Roman" w:eastAsia="Times New Roman"/>
          <w:vertAlign w:val="baseline"/>
        </w:rPr>
        <w:t> </w:t>
      </w:r>
      <w:r>
        <w:rPr>
          <w:rFonts w:ascii="Times New Roman" w:eastAsia="Times New Roman"/>
          <w:spacing w:val="-4"/>
          <w:vertAlign w:val="baseline"/>
        </w:rPr>
        <w:t> </w:t>
      </w:r>
      <w:r>
        <w:rPr>
          <w:rFonts w:ascii="Times New Roman" w:eastAsia="Times New Roman"/>
          <w:w w:val="132"/>
          <w:vertAlign w:val="baseline"/>
        </w:rPr>
        <w:t>+</w:t>
      </w:r>
      <w:r>
        <w:rPr>
          <w:rFonts w:ascii="Times New Roman" w:eastAsia="Times New Roman"/>
          <w:vertAlign w:val="baseline"/>
        </w:rPr>
        <w:t> </w:t>
      </w:r>
      <w:r>
        <w:rPr>
          <w:rFonts w:ascii="Times New Roman" w:eastAsia="Times New Roman"/>
          <w:spacing w:val="-12"/>
          <w:vertAlign w:val="baseline"/>
        </w:rPr>
        <w:t> </w:t>
      </w:r>
      <w:r>
        <w:rPr>
          <w:rFonts w:ascii="Times New Roman" w:eastAsia="Times New Roman"/>
          <w:w w:val="80"/>
          <w:vertAlign w:val="baseline"/>
        </w:rPr>
        <w:t>𝑉</w:t>
      </w:r>
      <w:r>
        <w:rPr>
          <w:rFonts w:ascii="Times New Roman" w:eastAsia="Times New Roman"/>
          <w:spacing w:val="-16"/>
          <w:w w:val="48"/>
          <w:vertAlign w:val="baseline"/>
        </w:rPr>
        <w:t>𝐼</w:t>
      </w:r>
      <w:r>
        <w:rPr>
          <w:rFonts w:ascii="Times New Roman" w:eastAsia="Times New Roman"/>
          <w:spacing w:val="12"/>
          <w:w w:val="51"/>
          <w:vertAlign w:val="subscript"/>
        </w:rPr>
        <w:t>𝑡</w:t>
      </w:r>
      <w:r>
        <w:rPr>
          <w:rFonts w:ascii="Times New Roman" w:eastAsia="Times New Roman"/>
          <w:w w:val="94"/>
          <w:vertAlign w:val="baseline"/>
        </w:rPr>
        <w:t>;</w:t>
      </w:r>
    </w:p>
    <w:p>
      <w:pPr>
        <w:pStyle w:val="BodyText"/>
        <w:rPr>
          <w:rFonts w:ascii="Times New Roman"/>
          <w:sz w:val="26"/>
        </w:rPr>
      </w:pPr>
    </w:p>
    <w:p>
      <w:pPr>
        <w:pStyle w:val="BodyText"/>
        <w:spacing w:before="8"/>
        <w:rPr>
          <w:rFonts w:ascii="Times New Roman"/>
          <w:sz w:val="22"/>
        </w:rPr>
      </w:pPr>
    </w:p>
    <w:p>
      <w:pPr>
        <w:pStyle w:val="BodyText"/>
        <w:ind w:left="202" w:right="3121"/>
        <w:jc w:val="center"/>
        <w:rPr>
          <w:rFonts w:ascii="Times New Roman" w:eastAsia="Times New Roman"/>
        </w:rPr>
      </w:pPr>
      <w:r>
        <w:rPr>
          <w:rFonts w:ascii="Times New Roman" w:eastAsia="Times New Roman"/>
          <w:w w:val="110"/>
        </w:rPr>
        <w:t>(2) </w:t>
      </w:r>
      <w:r>
        <w:rPr>
          <w:rFonts w:ascii="Times New Roman" w:eastAsia="Times New Roman"/>
        </w:rPr>
        <w:t>𝑉𝐷</w:t>
      </w:r>
      <w:r>
        <w:rPr>
          <w:rFonts w:ascii="Times New Roman" w:eastAsia="Times New Roman"/>
          <w:vertAlign w:val="subscript"/>
        </w:rPr>
        <w:t>𝑡</w:t>
      </w:r>
      <w:r>
        <w:rPr>
          <w:rFonts w:ascii="Times New Roman" w:eastAsia="Times New Roman"/>
          <w:vertAlign w:val="baseline"/>
        </w:rPr>
        <w:t> </w:t>
      </w:r>
      <w:r>
        <w:rPr>
          <w:rFonts w:ascii="Times New Roman" w:eastAsia="Times New Roman"/>
          <w:w w:val="110"/>
          <w:vertAlign w:val="baseline"/>
        </w:rPr>
        <w:t>= </w:t>
      </w:r>
      <w:r>
        <w:rPr>
          <w:rFonts w:ascii="Times New Roman" w:eastAsia="Times New Roman"/>
          <w:vertAlign w:val="baseline"/>
        </w:rPr>
        <w:t>𝑉𝑈𝑃</w:t>
      </w:r>
      <w:r>
        <w:rPr>
          <w:rFonts w:ascii="Times New Roman" w:eastAsia="Times New Roman"/>
          <w:vertAlign w:val="subscript"/>
        </w:rPr>
        <w:t>𝑡</w:t>
      </w:r>
      <w:r>
        <w:rPr>
          <w:rFonts w:ascii="Times New Roman" w:eastAsia="Times New Roman"/>
          <w:vertAlign w:val="baseline"/>
        </w:rPr>
        <w:t> </w:t>
      </w:r>
      <w:r>
        <w:rPr>
          <w:rFonts w:ascii="Times New Roman" w:eastAsia="Times New Roman"/>
          <w:w w:val="110"/>
          <w:vertAlign w:val="baseline"/>
        </w:rPr>
        <w:t>+ </w:t>
      </w:r>
      <w:r>
        <w:rPr>
          <w:rFonts w:ascii="Times New Roman" w:eastAsia="Times New Roman"/>
          <w:vertAlign w:val="baseline"/>
        </w:rPr>
        <w:t>𝑉𝑈𝐶</w:t>
      </w:r>
      <w:r>
        <w:rPr>
          <w:rFonts w:ascii="Times New Roman" w:eastAsia="Times New Roman"/>
          <w:vertAlign w:val="subscript"/>
        </w:rPr>
        <w:t>𝑡</w:t>
      </w:r>
      <w:r>
        <w:rPr>
          <w:rFonts w:ascii="Times New Roman" w:eastAsia="Times New Roman"/>
          <w:vertAlign w:val="baseline"/>
        </w:rPr>
        <w:t>;</w:t>
      </w:r>
    </w:p>
    <w:p>
      <w:pPr>
        <w:pStyle w:val="BodyText"/>
        <w:rPr>
          <w:rFonts w:ascii="Times New Roman"/>
          <w:sz w:val="26"/>
        </w:rPr>
      </w:pPr>
    </w:p>
    <w:p>
      <w:pPr>
        <w:pStyle w:val="BodyText"/>
        <w:spacing w:before="8"/>
        <w:rPr>
          <w:rFonts w:ascii="Times New Roman"/>
          <w:sz w:val="22"/>
        </w:rPr>
      </w:pPr>
    </w:p>
    <w:p>
      <w:pPr>
        <w:pStyle w:val="BodyText"/>
        <w:ind w:left="202" w:right="3121"/>
        <w:jc w:val="center"/>
        <w:rPr>
          <w:rFonts w:ascii="Times New Roman" w:eastAsia="Times New Roman"/>
        </w:rPr>
      </w:pPr>
      <w:r>
        <w:rPr>
          <w:rFonts w:ascii="Times New Roman" w:eastAsia="Times New Roman"/>
          <w:w w:val="105"/>
        </w:rPr>
        <w:t>(3) </w:t>
      </w:r>
      <w:r>
        <w:rPr>
          <w:rFonts w:ascii="Times New Roman" w:eastAsia="Times New Roman"/>
          <w:w w:val="90"/>
        </w:rPr>
        <w:t>𝑉𝐼</w:t>
      </w:r>
      <w:r>
        <w:rPr>
          <w:rFonts w:ascii="Times New Roman" w:eastAsia="Times New Roman"/>
          <w:w w:val="90"/>
          <w:vertAlign w:val="subscript"/>
        </w:rPr>
        <w:t>𝑡</w:t>
      </w:r>
      <w:r>
        <w:rPr>
          <w:rFonts w:ascii="Times New Roman" w:eastAsia="Times New Roman"/>
          <w:w w:val="90"/>
          <w:vertAlign w:val="baseline"/>
        </w:rPr>
        <w:t> </w:t>
      </w:r>
      <w:r>
        <w:rPr>
          <w:rFonts w:ascii="Times New Roman" w:eastAsia="Times New Roman"/>
          <w:w w:val="105"/>
          <w:vertAlign w:val="baseline"/>
        </w:rPr>
        <w:t>= </w:t>
      </w:r>
      <w:r>
        <w:rPr>
          <w:rFonts w:ascii="Times New Roman" w:eastAsia="Times New Roman"/>
          <w:w w:val="90"/>
          <w:vertAlign w:val="baseline"/>
        </w:rPr>
        <w:t>𝑉𝑈𝑁𝐶</w:t>
      </w:r>
      <w:r>
        <w:rPr>
          <w:rFonts w:ascii="Times New Roman" w:eastAsia="Times New Roman"/>
          <w:w w:val="90"/>
          <w:vertAlign w:val="subscript"/>
        </w:rPr>
        <w:t>𝑡</w:t>
      </w:r>
      <w:r>
        <w:rPr>
          <w:rFonts w:ascii="Times New Roman" w:eastAsia="Times New Roman"/>
          <w:w w:val="90"/>
          <w:vertAlign w:val="baseline"/>
        </w:rPr>
        <w:t> </w:t>
      </w:r>
      <w:r>
        <w:rPr>
          <w:rFonts w:ascii="Times New Roman" w:eastAsia="Times New Roman"/>
          <w:w w:val="105"/>
          <w:vertAlign w:val="baseline"/>
        </w:rPr>
        <w:t>+ </w:t>
      </w:r>
      <w:r>
        <w:rPr>
          <w:rFonts w:ascii="Times New Roman" w:eastAsia="Times New Roman"/>
          <w:w w:val="90"/>
          <w:vertAlign w:val="baseline"/>
        </w:rPr>
        <w:t>𝑉𝑂</w:t>
      </w:r>
      <w:r>
        <w:rPr>
          <w:rFonts w:ascii="Times New Roman" w:eastAsia="Times New Roman"/>
          <w:w w:val="90"/>
          <w:vertAlign w:val="subscript"/>
        </w:rPr>
        <w:t>𝑡</w:t>
      </w:r>
      <w:r>
        <w:rPr>
          <w:rFonts w:ascii="Times New Roman" w:eastAsia="Times New Roman"/>
          <w:w w:val="90"/>
          <w:vertAlign w:val="baseline"/>
        </w:rPr>
        <w:t> </w:t>
      </w:r>
      <w:r>
        <w:rPr>
          <w:rFonts w:ascii="Times New Roman" w:eastAsia="Times New Roman"/>
          <w:w w:val="105"/>
          <w:vertAlign w:val="baseline"/>
        </w:rPr>
        <w:t>+ </w:t>
      </w:r>
      <w:r>
        <w:rPr>
          <w:rFonts w:ascii="Times New Roman" w:eastAsia="Times New Roman"/>
          <w:w w:val="90"/>
          <w:vertAlign w:val="baseline"/>
        </w:rPr>
        <w:t>𝑉𝐸</w:t>
      </w:r>
      <w:r>
        <w:rPr>
          <w:rFonts w:ascii="Times New Roman" w:eastAsia="Times New Roman"/>
          <w:w w:val="90"/>
          <w:vertAlign w:val="subscript"/>
        </w:rPr>
        <w:t>𝑡</w:t>
      </w:r>
      <w:r>
        <w:rPr>
          <w:rFonts w:ascii="Times New Roman" w:eastAsia="Times New Roman"/>
          <w:w w:val="90"/>
          <w:vertAlign w:val="baseline"/>
        </w:rPr>
        <w:t>;</w:t>
      </w:r>
    </w:p>
    <w:p>
      <w:pPr>
        <w:spacing w:after="0"/>
        <w:jc w:val="center"/>
        <w:rPr>
          <w:rFonts w:ascii="Times New Roman" w:eastAsia="Times New Roman"/>
        </w:rPr>
        <w:sectPr>
          <w:type w:val="continuous"/>
          <w:pgSz w:w="12240" w:h="15840"/>
          <w:pgMar w:top="1360" w:bottom="1260" w:left="1340" w:right="1320"/>
          <w:cols w:num="2" w:equalWidth="0">
            <w:col w:w="806" w:space="2099"/>
            <w:col w:w="6675"/>
          </w:cols>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pStyle w:val="BodyText"/>
        <w:spacing w:line="360" w:lineRule="auto" w:before="93"/>
        <w:ind w:left="100" w:right="119"/>
        <w:jc w:val="both"/>
      </w:pPr>
      <w:r>
        <w:rPr/>
        <w:t>Las</w:t>
      </w:r>
      <w:r>
        <w:rPr>
          <w:spacing w:val="-19"/>
        </w:rPr>
        <w:t> </w:t>
      </w:r>
      <w:r>
        <w:rPr/>
        <w:t>técnicas</w:t>
      </w:r>
      <w:r>
        <w:rPr>
          <w:spacing w:val="-18"/>
        </w:rPr>
        <w:t> </w:t>
      </w:r>
      <w:r>
        <w:rPr/>
        <w:t>de</w:t>
      </w:r>
      <w:r>
        <w:rPr>
          <w:spacing w:val="-17"/>
        </w:rPr>
        <w:t> </w:t>
      </w:r>
      <w:r>
        <w:rPr/>
        <w:t>estimación</w:t>
      </w:r>
      <w:r>
        <w:rPr>
          <w:spacing w:val="-20"/>
        </w:rPr>
        <w:t> </w:t>
      </w:r>
      <w:r>
        <w:rPr/>
        <w:t>del</w:t>
      </w:r>
      <w:r>
        <w:rPr>
          <w:spacing w:val="-19"/>
        </w:rPr>
        <w:t> </w:t>
      </w:r>
      <w:r>
        <w:rPr/>
        <w:t>VET</w:t>
      </w:r>
      <w:r>
        <w:rPr>
          <w:spacing w:val="-14"/>
        </w:rPr>
        <w:t> </w:t>
      </w:r>
      <w:r>
        <w:rPr/>
        <w:t>dependen</w:t>
      </w:r>
      <w:r>
        <w:rPr>
          <w:spacing w:val="-16"/>
        </w:rPr>
        <w:t> </w:t>
      </w:r>
      <w:r>
        <w:rPr/>
        <w:t>de</w:t>
      </w:r>
      <w:r>
        <w:rPr>
          <w:spacing w:val="-20"/>
        </w:rPr>
        <w:t> </w:t>
      </w:r>
      <w:r>
        <w:rPr/>
        <w:t>la</w:t>
      </w:r>
      <w:r>
        <w:rPr>
          <w:spacing w:val="-20"/>
        </w:rPr>
        <w:t> </w:t>
      </w:r>
      <w:r>
        <w:rPr/>
        <w:t>información</w:t>
      </w:r>
      <w:r>
        <w:rPr>
          <w:spacing w:val="-21"/>
        </w:rPr>
        <w:t> </w:t>
      </w:r>
      <w:r>
        <w:rPr/>
        <w:t>disponible.</w:t>
      </w:r>
      <w:r>
        <w:rPr>
          <w:spacing w:val="-17"/>
        </w:rPr>
        <w:t> </w:t>
      </w:r>
      <w:r>
        <w:rPr/>
        <w:t>Varían</w:t>
      </w:r>
      <w:r>
        <w:rPr>
          <w:spacing w:val="-20"/>
        </w:rPr>
        <w:t> </w:t>
      </w:r>
      <w:r>
        <w:rPr/>
        <w:t>desde la valoración con precios de mercado, hasta la utilización de precios sombra y las técnicas</w:t>
      </w:r>
      <w:r>
        <w:rPr>
          <w:spacing w:val="-11"/>
        </w:rPr>
        <w:t> </w:t>
      </w:r>
      <w:r>
        <w:rPr/>
        <w:t>basadas</w:t>
      </w:r>
      <w:r>
        <w:rPr>
          <w:spacing w:val="-11"/>
        </w:rPr>
        <w:t> </w:t>
      </w:r>
      <w:r>
        <w:rPr/>
        <w:t>en</w:t>
      </w:r>
      <w:r>
        <w:rPr>
          <w:spacing w:val="-17"/>
        </w:rPr>
        <w:t> </w:t>
      </w:r>
      <w:r>
        <w:rPr/>
        <w:t>encuestas</w:t>
      </w:r>
      <w:r>
        <w:rPr>
          <w:spacing w:val="-12"/>
        </w:rPr>
        <w:t> </w:t>
      </w:r>
      <w:r>
        <w:rPr/>
        <w:t>(McNeely,</w:t>
      </w:r>
      <w:r>
        <w:rPr>
          <w:spacing w:val="-14"/>
        </w:rPr>
        <w:t> </w:t>
      </w:r>
      <w:r>
        <w:rPr/>
        <w:t>1988;</w:t>
      </w:r>
      <w:r>
        <w:rPr>
          <w:spacing w:val="-14"/>
        </w:rPr>
        <w:t> </w:t>
      </w:r>
      <w:r>
        <w:rPr/>
        <w:t>Dixon</w:t>
      </w:r>
      <w:r>
        <w:rPr>
          <w:spacing w:val="-16"/>
        </w:rPr>
        <w:t> </w:t>
      </w:r>
      <w:r>
        <w:rPr/>
        <w:t>&amp;</w:t>
      </w:r>
      <w:r>
        <w:rPr>
          <w:spacing w:val="-15"/>
        </w:rPr>
        <w:t> </w:t>
      </w:r>
      <w:r>
        <w:rPr/>
        <w:t>Sherman,</w:t>
      </w:r>
      <w:r>
        <w:rPr>
          <w:spacing w:val="-14"/>
        </w:rPr>
        <w:t> </w:t>
      </w:r>
      <w:r>
        <w:rPr/>
        <w:t>1990;</w:t>
      </w:r>
      <w:r>
        <w:rPr>
          <w:spacing w:val="-13"/>
        </w:rPr>
        <w:t> </w:t>
      </w:r>
      <w:r>
        <w:rPr/>
        <w:t>Aguilar,</w:t>
      </w:r>
      <w:r>
        <w:rPr>
          <w:spacing w:val="-10"/>
        </w:rPr>
        <w:t> </w:t>
      </w:r>
      <w:r>
        <w:rPr/>
        <w:t>2002).</w:t>
      </w:r>
    </w:p>
    <w:p>
      <w:pPr>
        <w:pStyle w:val="BodyText"/>
        <w:spacing w:line="360" w:lineRule="auto" w:before="203"/>
        <w:ind w:left="100" w:right="114"/>
        <w:jc w:val="both"/>
      </w:pPr>
      <w:r>
        <w:rPr/>
        <w:t>Las técnicas de valoración simple se aplican en los casos en que </w:t>
      </w:r>
      <w:r>
        <w:rPr>
          <w:spacing w:val="5"/>
        </w:rPr>
        <w:t>se </w:t>
      </w:r>
      <w:r>
        <w:rPr/>
        <w:t>encuentra información</w:t>
      </w:r>
      <w:r>
        <w:rPr>
          <w:spacing w:val="-14"/>
        </w:rPr>
        <w:t> </w:t>
      </w:r>
      <w:r>
        <w:rPr/>
        <w:t>completa</w:t>
      </w:r>
      <w:r>
        <w:rPr>
          <w:spacing w:val="-13"/>
        </w:rPr>
        <w:t> </w:t>
      </w:r>
      <w:r>
        <w:rPr/>
        <w:t>y</w:t>
      </w:r>
      <w:r>
        <w:rPr>
          <w:spacing w:val="-15"/>
        </w:rPr>
        <w:t> </w:t>
      </w:r>
      <w:r>
        <w:rPr/>
        <w:t>confiable</w:t>
      </w:r>
      <w:r>
        <w:rPr>
          <w:spacing w:val="-13"/>
        </w:rPr>
        <w:t> </w:t>
      </w:r>
      <w:r>
        <w:rPr/>
        <w:t>sobre</w:t>
      </w:r>
      <w:r>
        <w:rPr>
          <w:spacing w:val="-13"/>
        </w:rPr>
        <w:t> </w:t>
      </w:r>
      <w:r>
        <w:rPr/>
        <w:t>los</w:t>
      </w:r>
      <w:r>
        <w:rPr>
          <w:spacing w:val="-11"/>
        </w:rPr>
        <w:t> </w:t>
      </w:r>
      <w:r>
        <w:rPr/>
        <w:t>precios</w:t>
      </w:r>
      <w:r>
        <w:rPr>
          <w:spacing w:val="-12"/>
        </w:rPr>
        <w:t> </w:t>
      </w:r>
      <w:r>
        <w:rPr/>
        <w:t>de</w:t>
      </w:r>
      <w:r>
        <w:rPr>
          <w:spacing w:val="-13"/>
        </w:rPr>
        <w:t> </w:t>
      </w:r>
      <w:r>
        <w:rPr/>
        <w:t>las</w:t>
      </w:r>
      <w:r>
        <w:rPr>
          <w:spacing w:val="-7"/>
        </w:rPr>
        <w:t> </w:t>
      </w:r>
      <w:r>
        <w:rPr/>
        <w:t>reservas</w:t>
      </w:r>
      <w:r>
        <w:rPr>
          <w:spacing w:val="-12"/>
        </w:rPr>
        <w:t> </w:t>
      </w:r>
      <w:r>
        <w:rPr/>
        <w:t>o</w:t>
      </w:r>
      <w:r>
        <w:rPr>
          <w:spacing w:val="-13"/>
        </w:rPr>
        <w:t> </w:t>
      </w:r>
      <w:r>
        <w:rPr/>
        <w:t>flujos</w:t>
      </w:r>
      <w:r>
        <w:rPr>
          <w:spacing w:val="-11"/>
        </w:rPr>
        <w:t> </w:t>
      </w:r>
      <w:r>
        <w:rPr/>
        <w:t>que</w:t>
      </w:r>
      <w:r>
        <w:rPr>
          <w:spacing w:val="-13"/>
        </w:rPr>
        <w:t> </w:t>
      </w:r>
      <w:r>
        <w:rPr/>
        <w:t>provienen de ellas. Las técnicas de valoración de “precios sombra”, o preferencias reveladas, son bastante utilizadas. Se les utiliza para estimar el valor crematístico de bienes y</w:t>
      </w:r>
      <w:r>
        <w:rPr>
          <w:spacing w:val="-47"/>
        </w:rPr>
        <w:t> </w:t>
      </w:r>
      <w:r>
        <w:rPr/>
        <w:t>servicios mediante</w:t>
      </w:r>
      <w:r>
        <w:rPr>
          <w:spacing w:val="-13"/>
        </w:rPr>
        <w:t> </w:t>
      </w:r>
      <w:r>
        <w:rPr/>
        <w:t>el</w:t>
      </w:r>
      <w:r>
        <w:rPr>
          <w:spacing w:val="-11"/>
        </w:rPr>
        <w:t> </w:t>
      </w:r>
      <w:r>
        <w:rPr/>
        <w:t>precio</w:t>
      </w:r>
      <w:r>
        <w:rPr>
          <w:spacing w:val="-12"/>
        </w:rPr>
        <w:t> </w:t>
      </w:r>
      <w:r>
        <w:rPr/>
        <w:t>de</w:t>
      </w:r>
      <w:r>
        <w:rPr>
          <w:spacing w:val="-12"/>
        </w:rPr>
        <w:t> </w:t>
      </w:r>
      <w:r>
        <w:rPr/>
        <w:t>otros</w:t>
      </w:r>
      <w:r>
        <w:rPr>
          <w:spacing w:val="-6"/>
        </w:rPr>
        <w:t> </w:t>
      </w:r>
      <w:r>
        <w:rPr/>
        <w:t>que</w:t>
      </w:r>
      <w:r>
        <w:rPr>
          <w:spacing w:val="-9"/>
        </w:rPr>
        <w:t> </w:t>
      </w:r>
      <w:r>
        <w:rPr/>
        <w:t>están</w:t>
      </w:r>
      <w:r>
        <w:rPr>
          <w:spacing w:val="-8"/>
        </w:rPr>
        <w:t> </w:t>
      </w:r>
      <w:r>
        <w:rPr/>
        <w:t>relacionados</w:t>
      </w:r>
      <w:r>
        <w:rPr>
          <w:spacing w:val="-10"/>
        </w:rPr>
        <w:t> </w:t>
      </w:r>
      <w:r>
        <w:rPr/>
        <w:t>con</w:t>
      </w:r>
      <w:r>
        <w:rPr>
          <w:spacing w:val="-12"/>
        </w:rPr>
        <w:t> </w:t>
      </w:r>
      <w:r>
        <w:rPr/>
        <w:t>ellos.</w:t>
      </w:r>
      <w:r>
        <w:rPr>
          <w:spacing w:val="-9"/>
        </w:rPr>
        <w:t> </w:t>
      </w:r>
      <w:r>
        <w:rPr/>
        <w:t>Así,</w:t>
      </w:r>
      <w:r>
        <w:rPr>
          <w:spacing w:val="-10"/>
        </w:rPr>
        <w:t> </w:t>
      </w:r>
      <w:r>
        <w:rPr/>
        <w:t>encontramos</w:t>
      </w:r>
      <w:r>
        <w:rPr>
          <w:spacing w:val="-6"/>
        </w:rPr>
        <w:t> </w:t>
      </w:r>
      <w:r>
        <w:rPr/>
        <w:t>entre</w:t>
      </w:r>
      <w:r>
        <w:rPr>
          <w:spacing w:val="-12"/>
        </w:rPr>
        <w:t> </w:t>
      </w:r>
      <w:r>
        <w:rPr/>
        <w:t>los métodos</w:t>
      </w:r>
      <w:r>
        <w:rPr>
          <w:spacing w:val="-17"/>
        </w:rPr>
        <w:t> </w:t>
      </w:r>
      <w:r>
        <w:rPr/>
        <w:t>utilizados</w:t>
      </w:r>
      <w:r>
        <w:rPr>
          <w:spacing w:val="-17"/>
        </w:rPr>
        <w:t> </w:t>
      </w:r>
      <w:r>
        <w:rPr/>
        <w:t>técnicas</w:t>
      </w:r>
      <w:r>
        <w:rPr>
          <w:spacing w:val="-16"/>
        </w:rPr>
        <w:t> </w:t>
      </w:r>
      <w:r>
        <w:rPr/>
        <w:t>como</w:t>
      </w:r>
      <w:r>
        <w:rPr>
          <w:spacing w:val="-19"/>
        </w:rPr>
        <w:t> </w:t>
      </w:r>
      <w:r>
        <w:rPr/>
        <w:t>el</w:t>
      </w:r>
      <w:r>
        <w:rPr>
          <w:spacing w:val="-18"/>
        </w:rPr>
        <w:t> </w:t>
      </w:r>
      <w:r>
        <w:rPr/>
        <w:t>cambio</w:t>
      </w:r>
      <w:r>
        <w:rPr>
          <w:spacing w:val="-18"/>
        </w:rPr>
        <w:t> </w:t>
      </w:r>
      <w:r>
        <w:rPr/>
        <w:t>de</w:t>
      </w:r>
      <w:r>
        <w:rPr>
          <w:spacing w:val="-18"/>
        </w:rPr>
        <w:t> </w:t>
      </w:r>
      <w:r>
        <w:rPr/>
        <w:t>productividad,</w:t>
      </w:r>
      <w:r>
        <w:rPr>
          <w:spacing w:val="-16"/>
        </w:rPr>
        <w:t> </w:t>
      </w:r>
      <w:r>
        <w:rPr/>
        <w:t>cambio</w:t>
      </w:r>
      <w:r>
        <w:rPr>
          <w:spacing w:val="-13"/>
        </w:rPr>
        <w:t> </w:t>
      </w:r>
      <w:r>
        <w:rPr/>
        <w:t>de</w:t>
      </w:r>
      <w:r>
        <w:rPr>
          <w:spacing w:val="-19"/>
        </w:rPr>
        <w:t> </w:t>
      </w:r>
      <w:r>
        <w:rPr/>
        <w:t>ingreso,</w:t>
      </w:r>
      <w:r>
        <w:rPr>
          <w:spacing w:val="-16"/>
        </w:rPr>
        <w:t> </w:t>
      </w:r>
      <w:r>
        <w:rPr/>
        <w:t>precios hedónicos, el costo de reemplazo, el costo de viaje y otras (McNeely, 1988; Dixon &amp; Sherman, 1990; Aguilar, 2002). Se recurre también a las técnicas basadas en preferencias manifiestas (vgr. Valoración Contingente) (McNeely, 1988; Dixon &amp; Sherman, 1990; Aguilar, 2002). La inversión de tiempo y el costo en aplicar estas metodologías puede ser significativa en tanto dependen de una recolección sistemática de información primaria y secundaria que debe ser cuidadoso. De allí que se les pueda llamar metodologías</w:t>
      </w:r>
      <w:r>
        <w:rPr>
          <w:spacing w:val="5"/>
        </w:rPr>
        <w:t> </w:t>
      </w:r>
      <w:r>
        <w:rPr/>
        <w:t>lentas.</w:t>
      </w:r>
    </w:p>
    <w:p>
      <w:pPr>
        <w:pStyle w:val="BodyText"/>
        <w:spacing w:line="362" w:lineRule="auto" w:before="199"/>
        <w:ind w:left="100" w:right="125"/>
        <w:jc w:val="both"/>
      </w:pPr>
      <w:r>
        <w:rPr/>
        <w:t>Una técnica que se comenzó a popularizar desde los años 90 es la técnica de transferencia del valor de los beneficios. Se trata de una técnica rápida que fue</w:t>
      </w:r>
    </w:p>
    <w:p>
      <w:pPr>
        <w:spacing w:after="0" w:line="362" w:lineRule="auto"/>
        <w:jc w:val="both"/>
        <w:sectPr>
          <w:type w:val="continuous"/>
          <w:pgSz w:w="12240" w:h="15840"/>
          <w:pgMar w:top="1360" w:bottom="1260" w:left="1340" w:right="1320"/>
        </w:sectPr>
      </w:pPr>
    </w:p>
    <w:p>
      <w:pPr>
        <w:pStyle w:val="BodyText"/>
        <w:spacing w:line="360" w:lineRule="auto" w:before="107"/>
        <w:ind w:left="100" w:right="120"/>
        <w:jc w:val="both"/>
      </w:pPr>
      <w:r>
        <w:rPr/>
        <w:t>popularizada gracias al trabajo de Costanza y otros (1997). Con el fin de atender situaciones en las cuales la obtención de información para metodologías lentas es muy cara o imposible de adquirir (como en una situación de alta conflictividad o en países</w:t>
      </w:r>
      <w:r>
        <w:rPr>
          <w:spacing w:val="-44"/>
        </w:rPr>
        <w:t> </w:t>
      </w:r>
      <w:r>
        <w:rPr/>
        <w:t>en desarrollo) o en las cuales el factor tiempo es muy limitado y/o se desea al menos una estimación preliminar, lo que plantea este método es básicamente la extrapolación de valores de otros estudios al caso que se analiza con base en las diferentes coberturas del</w:t>
      </w:r>
      <w:r>
        <w:rPr>
          <w:spacing w:val="-8"/>
        </w:rPr>
        <w:t> </w:t>
      </w:r>
      <w:r>
        <w:rPr/>
        <w:t>suelo</w:t>
      </w:r>
      <w:r>
        <w:rPr>
          <w:spacing w:val="-8"/>
        </w:rPr>
        <w:t> </w:t>
      </w:r>
      <w:r>
        <w:rPr/>
        <w:t>que</w:t>
      </w:r>
      <w:r>
        <w:rPr>
          <w:spacing w:val="-8"/>
        </w:rPr>
        <w:t> </w:t>
      </w:r>
      <w:r>
        <w:rPr/>
        <w:t>se</w:t>
      </w:r>
      <w:r>
        <w:rPr>
          <w:spacing w:val="-9"/>
        </w:rPr>
        <w:t> </w:t>
      </w:r>
      <w:r>
        <w:rPr/>
        <w:t>encuentran</w:t>
      </w:r>
      <w:r>
        <w:rPr>
          <w:spacing w:val="-8"/>
        </w:rPr>
        <w:t> </w:t>
      </w:r>
      <w:r>
        <w:rPr/>
        <w:t>en</w:t>
      </w:r>
      <w:r>
        <w:rPr>
          <w:spacing w:val="-9"/>
        </w:rPr>
        <w:t> </w:t>
      </w:r>
      <w:r>
        <w:rPr/>
        <w:t>el</w:t>
      </w:r>
      <w:r>
        <w:rPr>
          <w:spacing w:val="-7"/>
        </w:rPr>
        <w:t> </w:t>
      </w:r>
      <w:r>
        <w:rPr/>
        <w:t>sitio</w:t>
      </w:r>
      <w:r>
        <w:rPr>
          <w:spacing w:val="-3"/>
        </w:rPr>
        <w:t> </w:t>
      </w:r>
      <w:r>
        <w:rPr/>
        <w:t>(Brookshire,</w:t>
      </w:r>
      <w:r>
        <w:rPr>
          <w:spacing w:val="-6"/>
        </w:rPr>
        <w:t> </w:t>
      </w:r>
      <w:r>
        <w:rPr/>
        <w:t>1993;</w:t>
      </w:r>
      <w:r>
        <w:rPr>
          <w:spacing w:val="-6"/>
        </w:rPr>
        <w:t> </w:t>
      </w:r>
      <w:r>
        <w:rPr/>
        <w:t>Bergstrom,</w:t>
      </w:r>
      <w:r>
        <w:rPr>
          <w:spacing w:val="-5"/>
        </w:rPr>
        <w:t> </w:t>
      </w:r>
      <w:r>
        <w:rPr/>
        <w:t>1996;</w:t>
      </w:r>
      <w:r>
        <w:rPr>
          <w:spacing w:val="-6"/>
        </w:rPr>
        <w:t> </w:t>
      </w:r>
      <w:r>
        <w:rPr/>
        <w:t>Boyle,</w:t>
      </w:r>
      <w:r>
        <w:rPr>
          <w:spacing w:val="-6"/>
        </w:rPr>
        <w:t> </w:t>
      </w:r>
      <w:r>
        <w:rPr/>
        <w:t>et</w:t>
      </w:r>
      <w:r>
        <w:rPr>
          <w:spacing w:val="-6"/>
        </w:rPr>
        <w:t> </w:t>
      </w:r>
      <w:r>
        <w:rPr/>
        <w:t>al., 2010; Liu, et al., 2010; Pascual, et al., 2010; TEEB,</w:t>
      </w:r>
      <w:r>
        <w:rPr>
          <w:spacing w:val="3"/>
        </w:rPr>
        <w:t> </w:t>
      </w:r>
      <w:r>
        <w:rPr/>
        <w:t>2010).</w:t>
      </w:r>
    </w:p>
    <w:p>
      <w:pPr>
        <w:pStyle w:val="BodyText"/>
        <w:spacing w:line="360" w:lineRule="auto" w:before="201"/>
        <w:ind w:left="100" w:right="118"/>
        <w:jc w:val="both"/>
      </w:pPr>
      <w:r>
        <w:rPr/>
        <w:t>La aplicación de metodologías monetarias en Costa Rica ha sido la más frecuente. Se han aplicado con frecuencia metodologías directas, de precios sombra y de valoración contingente para la valoración de servicios ecosistémicos y del daño ambiental. Estas han sido documentadas por varios estudios a través de los años (Moreno, 2005; Aguilar González, 2007; Aguilar González &amp; Segura Bonilla, 2016).</w:t>
      </w:r>
    </w:p>
    <w:p>
      <w:pPr>
        <w:pStyle w:val="BodyText"/>
        <w:spacing w:line="360" w:lineRule="auto" w:before="203"/>
        <w:ind w:left="100" w:right="118"/>
        <w:jc w:val="both"/>
      </w:pPr>
      <w:r>
        <w:rPr/>
        <w:t>En</w:t>
      </w:r>
      <w:r>
        <w:rPr>
          <w:spacing w:val="-13"/>
        </w:rPr>
        <w:t> </w:t>
      </w:r>
      <w:r>
        <w:rPr/>
        <w:t>un</w:t>
      </w:r>
      <w:r>
        <w:rPr>
          <w:spacing w:val="-12"/>
        </w:rPr>
        <w:t> </w:t>
      </w:r>
      <w:r>
        <w:rPr/>
        <w:t>principio</w:t>
      </w:r>
      <w:r>
        <w:rPr>
          <w:spacing w:val="-12"/>
        </w:rPr>
        <w:t> </w:t>
      </w:r>
      <w:r>
        <w:rPr/>
        <w:t>se</w:t>
      </w:r>
      <w:r>
        <w:rPr>
          <w:spacing w:val="-13"/>
        </w:rPr>
        <w:t> </w:t>
      </w:r>
      <w:r>
        <w:rPr/>
        <w:t>aplicaron</w:t>
      </w:r>
      <w:r>
        <w:rPr>
          <w:spacing w:val="-12"/>
        </w:rPr>
        <w:t> </w:t>
      </w:r>
      <w:r>
        <w:rPr/>
        <w:t>solamente</w:t>
      </w:r>
      <w:r>
        <w:rPr>
          <w:spacing w:val="-9"/>
        </w:rPr>
        <w:t> </w:t>
      </w:r>
      <w:r>
        <w:rPr/>
        <w:t>metodologías</w:t>
      </w:r>
      <w:r>
        <w:rPr>
          <w:spacing w:val="-6"/>
        </w:rPr>
        <w:t> </w:t>
      </w:r>
      <w:r>
        <w:rPr/>
        <w:t>que</w:t>
      </w:r>
      <w:r>
        <w:rPr>
          <w:spacing w:val="-13"/>
        </w:rPr>
        <w:t> </w:t>
      </w:r>
      <w:r>
        <w:rPr/>
        <w:t>se</w:t>
      </w:r>
      <w:r>
        <w:rPr>
          <w:spacing w:val="-12"/>
        </w:rPr>
        <w:t> </w:t>
      </w:r>
      <w:r>
        <w:rPr/>
        <w:t>han</w:t>
      </w:r>
      <w:r>
        <w:rPr>
          <w:spacing w:val="-12"/>
        </w:rPr>
        <w:t> </w:t>
      </w:r>
      <w:r>
        <w:rPr/>
        <w:t>denominado</w:t>
      </w:r>
      <w:r>
        <w:rPr>
          <w:spacing w:val="-12"/>
        </w:rPr>
        <w:t> </w:t>
      </w:r>
      <w:r>
        <w:rPr/>
        <w:t>aquí</w:t>
      </w:r>
      <w:r>
        <w:rPr>
          <w:spacing w:val="-10"/>
        </w:rPr>
        <w:t> </w:t>
      </w:r>
      <w:r>
        <w:rPr/>
        <w:t>como lentas. Sin embargo, recientemente se han documentado los usos de metodologías rápidas en CED como el del proyecto minero Crucitas y la disputa con Nicaragua por el Humedal Caribe Noreste (Aguilar González, et al., 2012; Marozzi, et al., 2012; Certain Activities Carried out by Nicaragua in the Border Area (Costa Rica v. Nicaragua). Construction</w:t>
      </w:r>
      <w:r>
        <w:rPr>
          <w:spacing w:val="-19"/>
        </w:rPr>
        <w:t> </w:t>
      </w:r>
      <w:r>
        <w:rPr/>
        <w:t>of</w:t>
      </w:r>
      <w:r>
        <w:rPr>
          <w:spacing w:val="-16"/>
        </w:rPr>
        <w:t> </w:t>
      </w:r>
      <w:r>
        <w:rPr/>
        <w:t>a</w:t>
      </w:r>
      <w:r>
        <w:rPr>
          <w:spacing w:val="-19"/>
        </w:rPr>
        <w:t> </w:t>
      </w:r>
      <w:r>
        <w:rPr/>
        <w:t>Road</w:t>
      </w:r>
      <w:r>
        <w:rPr>
          <w:spacing w:val="-19"/>
        </w:rPr>
        <w:t> </w:t>
      </w:r>
      <w:r>
        <w:rPr/>
        <w:t>in</w:t>
      </w:r>
      <w:r>
        <w:rPr>
          <w:spacing w:val="-19"/>
        </w:rPr>
        <w:t> </w:t>
      </w:r>
      <w:r>
        <w:rPr/>
        <w:t>Costa</w:t>
      </w:r>
      <w:r>
        <w:rPr>
          <w:spacing w:val="-19"/>
        </w:rPr>
        <w:t> </w:t>
      </w:r>
      <w:r>
        <w:rPr/>
        <w:t>Rica</w:t>
      </w:r>
      <w:r>
        <w:rPr>
          <w:spacing w:val="-19"/>
        </w:rPr>
        <w:t> </w:t>
      </w:r>
      <w:r>
        <w:rPr/>
        <w:t>along</w:t>
      </w:r>
      <w:r>
        <w:rPr>
          <w:spacing w:val="-19"/>
        </w:rPr>
        <w:t> </w:t>
      </w:r>
      <w:r>
        <w:rPr/>
        <w:t>the</w:t>
      </w:r>
      <w:r>
        <w:rPr>
          <w:spacing w:val="-19"/>
        </w:rPr>
        <w:t> </w:t>
      </w:r>
      <w:r>
        <w:rPr/>
        <w:t>San</w:t>
      </w:r>
      <w:r>
        <w:rPr>
          <w:spacing w:val="-18"/>
        </w:rPr>
        <w:t> </w:t>
      </w:r>
      <w:r>
        <w:rPr/>
        <w:t>Juan</w:t>
      </w:r>
      <w:r>
        <w:rPr>
          <w:spacing w:val="-19"/>
        </w:rPr>
        <w:t> </w:t>
      </w:r>
      <w:r>
        <w:rPr/>
        <w:t>River</w:t>
      </w:r>
      <w:r>
        <w:rPr>
          <w:spacing w:val="-17"/>
        </w:rPr>
        <w:t> </w:t>
      </w:r>
      <w:r>
        <w:rPr/>
        <w:t>(Nicaragua</w:t>
      </w:r>
      <w:r>
        <w:rPr>
          <w:spacing w:val="-19"/>
        </w:rPr>
        <w:t> </w:t>
      </w:r>
      <w:r>
        <w:rPr/>
        <w:t>v.</w:t>
      </w:r>
      <w:r>
        <w:rPr>
          <w:spacing w:val="-16"/>
        </w:rPr>
        <w:t> </w:t>
      </w:r>
      <w:r>
        <w:rPr/>
        <w:t>Costa</w:t>
      </w:r>
      <w:r>
        <w:rPr>
          <w:spacing w:val="-19"/>
        </w:rPr>
        <w:t> </w:t>
      </w:r>
      <w:r>
        <w:rPr/>
        <w:t>Rica), 2015; Aguilar-González, et al., 2016; Aguilar-González, November 18, 2016; Aguilar- González, et al., 2017). Asimismo, se han utilizado para la valoración de servicios ecosistémicos</w:t>
      </w:r>
      <w:r>
        <w:rPr>
          <w:spacing w:val="-7"/>
        </w:rPr>
        <w:t> </w:t>
      </w:r>
      <w:r>
        <w:rPr/>
        <w:t>de</w:t>
      </w:r>
      <w:r>
        <w:rPr>
          <w:spacing w:val="-9"/>
        </w:rPr>
        <w:t> </w:t>
      </w:r>
      <w:r>
        <w:rPr/>
        <w:t>los</w:t>
      </w:r>
      <w:r>
        <w:rPr>
          <w:spacing w:val="-6"/>
        </w:rPr>
        <w:t> </w:t>
      </w:r>
      <w:r>
        <w:rPr/>
        <w:t>humedales</w:t>
      </w:r>
      <w:r>
        <w:rPr>
          <w:spacing w:val="-7"/>
        </w:rPr>
        <w:t> </w:t>
      </w:r>
      <w:r>
        <w:rPr/>
        <w:t>del</w:t>
      </w:r>
      <w:r>
        <w:rPr>
          <w:spacing w:val="-7"/>
        </w:rPr>
        <w:t> </w:t>
      </w:r>
      <w:r>
        <w:rPr/>
        <w:t>país</w:t>
      </w:r>
      <w:r>
        <w:rPr>
          <w:spacing w:val="-7"/>
        </w:rPr>
        <w:t> </w:t>
      </w:r>
      <w:r>
        <w:rPr/>
        <w:t>(Earth</w:t>
      </w:r>
      <w:r>
        <w:rPr>
          <w:spacing w:val="-8"/>
        </w:rPr>
        <w:t> </w:t>
      </w:r>
      <w:r>
        <w:rPr/>
        <w:t>Economics,</w:t>
      </w:r>
      <w:r>
        <w:rPr>
          <w:spacing w:val="-6"/>
        </w:rPr>
        <w:t> </w:t>
      </w:r>
      <w:r>
        <w:rPr/>
        <w:t>2010;</w:t>
      </w:r>
      <w:r>
        <w:rPr>
          <w:spacing w:val="-6"/>
        </w:rPr>
        <w:t> </w:t>
      </w:r>
      <w:r>
        <w:rPr/>
        <w:t>Kushner,</w:t>
      </w:r>
      <w:r>
        <w:rPr>
          <w:spacing w:val="-5"/>
        </w:rPr>
        <w:t> </w:t>
      </w:r>
      <w:r>
        <w:rPr/>
        <w:t>et</w:t>
      </w:r>
      <w:r>
        <w:rPr>
          <w:spacing w:val="-6"/>
        </w:rPr>
        <w:t> </w:t>
      </w:r>
      <w:r>
        <w:rPr/>
        <w:t>al.,</w:t>
      </w:r>
      <w:r>
        <w:rPr>
          <w:spacing w:val="-5"/>
        </w:rPr>
        <w:t> </w:t>
      </w:r>
      <w:r>
        <w:rPr/>
        <w:t>2012; Proyecto de Humedales de SINAC-PNUD-GEF,</w:t>
      </w:r>
      <w:r>
        <w:rPr>
          <w:spacing w:val="-3"/>
        </w:rPr>
        <w:t> </w:t>
      </w:r>
      <w:r>
        <w:rPr/>
        <w:t>2017).</w:t>
      </w:r>
    </w:p>
    <w:p>
      <w:pPr>
        <w:pStyle w:val="BodyText"/>
        <w:spacing w:line="360" w:lineRule="auto" w:before="201"/>
        <w:ind w:left="100" w:right="114"/>
        <w:jc w:val="both"/>
      </w:pPr>
      <w:r>
        <w:rPr/>
        <w:t>La utilización de estas metodologías en la Economía Ecológica ha sido favorecida por grupos de Economistas Ecológicos que se identifican con la lógica de los servicios ecosistémicos (Millenium Ecosystem Assessment, 2003; Markandya, 2016), con el liderazgo</w:t>
      </w:r>
      <w:r>
        <w:rPr>
          <w:spacing w:val="-13"/>
        </w:rPr>
        <w:t> </w:t>
      </w:r>
      <w:r>
        <w:rPr/>
        <w:t>muy</w:t>
      </w:r>
      <w:r>
        <w:rPr>
          <w:spacing w:val="-19"/>
        </w:rPr>
        <w:t> </w:t>
      </w:r>
      <w:r>
        <w:rPr/>
        <w:t>visible</w:t>
      </w:r>
      <w:r>
        <w:rPr>
          <w:spacing w:val="-16"/>
        </w:rPr>
        <w:t> </w:t>
      </w:r>
      <w:r>
        <w:rPr/>
        <w:t>de</w:t>
      </w:r>
      <w:r>
        <w:rPr>
          <w:spacing w:val="-17"/>
        </w:rPr>
        <w:t> </w:t>
      </w:r>
      <w:r>
        <w:rPr/>
        <w:t>académicos</w:t>
      </w:r>
      <w:r>
        <w:rPr>
          <w:spacing w:val="-14"/>
        </w:rPr>
        <w:t> </w:t>
      </w:r>
      <w:r>
        <w:rPr/>
        <w:t>como</w:t>
      </w:r>
      <w:r>
        <w:rPr>
          <w:spacing w:val="-17"/>
        </w:rPr>
        <w:t> </w:t>
      </w:r>
      <w:r>
        <w:rPr/>
        <w:t>Rudolf</w:t>
      </w:r>
      <w:r>
        <w:rPr>
          <w:spacing w:val="-13"/>
        </w:rPr>
        <w:t> </w:t>
      </w:r>
      <w:r>
        <w:rPr/>
        <w:t>de</w:t>
      </w:r>
      <w:r>
        <w:rPr>
          <w:spacing w:val="-17"/>
        </w:rPr>
        <w:t> </w:t>
      </w:r>
      <w:r>
        <w:rPr/>
        <w:t>Groot</w:t>
      </w:r>
      <w:r>
        <w:rPr>
          <w:spacing w:val="-14"/>
        </w:rPr>
        <w:t> </w:t>
      </w:r>
      <w:r>
        <w:rPr/>
        <w:t>y</w:t>
      </w:r>
      <w:r>
        <w:rPr>
          <w:spacing w:val="-18"/>
        </w:rPr>
        <w:t> </w:t>
      </w:r>
      <w:r>
        <w:rPr/>
        <w:t>Robert</w:t>
      </w:r>
      <w:r>
        <w:rPr>
          <w:spacing w:val="-14"/>
        </w:rPr>
        <w:t> </w:t>
      </w:r>
      <w:r>
        <w:rPr/>
        <w:t>Costanza</w:t>
      </w:r>
      <w:r>
        <w:rPr>
          <w:spacing w:val="-10"/>
        </w:rPr>
        <w:t> </w:t>
      </w:r>
      <w:r>
        <w:rPr/>
        <w:t>(de</w:t>
      </w:r>
      <w:r>
        <w:rPr>
          <w:spacing w:val="-16"/>
        </w:rPr>
        <w:t> </w:t>
      </w:r>
      <w:r>
        <w:rPr/>
        <w:t>Groot, 1992;</w:t>
      </w:r>
      <w:r>
        <w:rPr>
          <w:spacing w:val="-15"/>
        </w:rPr>
        <w:t> </w:t>
      </w:r>
      <w:r>
        <w:rPr/>
        <w:t>de</w:t>
      </w:r>
      <w:r>
        <w:rPr>
          <w:spacing w:val="-18"/>
        </w:rPr>
        <w:t> </w:t>
      </w:r>
      <w:r>
        <w:rPr/>
        <w:t>Groot,</w:t>
      </w:r>
      <w:r>
        <w:rPr>
          <w:spacing w:val="-14"/>
        </w:rPr>
        <w:t> </w:t>
      </w:r>
      <w:r>
        <w:rPr/>
        <w:t>1994;</w:t>
      </w:r>
      <w:r>
        <w:rPr>
          <w:spacing w:val="-15"/>
        </w:rPr>
        <w:t> </w:t>
      </w:r>
      <w:r>
        <w:rPr/>
        <w:t>Costanza,</w:t>
      </w:r>
      <w:r>
        <w:rPr>
          <w:spacing w:val="-15"/>
        </w:rPr>
        <w:t> </w:t>
      </w:r>
      <w:r>
        <w:rPr/>
        <w:t>et</w:t>
      </w:r>
      <w:r>
        <w:rPr>
          <w:spacing w:val="-15"/>
        </w:rPr>
        <w:t> </w:t>
      </w:r>
      <w:r>
        <w:rPr/>
        <w:t>al.,</w:t>
      </w:r>
      <w:r>
        <w:rPr>
          <w:spacing w:val="-14"/>
        </w:rPr>
        <w:t> </w:t>
      </w:r>
      <w:r>
        <w:rPr/>
        <w:t>1997;</w:t>
      </w:r>
      <w:r>
        <w:rPr>
          <w:spacing w:val="-15"/>
        </w:rPr>
        <w:t> </w:t>
      </w:r>
      <w:r>
        <w:rPr/>
        <w:t>de</w:t>
      </w:r>
      <w:r>
        <w:rPr>
          <w:spacing w:val="-18"/>
        </w:rPr>
        <w:t> </w:t>
      </w:r>
      <w:r>
        <w:rPr/>
        <w:t>Groot,</w:t>
      </w:r>
      <w:r>
        <w:rPr>
          <w:spacing w:val="-14"/>
        </w:rPr>
        <w:t> </w:t>
      </w:r>
      <w:r>
        <w:rPr/>
        <w:t>et</w:t>
      </w:r>
      <w:r>
        <w:rPr>
          <w:spacing w:val="-15"/>
        </w:rPr>
        <w:t> </w:t>
      </w:r>
      <w:r>
        <w:rPr/>
        <w:t>al.,</w:t>
      </w:r>
      <w:r>
        <w:rPr>
          <w:spacing w:val="-18"/>
        </w:rPr>
        <w:t> </w:t>
      </w:r>
      <w:r>
        <w:rPr/>
        <w:t>2002;</w:t>
      </w:r>
      <w:r>
        <w:rPr>
          <w:spacing w:val="-15"/>
        </w:rPr>
        <w:t> </w:t>
      </w:r>
      <w:r>
        <w:rPr/>
        <w:t>de</w:t>
      </w:r>
      <w:r>
        <w:rPr>
          <w:spacing w:val="-18"/>
        </w:rPr>
        <w:t> </w:t>
      </w:r>
      <w:r>
        <w:rPr/>
        <w:t>Groot,</w:t>
      </w:r>
      <w:r>
        <w:rPr>
          <w:spacing w:val="-18"/>
        </w:rPr>
        <w:t> </w:t>
      </w:r>
      <w:r>
        <w:rPr/>
        <w:t>et</w:t>
      </w:r>
      <w:r>
        <w:rPr>
          <w:spacing w:val="-15"/>
        </w:rPr>
        <w:t> </w:t>
      </w:r>
      <w:r>
        <w:rPr/>
        <w:t>al.,</w:t>
      </w:r>
      <w:r>
        <w:rPr>
          <w:spacing w:val="-14"/>
        </w:rPr>
        <w:t> </w:t>
      </w:r>
      <w:r>
        <w:rPr/>
        <w:t>2012; Costanza,</w:t>
      </w:r>
      <w:r>
        <w:rPr>
          <w:spacing w:val="-12"/>
        </w:rPr>
        <w:t> </w:t>
      </w:r>
      <w:r>
        <w:rPr/>
        <w:t>et</w:t>
      </w:r>
      <w:r>
        <w:rPr>
          <w:spacing w:val="-11"/>
        </w:rPr>
        <w:t> </w:t>
      </w:r>
      <w:r>
        <w:rPr/>
        <w:t>al.,</w:t>
      </w:r>
      <w:r>
        <w:rPr>
          <w:spacing w:val="-11"/>
        </w:rPr>
        <w:t> </w:t>
      </w:r>
      <w:r>
        <w:rPr/>
        <w:t>2014).</w:t>
      </w:r>
      <w:r>
        <w:rPr>
          <w:spacing w:val="-11"/>
        </w:rPr>
        <w:t> </w:t>
      </w:r>
      <w:r>
        <w:rPr/>
        <w:t>Los</w:t>
      </w:r>
      <w:r>
        <w:rPr>
          <w:spacing w:val="-12"/>
        </w:rPr>
        <w:t> </w:t>
      </w:r>
      <w:r>
        <w:rPr/>
        <w:t>mismos</w:t>
      </w:r>
      <w:r>
        <w:rPr>
          <w:spacing w:val="-12"/>
        </w:rPr>
        <w:t> </w:t>
      </w:r>
      <w:r>
        <w:rPr/>
        <w:t>grupos</w:t>
      </w:r>
      <w:r>
        <w:rPr>
          <w:spacing w:val="-12"/>
        </w:rPr>
        <w:t> </w:t>
      </w:r>
      <w:r>
        <w:rPr/>
        <w:t>que</w:t>
      </w:r>
      <w:r>
        <w:rPr>
          <w:spacing w:val="-14"/>
        </w:rPr>
        <w:t> </w:t>
      </w:r>
      <w:r>
        <w:rPr/>
        <w:t>objetan</w:t>
      </w:r>
      <w:r>
        <w:rPr>
          <w:spacing w:val="-14"/>
        </w:rPr>
        <w:t> </w:t>
      </w:r>
      <w:r>
        <w:rPr/>
        <w:t>la</w:t>
      </w:r>
      <w:r>
        <w:rPr>
          <w:spacing w:val="-13"/>
        </w:rPr>
        <w:t> </w:t>
      </w:r>
      <w:r>
        <w:rPr/>
        <w:t>aplicación</w:t>
      </w:r>
      <w:r>
        <w:rPr>
          <w:spacing w:val="-14"/>
        </w:rPr>
        <w:t> </w:t>
      </w:r>
      <w:r>
        <w:rPr/>
        <w:t>de</w:t>
      </w:r>
      <w:r>
        <w:rPr>
          <w:spacing w:val="-14"/>
        </w:rPr>
        <w:t> </w:t>
      </w:r>
      <w:r>
        <w:rPr/>
        <w:t>conceptos</w:t>
      </w:r>
      <w:r>
        <w:rPr>
          <w:spacing w:val="-12"/>
        </w:rPr>
        <w:t> </w:t>
      </w:r>
      <w:r>
        <w:rPr/>
        <w:t>como</w:t>
      </w:r>
    </w:p>
    <w:p>
      <w:pPr>
        <w:spacing w:after="0" w:line="360" w:lineRule="auto"/>
        <w:jc w:val="both"/>
        <w:sectPr>
          <w:pgSz w:w="12240" w:h="15840"/>
          <w:pgMar w:header="0" w:footer="1330" w:top="1500" w:bottom="1580" w:left="1340" w:right="1320"/>
        </w:sectPr>
      </w:pPr>
    </w:p>
    <w:p>
      <w:pPr>
        <w:pStyle w:val="BodyText"/>
        <w:spacing w:line="360" w:lineRule="auto" w:before="107"/>
        <w:ind w:left="100" w:right="115"/>
        <w:jc w:val="both"/>
      </w:pPr>
      <w:r>
        <w:rPr/>
        <w:t>“capital natural” critican este enfoque como un enfoque mercantilista que no supera la lógica del sistema que ha creado las crisis socio-ambientales actuales (Martínez-Alier, 2001; Barkin, et al., 2012). Frente a esta disyuntiva, Martínez-Alier propone que parece emerger un consenso de que la valoración monetaria puede tener un lugar en espacios en los cuales se busca equilibrar los desequilibrios causados por la apropiación injusta del Espacio Ambiental, como es el caso del cobro por daños ambientales ocasionados por una gran compañía. En el caso de la toma de decisiones de política hacia el futuro, sostiene que debe ser visto tan sólo como uno de los enfoques de lenguajes de valoración (Martínez-Alier, 2003; Martínez-Alier, 2015).</w:t>
      </w:r>
    </w:p>
    <w:p>
      <w:pPr>
        <w:pStyle w:val="BodyText"/>
        <w:spacing w:line="360" w:lineRule="auto" w:before="203"/>
        <w:ind w:left="100" w:right="119"/>
        <w:jc w:val="both"/>
      </w:pPr>
      <w:r>
        <w:rPr/>
        <w:t>En esta investigación se utiliza una metodología de estimación de precios sombra que se usa para estimar el servicio ecosistémico de vista para bienes raíces para visibilizar las consecuencias de una situación de injusticia ambiental. Esta es la metodología conocida como Valoración Monetaria de Precios Hedónicos.</w:t>
      </w:r>
    </w:p>
    <w:p>
      <w:pPr>
        <w:pStyle w:val="ListParagraph"/>
        <w:numPr>
          <w:ilvl w:val="0"/>
          <w:numId w:val="4"/>
        </w:numPr>
        <w:tabs>
          <w:tab w:pos="821" w:val="left" w:leader="none"/>
        </w:tabs>
        <w:spacing w:line="240" w:lineRule="auto" w:before="201" w:after="0"/>
        <w:ind w:left="820" w:right="0" w:hanging="721"/>
        <w:jc w:val="both"/>
        <w:rPr>
          <w:sz w:val="24"/>
        </w:rPr>
      </w:pPr>
      <w:r>
        <w:rPr>
          <w:sz w:val="24"/>
        </w:rPr>
        <w:t>La Valoración Monetaria por Precios Hedónicos</w:t>
      </w:r>
    </w:p>
    <w:p>
      <w:pPr>
        <w:pStyle w:val="BodyText"/>
        <w:spacing w:before="3"/>
        <w:rPr>
          <w:sz w:val="22"/>
        </w:rPr>
      </w:pPr>
    </w:p>
    <w:p>
      <w:pPr>
        <w:pStyle w:val="BodyText"/>
        <w:spacing w:line="360" w:lineRule="auto"/>
        <w:ind w:left="100" w:right="112"/>
        <w:jc w:val="both"/>
      </w:pPr>
      <w:r>
        <w:rPr/>
        <w:t>Originalmente la metodología de precios hedónicos fue utilizada para efectos de medir los efectos de las características de calidad de los productos agrícolas en su precio. </w:t>
      </w:r>
      <w:r>
        <w:rPr>
          <w:spacing w:val="3"/>
        </w:rPr>
        <w:t>La </w:t>
      </w:r>
      <w:r>
        <w:rPr/>
        <w:t>primera</w:t>
      </w:r>
      <w:r>
        <w:rPr>
          <w:spacing w:val="-13"/>
        </w:rPr>
        <w:t> </w:t>
      </w:r>
      <w:r>
        <w:rPr/>
        <w:t>utilización</w:t>
      </w:r>
      <w:r>
        <w:rPr>
          <w:spacing w:val="-13"/>
        </w:rPr>
        <w:t> </w:t>
      </w:r>
      <w:r>
        <w:rPr/>
        <w:t>se</w:t>
      </w:r>
      <w:r>
        <w:rPr>
          <w:spacing w:val="-12"/>
        </w:rPr>
        <w:t> </w:t>
      </w:r>
      <w:r>
        <w:rPr/>
        <w:t>da</w:t>
      </w:r>
      <w:r>
        <w:rPr>
          <w:spacing w:val="-13"/>
        </w:rPr>
        <w:t> </w:t>
      </w:r>
      <w:r>
        <w:rPr/>
        <w:t>en</w:t>
      </w:r>
      <w:r>
        <w:rPr>
          <w:spacing w:val="-12"/>
        </w:rPr>
        <w:t> </w:t>
      </w:r>
      <w:r>
        <w:rPr/>
        <w:t>1927</w:t>
      </w:r>
      <w:r>
        <w:rPr>
          <w:spacing w:val="-13"/>
        </w:rPr>
        <w:t> </w:t>
      </w:r>
      <w:r>
        <w:rPr/>
        <w:t>por</w:t>
      </w:r>
      <w:r>
        <w:rPr>
          <w:spacing w:val="-11"/>
        </w:rPr>
        <w:t> </w:t>
      </w:r>
      <w:r>
        <w:rPr/>
        <w:t>parte</w:t>
      </w:r>
      <w:r>
        <w:rPr>
          <w:spacing w:val="-12"/>
        </w:rPr>
        <w:t> </w:t>
      </w:r>
      <w:r>
        <w:rPr/>
        <w:t>del</w:t>
      </w:r>
      <w:r>
        <w:rPr>
          <w:spacing w:val="-12"/>
        </w:rPr>
        <w:t> </w:t>
      </w:r>
      <w:r>
        <w:rPr/>
        <w:t>economista</w:t>
      </w:r>
      <w:r>
        <w:rPr>
          <w:spacing w:val="-12"/>
        </w:rPr>
        <w:t> </w:t>
      </w:r>
      <w:r>
        <w:rPr/>
        <w:t>agrícola</w:t>
      </w:r>
      <w:r>
        <w:rPr>
          <w:spacing w:val="-13"/>
        </w:rPr>
        <w:t> </w:t>
      </w:r>
      <w:r>
        <w:rPr/>
        <w:t>estadounidense</w:t>
      </w:r>
      <w:r>
        <w:rPr>
          <w:spacing w:val="-12"/>
        </w:rPr>
        <w:t> </w:t>
      </w:r>
      <w:r>
        <w:rPr/>
        <w:t>Fred Waugh (Waugh, 1928). Su trabajo fue resaltado en 1961 por el profesor Zvi Griliches quien lo usó para desarrollar modelos de regresión para evaluar los efectos de las características de los automóviles sobre los precios. Desde entonces la evolución de su utilización incluyó en los EEUU su uso por la Oficina del Censo para desarrollar índices de precios de bienes raíces (Griliches, 1961; Griliches,</w:t>
      </w:r>
      <w:r>
        <w:rPr>
          <w:spacing w:val="1"/>
        </w:rPr>
        <w:t> </w:t>
      </w:r>
      <w:r>
        <w:rPr/>
        <w:t>1991).</w:t>
      </w:r>
    </w:p>
    <w:p>
      <w:pPr>
        <w:pStyle w:val="BodyText"/>
        <w:spacing w:line="360" w:lineRule="auto" w:before="121"/>
        <w:ind w:left="100" w:right="118"/>
        <w:jc w:val="both"/>
      </w:pPr>
      <w:r>
        <w:rPr/>
        <w:t>Así,</w:t>
      </w:r>
      <w:r>
        <w:rPr>
          <w:spacing w:val="-9"/>
        </w:rPr>
        <w:t> </w:t>
      </w:r>
      <w:r>
        <w:rPr/>
        <w:t>su</w:t>
      </w:r>
      <w:r>
        <w:rPr>
          <w:spacing w:val="-12"/>
        </w:rPr>
        <w:t> </w:t>
      </w:r>
      <w:r>
        <w:rPr/>
        <w:t>uso</w:t>
      </w:r>
      <w:r>
        <w:rPr>
          <w:spacing w:val="-12"/>
        </w:rPr>
        <w:t> </w:t>
      </w:r>
      <w:r>
        <w:rPr/>
        <w:t>para</w:t>
      </w:r>
      <w:r>
        <w:rPr>
          <w:spacing w:val="-7"/>
        </w:rPr>
        <w:t> </w:t>
      </w:r>
      <w:r>
        <w:rPr/>
        <w:t>medir</w:t>
      </w:r>
      <w:r>
        <w:rPr>
          <w:spacing w:val="-6"/>
        </w:rPr>
        <w:t> </w:t>
      </w:r>
      <w:r>
        <w:rPr/>
        <w:t>el</w:t>
      </w:r>
      <w:r>
        <w:rPr>
          <w:spacing w:val="-11"/>
        </w:rPr>
        <w:t> </w:t>
      </w:r>
      <w:r>
        <w:rPr/>
        <w:t>efecto</w:t>
      </w:r>
      <w:r>
        <w:rPr>
          <w:spacing w:val="-8"/>
        </w:rPr>
        <w:t> </w:t>
      </w:r>
      <w:r>
        <w:rPr/>
        <w:t>de</w:t>
      </w:r>
      <w:r>
        <w:rPr>
          <w:spacing w:val="-12"/>
        </w:rPr>
        <w:t> </w:t>
      </w:r>
      <w:r>
        <w:rPr/>
        <w:t>los</w:t>
      </w:r>
      <w:r>
        <w:rPr>
          <w:spacing w:val="-6"/>
        </w:rPr>
        <w:t> </w:t>
      </w:r>
      <w:r>
        <w:rPr/>
        <w:t>servicios</w:t>
      </w:r>
      <w:r>
        <w:rPr>
          <w:spacing w:val="-9"/>
        </w:rPr>
        <w:t> </w:t>
      </w:r>
      <w:r>
        <w:rPr/>
        <w:t>estéticos</w:t>
      </w:r>
      <w:r>
        <w:rPr>
          <w:spacing w:val="-10"/>
        </w:rPr>
        <w:t> </w:t>
      </w:r>
      <w:r>
        <w:rPr/>
        <w:t>ambientales</w:t>
      </w:r>
      <w:r>
        <w:rPr>
          <w:spacing w:val="-10"/>
        </w:rPr>
        <w:t> </w:t>
      </w:r>
      <w:r>
        <w:rPr/>
        <w:t>en</w:t>
      </w:r>
      <w:r>
        <w:rPr>
          <w:spacing w:val="-8"/>
        </w:rPr>
        <w:t> </w:t>
      </w:r>
      <w:r>
        <w:rPr/>
        <w:t>el</w:t>
      </w:r>
      <w:r>
        <w:rPr>
          <w:spacing w:val="-10"/>
        </w:rPr>
        <w:t> </w:t>
      </w:r>
      <w:r>
        <w:rPr/>
        <w:t>precio</w:t>
      </w:r>
      <w:r>
        <w:rPr>
          <w:spacing w:val="-12"/>
        </w:rPr>
        <w:t> </w:t>
      </w:r>
      <w:r>
        <w:rPr/>
        <w:t>de</w:t>
      </w:r>
      <w:r>
        <w:rPr>
          <w:spacing w:val="-6"/>
        </w:rPr>
        <w:t> </w:t>
      </w:r>
      <w:r>
        <w:rPr/>
        <w:t>los bienes raíces es bien documentado (Pearce, et al., 1989; Aguilar, 2002; Kahn, 1998; Harris,</w:t>
      </w:r>
      <w:r>
        <w:rPr>
          <w:spacing w:val="-13"/>
        </w:rPr>
        <w:t> </w:t>
      </w:r>
      <w:r>
        <w:rPr/>
        <w:t>2002;</w:t>
      </w:r>
      <w:r>
        <w:rPr>
          <w:spacing w:val="-12"/>
        </w:rPr>
        <w:t> </w:t>
      </w:r>
      <w:r>
        <w:rPr/>
        <w:t>Liu,</w:t>
      </w:r>
      <w:r>
        <w:rPr>
          <w:spacing w:val="-12"/>
        </w:rPr>
        <w:t> </w:t>
      </w:r>
      <w:r>
        <w:rPr/>
        <w:t>et</w:t>
      </w:r>
      <w:r>
        <w:rPr>
          <w:spacing w:val="-12"/>
        </w:rPr>
        <w:t> </w:t>
      </w:r>
      <w:r>
        <w:rPr/>
        <w:t>al.,</w:t>
      </w:r>
      <w:r>
        <w:rPr>
          <w:spacing w:val="-12"/>
        </w:rPr>
        <w:t> </w:t>
      </w:r>
      <w:r>
        <w:rPr/>
        <w:t>2010).</w:t>
      </w:r>
      <w:r>
        <w:rPr>
          <w:spacing w:val="-13"/>
        </w:rPr>
        <w:t> </w:t>
      </w:r>
      <w:r>
        <w:rPr/>
        <w:t>Sin</w:t>
      </w:r>
      <w:r>
        <w:rPr>
          <w:spacing w:val="-15"/>
        </w:rPr>
        <w:t> </w:t>
      </w:r>
      <w:r>
        <w:rPr/>
        <w:t>embargo,</w:t>
      </w:r>
      <w:r>
        <w:rPr>
          <w:spacing w:val="-12"/>
        </w:rPr>
        <w:t> </w:t>
      </w:r>
      <w:r>
        <w:rPr/>
        <w:t>su</w:t>
      </w:r>
      <w:r>
        <w:rPr>
          <w:spacing w:val="-15"/>
        </w:rPr>
        <w:t> </w:t>
      </w:r>
      <w:r>
        <w:rPr/>
        <w:t>uso</w:t>
      </w:r>
      <w:r>
        <w:rPr>
          <w:spacing w:val="-11"/>
        </w:rPr>
        <w:t> </w:t>
      </w:r>
      <w:r>
        <w:rPr/>
        <w:t>en</w:t>
      </w:r>
      <w:r>
        <w:rPr>
          <w:spacing w:val="-12"/>
        </w:rPr>
        <w:t> </w:t>
      </w:r>
      <w:r>
        <w:rPr/>
        <w:t>las</w:t>
      </w:r>
      <w:r>
        <w:rPr>
          <w:spacing w:val="-13"/>
        </w:rPr>
        <w:t> </w:t>
      </w:r>
      <w:r>
        <w:rPr/>
        <w:t>naciones</w:t>
      </w:r>
      <w:r>
        <w:rPr>
          <w:spacing w:val="-9"/>
        </w:rPr>
        <w:t> </w:t>
      </w:r>
      <w:r>
        <w:rPr/>
        <w:t>en</w:t>
      </w:r>
      <w:r>
        <w:rPr>
          <w:spacing w:val="-15"/>
        </w:rPr>
        <w:t> </w:t>
      </w:r>
      <w:r>
        <w:rPr/>
        <w:t>vías</w:t>
      </w:r>
      <w:r>
        <w:rPr>
          <w:spacing w:val="-13"/>
        </w:rPr>
        <w:t> </w:t>
      </w:r>
      <w:r>
        <w:rPr/>
        <w:t>en</w:t>
      </w:r>
      <w:r>
        <w:rPr>
          <w:spacing w:val="-15"/>
        </w:rPr>
        <w:t> </w:t>
      </w:r>
      <w:r>
        <w:rPr/>
        <w:t>desarrollo fue calificado como incipiente a fines de los años 90 (Georgiu, et al.,</w:t>
      </w:r>
      <w:r>
        <w:rPr>
          <w:spacing w:val="-9"/>
        </w:rPr>
        <w:t> </w:t>
      </w:r>
      <w:r>
        <w:rPr/>
        <w:t>1997).</w:t>
      </w:r>
    </w:p>
    <w:p>
      <w:pPr>
        <w:pStyle w:val="BodyText"/>
        <w:spacing w:line="362" w:lineRule="auto" w:before="201"/>
        <w:ind w:left="100" w:right="116"/>
        <w:jc w:val="both"/>
      </w:pPr>
      <w:r>
        <w:rPr/>
        <w:t>Posiblemente ello se debe al fenómeno de que estas naciones en su mayoría han visto la transición a ser mayormente urbanas hasta el siglo XXI. Es entonces cuando se</w:t>
      </w:r>
    </w:p>
    <w:p>
      <w:pPr>
        <w:spacing w:after="0" w:line="362" w:lineRule="auto"/>
        <w:jc w:val="both"/>
        <w:sectPr>
          <w:pgSz w:w="12240" w:h="15840"/>
          <w:pgMar w:header="0" w:footer="1330" w:top="1500" w:bottom="1580" w:left="1340" w:right="1320"/>
        </w:sectPr>
      </w:pPr>
    </w:p>
    <w:p>
      <w:pPr>
        <w:pStyle w:val="BodyText"/>
        <w:spacing w:line="360" w:lineRule="auto" w:before="107"/>
        <w:ind w:left="100" w:right="116"/>
        <w:jc w:val="both"/>
      </w:pPr>
      <w:r>
        <w:rPr/>
        <w:t>detectan fuentes que mencionan el método y se presentan aplicaciones en espacios urbanos. Hoy día encontramos en América Latina como ejemplos estudios que han aplicado la metodología a Buenos Aires, Argentina, Bogotá, Manizales y Medellín, Colombia, Montevideo, Uruguay y San José, Costa Rica (Cruces, et al., 2008; Ferre, et al., 2008; Hall, et al., 2008; Lora, et al., 2010; Lora &amp; Powell, 2011; Velásquez, 2011). Lora y Powell (2011) sintetizan la formulación común de los modelos aplicados. Con el precio de una vivienda como variable dependiente, puede presentarse el modelo sintetizado de la siguiente manera:</w:t>
      </w:r>
    </w:p>
    <w:p>
      <w:pPr>
        <w:pStyle w:val="BodyText"/>
        <w:spacing w:before="9"/>
        <w:rPr>
          <w:sz w:val="9"/>
        </w:rPr>
      </w:pPr>
    </w:p>
    <w:p>
      <w:pPr>
        <w:spacing w:after="0"/>
        <w:rPr>
          <w:sz w:val="9"/>
        </w:rPr>
        <w:sectPr>
          <w:pgSz w:w="12240" w:h="15840"/>
          <w:pgMar w:header="0" w:footer="1330" w:top="1500" w:bottom="1580" w:left="1340" w:right="1320"/>
        </w:sectPr>
      </w:pPr>
    </w:p>
    <w:p>
      <w:pPr>
        <w:pStyle w:val="BodyText"/>
        <w:rPr>
          <w:sz w:val="26"/>
        </w:rPr>
      </w:pPr>
    </w:p>
    <w:p>
      <w:pPr>
        <w:pStyle w:val="BodyText"/>
        <w:spacing w:before="4"/>
        <w:rPr>
          <w:sz w:val="21"/>
        </w:rPr>
      </w:pPr>
    </w:p>
    <w:p>
      <w:pPr>
        <w:pStyle w:val="BodyText"/>
        <w:spacing w:before="1"/>
        <w:ind w:left="100"/>
      </w:pPr>
      <w:r>
        <w:rPr/>
        <w:t>donde:</w:t>
      </w:r>
    </w:p>
    <w:p>
      <w:pPr>
        <w:pStyle w:val="BodyText"/>
        <w:spacing w:before="84"/>
        <w:ind w:left="100"/>
        <w:rPr>
          <w:rFonts w:ascii="Times New Roman" w:eastAsia="Times New Roman"/>
        </w:rPr>
      </w:pPr>
      <w:r>
        <w:rPr/>
        <w:br w:type="column"/>
      </w:r>
      <w:r>
        <w:rPr>
          <w:w w:val="99"/>
        </w:rPr>
        <w:t>(</w:t>
      </w:r>
      <w:r>
        <w:rPr>
          <w:spacing w:val="-2"/>
          <w:w w:val="99"/>
        </w:rPr>
        <w:t>4</w:t>
      </w:r>
      <w:r>
        <w:rPr>
          <w:w w:val="99"/>
        </w:rPr>
        <w:t>)</w:t>
      </w:r>
      <w:r>
        <w:rPr>
          <w:spacing w:val="1"/>
          <w:w w:val="99"/>
        </w:rPr>
        <w:t> </w:t>
      </w:r>
      <w:r>
        <w:rPr>
          <w:rFonts w:ascii="Times New Roman" w:eastAsia="Times New Roman"/>
          <w:spacing w:val="-2"/>
          <w:w w:val="106"/>
        </w:rPr>
        <w:t>l</w:t>
      </w:r>
      <w:r>
        <w:rPr>
          <w:rFonts w:ascii="Times New Roman" w:eastAsia="Times New Roman"/>
          <w:spacing w:val="2"/>
          <w:w w:val="106"/>
        </w:rPr>
        <w:t>n</w:t>
      </w:r>
      <w:r>
        <w:rPr>
          <w:rFonts w:ascii="Times New Roman" w:eastAsia="Times New Roman"/>
          <w:w w:val="124"/>
          <w:position w:val="1"/>
        </w:rPr>
        <w:t>(</w:t>
      </w:r>
      <w:r>
        <w:rPr>
          <w:rFonts w:ascii="Times New Roman" w:eastAsia="Times New Roman"/>
          <w:spacing w:val="2"/>
          <w:w w:val="71"/>
        </w:rPr>
        <w:t>𝑝</w:t>
      </w:r>
      <w:r>
        <w:rPr>
          <w:rFonts w:ascii="Times New Roman" w:eastAsia="Times New Roman"/>
          <w:w w:val="124"/>
          <w:position w:val="1"/>
        </w:rPr>
        <w:t>)</w:t>
      </w:r>
      <w:r>
        <w:rPr>
          <w:rFonts w:ascii="Times New Roman" w:eastAsia="Times New Roman"/>
          <w:spacing w:val="4"/>
          <w:position w:val="1"/>
        </w:rPr>
        <w:t> </w:t>
      </w:r>
      <w:r>
        <w:rPr>
          <w:rFonts w:ascii="Times New Roman" w:eastAsia="Times New Roman"/>
          <w:w w:val="132"/>
        </w:rPr>
        <w:t>=</w:t>
      </w:r>
      <w:r>
        <w:rPr>
          <w:rFonts w:ascii="Times New Roman" w:eastAsia="Times New Roman"/>
        </w:rPr>
        <w:t>  </w:t>
      </w:r>
      <w:r>
        <w:rPr>
          <w:rFonts w:ascii="Times New Roman" w:eastAsia="Times New Roman"/>
          <w:w w:val="77"/>
        </w:rPr>
        <w:t>𝛼</w:t>
      </w:r>
      <w:r>
        <w:rPr>
          <w:rFonts w:ascii="Times New Roman" w:eastAsia="Times New Roman"/>
          <w:w w:val="69"/>
          <w:vertAlign w:val="subscript"/>
        </w:rPr>
        <w:t>𝑜</w:t>
      </w:r>
      <w:r>
        <w:rPr>
          <w:rFonts w:ascii="Times New Roman" w:eastAsia="Times New Roman"/>
          <w:spacing w:val="6"/>
          <w:vertAlign w:val="baseline"/>
        </w:rPr>
        <w:t> </w:t>
      </w:r>
      <w:r>
        <w:rPr>
          <w:rFonts w:ascii="Times New Roman" w:eastAsia="Times New Roman"/>
          <w:w w:val="132"/>
          <w:vertAlign w:val="baseline"/>
        </w:rPr>
        <w:t>+</w:t>
      </w:r>
      <w:r>
        <w:rPr>
          <w:rFonts w:ascii="Times New Roman" w:eastAsia="Times New Roman"/>
          <w:spacing w:val="-8"/>
          <w:vertAlign w:val="baseline"/>
        </w:rPr>
        <w:t> </w:t>
      </w:r>
      <w:r>
        <w:rPr>
          <w:rFonts w:ascii="Times New Roman" w:eastAsia="Times New Roman"/>
          <w:spacing w:val="-4"/>
          <w:w w:val="77"/>
          <w:vertAlign w:val="baseline"/>
        </w:rPr>
        <w:t>𝛼</w:t>
      </w:r>
      <w:r>
        <w:rPr>
          <w:rFonts w:ascii="Times New Roman" w:eastAsia="Times New Roman"/>
          <w:spacing w:val="8"/>
          <w:w w:val="106"/>
          <w:vertAlign w:val="subscript"/>
        </w:rPr>
        <w:t>1</w:t>
      </w:r>
      <w:r>
        <w:rPr>
          <w:rFonts w:ascii="Times New Roman" w:eastAsia="Times New Roman"/>
          <w:spacing w:val="-31"/>
          <w:w w:val="80"/>
          <w:vertAlign w:val="baseline"/>
        </w:rPr>
        <w:t>𝑉</w:t>
      </w:r>
      <w:r>
        <w:rPr>
          <w:rFonts w:ascii="Times New Roman" w:eastAsia="Times New Roman"/>
          <w:w w:val="41"/>
          <w:vertAlign w:val="subscript"/>
        </w:rPr>
        <w:t>𝑖</w:t>
      </w:r>
      <w:r>
        <w:rPr>
          <w:rFonts w:ascii="Times New Roman" w:eastAsia="Times New Roman"/>
          <w:spacing w:val="7"/>
          <w:vertAlign w:val="baseline"/>
        </w:rPr>
        <w:t> </w:t>
      </w:r>
      <w:r>
        <w:rPr>
          <w:rFonts w:ascii="Times New Roman" w:eastAsia="Times New Roman"/>
          <w:w w:val="132"/>
          <w:vertAlign w:val="baseline"/>
        </w:rPr>
        <w:t>+</w:t>
      </w:r>
      <w:r>
        <w:rPr>
          <w:rFonts w:ascii="Times New Roman" w:eastAsia="Times New Roman"/>
          <w:spacing w:val="-8"/>
          <w:vertAlign w:val="baseline"/>
        </w:rPr>
        <w:t> </w:t>
      </w:r>
      <w:r>
        <w:rPr>
          <w:rFonts w:ascii="Times New Roman" w:eastAsia="Times New Roman"/>
          <w:w w:val="77"/>
          <w:vertAlign w:val="baseline"/>
        </w:rPr>
        <w:t>𝛼</w:t>
      </w:r>
      <w:r>
        <w:rPr>
          <w:rFonts w:ascii="Times New Roman" w:eastAsia="Times New Roman"/>
          <w:spacing w:val="8"/>
          <w:w w:val="106"/>
          <w:vertAlign w:val="subscript"/>
        </w:rPr>
        <w:t>2</w:t>
      </w:r>
      <w:r>
        <w:rPr>
          <w:rFonts w:ascii="Times New Roman" w:eastAsia="Times New Roman"/>
          <w:spacing w:val="-34"/>
          <w:w w:val="80"/>
          <w:vertAlign w:val="baseline"/>
        </w:rPr>
        <w:t>𝐸</w:t>
      </w:r>
      <w:r>
        <w:rPr>
          <w:rFonts w:ascii="Times New Roman" w:eastAsia="Times New Roman"/>
          <w:spacing w:val="3"/>
          <w:w w:val="55"/>
          <w:vertAlign w:val="subscript"/>
        </w:rPr>
        <w:t>𝑗</w:t>
      </w:r>
      <w:r>
        <w:rPr>
          <w:rFonts w:ascii="Times New Roman" w:eastAsia="Times New Roman"/>
          <w:w w:val="114"/>
          <w:vertAlign w:val="subscript"/>
        </w:rPr>
        <w:t>(</w:t>
      </w:r>
      <w:r>
        <w:rPr>
          <w:rFonts w:ascii="Times New Roman" w:eastAsia="Times New Roman"/>
          <w:spacing w:val="3"/>
          <w:w w:val="41"/>
          <w:vertAlign w:val="subscript"/>
        </w:rPr>
        <w:t>𝑖</w:t>
      </w:r>
      <w:r>
        <w:rPr>
          <w:rFonts w:ascii="Times New Roman" w:eastAsia="Times New Roman"/>
          <w:w w:val="114"/>
          <w:vertAlign w:val="subscript"/>
        </w:rPr>
        <w:t>)</w:t>
      </w:r>
      <w:r>
        <w:rPr>
          <w:rFonts w:ascii="Times New Roman" w:eastAsia="Times New Roman"/>
          <w:spacing w:val="4"/>
          <w:vertAlign w:val="baseline"/>
        </w:rPr>
        <w:t> </w:t>
      </w:r>
      <w:r>
        <w:rPr>
          <w:rFonts w:ascii="Times New Roman" w:eastAsia="Times New Roman"/>
          <w:w w:val="132"/>
          <w:vertAlign w:val="baseline"/>
        </w:rPr>
        <w:t>+</w:t>
      </w:r>
      <w:r>
        <w:rPr>
          <w:rFonts w:ascii="Times New Roman" w:eastAsia="Times New Roman"/>
          <w:spacing w:val="-8"/>
          <w:vertAlign w:val="baseline"/>
        </w:rPr>
        <w:t> </w:t>
      </w:r>
      <w:r>
        <w:rPr>
          <w:rFonts w:ascii="Times New Roman" w:eastAsia="Times New Roman"/>
          <w:spacing w:val="6"/>
          <w:w w:val="58"/>
          <w:vertAlign w:val="baseline"/>
        </w:rPr>
        <w:t>𝜀</w:t>
      </w:r>
      <w:r>
        <w:rPr>
          <w:rFonts w:ascii="Times New Roman" w:eastAsia="Times New Roman"/>
          <w:w w:val="94"/>
          <w:vertAlign w:val="baseline"/>
        </w:rPr>
        <w:t>;</w:t>
      </w:r>
    </w:p>
    <w:p>
      <w:pPr>
        <w:spacing w:after="0"/>
        <w:rPr>
          <w:rFonts w:ascii="Times New Roman" w:eastAsia="Times New Roman"/>
        </w:rPr>
        <w:sectPr>
          <w:type w:val="continuous"/>
          <w:pgSz w:w="12240" w:h="15840"/>
          <w:pgMar w:top="1360" w:bottom="1260" w:left="1340" w:right="1320"/>
          <w:cols w:num="2" w:equalWidth="0">
            <w:col w:w="872" w:space="1973"/>
            <w:col w:w="6735"/>
          </w:cols>
        </w:sectPr>
      </w:pPr>
    </w:p>
    <w:p>
      <w:pPr>
        <w:pStyle w:val="BodyText"/>
        <w:tabs>
          <w:tab w:pos="888" w:val="left" w:leader="none"/>
        </w:tabs>
        <w:spacing w:before="135"/>
        <w:ind w:left="100"/>
      </w:pPr>
      <w:r>
        <w:rPr>
          <w:i/>
        </w:rPr>
        <w:t>P</w:t>
      </w:r>
      <w:r>
        <w:rPr>
          <w:i/>
          <w:spacing w:val="1"/>
        </w:rPr>
        <w:t> </w:t>
      </w:r>
      <w:r>
        <w:rPr>
          <w:i/>
        </w:rPr>
        <w:t>=</w:t>
        <w:tab/>
      </w:r>
      <w:r>
        <w:rPr/>
        <w:t>es el precio de las</w:t>
      </w:r>
      <w:r>
        <w:rPr>
          <w:spacing w:val="1"/>
        </w:rPr>
        <w:t> </w:t>
      </w:r>
      <w:r>
        <w:rPr/>
        <w:t>viviendas;</w:t>
      </w:r>
    </w:p>
    <w:p>
      <w:pPr>
        <w:pStyle w:val="BodyText"/>
        <w:tabs>
          <w:tab w:pos="888" w:val="left" w:leader="none"/>
        </w:tabs>
        <w:spacing w:before="137"/>
        <w:ind w:left="100"/>
      </w:pPr>
      <w:r>
        <w:rPr>
          <w:i/>
        </w:rPr>
        <w:t>V</w:t>
      </w:r>
      <w:r>
        <w:rPr>
          <w:i/>
          <w:spacing w:val="1"/>
        </w:rPr>
        <w:t> </w:t>
      </w:r>
      <w:r>
        <w:rPr/>
        <w:t>=</w:t>
        <w:tab/>
        <w:t>es el vector que contiene las características de la</w:t>
      </w:r>
      <w:r>
        <w:rPr>
          <w:spacing w:val="-8"/>
        </w:rPr>
        <w:t> </w:t>
      </w:r>
      <w:r>
        <w:rPr/>
        <w:t>vivienda;</w:t>
      </w:r>
    </w:p>
    <w:p>
      <w:pPr>
        <w:pStyle w:val="BodyText"/>
        <w:tabs>
          <w:tab w:pos="820" w:val="left" w:leader="none"/>
        </w:tabs>
        <w:spacing w:line="362" w:lineRule="auto" w:before="140"/>
        <w:ind w:left="100" w:right="499"/>
      </w:pPr>
      <w:r>
        <w:rPr>
          <w:i/>
        </w:rPr>
        <w:t>E</w:t>
      </w:r>
      <w:r>
        <w:rPr>
          <w:i/>
          <w:spacing w:val="1"/>
        </w:rPr>
        <w:t> </w:t>
      </w:r>
      <w:r>
        <w:rPr/>
        <w:t>=</w:t>
        <w:tab/>
        <w:t>es el vector de las características del entorno (que incluye el vecindario y su equipamiento);</w:t>
      </w:r>
    </w:p>
    <w:p>
      <w:pPr>
        <w:pStyle w:val="BodyText"/>
        <w:tabs>
          <w:tab w:pos="820" w:val="left" w:leader="none"/>
        </w:tabs>
        <w:spacing w:line="271" w:lineRule="exact"/>
        <w:ind w:left="100"/>
      </w:pPr>
      <w:r>
        <w:rPr>
          <w:i/>
        </w:rPr>
        <w:t>i</w:t>
      </w:r>
      <w:r>
        <w:rPr>
          <w:i/>
          <w:spacing w:val="-1"/>
        </w:rPr>
        <w:t> </w:t>
      </w:r>
      <w:r>
        <w:rPr/>
        <w:t>=</w:t>
        <w:tab/>
        <w:t>es el hogar</w:t>
      </w:r>
      <w:r>
        <w:rPr>
          <w:spacing w:val="5"/>
        </w:rPr>
        <w:t> </w:t>
      </w:r>
      <w:r>
        <w:rPr>
          <w:spacing w:val="-3"/>
        </w:rPr>
        <w:t>y,</w:t>
      </w:r>
    </w:p>
    <w:p>
      <w:pPr>
        <w:pStyle w:val="BodyText"/>
        <w:tabs>
          <w:tab w:pos="820" w:val="left" w:leader="none"/>
        </w:tabs>
        <w:spacing w:before="136"/>
        <w:ind w:left="100"/>
      </w:pPr>
      <w:r>
        <w:rPr>
          <w:i/>
        </w:rPr>
        <w:t>j</w:t>
      </w:r>
      <w:r>
        <w:rPr>
          <w:i/>
          <w:spacing w:val="-1"/>
        </w:rPr>
        <w:t> </w:t>
      </w:r>
      <w:r>
        <w:rPr/>
        <w:t>=</w:t>
        <w:tab/>
        <w:t>es la división urbana donde se localiza el hogar (cuadra, manzana, sector,</w:t>
      </w:r>
      <w:r>
        <w:rPr>
          <w:spacing w:val="-28"/>
        </w:rPr>
        <w:t> </w:t>
      </w:r>
      <w:r>
        <w:rPr/>
        <w:t>etc.).</w:t>
      </w:r>
    </w:p>
    <w:p>
      <w:pPr>
        <w:pStyle w:val="BodyText"/>
        <w:rPr>
          <w:sz w:val="26"/>
        </w:rPr>
      </w:pPr>
    </w:p>
    <w:p>
      <w:pPr>
        <w:pStyle w:val="BodyText"/>
        <w:spacing w:before="3"/>
        <w:rPr>
          <w:sz w:val="22"/>
        </w:rPr>
      </w:pPr>
    </w:p>
    <w:p>
      <w:pPr>
        <w:pStyle w:val="BodyText"/>
        <w:spacing w:line="360" w:lineRule="auto" w:before="1"/>
        <w:ind w:left="100" w:right="119"/>
        <w:jc w:val="both"/>
      </w:pPr>
      <w:r>
        <w:rPr/>
        <w:t>Las</w:t>
      </w:r>
      <w:r>
        <w:rPr>
          <w:spacing w:val="-12"/>
        </w:rPr>
        <w:t> </w:t>
      </w:r>
      <w:r>
        <w:rPr/>
        <w:t>características</w:t>
      </w:r>
      <w:r>
        <w:rPr>
          <w:spacing w:val="-12"/>
        </w:rPr>
        <w:t> </w:t>
      </w:r>
      <w:r>
        <w:rPr/>
        <w:t>de</w:t>
      </w:r>
      <w:r>
        <w:rPr>
          <w:spacing w:val="-14"/>
        </w:rPr>
        <w:t> </w:t>
      </w:r>
      <w:r>
        <w:rPr/>
        <w:t>las</w:t>
      </w:r>
      <w:r>
        <w:rPr>
          <w:spacing w:val="-12"/>
        </w:rPr>
        <w:t> </w:t>
      </w:r>
      <w:r>
        <w:rPr/>
        <w:t>viviendas</w:t>
      </w:r>
      <w:r>
        <w:rPr>
          <w:spacing w:val="-12"/>
        </w:rPr>
        <w:t> </w:t>
      </w:r>
      <w:r>
        <w:rPr/>
        <w:t>y</w:t>
      </w:r>
      <w:r>
        <w:rPr>
          <w:spacing w:val="-11"/>
        </w:rPr>
        <w:t> </w:t>
      </w:r>
      <w:r>
        <w:rPr/>
        <w:t>del</w:t>
      </w:r>
      <w:r>
        <w:rPr>
          <w:spacing w:val="-13"/>
        </w:rPr>
        <w:t> </w:t>
      </w:r>
      <w:r>
        <w:rPr/>
        <w:t>entorno</w:t>
      </w:r>
      <w:r>
        <w:rPr>
          <w:spacing w:val="-14"/>
        </w:rPr>
        <w:t> </w:t>
      </w:r>
      <w:r>
        <w:rPr/>
        <w:t>que</w:t>
      </w:r>
      <w:r>
        <w:rPr>
          <w:spacing w:val="-13"/>
        </w:rPr>
        <w:t> </w:t>
      </w:r>
      <w:r>
        <w:rPr/>
        <w:t>resultan</w:t>
      </w:r>
      <w:r>
        <w:rPr>
          <w:spacing w:val="-14"/>
        </w:rPr>
        <w:t> </w:t>
      </w:r>
      <w:r>
        <w:rPr/>
        <w:t>significativas</w:t>
      </w:r>
      <w:r>
        <w:rPr>
          <w:spacing w:val="-12"/>
        </w:rPr>
        <w:t> </w:t>
      </w:r>
      <w:r>
        <w:rPr/>
        <w:t>en</w:t>
      </w:r>
      <w:r>
        <w:rPr>
          <w:spacing w:val="-14"/>
        </w:rPr>
        <w:t> </w:t>
      </w:r>
      <w:r>
        <w:rPr/>
        <w:t>esta</w:t>
      </w:r>
      <w:r>
        <w:rPr>
          <w:spacing w:val="-13"/>
        </w:rPr>
        <w:t> </w:t>
      </w:r>
      <w:r>
        <w:rPr/>
        <w:t>línea de estudios para América Latina son resumidas también por estos autores conforme se presenta en el Cuadro 5. Destacan que la variabilidad de los factores que afectan el precio de las casas en estas zonas urbanas latinoamericanas es grande en lo que respecta a las características del</w:t>
      </w:r>
      <w:r>
        <w:rPr>
          <w:spacing w:val="-3"/>
        </w:rPr>
        <w:t> </w:t>
      </w:r>
      <w:r>
        <w:rPr/>
        <w:t>entorno.</w:t>
      </w:r>
    </w:p>
    <w:p>
      <w:pPr>
        <w:pStyle w:val="BodyText"/>
        <w:spacing w:line="360" w:lineRule="auto" w:before="202"/>
        <w:ind w:left="100" w:right="122"/>
        <w:jc w:val="both"/>
      </w:pPr>
      <w:r>
        <w:rPr/>
        <w:t>Por ejemplo, en el caso del estudio referido para San José en Costa Rica, la pendiente y</w:t>
      </w:r>
      <w:r>
        <w:rPr>
          <w:spacing w:val="-15"/>
        </w:rPr>
        <w:t> </w:t>
      </w:r>
      <w:r>
        <w:rPr/>
        <w:t>la</w:t>
      </w:r>
      <w:r>
        <w:rPr>
          <w:spacing w:val="-12"/>
        </w:rPr>
        <w:t> </w:t>
      </w:r>
      <w:r>
        <w:rPr/>
        <w:t>vulnerabilidad</w:t>
      </w:r>
      <w:r>
        <w:rPr>
          <w:spacing w:val="-12"/>
        </w:rPr>
        <w:t> </w:t>
      </w:r>
      <w:r>
        <w:rPr/>
        <w:t>a</w:t>
      </w:r>
      <w:r>
        <w:rPr>
          <w:spacing w:val="-9"/>
        </w:rPr>
        <w:t> </w:t>
      </w:r>
      <w:r>
        <w:rPr/>
        <w:t>erupciones</w:t>
      </w:r>
      <w:r>
        <w:rPr>
          <w:spacing w:val="-11"/>
        </w:rPr>
        <w:t> </w:t>
      </w:r>
      <w:r>
        <w:rPr/>
        <w:t>volcánicas</w:t>
      </w:r>
      <w:r>
        <w:rPr>
          <w:spacing w:val="-10"/>
        </w:rPr>
        <w:t> </w:t>
      </w:r>
      <w:r>
        <w:rPr/>
        <w:t>se</w:t>
      </w:r>
      <w:r>
        <w:rPr>
          <w:spacing w:val="-12"/>
        </w:rPr>
        <w:t> </w:t>
      </w:r>
      <w:r>
        <w:rPr/>
        <w:t>correlacionan</w:t>
      </w:r>
      <w:r>
        <w:rPr>
          <w:spacing w:val="-13"/>
        </w:rPr>
        <w:t> </w:t>
      </w:r>
      <w:r>
        <w:rPr/>
        <w:t>negativamente</w:t>
      </w:r>
      <w:r>
        <w:rPr>
          <w:spacing w:val="-12"/>
        </w:rPr>
        <w:t> </w:t>
      </w:r>
      <w:r>
        <w:rPr/>
        <w:t>con</w:t>
      </w:r>
      <w:r>
        <w:rPr>
          <w:spacing w:val="-12"/>
        </w:rPr>
        <w:t> </w:t>
      </w:r>
      <w:r>
        <w:rPr/>
        <w:t>el</w:t>
      </w:r>
      <w:r>
        <w:rPr>
          <w:spacing w:val="-12"/>
        </w:rPr>
        <w:t> </w:t>
      </w:r>
      <w:r>
        <w:rPr/>
        <w:t>precio (Hall,</w:t>
      </w:r>
      <w:r>
        <w:rPr>
          <w:spacing w:val="-3"/>
        </w:rPr>
        <w:t> </w:t>
      </w:r>
      <w:r>
        <w:rPr/>
        <w:t>et</w:t>
      </w:r>
      <w:r>
        <w:rPr>
          <w:spacing w:val="-5"/>
        </w:rPr>
        <w:t> </w:t>
      </w:r>
      <w:r>
        <w:rPr/>
        <w:t>al.,</w:t>
      </w:r>
      <w:r>
        <w:rPr>
          <w:spacing w:val="-4"/>
        </w:rPr>
        <w:t> </w:t>
      </w:r>
      <w:r>
        <w:rPr/>
        <w:t>2008),</w:t>
      </w:r>
      <w:r>
        <w:rPr>
          <w:spacing w:val="-3"/>
        </w:rPr>
        <w:t> </w:t>
      </w:r>
      <w:r>
        <w:rPr/>
        <w:t>mientras</w:t>
      </w:r>
      <w:r>
        <w:rPr>
          <w:spacing w:val="-5"/>
        </w:rPr>
        <w:t> </w:t>
      </w:r>
      <w:r>
        <w:rPr/>
        <w:t>que</w:t>
      </w:r>
      <w:r>
        <w:rPr>
          <w:spacing w:val="-4"/>
        </w:rPr>
        <w:t> </w:t>
      </w:r>
      <w:r>
        <w:rPr/>
        <w:t>en</w:t>
      </w:r>
      <w:r>
        <w:rPr>
          <w:spacing w:val="-4"/>
        </w:rPr>
        <w:t> </w:t>
      </w:r>
      <w:r>
        <w:rPr/>
        <w:t>Montevideo</w:t>
      </w:r>
      <w:r>
        <w:rPr>
          <w:spacing w:val="-4"/>
        </w:rPr>
        <w:t> </w:t>
      </w:r>
      <w:r>
        <w:rPr/>
        <w:t>la</w:t>
      </w:r>
      <w:r>
        <w:rPr>
          <w:spacing w:val="-4"/>
        </w:rPr>
        <w:t> </w:t>
      </w:r>
      <w:r>
        <w:rPr/>
        <w:t>proximidad</w:t>
      </w:r>
      <w:r>
        <w:rPr>
          <w:spacing w:val="-4"/>
        </w:rPr>
        <w:t> </w:t>
      </w:r>
      <w:r>
        <w:rPr/>
        <w:t>a</w:t>
      </w:r>
      <w:r>
        <w:rPr>
          <w:spacing w:val="-4"/>
        </w:rPr>
        <w:t> </w:t>
      </w:r>
      <w:r>
        <w:rPr/>
        <w:t>La</w:t>
      </w:r>
      <w:r>
        <w:rPr>
          <w:spacing w:val="-4"/>
        </w:rPr>
        <w:t> </w:t>
      </w:r>
      <w:r>
        <w:rPr/>
        <w:t>Rambla</w:t>
      </w:r>
      <w:r>
        <w:rPr>
          <w:spacing w:val="-7"/>
        </w:rPr>
        <w:t> </w:t>
      </w:r>
      <w:r>
        <w:rPr/>
        <w:t>frente</w:t>
      </w:r>
      <w:r>
        <w:rPr>
          <w:spacing w:val="-8"/>
        </w:rPr>
        <w:t> </w:t>
      </w:r>
      <w:r>
        <w:rPr/>
        <w:t>al</w:t>
      </w:r>
      <w:r>
        <w:rPr>
          <w:spacing w:val="-4"/>
        </w:rPr>
        <w:t> </w:t>
      </w:r>
      <w:r>
        <w:rPr>
          <w:spacing w:val="-2"/>
        </w:rPr>
        <w:t>mar </w:t>
      </w:r>
      <w:r>
        <w:rPr/>
        <w:t>tiene correlación positiva (Lora, et al., 2010).</w:t>
      </w:r>
    </w:p>
    <w:p>
      <w:pPr>
        <w:spacing w:after="0" w:line="360" w:lineRule="auto"/>
        <w:jc w:val="both"/>
        <w:sectPr>
          <w:type w:val="continuous"/>
          <w:pgSz w:w="12240" w:h="15840"/>
          <w:pgMar w:top="1360" w:bottom="1260" w:left="1340" w:right="1320"/>
        </w:sectPr>
      </w:pPr>
    </w:p>
    <w:p>
      <w:pPr>
        <w:spacing w:line="242" w:lineRule="auto" w:before="105"/>
        <w:ind w:left="142" w:right="172" w:firstLine="0"/>
        <w:jc w:val="center"/>
        <w:rPr>
          <w:i/>
          <w:sz w:val="20"/>
        </w:rPr>
      </w:pPr>
      <w:bookmarkStart w:name="_bookmark21" w:id="27"/>
      <w:bookmarkEnd w:id="27"/>
      <w:r>
        <w:rPr/>
      </w:r>
      <w:r>
        <w:rPr>
          <w:i/>
          <w:sz w:val="20"/>
        </w:rPr>
        <w:t>Cuadro 5- Características del Inmueble y del Entorno Identificadas como Significativas para el Precio de </w:t>
      </w:r>
      <w:r>
        <w:rPr>
          <w:i/>
          <w:sz w:val="20"/>
        </w:rPr>
        <w:t>las Viviendas en 5 Ciudades Latinoamericanas.</w:t>
      </w:r>
    </w:p>
    <w:p>
      <w:pPr>
        <w:spacing w:line="225" w:lineRule="exact" w:before="0"/>
        <w:ind w:left="142" w:right="157" w:firstLine="0"/>
        <w:jc w:val="center"/>
        <w:rPr>
          <w:i/>
          <w:sz w:val="20"/>
        </w:rPr>
      </w:pPr>
      <w:r>
        <w:rPr>
          <w:i/>
          <w:sz w:val="20"/>
        </w:rPr>
        <w:t>Fuente: Lora &amp; Powell (2011).</w:t>
      </w:r>
    </w:p>
    <w:p>
      <w:pPr>
        <w:pStyle w:val="BodyText"/>
        <w:rPr>
          <w:i/>
          <w:sz w:val="20"/>
        </w:rPr>
      </w:pPr>
    </w:p>
    <w:p>
      <w:pPr>
        <w:pStyle w:val="BodyText"/>
        <w:spacing w:before="8" w:after="1"/>
        <w:rPr>
          <w:i/>
          <w:sz w:val="27"/>
        </w:rPr>
      </w:pPr>
    </w:p>
    <w:tbl>
      <w:tblPr>
        <w:tblW w:w="0" w:type="auto"/>
        <w:jc w:val="left"/>
        <w:tblInd w:w="3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759"/>
        <w:gridCol w:w="1803"/>
        <w:gridCol w:w="1760"/>
        <w:gridCol w:w="1765"/>
        <w:gridCol w:w="1743"/>
      </w:tblGrid>
      <w:tr>
        <w:trPr>
          <w:trHeight w:val="388" w:hRule="atLeast"/>
        </w:trPr>
        <w:tc>
          <w:tcPr>
            <w:tcW w:w="1759" w:type="dxa"/>
            <w:shd w:val="clear" w:color="auto" w:fill="000000"/>
          </w:tcPr>
          <w:p>
            <w:pPr>
              <w:pStyle w:val="TableParagraph"/>
              <w:spacing w:line="180" w:lineRule="atLeast" w:before="10"/>
              <w:ind w:left="503" w:hanging="140"/>
              <w:jc w:val="left"/>
              <w:rPr>
                <w:b/>
                <w:sz w:val="16"/>
              </w:rPr>
            </w:pPr>
            <w:r>
              <w:rPr>
                <w:b/>
                <w:color w:val="FFFFFF"/>
                <w:sz w:val="16"/>
              </w:rPr>
              <w:t>Buenos Aires Argentina</w:t>
            </w:r>
          </w:p>
        </w:tc>
        <w:tc>
          <w:tcPr>
            <w:tcW w:w="1803" w:type="dxa"/>
            <w:shd w:val="clear" w:color="auto" w:fill="000000"/>
          </w:tcPr>
          <w:p>
            <w:pPr>
              <w:pStyle w:val="TableParagraph"/>
              <w:spacing w:line="240" w:lineRule="auto" w:before="10"/>
              <w:ind w:left="155" w:right="147"/>
              <w:jc w:val="center"/>
              <w:rPr>
                <w:b/>
                <w:sz w:val="16"/>
              </w:rPr>
            </w:pPr>
            <w:r>
              <w:rPr>
                <w:b/>
                <w:color w:val="FFFFFF"/>
                <w:sz w:val="16"/>
              </w:rPr>
              <w:t>Bogotá Colombia</w:t>
            </w:r>
          </w:p>
        </w:tc>
        <w:tc>
          <w:tcPr>
            <w:tcW w:w="1760" w:type="dxa"/>
            <w:shd w:val="clear" w:color="auto" w:fill="000000"/>
          </w:tcPr>
          <w:p>
            <w:pPr>
              <w:pStyle w:val="TableParagraph"/>
              <w:spacing w:line="240" w:lineRule="auto" w:before="10"/>
              <w:ind w:left="127" w:right="105"/>
              <w:jc w:val="center"/>
              <w:rPr>
                <w:b/>
                <w:sz w:val="16"/>
              </w:rPr>
            </w:pPr>
            <w:r>
              <w:rPr>
                <w:b/>
                <w:color w:val="FFFFFF"/>
                <w:sz w:val="16"/>
              </w:rPr>
              <w:t>Medellín Colombia</w:t>
            </w:r>
          </w:p>
        </w:tc>
        <w:tc>
          <w:tcPr>
            <w:tcW w:w="1765" w:type="dxa"/>
            <w:shd w:val="clear" w:color="auto" w:fill="000000"/>
          </w:tcPr>
          <w:p>
            <w:pPr>
              <w:pStyle w:val="TableParagraph"/>
              <w:tabs>
                <w:tab w:pos="1191" w:val="left" w:leader="none"/>
              </w:tabs>
              <w:spacing w:line="180" w:lineRule="atLeast" w:before="10"/>
              <w:ind w:left="719" w:right="127" w:hanging="585"/>
              <w:jc w:val="left"/>
              <w:rPr>
                <w:b/>
                <w:sz w:val="16"/>
              </w:rPr>
            </w:pPr>
            <w:r>
              <w:rPr>
                <w:b/>
                <w:color w:val="FFFFFF"/>
                <w:sz w:val="16"/>
              </w:rPr>
              <w:t>San</w:t>
            </w:r>
            <w:r>
              <w:rPr>
                <w:b/>
                <w:color w:val="FFFFFF"/>
                <w:spacing w:val="-4"/>
                <w:sz w:val="16"/>
              </w:rPr>
              <w:t> </w:t>
            </w:r>
            <w:r>
              <w:rPr>
                <w:b/>
                <w:color w:val="FFFFFF"/>
                <w:sz w:val="16"/>
              </w:rPr>
              <w:t>José</w:t>
              <w:tab/>
            </w:r>
            <w:r>
              <w:rPr>
                <w:b/>
                <w:color w:val="FFFFFF"/>
                <w:spacing w:val="-5"/>
                <w:sz w:val="16"/>
              </w:rPr>
              <w:t>Costa </w:t>
            </w:r>
            <w:r>
              <w:rPr>
                <w:b/>
                <w:color w:val="FFFFFF"/>
                <w:sz w:val="16"/>
              </w:rPr>
              <w:t>Rica</w:t>
            </w:r>
          </w:p>
        </w:tc>
        <w:tc>
          <w:tcPr>
            <w:tcW w:w="1743" w:type="dxa"/>
            <w:shd w:val="clear" w:color="auto" w:fill="000000"/>
          </w:tcPr>
          <w:p>
            <w:pPr>
              <w:pStyle w:val="TableParagraph"/>
              <w:spacing w:line="180" w:lineRule="atLeast" w:before="10"/>
              <w:ind w:left="551" w:hanging="120"/>
              <w:jc w:val="left"/>
              <w:rPr>
                <w:b/>
                <w:sz w:val="16"/>
              </w:rPr>
            </w:pPr>
            <w:r>
              <w:rPr>
                <w:b/>
                <w:color w:val="FFFFFF"/>
                <w:sz w:val="16"/>
              </w:rPr>
              <w:t>Montevideo Uruguay</w:t>
            </w:r>
          </w:p>
        </w:tc>
      </w:tr>
      <w:tr>
        <w:trPr>
          <w:trHeight w:val="183" w:hRule="atLeast"/>
        </w:trPr>
        <w:tc>
          <w:tcPr>
            <w:tcW w:w="1759" w:type="dxa"/>
            <w:tcBorders>
              <w:left w:val="single" w:sz="4" w:space="0" w:color="000000"/>
              <w:bottom w:val="single" w:sz="4" w:space="0" w:color="000000"/>
            </w:tcBorders>
          </w:tcPr>
          <w:p>
            <w:pPr>
              <w:pStyle w:val="TableParagraph"/>
              <w:spacing w:line="240" w:lineRule="auto" w:before="0"/>
              <w:jc w:val="left"/>
              <w:rPr>
                <w:rFonts w:ascii="Times New Roman"/>
                <w:sz w:val="12"/>
              </w:rPr>
            </w:pPr>
          </w:p>
        </w:tc>
        <w:tc>
          <w:tcPr>
            <w:tcW w:w="5328" w:type="dxa"/>
            <w:gridSpan w:val="3"/>
            <w:tcBorders>
              <w:bottom w:val="single" w:sz="4" w:space="0" w:color="000000"/>
            </w:tcBorders>
          </w:tcPr>
          <w:p>
            <w:pPr>
              <w:pStyle w:val="TableParagraph"/>
              <w:spacing w:line="163" w:lineRule="exact" w:before="0"/>
              <w:ind w:left="1529"/>
              <w:jc w:val="left"/>
              <w:rPr>
                <w:b/>
                <w:sz w:val="16"/>
              </w:rPr>
            </w:pPr>
            <w:r>
              <w:rPr>
                <w:b/>
                <w:sz w:val="16"/>
              </w:rPr>
              <w:t>Características de la Vivienda</w:t>
            </w:r>
          </w:p>
        </w:tc>
        <w:tc>
          <w:tcPr>
            <w:tcW w:w="1743" w:type="dxa"/>
            <w:tcBorders>
              <w:bottom w:val="single" w:sz="4" w:space="0" w:color="000000"/>
            </w:tcBorders>
          </w:tcPr>
          <w:p>
            <w:pPr>
              <w:pStyle w:val="TableParagraph"/>
              <w:spacing w:line="240" w:lineRule="auto" w:before="0"/>
              <w:jc w:val="left"/>
              <w:rPr>
                <w:rFonts w:ascii="Times New Roman"/>
                <w:sz w:val="12"/>
              </w:rPr>
            </w:pPr>
          </w:p>
        </w:tc>
      </w:tr>
      <w:tr>
        <w:trPr>
          <w:trHeight w:val="371" w:hRule="atLeast"/>
        </w:trPr>
        <w:tc>
          <w:tcPr>
            <w:tcW w:w="1759" w:type="dxa"/>
            <w:tcBorders>
              <w:top w:val="single" w:sz="4" w:space="0" w:color="000000"/>
              <w:left w:val="single" w:sz="4" w:space="0" w:color="000000"/>
            </w:tcBorders>
          </w:tcPr>
          <w:p>
            <w:pPr>
              <w:pStyle w:val="TableParagraph"/>
              <w:spacing w:line="240" w:lineRule="auto" w:before="1"/>
              <w:ind w:left="214" w:right="223"/>
              <w:jc w:val="center"/>
              <w:rPr>
                <w:sz w:val="16"/>
              </w:rPr>
            </w:pPr>
            <w:r>
              <w:rPr>
                <w:sz w:val="16"/>
              </w:rPr>
              <w:t>Garaje</w:t>
            </w:r>
          </w:p>
        </w:tc>
        <w:tc>
          <w:tcPr>
            <w:tcW w:w="1803" w:type="dxa"/>
            <w:tcBorders>
              <w:top w:val="single" w:sz="4" w:space="0" w:color="000000"/>
            </w:tcBorders>
          </w:tcPr>
          <w:p>
            <w:pPr>
              <w:pStyle w:val="TableParagraph"/>
              <w:spacing w:line="180" w:lineRule="atLeast" w:before="1"/>
              <w:ind w:left="457" w:right="427" w:firstLine="56"/>
              <w:jc w:val="left"/>
              <w:rPr>
                <w:sz w:val="16"/>
              </w:rPr>
            </w:pPr>
            <w:r>
              <w:rPr>
                <w:sz w:val="16"/>
              </w:rPr>
              <w:t>Número de habitaciones</w:t>
            </w:r>
          </w:p>
        </w:tc>
        <w:tc>
          <w:tcPr>
            <w:tcW w:w="1760" w:type="dxa"/>
            <w:tcBorders>
              <w:top w:val="single" w:sz="4" w:space="0" w:color="000000"/>
            </w:tcBorders>
          </w:tcPr>
          <w:p>
            <w:pPr>
              <w:pStyle w:val="TableParagraph"/>
              <w:spacing w:line="180" w:lineRule="atLeast" w:before="1"/>
              <w:ind w:left="443" w:right="398" w:firstLine="56"/>
              <w:jc w:val="left"/>
              <w:rPr>
                <w:sz w:val="16"/>
              </w:rPr>
            </w:pPr>
            <w:r>
              <w:rPr>
                <w:sz w:val="16"/>
              </w:rPr>
              <w:t>Número de habitaciones</w:t>
            </w:r>
          </w:p>
        </w:tc>
        <w:tc>
          <w:tcPr>
            <w:tcW w:w="1765" w:type="dxa"/>
            <w:tcBorders>
              <w:top w:val="single" w:sz="4" w:space="0" w:color="000000"/>
            </w:tcBorders>
          </w:tcPr>
          <w:p>
            <w:pPr>
              <w:pStyle w:val="TableParagraph"/>
              <w:spacing w:line="180" w:lineRule="atLeast" w:before="1"/>
              <w:ind w:left="435" w:right="411" w:firstLine="56"/>
              <w:jc w:val="left"/>
              <w:rPr>
                <w:sz w:val="16"/>
              </w:rPr>
            </w:pPr>
            <w:r>
              <w:rPr>
                <w:sz w:val="16"/>
              </w:rPr>
              <w:t>Número de habitaciones</w:t>
            </w:r>
          </w:p>
        </w:tc>
        <w:tc>
          <w:tcPr>
            <w:tcW w:w="1743" w:type="dxa"/>
            <w:tcBorders>
              <w:top w:val="single" w:sz="4" w:space="0" w:color="000000"/>
              <w:right w:val="single" w:sz="4" w:space="0" w:color="000000"/>
            </w:tcBorders>
          </w:tcPr>
          <w:p>
            <w:pPr>
              <w:pStyle w:val="TableParagraph"/>
              <w:spacing w:line="180" w:lineRule="atLeast" w:before="1"/>
              <w:ind w:left="423" w:right="396" w:firstLine="56"/>
              <w:jc w:val="left"/>
              <w:rPr>
                <w:sz w:val="16"/>
              </w:rPr>
            </w:pPr>
            <w:r>
              <w:rPr>
                <w:sz w:val="16"/>
              </w:rPr>
              <w:t>Número de habitaciones</w:t>
            </w:r>
          </w:p>
        </w:tc>
      </w:tr>
      <w:tr>
        <w:trPr>
          <w:trHeight w:val="460" w:hRule="atLeast"/>
        </w:trPr>
        <w:tc>
          <w:tcPr>
            <w:tcW w:w="1759" w:type="dxa"/>
            <w:tcBorders>
              <w:left w:val="single" w:sz="4" w:space="0" w:color="000000"/>
            </w:tcBorders>
          </w:tcPr>
          <w:p>
            <w:pPr>
              <w:pStyle w:val="TableParagraph"/>
              <w:spacing w:line="240" w:lineRule="auto" w:before="0"/>
              <w:ind w:left="422" w:right="128" w:hanging="16"/>
              <w:jc w:val="left"/>
              <w:rPr>
                <w:sz w:val="16"/>
              </w:rPr>
            </w:pPr>
            <w:r>
              <w:rPr>
                <w:sz w:val="16"/>
              </w:rPr>
              <w:t>Calidad de la construcción</w:t>
            </w:r>
          </w:p>
        </w:tc>
        <w:tc>
          <w:tcPr>
            <w:tcW w:w="1803" w:type="dxa"/>
          </w:tcPr>
          <w:p>
            <w:pPr>
              <w:pStyle w:val="TableParagraph"/>
              <w:spacing w:line="240" w:lineRule="auto" w:before="8"/>
              <w:jc w:val="left"/>
              <w:rPr>
                <w:i/>
                <w:sz w:val="15"/>
              </w:rPr>
            </w:pPr>
          </w:p>
          <w:p>
            <w:pPr>
              <w:pStyle w:val="TableParagraph"/>
              <w:spacing w:line="240" w:lineRule="auto" w:before="1"/>
              <w:ind w:left="155" w:right="142"/>
              <w:jc w:val="center"/>
              <w:rPr>
                <w:sz w:val="16"/>
              </w:rPr>
            </w:pPr>
            <w:r>
              <w:rPr>
                <w:sz w:val="16"/>
              </w:rPr>
              <w:t>Jardín</w:t>
            </w:r>
          </w:p>
        </w:tc>
        <w:tc>
          <w:tcPr>
            <w:tcW w:w="1760" w:type="dxa"/>
          </w:tcPr>
          <w:p>
            <w:pPr>
              <w:pStyle w:val="TableParagraph"/>
              <w:spacing w:line="240" w:lineRule="auto" w:before="8"/>
              <w:jc w:val="left"/>
              <w:rPr>
                <w:i/>
                <w:sz w:val="15"/>
              </w:rPr>
            </w:pPr>
          </w:p>
          <w:p>
            <w:pPr>
              <w:pStyle w:val="TableParagraph"/>
              <w:spacing w:line="240" w:lineRule="auto" w:before="1"/>
              <w:ind w:left="129" w:right="101"/>
              <w:jc w:val="center"/>
              <w:rPr>
                <w:sz w:val="16"/>
              </w:rPr>
            </w:pPr>
            <w:r>
              <w:rPr>
                <w:sz w:val="16"/>
              </w:rPr>
              <w:t>Número de baños</w:t>
            </w:r>
          </w:p>
        </w:tc>
        <w:tc>
          <w:tcPr>
            <w:tcW w:w="1765" w:type="dxa"/>
          </w:tcPr>
          <w:p>
            <w:pPr>
              <w:pStyle w:val="TableParagraph"/>
              <w:spacing w:line="240" w:lineRule="auto" w:before="8"/>
              <w:jc w:val="left"/>
              <w:rPr>
                <w:i/>
                <w:sz w:val="15"/>
              </w:rPr>
            </w:pPr>
          </w:p>
          <w:p>
            <w:pPr>
              <w:pStyle w:val="TableParagraph"/>
              <w:spacing w:line="240" w:lineRule="auto" w:before="1"/>
              <w:ind w:left="150" w:right="141"/>
              <w:jc w:val="center"/>
              <w:rPr>
                <w:sz w:val="16"/>
              </w:rPr>
            </w:pPr>
            <w:r>
              <w:rPr>
                <w:sz w:val="16"/>
              </w:rPr>
              <w:t>Número de baños</w:t>
            </w:r>
          </w:p>
        </w:tc>
        <w:tc>
          <w:tcPr>
            <w:tcW w:w="1743" w:type="dxa"/>
            <w:tcBorders>
              <w:right w:val="single" w:sz="4" w:space="0" w:color="000000"/>
            </w:tcBorders>
          </w:tcPr>
          <w:p>
            <w:pPr>
              <w:pStyle w:val="TableParagraph"/>
              <w:spacing w:line="240" w:lineRule="auto" w:before="8"/>
              <w:jc w:val="left"/>
              <w:rPr>
                <w:i/>
                <w:sz w:val="15"/>
              </w:rPr>
            </w:pPr>
          </w:p>
          <w:p>
            <w:pPr>
              <w:pStyle w:val="TableParagraph"/>
              <w:spacing w:line="240" w:lineRule="auto" w:before="1"/>
              <w:ind w:right="225"/>
              <w:rPr>
                <w:sz w:val="16"/>
              </w:rPr>
            </w:pPr>
            <w:r>
              <w:rPr>
                <w:sz w:val="16"/>
              </w:rPr>
              <w:t>Número de baños</w:t>
            </w:r>
          </w:p>
        </w:tc>
      </w:tr>
      <w:tr>
        <w:trPr>
          <w:trHeight w:val="459" w:hRule="atLeast"/>
        </w:trPr>
        <w:tc>
          <w:tcPr>
            <w:tcW w:w="1759" w:type="dxa"/>
            <w:tcBorders>
              <w:left w:val="single" w:sz="4" w:space="0" w:color="000000"/>
            </w:tcBorders>
          </w:tcPr>
          <w:p>
            <w:pPr>
              <w:pStyle w:val="TableParagraph"/>
              <w:spacing w:line="240" w:lineRule="auto" w:before="89"/>
              <w:ind w:left="214" w:right="225"/>
              <w:jc w:val="center"/>
              <w:rPr>
                <w:sz w:val="16"/>
              </w:rPr>
            </w:pPr>
            <w:r>
              <w:rPr>
                <w:sz w:val="16"/>
              </w:rPr>
              <w:t>Número de baños</w:t>
            </w:r>
          </w:p>
        </w:tc>
        <w:tc>
          <w:tcPr>
            <w:tcW w:w="1803" w:type="dxa"/>
          </w:tcPr>
          <w:p>
            <w:pPr>
              <w:pStyle w:val="TableParagraph"/>
              <w:spacing w:line="240" w:lineRule="auto" w:before="89"/>
              <w:ind w:left="155" w:right="138"/>
              <w:jc w:val="center"/>
              <w:rPr>
                <w:sz w:val="16"/>
              </w:rPr>
            </w:pPr>
            <w:r>
              <w:rPr>
                <w:sz w:val="16"/>
              </w:rPr>
              <w:t>Garaje</w:t>
            </w:r>
          </w:p>
        </w:tc>
        <w:tc>
          <w:tcPr>
            <w:tcW w:w="1760" w:type="dxa"/>
          </w:tcPr>
          <w:p>
            <w:pPr>
              <w:pStyle w:val="TableParagraph"/>
              <w:spacing w:line="240" w:lineRule="auto" w:before="89"/>
              <w:ind w:left="129" w:right="104"/>
              <w:jc w:val="center"/>
              <w:rPr>
                <w:sz w:val="16"/>
              </w:rPr>
            </w:pPr>
            <w:r>
              <w:rPr>
                <w:sz w:val="16"/>
              </w:rPr>
              <w:t>Línea telefónica fija</w:t>
            </w:r>
          </w:p>
        </w:tc>
        <w:tc>
          <w:tcPr>
            <w:tcW w:w="1765" w:type="dxa"/>
          </w:tcPr>
          <w:p>
            <w:pPr>
              <w:pStyle w:val="TableParagraph"/>
              <w:spacing w:line="180" w:lineRule="atLeast" w:before="89"/>
              <w:ind w:left="595" w:right="268" w:hanging="301"/>
              <w:jc w:val="left"/>
              <w:rPr>
                <w:sz w:val="16"/>
              </w:rPr>
            </w:pPr>
            <w:r>
              <w:rPr>
                <w:sz w:val="16"/>
              </w:rPr>
              <w:t>Condición de las paredes</w:t>
            </w:r>
          </w:p>
        </w:tc>
        <w:tc>
          <w:tcPr>
            <w:tcW w:w="1743" w:type="dxa"/>
            <w:tcBorders>
              <w:right w:val="single" w:sz="4" w:space="0" w:color="000000"/>
            </w:tcBorders>
          </w:tcPr>
          <w:p>
            <w:pPr>
              <w:pStyle w:val="TableParagraph"/>
              <w:spacing w:line="180" w:lineRule="atLeast" w:before="89"/>
              <w:ind w:left="583" w:right="252" w:hanging="300"/>
              <w:jc w:val="left"/>
              <w:rPr>
                <w:sz w:val="16"/>
              </w:rPr>
            </w:pPr>
            <w:r>
              <w:rPr>
                <w:sz w:val="16"/>
              </w:rPr>
              <w:t>Condición de las paredes</w:t>
            </w:r>
          </w:p>
        </w:tc>
      </w:tr>
      <w:tr>
        <w:trPr>
          <w:trHeight w:val="368" w:hRule="atLeast"/>
        </w:trPr>
        <w:tc>
          <w:tcPr>
            <w:tcW w:w="1759" w:type="dxa"/>
            <w:tcBorders>
              <w:left w:val="single" w:sz="4" w:space="0" w:color="000000"/>
            </w:tcBorders>
          </w:tcPr>
          <w:p>
            <w:pPr>
              <w:pStyle w:val="TableParagraph"/>
              <w:spacing w:line="240" w:lineRule="auto" w:before="0"/>
              <w:jc w:val="left"/>
              <w:rPr>
                <w:rFonts w:ascii="Times New Roman"/>
                <w:sz w:val="18"/>
              </w:rPr>
            </w:pPr>
          </w:p>
        </w:tc>
        <w:tc>
          <w:tcPr>
            <w:tcW w:w="1803" w:type="dxa"/>
          </w:tcPr>
          <w:p>
            <w:pPr>
              <w:pStyle w:val="TableParagraph"/>
              <w:spacing w:line="181" w:lineRule="exact" w:before="0"/>
              <w:ind w:left="155" w:right="148"/>
              <w:jc w:val="center"/>
              <w:rPr>
                <w:sz w:val="16"/>
              </w:rPr>
            </w:pPr>
            <w:r>
              <w:rPr>
                <w:sz w:val="16"/>
              </w:rPr>
              <w:t>Condición del piso</w:t>
            </w:r>
          </w:p>
        </w:tc>
        <w:tc>
          <w:tcPr>
            <w:tcW w:w="1760" w:type="dxa"/>
          </w:tcPr>
          <w:p>
            <w:pPr>
              <w:pStyle w:val="TableParagraph"/>
              <w:spacing w:line="184" w:lineRule="exact" w:before="0"/>
              <w:ind w:left="623" w:right="150" w:hanging="421"/>
              <w:jc w:val="left"/>
              <w:rPr>
                <w:sz w:val="16"/>
              </w:rPr>
            </w:pPr>
            <w:r>
              <w:rPr>
                <w:sz w:val="16"/>
              </w:rPr>
              <w:t>Internet o televisión satelital</w:t>
            </w:r>
          </w:p>
        </w:tc>
        <w:tc>
          <w:tcPr>
            <w:tcW w:w="1765" w:type="dxa"/>
          </w:tcPr>
          <w:p>
            <w:pPr>
              <w:pStyle w:val="TableParagraph"/>
              <w:spacing w:line="240" w:lineRule="auto" w:before="8"/>
              <w:jc w:val="left"/>
              <w:rPr>
                <w:i/>
                <w:sz w:val="15"/>
              </w:rPr>
            </w:pPr>
          </w:p>
          <w:p>
            <w:pPr>
              <w:pStyle w:val="TableParagraph"/>
              <w:spacing w:line="167" w:lineRule="exact" w:before="1"/>
              <w:ind w:left="144" w:right="142"/>
              <w:jc w:val="center"/>
              <w:rPr>
                <w:sz w:val="16"/>
              </w:rPr>
            </w:pPr>
            <w:r>
              <w:rPr>
                <w:sz w:val="16"/>
              </w:rPr>
              <w:t>Condición del piso</w:t>
            </w:r>
          </w:p>
        </w:tc>
        <w:tc>
          <w:tcPr>
            <w:tcW w:w="1743" w:type="dxa"/>
            <w:tcBorders>
              <w:right w:val="single" w:sz="4" w:space="0" w:color="000000"/>
            </w:tcBorders>
          </w:tcPr>
          <w:p>
            <w:pPr>
              <w:pStyle w:val="TableParagraph"/>
              <w:spacing w:line="240" w:lineRule="auto" w:before="8"/>
              <w:jc w:val="left"/>
              <w:rPr>
                <w:i/>
                <w:sz w:val="15"/>
              </w:rPr>
            </w:pPr>
          </w:p>
          <w:p>
            <w:pPr>
              <w:pStyle w:val="TableParagraph"/>
              <w:spacing w:line="167" w:lineRule="exact" w:before="1"/>
              <w:ind w:right="213"/>
              <w:rPr>
                <w:sz w:val="16"/>
              </w:rPr>
            </w:pPr>
            <w:r>
              <w:rPr>
                <w:sz w:val="16"/>
              </w:rPr>
              <w:t>Condición del piso</w:t>
            </w:r>
          </w:p>
        </w:tc>
      </w:tr>
      <w:tr>
        <w:trPr>
          <w:trHeight w:val="184" w:hRule="atLeast"/>
        </w:trPr>
        <w:tc>
          <w:tcPr>
            <w:tcW w:w="1759" w:type="dxa"/>
            <w:tcBorders>
              <w:left w:val="single" w:sz="4" w:space="0" w:color="000000"/>
            </w:tcBorders>
          </w:tcPr>
          <w:p>
            <w:pPr>
              <w:pStyle w:val="TableParagraph"/>
              <w:spacing w:line="240" w:lineRule="auto" w:before="0"/>
              <w:jc w:val="left"/>
              <w:rPr>
                <w:rFonts w:ascii="Times New Roman"/>
                <w:sz w:val="12"/>
              </w:rPr>
            </w:pPr>
          </w:p>
        </w:tc>
        <w:tc>
          <w:tcPr>
            <w:tcW w:w="1803" w:type="dxa"/>
          </w:tcPr>
          <w:p>
            <w:pPr>
              <w:pStyle w:val="TableParagraph"/>
              <w:spacing w:line="164" w:lineRule="exact" w:before="0"/>
              <w:ind w:left="155" w:right="144"/>
              <w:jc w:val="center"/>
              <w:rPr>
                <w:sz w:val="16"/>
              </w:rPr>
            </w:pPr>
            <w:r>
              <w:rPr>
                <w:sz w:val="16"/>
              </w:rPr>
              <w:t>Tamaño de la casa</w:t>
            </w:r>
          </w:p>
        </w:tc>
        <w:tc>
          <w:tcPr>
            <w:tcW w:w="1760" w:type="dxa"/>
          </w:tcPr>
          <w:p>
            <w:pPr>
              <w:pStyle w:val="TableParagraph"/>
              <w:spacing w:line="240" w:lineRule="auto" w:before="0"/>
              <w:jc w:val="left"/>
              <w:rPr>
                <w:rFonts w:ascii="Times New Roman"/>
                <w:sz w:val="12"/>
              </w:rPr>
            </w:pPr>
          </w:p>
        </w:tc>
        <w:tc>
          <w:tcPr>
            <w:tcW w:w="1765" w:type="dxa"/>
          </w:tcPr>
          <w:p>
            <w:pPr>
              <w:pStyle w:val="TableParagraph"/>
              <w:spacing w:line="240" w:lineRule="auto" w:before="0"/>
              <w:jc w:val="left"/>
              <w:rPr>
                <w:rFonts w:ascii="Times New Roman"/>
                <w:sz w:val="12"/>
              </w:rPr>
            </w:pPr>
          </w:p>
        </w:tc>
        <w:tc>
          <w:tcPr>
            <w:tcW w:w="1743" w:type="dxa"/>
            <w:tcBorders>
              <w:right w:val="single" w:sz="4" w:space="0" w:color="000000"/>
            </w:tcBorders>
          </w:tcPr>
          <w:p>
            <w:pPr>
              <w:pStyle w:val="TableParagraph"/>
              <w:spacing w:line="240" w:lineRule="auto" w:before="0"/>
              <w:jc w:val="left"/>
              <w:rPr>
                <w:rFonts w:ascii="Times New Roman"/>
                <w:sz w:val="12"/>
              </w:rPr>
            </w:pPr>
          </w:p>
        </w:tc>
      </w:tr>
      <w:tr>
        <w:trPr>
          <w:trHeight w:val="183" w:hRule="atLeast"/>
        </w:trPr>
        <w:tc>
          <w:tcPr>
            <w:tcW w:w="1759" w:type="dxa"/>
            <w:tcBorders>
              <w:left w:val="single" w:sz="4" w:space="0" w:color="000000"/>
            </w:tcBorders>
          </w:tcPr>
          <w:p>
            <w:pPr>
              <w:pStyle w:val="TableParagraph"/>
              <w:spacing w:line="240" w:lineRule="auto" w:before="0"/>
              <w:jc w:val="left"/>
              <w:rPr>
                <w:rFonts w:ascii="Times New Roman"/>
                <w:sz w:val="12"/>
              </w:rPr>
            </w:pPr>
          </w:p>
        </w:tc>
        <w:tc>
          <w:tcPr>
            <w:tcW w:w="1803" w:type="dxa"/>
          </w:tcPr>
          <w:p>
            <w:pPr>
              <w:pStyle w:val="TableParagraph"/>
              <w:spacing w:line="240" w:lineRule="auto" w:before="0"/>
              <w:jc w:val="left"/>
              <w:rPr>
                <w:rFonts w:ascii="Times New Roman"/>
                <w:sz w:val="12"/>
              </w:rPr>
            </w:pPr>
          </w:p>
        </w:tc>
        <w:tc>
          <w:tcPr>
            <w:tcW w:w="1760" w:type="dxa"/>
          </w:tcPr>
          <w:p>
            <w:pPr>
              <w:pStyle w:val="TableParagraph"/>
              <w:spacing w:line="164" w:lineRule="exact" w:before="0"/>
              <w:ind w:left="129" w:right="98"/>
              <w:jc w:val="center"/>
              <w:rPr>
                <w:sz w:val="16"/>
              </w:rPr>
            </w:pPr>
            <w:r>
              <w:rPr>
                <w:sz w:val="16"/>
              </w:rPr>
              <w:t>Garaje</w:t>
            </w:r>
          </w:p>
        </w:tc>
        <w:tc>
          <w:tcPr>
            <w:tcW w:w="1765" w:type="dxa"/>
          </w:tcPr>
          <w:p>
            <w:pPr>
              <w:pStyle w:val="TableParagraph"/>
              <w:spacing w:line="164" w:lineRule="exact" w:before="0"/>
              <w:ind w:left="148" w:right="142"/>
              <w:jc w:val="center"/>
              <w:rPr>
                <w:sz w:val="16"/>
              </w:rPr>
            </w:pPr>
            <w:r>
              <w:rPr>
                <w:sz w:val="16"/>
              </w:rPr>
              <w:t>Condición de techo</w:t>
            </w:r>
          </w:p>
        </w:tc>
        <w:tc>
          <w:tcPr>
            <w:tcW w:w="1743" w:type="dxa"/>
            <w:tcBorders>
              <w:right w:val="single" w:sz="4" w:space="0" w:color="000000"/>
            </w:tcBorders>
          </w:tcPr>
          <w:p>
            <w:pPr>
              <w:pStyle w:val="TableParagraph"/>
              <w:spacing w:line="164" w:lineRule="exact" w:before="0"/>
              <w:ind w:right="164"/>
              <w:rPr>
                <w:sz w:val="16"/>
              </w:rPr>
            </w:pPr>
            <w:r>
              <w:rPr>
                <w:sz w:val="16"/>
              </w:rPr>
              <w:t>Condición del techo</w:t>
            </w:r>
          </w:p>
        </w:tc>
      </w:tr>
      <w:tr>
        <w:trPr>
          <w:trHeight w:val="460" w:hRule="atLeast"/>
        </w:trPr>
        <w:tc>
          <w:tcPr>
            <w:tcW w:w="1759" w:type="dxa"/>
            <w:tcBorders>
              <w:left w:val="single" w:sz="4" w:space="0" w:color="000000"/>
            </w:tcBorders>
          </w:tcPr>
          <w:p>
            <w:pPr>
              <w:pStyle w:val="TableParagraph"/>
              <w:spacing w:line="240" w:lineRule="auto" w:before="0"/>
              <w:jc w:val="left"/>
              <w:rPr>
                <w:rFonts w:ascii="Times New Roman"/>
                <w:sz w:val="18"/>
              </w:rPr>
            </w:pPr>
          </w:p>
        </w:tc>
        <w:tc>
          <w:tcPr>
            <w:tcW w:w="1803" w:type="dxa"/>
          </w:tcPr>
          <w:p>
            <w:pPr>
              <w:pStyle w:val="TableParagraph"/>
              <w:spacing w:line="240" w:lineRule="auto" w:before="0"/>
              <w:ind w:left="533" w:right="450" w:hanging="45"/>
              <w:jc w:val="left"/>
              <w:rPr>
                <w:sz w:val="16"/>
              </w:rPr>
            </w:pPr>
            <w:r>
              <w:rPr>
                <w:sz w:val="16"/>
              </w:rPr>
              <w:t>Tamaño del predio/lote</w:t>
            </w:r>
          </w:p>
        </w:tc>
        <w:tc>
          <w:tcPr>
            <w:tcW w:w="1760" w:type="dxa"/>
          </w:tcPr>
          <w:p>
            <w:pPr>
              <w:pStyle w:val="TableParagraph"/>
              <w:spacing w:line="240" w:lineRule="auto" w:before="8"/>
              <w:jc w:val="left"/>
              <w:rPr>
                <w:i/>
                <w:sz w:val="15"/>
              </w:rPr>
            </w:pPr>
          </w:p>
          <w:p>
            <w:pPr>
              <w:pStyle w:val="TableParagraph"/>
              <w:spacing w:line="240" w:lineRule="auto" w:before="1"/>
              <w:ind w:left="126" w:right="105"/>
              <w:jc w:val="center"/>
              <w:rPr>
                <w:sz w:val="16"/>
              </w:rPr>
            </w:pPr>
            <w:r>
              <w:rPr>
                <w:sz w:val="16"/>
              </w:rPr>
              <w:t>Condiciones del piso</w:t>
            </w:r>
          </w:p>
        </w:tc>
        <w:tc>
          <w:tcPr>
            <w:tcW w:w="1765" w:type="dxa"/>
          </w:tcPr>
          <w:p>
            <w:pPr>
              <w:pStyle w:val="TableParagraph"/>
              <w:spacing w:line="240" w:lineRule="auto" w:before="8"/>
              <w:jc w:val="left"/>
              <w:rPr>
                <w:i/>
                <w:sz w:val="15"/>
              </w:rPr>
            </w:pPr>
          </w:p>
          <w:p>
            <w:pPr>
              <w:pStyle w:val="TableParagraph"/>
              <w:spacing w:line="240" w:lineRule="auto" w:before="1"/>
              <w:ind w:left="144" w:right="142"/>
              <w:jc w:val="center"/>
              <w:rPr>
                <w:sz w:val="16"/>
              </w:rPr>
            </w:pPr>
            <w:r>
              <w:rPr>
                <w:sz w:val="16"/>
              </w:rPr>
              <w:t>Baño exclusivo</w:t>
            </w:r>
          </w:p>
        </w:tc>
        <w:tc>
          <w:tcPr>
            <w:tcW w:w="1743" w:type="dxa"/>
            <w:tcBorders>
              <w:right w:val="single" w:sz="4" w:space="0" w:color="000000"/>
            </w:tcBorders>
          </w:tcPr>
          <w:p>
            <w:pPr>
              <w:pStyle w:val="TableParagraph"/>
              <w:spacing w:line="240" w:lineRule="auto" w:before="8"/>
              <w:jc w:val="left"/>
              <w:rPr>
                <w:i/>
                <w:sz w:val="15"/>
              </w:rPr>
            </w:pPr>
          </w:p>
          <w:p>
            <w:pPr>
              <w:pStyle w:val="TableParagraph"/>
              <w:spacing w:line="240" w:lineRule="auto" w:before="1"/>
              <w:ind w:left="275"/>
              <w:jc w:val="left"/>
              <w:rPr>
                <w:sz w:val="16"/>
              </w:rPr>
            </w:pPr>
            <w:r>
              <w:rPr>
                <w:sz w:val="16"/>
              </w:rPr>
              <w:t>Cocina exclusiva</w:t>
            </w:r>
          </w:p>
        </w:tc>
      </w:tr>
      <w:tr>
        <w:trPr>
          <w:trHeight w:val="562" w:hRule="atLeast"/>
        </w:trPr>
        <w:tc>
          <w:tcPr>
            <w:tcW w:w="1759" w:type="dxa"/>
            <w:tcBorders>
              <w:left w:val="single" w:sz="4" w:space="0" w:color="000000"/>
              <w:bottom w:val="single" w:sz="4" w:space="0" w:color="000000"/>
            </w:tcBorders>
          </w:tcPr>
          <w:p>
            <w:pPr>
              <w:pStyle w:val="TableParagraph"/>
              <w:spacing w:line="240" w:lineRule="auto" w:before="0"/>
              <w:jc w:val="left"/>
              <w:rPr>
                <w:rFonts w:ascii="Times New Roman"/>
                <w:sz w:val="18"/>
              </w:rPr>
            </w:pPr>
          </w:p>
        </w:tc>
        <w:tc>
          <w:tcPr>
            <w:tcW w:w="1803" w:type="dxa"/>
            <w:tcBorders>
              <w:bottom w:val="single" w:sz="4" w:space="0" w:color="000000"/>
            </w:tcBorders>
          </w:tcPr>
          <w:p>
            <w:pPr>
              <w:pStyle w:val="TableParagraph"/>
              <w:spacing w:line="240" w:lineRule="auto" w:before="0"/>
              <w:jc w:val="left"/>
              <w:rPr>
                <w:rFonts w:ascii="Times New Roman"/>
                <w:sz w:val="18"/>
              </w:rPr>
            </w:pPr>
          </w:p>
        </w:tc>
        <w:tc>
          <w:tcPr>
            <w:tcW w:w="1760" w:type="dxa"/>
            <w:tcBorders>
              <w:bottom w:val="single" w:sz="4" w:space="0" w:color="000000"/>
            </w:tcBorders>
          </w:tcPr>
          <w:p>
            <w:pPr>
              <w:pStyle w:val="TableParagraph"/>
              <w:spacing w:line="240" w:lineRule="auto" w:before="89"/>
              <w:ind w:left="603" w:right="254" w:hanging="300"/>
              <w:jc w:val="left"/>
              <w:rPr>
                <w:sz w:val="16"/>
              </w:rPr>
            </w:pPr>
            <w:r>
              <w:rPr>
                <w:sz w:val="16"/>
              </w:rPr>
              <w:t>Condición de las paredes</w:t>
            </w:r>
          </w:p>
        </w:tc>
        <w:tc>
          <w:tcPr>
            <w:tcW w:w="1765" w:type="dxa"/>
            <w:tcBorders>
              <w:bottom w:val="single" w:sz="4" w:space="0" w:color="000000"/>
            </w:tcBorders>
          </w:tcPr>
          <w:p>
            <w:pPr>
              <w:pStyle w:val="TableParagraph"/>
              <w:spacing w:line="240" w:lineRule="auto" w:before="0"/>
              <w:jc w:val="left"/>
              <w:rPr>
                <w:rFonts w:ascii="Times New Roman"/>
                <w:sz w:val="18"/>
              </w:rPr>
            </w:pPr>
          </w:p>
        </w:tc>
        <w:tc>
          <w:tcPr>
            <w:tcW w:w="1743" w:type="dxa"/>
            <w:tcBorders>
              <w:bottom w:val="single" w:sz="4" w:space="0" w:color="000000"/>
              <w:right w:val="single" w:sz="4" w:space="0" w:color="000000"/>
            </w:tcBorders>
          </w:tcPr>
          <w:p>
            <w:pPr>
              <w:pStyle w:val="TableParagraph"/>
              <w:spacing w:line="240" w:lineRule="auto" w:before="0"/>
              <w:jc w:val="left"/>
              <w:rPr>
                <w:rFonts w:ascii="Times New Roman"/>
                <w:sz w:val="18"/>
              </w:rPr>
            </w:pPr>
          </w:p>
        </w:tc>
      </w:tr>
      <w:tr>
        <w:trPr>
          <w:trHeight w:val="186" w:hRule="atLeast"/>
        </w:trPr>
        <w:tc>
          <w:tcPr>
            <w:tcW w:w="8830" w:type="dxa"/>
            <w:gridSpan w:val="5"/>
            <w:tcBorders>
              <w:top w:val="single" w:sz="4" w:space="0" w:color="000000"/>
              <w:left w:val="single" w:sz="4" w:space="0" w:color="000000"/>
              <w:bottom w:val="single" w:sz="4" w:space="0" w:color="000000"/>
            </w:tcBorders>
          </w:tcPr>
          <w:p>
            <w:pPr>
              <w:pStyle w:val="TableParagraph"/>
              <w:spacing w:line="165" w:lineRule="exact" w:before="1"/>
              <w:ind w:left="3351" w:right="3352"/>
              <w:jc w:val="center"/>
              <w:rPr>
                <w:b/>
                <w:sz w:val="16"/>
              </w:rPr>
            </w:pPr>
            <w:r>
              <w:rPr>
                <w:b/>
                <w:sz w:val="16"/>
              </w:rPr>
              <w:t>Características del Entorno</w:t>
            </w:r>
          </w:p>
        </w:tc>
      </w:tr>
      <w:tr>
        <w:trPr>
          <w:trHeight w:val="362" w:hRule="atLeast"/>
        </w:trPr>
        <w:tc>
          <w:tcPr>
            <w:tcW w:w="1759" w:type="dxa"/>
            <w:tcBorders>
              <w:top w:val="single" w:sz="4" w:space="0" w:color="000000"/>
              <w:left w:val="single" w:sz="4" w:space="0" w:color="000000"/>
            </w:tcBorders>
          </w:tcPr>
          <w:p>
            <w:pPr>
              <w:pStyle w:val="TableParagraph"/>
              <w:spacing w:line="181" w:lineRule="exact" w:before="0"/>
              <w:ind w:left="214" w:right="221"/>
              <w:jc w:val="center"/>
              <w:rPr>
                <w:sz w:val="16"/>
              </w:rPr>
            </w:pPr>
            <w:r>
              <w:rPr>
                <w:sz w:val="16"/>
              </w:rPr>
              <w:t>Tráfico de drogas</w:t>
            </w:r>
          </w:p>
        </w:tc>
        <w:tc>
          <w:tcPr>
            <w:tcW w:w="1803" w:type="dxa"/>
            <w:tcBorders>
              <w:top w:val="single" w:sz="4" w:space="0" w:color="000000"/>
            </w:tcBorders>
          </w:tcPr>
          <w:p>
            <w:pPr>
              <w:pStyle w:val="TableParagraph"/>
              <w:spacing w:line="181" w:lineRule="exact" w:before="0"/>
              <w:ind w:left="155" w:right="145"/>
              <w:jc w:val="center"/>
              <w:rPr>
                <w:sz w:val="16"/>
              </w:rPr>
            </w:pPr>
            <w:r>
              <w:rPr>
                <w:sz w:val="16"/>
              </w:rPr>
              <w:t>Tasa de homicidios</w:t>
            </w:r>
          </w:p>
        </w:tc>
        <w:tc>
          <w:tcPr>
            <w:tcW w:w="1760" w:type="dxa"/>
            <w:tcBorders>
              <w:top w:val="single" w:sz="4" w:space="0" w:color="000000"/>
            </w:tcBorders>
          </w:tcPr>
          <w:p>
            <w:pPr>
              <w:pStyle w:val="TableParagraph"/>
              <w:spacing w:line="181" w:lineRule="exact" w:before="0"/>
              <w:ind w:left="129" w:right="105"/>
              <w:jc w:val="center"/>
              <w:rPr>
                <w:sz w:val="16"/>
              </w:rPr>
            </w:pPr>
            <w:r>
              <w:rPr>
                <w:sz w:val="16"/>
              </w:rPr>
              <w:t>Riesgos ambientales</w:t>
            </w:r>
          </w:p>
        </w:tc>
        <w:tc>
          <w:tcPr>
            <w:tcW w:w="1765" w:type="dxa"/>
            <w:vMerge w:val="restart"/>
            <w:tcBorders>
              <w:top w:val="single" w:sz="4" w:space="0" w:color="000000"/>
              <w:bottom w:val="single" w:sz="4" w:space="0" w:color="000000"/>
            </w:tcBorders>
          </w:tcPr>
          <w:p>
            <w:pPr>
              <w:pStyle w:val="TableParagraph"/>
              <w:spacing w:line="480" w:lineRule="auto" w:before="0"/>
              <w:ind w:left="523" w:right="514"/>
              <w:jc w:val="center"/>
              <w:rPr>
                <w:sz w:val="16"/>
              </w:rPr>
            </w:pPr>
            <w:r>
              <w:rPr>
                <w:spacing w:val="-1"/>
                <w:sz w:val="16"/>
              </w:rPr>
              <w:t>Seguridad Pendiente</w:t>
            </w:r>
          </w:p>
          <w:p>
            <w:pPr>
              <w:pStyle w:val="TableParagraph"/>
              <w:spacing w:line="240" w:lineRule="auto" w:before="0"/>
              <w:ind w:left="150" w:right="135"/>
              <w:jc w:val="center"/>
              <w:rPr>
                <w:sz w:val="16"/>
              </w:rPr>
            </w:pPr>
            <w:r>
              <w:rPr>
                <w:sz w:val="16"/>
              </w:rPr>
              <w:t>Vulnerabilidad a</w:t>
            </w:r>
            <w:r>
              <w:rPr>
                <w:spacing w:val="-9"/>
                <w:sz w:val="16"/>
              </w:rPr>
              <w:t> </w:t>
            </w:r>
            <w:r>
              <w:rPr>
                <w:sz w:val="16"/>
              </w:rPr>
              <w:t>las erupciones volcánicas</w:t>
            </w:r>
          </w:p>
          <w:p>
            <w:pPr>
              <w:pStyle w:val="TableParagraph"/>
              <w:spacing w:line="240" w:lineRule="auto" w:before="8"/>
              <w:jc w:val="left"/>
              <w:rPr>
                <w:i/>
                <w:sz w:val="15"/>
              </w:rPr>
            </w:pPr>
          </w:p>
          <w:p>
            <w:pPr>
              <w:pStyle w:val="TableParagraph"/>
              <w:spacing w:line="240" w:lineRule="auto" w:before="1"/>
              <w:ind w:left="243" w:right="234" w:firstLine="2"/>
              <w:jc w:val="center"/>
              <w:rPr>
                <w:sz w:val="16"/>
              </w:rPr>
            </w:pPr>
            <w:r>
              <w:rPr>
                <w:sz w:val="16"/>
              </w:rPr>
              <w:t>Distancia a los departamentos </w:t>
            </w:r>
            <w:r>
              <w:rPr>
                <w:spacing w:val="-8"/>
                <w:sz w:val="16"/>
              </w:rPr>
              <w:t>de </w:t>
            </w:r>
            <w:r>
              <w:rPr>
                <w:sz w:val="16"/>
              </w:rPr>
              <w:t>bomberos</w:t>
            </w:r>
          </w:p>
          <w:p>
            <w:pPr>
              <w:pStyle w:val="TableParagraph"/>
              <w:spacing w:line="240" w:lineRule="auto" w:before="0"/>
              <w:jc w:val="left"/>
              <w:rPr>
                <w:i/>
                <w:sz w:val="16"/>
              </w:rPr>
            </w:pPr>
          </w:p>
          <w:p>
            <w:pPr>
              <w:pStyle w:val="TableParagraph"/>
              <w:spacing w:line="240" w:lineRule="auto" w:before="0"/>
              <w:ind w:left="150" w:right="142"/>
              <w:jc w:val="center"/>
              <w:rPr>
                <w:sz w:val="16"/>
              </w:rPr>
            </w:pPr>
            <w:r>
              <w:rPr>
                <w:sz w:val="16"/>
              </w:rPr>
              <w:t>Longitud del camino primario</w:t>
            </w:r>
          </w:p>
          <w:p>
            <w:pPr>
              <w:pStyle w:val="TableParagraph"/>
              <w:spacing w:line="240" w:lineRule="auto" w:before="0"/>
              <w:jc w:val="left"/>
              <w:rPr>
                <w:i/>
                <w:sz w:val="16"/>
              </w:rPr>
            </w:pPr>
          </w:p>
          <w:p>
            <w:pPr>
              <w:pStyle w:val="TableParagraph"/>
              <w:spacing w:line="240" w:lineRule="auto" w:before="0"/>
              <w:ind w:left="150" w:right="142"/>
              <w:jc w:val="center"/>
              <w:rPr>
                <w:sz w:val="16"/>
              </w:rPr>
            </w:pPr>
            <w:r>
              <w:rPr>
                <w:sz w:val="16"/>
              </w:rPr>
              <w:t>Longitud del camino secundario</w:t>
            </w:r>
          </w:p>
          <w:p>
            <w:pPr>
              <w:pStyle w:val="TableParagraph"/>
              <w:spacing w:line="240" w:lineRule="auto" w:before="0"/>
              <w:jc w:val="left"/>
              <w:rPr>
                <w:i/>
                <w:sz w:val="16"/>
              </w:rPr>
            </w:pPr>
          </w:p>
          <w:p>
            <w:pPr>
              <w:pStyle w:val="TableParagraph"/>
              <w:spacing w:line="240" w:lineRule="auto" w:before="0"/>
              <w:ind w:left="191" w:right="184" w:firstLine="4"/>
              <w:jc w:val="center"/>
              <w:rPr>
                <w:sz w:val="16"/>
              </w:rPr>
            </w:pPr>
            <w:r>
              <w:rPr>
                <w:sz w:val="16"/>
              </w:rPr>
              <w:t>Distancia a los parques nacionales</w:t>
            </w:r>
          </w:p>
        </w:tc>
        <w:tc>
          <w:tcPr>
            <w:tcW w:w="1743" w:type="dxa"/>
            <w:tcBorders>
              <w:top w:val="single" w:sz="4" w:space="0" w:color="000000"/>
              <w:right w:val="single" w:sz="4" w:space="0" w:color="000000"/>
            </w:tcBorders>
          </w:tcPr>
          <w:p>
            <w:pPr>
              <w:pStyle w:val="TableParagraph"/>
              <w:spacing w:line="181" w:lineRule="exact" w:before="0"/>
              <w:ind w:left="327"/>
              <w:jc w:val="left"/>
              <w:rPr>
                <w:sz w:val="16"/>
              </w:rPr>
            </w:pPr>
            <w:r>
              <w:rPr>
                <w:sz w:val="16"/>
              </w:rPr>
              <w:t>Acceso al agua</w:t>
            </w:r>
          </w:p>
          <w:p>
            <w:pPr>
              <w:pStyle w:val="TableParagraph"/>
              <w:spacing w:line="162" w:lineRule="exact" w:before="0"/>
              <w:ind w:left="279"/>
              <w:jc w:val="left"/>
              <w:rPr>
                <w:sz w:val="16"/>
              </w:rPr>
            </w:pPr>
            <w:r>
              <w:rPr>
                <w:sz w:val="16"/>
              </w:rPr>
              <w:t>potable corriente</w:t>
            </w:r>
          </w:p>
        </w:tc>
      </w:tr>
      <w:tr>
        <w:trPr>
          <w:trHeight w:val="726" w:hRule="atLeast"/>
        </w:trPr>
        <w:tc>
          <w:tcPr>
            <w:tcW w:w="1759" w:type="dxa"/>
            <w:tcBorders>
              <w:left w:val="single" w:sz="4" w:space="0" w:color="000000"/>
            </w:tcBorders>
          </w:tcPr>
          <w:p>
            <w:pPr>
              <w:pStyle w:val="TableParagraph"/>
              <w:spacing w:line="240" w:lineRule="auto" w:before="0"/>
              <w:ind w:left="234" w:right="249" w:firstLine="4"/>
              <w:jc w:val="center"/>
              <w:rPr>
                <w:sz w:val="16"/>
              </w:rPr>
            </w:pPr>
            <w:r>
              <w:rPr>
                <w:sz w:val="16"/>
              </w:rPr>
              <w:t>Paradas de transporte </w:t>
            </w:r>
            <w:r>
              <w:rPr>
                <w:spacing w:val="-3"/>
                <w:sz w:val="16"/>
              </w:rPr>
              <w:t>público</w:t>
            </w:r>
          </w:p>
          <w:p>
            <w:pPr>
              <w:pStyle w:val="TableParagraph"/>
              <w:spacing w:line="240" w:lineRule="auto" w:before="4"/>
              <w:jc w:val="left"/>
              <w:rPr>
                <w:i/>
                <w:sz w:val="15"/>
              </w:rPr>
            </w:pPr>
          </w:p>
          <w:p>
            <w:pPr>
              <w:pStyle w:val="TableParagraph"/>
              <w:spacing w:line="162" w:lineRule="exact" w:before="0"/>
              <w:ind w:left="212" w:right="226"/>
              <w:jc w:val="center"/>
              <w:rPr>
                <w:sz w:val="16"/>
              </w:rPr>
            </w:pPr>
            <w:r>
              <w:rPr>
                <w:sz w:val="16"/>
              </w:rPr>
              <w:t>Distancia al</w:t>
            </w:r>
            <w:r>
              <w:rPr>
                <w:spacing w:val="-9"/>
                <w:sz w:val="16"/>
              </w:rPr>
              <w:t> </w:t>
            </w:r>
            <w:r>
              <w:rPr>
                <w:sz w:val="16"/>
              </w:rPr>
              <w:t>metro</w:t>
            </w:r>
          </w:p>
        </w:tc>
        <w:tc>
          <w:tcPr>
            <w:tcW w:w="1803" w:type="dxa"/>
          </w:tcPr>
          <w:p>
            <w:pPr>
              <w:pStyle w:val="TableParagraph"/>
              <w:spacing w:line="240" w:lineRule="auto" w:before="0"/>
              <w:ind w:left="155" w:right="141"/>
              <w:jc w:val="center"/>
              <w:rPr>
                <w:sz w:val="16"/>
              </w:rPr>
            </w:pPr>
            <w:r>
              <w:rPr>
                <w:sz w:val="16"/>
              </w:rPr>
              <w:t>Ausencia de trenes/terminales de autobuses</w:t>
            </w:r>
          </w:p>
        </w:tc>
        <w:tc>
          <w:tcPr>
            <w:tcW w:w="1760" w:type="dxa"/>
          </w:tcPr>
          <w:p>
            <w:pPr>
              <w:pStyle w:val="TableParagraph"/>
              <w:spacing w:before="0"/>
              <w:ind w:left="129" w:right="104"/>
              <w:jc w:val="center"/>
              <w:rPr>
                <w:sz w:val="16"/>
              </w:rPr>
            </w:pPr>
            <w:r>
              <w:rPr>
                <w:sz w:val="16"/>
              </w:rPr>
              <w:t>Distancia al metro</w:t>
            </w:r>
          </w:p>
          <w:p>
            <w:pPr>
              <w:pStyle w:val="TableParagraph"/>
              <w:spacing w:line="240" w:lineRule="auto" w:before="0"/>
              <w:jc w:val="left"/>
              <w:rPr>
                <w:i/>
                <w:sz w:val="16"/>
              </w:rPr>
            </w:pPr>
          </w:p>
          <w:p>
            <w:pPr>
              <w:pStyle w:val="TableParagraph"/>
              <w:spacing w:line="180" w:lineRule="atLeast" w:before="0"/>
              <w:ind w:left="178" w:right="148" w:hanging="2"/>
              <w:jc w:val="center"/>
              <w:rPr>
                <w:sz w:val="16"/>
              </w:rPr>
            </w:pPr>
            <w:r>
              <w:rPr>
                <w:sz w:val="16"/>
              </w:rPr>
              <w:t>Distancia a terminales de buses</w:t>
            </w:r>
          </w:p>
        </w:tc>
        <w:tc>
          <w:tcPr>
            <w:tcW w:w="1765" w:type="dxa"/>
            <w:vMerge/>
            <w:tcBorders>
              <w:top w:val="nil"/>
              <w:bottom w:val="single" w:sz="4" w:space="0" w:color="000000"/>
            </w:tcBorders>
          </w:tcPr>
          <w:p>
            <w:pPr>
              <w:rPr>
                <w:sz w:val="2"/>
                <w:szCs w:val="2"/>
              </w:rPr>
            </w:pPr>
          </w:p>
        </w:tc>
        <w:tc>
          <w:tcPr>
            <w:tcW w:w="1743" w:type="dxa"/>
            <w:tcBorders>
              <w:right w:val="single" w:sz="4" w:space="0" w:color="000000"/>
            </w:tcBorders>
          </w:tcPr>
          <w:p>
            <w:pPr>
              <w:pStyle w:val="TableParagraph"/>
              <w:spacing w:line="240" w:lineRule="auto" w:before="4"/>
              <w:jc w:val="left"/>
              <w:rPr>
                <w:i/>
                <w:sz w:val="15"/>
              </w:rPr>
            </w:pPr>
          </w:p>
          <w:p>
            <w:pPr>
              <w:pStyle w:val="TableParagraph"/>
              <w:spacing w:line="240" w:lineRule="auto" w:before="0"/>
              <w:ind w:left="415" w:right="252" w:firstLine="132"/>
              <w:jc w:val="left"/>
              <w:rPr>
                <w:sz w:val="16"/>
              </w:rPr>
            </w:pPr>
            <w:r>
              <w:rPr>
                <w:sz w:val="16"/>
              </w:rPr>
              <w:t>Acceso a saneamiento</w:t>
            </w:r>
          </w:p>
        </w:tc>
      </w:tr>
      <w:tr>
        <w:trPr>
          <w:trHeight w:val="1275" w:hRule="atLeast"/>
        </w:trPr>
        <w:tc>
          <w:tcPr>
            <w:tcW w:w="1759" w:type="dxa"/>
            <w:tcBorders>
              <w:left w:val="single" w:sz="4" w:space="0" w:color="000000"/>
            </w:tcBorders>
          </w:tcPr>
          <w:p>
            <w:pPr>
              <w:pStyle w:val="TableParagraph"/>
              <w:spacing w:line="240" w:lineRule="auto" w:before="2"/>
              <w:jc w:val="left"/>
              <w:rPr>
                <w:i/>
                <w:sz w:val="15"/>
              </w:rPr>
            </w:pPr>
          </w:p>
          <w:p>
            <w:pPr>
              <w:pStyle w:val="TableParagraph"/>
              <w:spacing w:line="240" w:lineRule="auto" w:before="0"/>
              <w:ind w:left="630" w:right="128" w:hanging="492"/>
              <w:jc w:val="left"/>
              <w:rPr>
                <w:sz w:val="16"/>
              </w:rPr>
            </w:pPr>
            <w:r>
              <w:rPr>
                <w:sz w:val="16"/>
              </w:rPr>
              <w:t>Distancia a espacios verdes</w:t>
            </w:r>
          </w:p>
        </w:tc>
        <w:tc>
          <w:tcPr>
            <w:tcW w:w="1803" w:type="dxa"/>
          </w:tcPr>
          <w:p>
            <w:pPr>
              <w:pStyle w:val="TableParagraph"/>
              <w:spacing w:line="240" w:lineRule="auto" w:before="0"/>
              <w:ind w:left="465" w:right="448" w:hanging="2"/>
              <w:jc w:val="center"/>
              <w:rPr>
                <w:sz w:val="16"/>
              </w:rPr>
            </w:pPr>
            <w:r>
              <w:rPr>
                <w:sz w:val="16"/>
              </w:rPr>
              <w:t>Distancia a restaurantes</w:t>
            </w:r>
          </w:p>
          <w:p>
            <w:pPr>
              <w:pStyle w:val="TableParagraph"/>
              <w:spacing w:line="240" w:lineRule="auto" w:before="2"/>
              <w:jc w:val="left"/>
              <w:rPr>
                <w:i/>
                <w:sz w:val="15"/>
              </w:rPr>
            </w:pPr>
          </w:p>
          <w:p>
            <w:pPr>
              <w:pStyle w:val="TableParagraph"/>
              <w:spacing w:line="240" w:lineRule="auto" w:before="0"/>
              <w:ind w:left="155" w:right="141"/>
              <w:jc w:val="center"/>
              <w:rPr>
                <w:sz w:val="16"/>
              </w:rPr>
            </w:pPr>
            <w:r>
              <w:rPr>
                <w:sz w:val="16"/>
              </w:rPr>
              <w:t>Agua potable corriente</w:t>
            </w:r>
          </w:p>
          <w:p>
            <w:pPr>
              <w:pStyle w:val="TableParagraph"/>
              <w:spacing w:line="240" w:lineRule="auto" w:before="0"/>
              <w:jc w:val="left"/>
              <w:rPr>
                <w:i/>
                <w:sz w:val="16"/>
              </w:rPr>
            </w:pPr>
          </w:p>
          <w:p>
            <w:pPr>
              <w:pStyle w:val="TableParagraph"/>
              <w:spacing w:line="162" w:lineRule="exact" w:before="0"/>
              <w:ind w:left="155" w:right="148"/>
              <w:jc w:val="center"/>
              <w:rPr>
                <w:sz w:val="16"/>
              </w:rPr>
            </w:pPr>
            <w:r>
              <w:rPr>
                <w:sz w:val="16"/>
              </w:rPr>
              <w:t>Educación promedio</w:t>
            </w:r>
          </w:p>
        </w:tc>
        <w:tc>
          <w:tcPr>
            <w:tcW w:w="1760" w:type="dxa"/>
          </w:tcPr>
          <w:p>
            <w:pPr>
              <w:pStyle w:val="TableParagraph"/>
              <w:spacing w:line="240" w:lineRule="auto" w:before="2"/>
              <w:jc w:val="left"/>
              <w:rPr>
                <w:i/>
                <w:sz w:val="15"/>
              </w:rPr>
            </w:pPr>
          </w:p>
          <w:p>
            <w:pPr>
              <w:pStyle w:val="TableParagraph"/>
              <w:spacing w:line="240" w:lineRule="auto" w:before="0"/>
              <w:ind w:left="129" w:right="95"/>
              <w:jc w:val="center"/>
              <w:rPr>
                <w:sz w:val="16"/>
              </w:rPr>
            </w:pPr>
            <w:r>
              <w:rPr>
                <w:sz w:val="16"/>
              </w:rPr>
              <w:t>Distancia a calles principales</w:t>
            </w:r>
          </w:p>
          <w:p>
            <w:pPr>
              <w:pStyle w:val="TableParagraph"/>
              <w:spacing w:line="240" w:lineRule="auto" w:before="0"/>
              <w:jc w:val="left"/>
              <w:rPr>
                <w:i/>
                <w:sz w:val="16"/>
              </w:rPr>
            </w:pPr>
          </w:p>
          <w:p>
            <w:pPr>
              <w:pStyle w:val="TableParagraph"/>
              <w:spacing w:line="240" w:lineRule="auto" w:before="0"/>
              <w:ind w:left="134" w:right="105"/>
              <w:jc w:val="center"/>
              <w:rPr>
                <w:sz w:val="16"/>
              </w:rPr>
            </w:pPr>
            <w:r>
              <w:rPr>
                <w:sz w:val="16"/>
              </w:rPr>
              <w:t>Agua potable corriente</w:t>
            </w:r>
          </w:p>
        </w:tc>
        <w:tc>
          <w:tcPr>
            <w:tcW w:w="1765" w:type="dxa"/>
            <w:vMerge/>
            <w:tcBorders>
              <w:top w:val="nil"/>
              <w:bottom w:val="single" w:sz="4" w:space="0" w:color="000000"/>
            </w:tcBorders>
          </w:tcPr>
          <w:p>
            <w:pPr>
              <w:rPr>
                <w:sz w:val="2"/>
                <w:szCs w:val="2"/>
              </w:rPr>
            </w:pPr>
          </w:p>
        </w:tc>
        <w:tc>
          <w:tcPr>
            <w:tcW w:w="1743" w:type="dxa"/>
            <w:tcBorders>
              <w:right w:val="single" w:sz="4" w:space="0" w:color="000000"/>
            </w:tcBorders>
          </w:tcPr>
          <w:p>
            <w:pPr>
              <w:pStyle w:val="TableParagraph"/>
              <w:spacing w:line="175" w:lineRule="exact" w:before="0"/>
              <w:ind w:left="192" w:right="185"/>
              <w:jc w:val="center"/>
              <w:rPr>
                <w:sz w:val="16"/>
              </w:rPr>
            </w:pPr>
            <w:r>
              <w:rPr>
                <w:sz w:val="16"/>
              </w:rPr>
              <w:t>Acceso al gas</w:t>
            </w:r>
          </w:p>
          <w:p>
            <w:pPr>
              <w:pStyle w:val="TableParagraph"/>
              <w:spacing w:line="240" w:lineRule="auto" w:before="0"/>
              <w:jc w:val="left"/>
              <w:rPr>
                <w:i/>
                <w:sz w:val="16"/>
              </w:rPr>
            </w:pPr>
          </w:p>
          <w:p>
            <w:pPr>
              <w:pStyle w:val="TableParagraph"/>
              <w:spacing w:line="240" w:lineRule="auto" w:before="0"/>
              <w:ind w:left="199" w:right="185"/>
              <w:jc w:val="center"/>
              <w:rPr>
                <w:sz w:val="16"/>
              </w:rPr>
            </w:pPr>
            <w:r>
              <w:rPr>
                <w:sz w:val="16"/>
              </w:rPr>
              <w:t>Condición de </w:t>
            </w:r>
            <w:r>
              <w:rPr>
                <w:spacing w:val="-4"/>
                <w:sz w:val="16"/>
              </w:rPr>
              <w:t>las </w:t>
            </w:r>
            <w:r>
              <w:rPr>
                <w:sz w:val="16"/>
              </w:rPr>
              <w:t>calles</w:t>
            </w:r>
          </w:p>
          <w:p>
            <w:pPr>
              <w:pStyle w:val="TableParagraph"/>
              <w:spacing w:line="240" w:lineRule="auto" w:before="0"/>
              <w:jc w:val="left"/>
              <w:rPr>
                <w:i/>
                <w:sz w:val="16"/>
              </w:rPr>
            </w:pPr>
          </w:p>
          <w:p>
            <w:pPr>
              <w:pStyle w:val="TableParagraph"/>
              <w:spacing w:line="180" w:lineRule="atLeast" w:before="0"/>
              <w:ind w:left="199" w:right="185"/>
              <w:jc w:val="center"/>
              <w:rPr>
                <w:sz w:val="16"/>
              </w:rPr>
            </w:pPr>
            <w:r>
              <w:rPr>
                <w:sz w:val="16"/>
              </w:rPr>
              <w:t>Condiciones de </w:t>
            </w:r>
            <w:r>
              <w:rPr>
                <w:spacing w:val="-5"/>
                <w:sz w:val="16"/>
              </w:rPr>
              <w:t>las </w:t>
            </w:r>
            <w:r>
              <w:rPr>
                <w:sz w:val="16"/>
              </w:rPr>
              <w:t>aceras</w:t>
            </w:r>
          </w:p>
        </w:tc>
      </w:tr>
      <w:tr>
        <w:trPr>
          <w:trHeight w:val="172" w:hRule="atLeast"/>
        </w:trPr>
        <w:tc>
          <w:tcPr>
            <w:tcW w:w="1759" w:type="dxa"/>
            <w:tcBorders>
              <w:left w:val="single" w:sz="4" w:space="0" w:color="000000"/>
            </w:tcBorders>
          </w:tcPr>
          <w:p>
            <w:pPr>
              <w:pStyle w:val="TableParagraph"/>
              <w:spacing w:line="240" w:lineRule="auto" w:before="0"/>
              <w:jc w:val="left"/>
              <w:rPr>
                <w:rFonts w:ascii="Times New Roman"/>
                <w:sz w:val="10"/>
              </w:rPr>
            </w:pPr>
          </w:p>
        </w:tc>
        <w:tc>
          <w:tcPr>
            <w:tcW w:w="1803" w:type="dxa"/>
          </w:tcPr>
          <w:p>
            <w:pPr>
              <w:pStyle w:val="TableParagraph"/>
              <w:spacing w:line="240" w:lineRule="auto" w:before="0"/>
              <w:jc w:val="left"/>
              <w:rPr>
                <w:rFonts w:ascii="Times New Roman"/>
                <w:sz w:val="10"/>
              </w:rPr>
            </w:pPr>
          </w:p>
        </w:tc>
        <w:tc>
          <w:tcPr>
            <w:tcW w:w="1760" w:type="dxa"/>
          </w:tcPr>
          <w:p>
            <w:pPr>
              <w:pStyle w:val="TableParagraph"/>
              <w:spacing w:line="152" w:lineRule="exact" w:before="0"/>
              <w:ind w:left="128" w:right="105"/>
              <w:jc w:val="center"/>
              <w:rPr>
                <w:sz w:val="16"/>
              </w:rPr>
            </w:pPr>
            <w:r>
              <w:rPr>
                <w:sz w:val="16"/>
              </w:rPr>
              <w:t>Gas entubado</w:t>
            </w:r>
          </w:p>
        </w:tc>
        <w:tc>
          <w:tcPr>
            <w:tcW w:w="1765" w:type="dxa"/>
            <w:vMerge/>
            <w:tcBorders>
              <w:top w:val="nil"/>
              <w:bottom w:val="single" w:sz="4" w:space="0" w:color="000000"/>
            </w:tcBorders>
          </w:tcPr>
          <w:p>
            <w:pPr>
              <w:rPr>
                <w:sz w:val="2"/>
                <w:szCs w:val="2"/>
              </w:rPr>
            </w:pPr>
          </w:p>
        </w:tc>
        <w:tc>
          <w:tcPr>
            <w:tcW w:w="1743" w:type="dxa"/>
            <w:tcBorders>
              <w:right w:val="single" w:sz="4" w:space="0" w:color="000000"/>
            </w:tcBorders>
          </w:tcPr>
          <w:p>
            <w:pPr>
              <w:pStyle w:val="TableParagraph"/>
              <w:spacing w:line="240" w:lineRule="auto" w:before="0"/>
              <w:jc w:val="left"/>
              <w:rPr>
                <w:rFonts w:ascii="Times New Roman"/>
                <w:sz w:val="10"/>
              </w:rPr>
            </w:pPr>
          </w:p>
        </w:tc>
      </w:tr>
      <w:tr>
        <w:trPr>
          <w:trHeight w:val="174" w:hRule="atLeast"/>
        </w:trPr>
        <w:tc>
          <w:tcPr>
            <w:tcW w:w="1759" w:type="dxa"/>
            <w:tcBorders>
              <w:left w:val="single" w:sz="4" w:space="0" w:color="000000"/>
            </w:tcBorders>
          </w:tcPr>
          <w:p>
            <w:pPr>
              <w:pStyle w:val="TableParagraph"/>
              <w:spacing w:line="240" w:lineRule="auto" w:before="0"/>
              <w:jc w:val="left"/>
              <w:rPr>
                <w:rFonts w:ascii="Times New Roman"/>
                <w:sz w:val="10"/>
              </w:rPr>
            </w:pPr>
          </w:p>
        </w:tc>
        <w:tc>
          <w:tcPr>
            <w:tcW w:w="1803" w:type="dxa"/>
          </w:tcPr>
          <w:p>
            <w:pPr>
              <w:pStyle w:val="TableParagraph"/>
              <w:spacing w:line="154" w:lineRule="exact" w:before="0"/>
              <w:ind w:left="155" w:right="143"/>
              <w:jc w:val="center"/>
              <w:rPr>
                <w:sz w:val="16"/>
              </w:rPr>
            </w:pPr>
            <w:r>
              <w:rPr>
                <w:sz w:val="16"/>
              </w:rPr>
              <w:t>Inequidad educativa</w:t>
            </w:r>
          </w:p>
        </w:tc>
        <w:tc>
          <w:tcPr>
            <w:tcW w:w="1760" w:type="dxa"/>
          </w:tcPr>
          <w:p>
            <w:pPr>
              <w:pStyle w:val="TableParagraph"/>
              <w:spacing w:line="240" w:lineRule="auto" w:before="0"/>
              <w:jc w:val="left"/>
              <w:rPr>
                <w:rFonts w:ascii="Times New Roman"/>
                <w:sz w:val="10"/>
              </w:rPr>
            </w:pPr>
          </w:p>
        </w:tc>
        <w:tc>
          <w:tcPr>
            <w:tcW w:w="1765" w:type="dxa"/>
            <w:vMerge/>
            <w:tcBorders>
              <w:top w:val="nil"/>
              <w:bottom w:val="single" w:sz="4" w:space="0" w:color="000000"/>
            </w:tcBorders>
          </w:tcPr>
          <w:p>
            <w:pPr>
              <w:rPr>
                <w:sz w:val="2"/>
                <w:szCs w:val="2"/>
              </w:rPr>
            </w:pPr>
          </w:p>
        </w:tc>
        <w:tc>
          <w:tcPr>
            <w:tcW w:w="1743" w:type="dxa"/>
            <w:tcBorders>
              <w:right w:val="single" w:sz="4" w:space="0" w:color="000000"/>
            </w:tcBorders>
          </w:tcPr>
          <w:p>
            <w:pPr>
              <w:pStyle w:val="TableParagraph"/>
              <w:spacing w:line="154" w:lineRule="exact" w:before="0"/>
              <w:ind w:right="186"/>
              <w:rPr>
                <w:sz w:val="16"/>
              </w:rPr>
            </w:pPr>
            <w:r>
              <w:rPr>
                <w:sz w:val="16"/>
              </w:rPr>
              <w:t>Luces en las calles</w:t>
            </w:r>
          </w:p>
        </w:tc>
      </w:tr>
      <w:tr>
        <w:trPr>
          <w:trHeight w:val="173" w:hRule="atLeast"/>
        </w:trPr>
        <w:tc>
          <w:tcPr>
            <w:tcW w:w="1759" w:type="dxa"/>
            <w:tcBorders>
              <w:left w:val="single" w:sz="4" w:space="0" w:color="000000"/>
            </w:tcBorders>
          </w:tcPr>
          <w:p>
            <w:pPr>
              <w:pStyle w:val="TableParagraph"/>
              <w:spacing w:line="240" w:lineRule="auto" w:before="0"/>
              <w:jc w:val="left"/>
              <w:rPr>
                <w:rFonts w:ascii="Times New Roman"/>
                <w:sz w:val="10"/>
              </w:rPr>
            </w:pPr>
          </w:p>
        </w:tc>
        <w:tc>
          <w:tcPr>
            <w:tcW w:w="1803" w:type="dxa"/>
          </w:tcPr>
          <w:p>
            <w:pPr>
              <w:pStyle w:val="TableParagraph"/>
              <w:spacing w:line="240" w:lineRule="auto" w:before="0"/>
              <w:jc w:val="left"/>
              <w:rPr>
                <w:rFonts w:ascii="Times New Roman"/>
                <w:sz w:val="10"/>
              </w:rPr>
            </w:pPr>
          </w:p>
        </w:tc>
        <w:tc>
          <w:tcPr>
            <w:tcW w:w="1760" w:type="dxa"/>
          </w:tcPr>
          <w:p>
            <w:pPr>
              <w:pStyle w:val="TableParagraph"/>
              <w:spacing w:line="154" w:lineRule="exact" w:before="0"/>
              <w:ind w:left="126" w:right="105"/>
              <w:jc w:val="center"/>
              <w:rPr>
                <w:sz w:val="16"/>
              </w:rPr>
            </w:pPr>
            <w:r>
              <w:rPr>
                <w:sz w:val="16"/>
              </w:rPr>
              <w:t>Educación promedio</w:t>
            </w:r>
          </w:p>
        </w:tc>
        <w:tc>
          <w:tcPr>
            <w:tcW w:w="1765" w:type="dxa"/>
            <w:vMerge/>
            <w:tcBorders>
              <w:top w:val="nil"/>
              <w:bottom w:val="single" w:sz="4" w:space="0" w:color="000000"/>
            </w:tcBorders>
          </w:tcPr>
          <w:p>
            <w:pPr>
              <w:rPr>
                <w:sz w:val="2"/>
                <w:szCs w:val="2"/>
              </w:rPr>
            </w:pPr>
          </w:p>
        </w:tc>
        <w:tc>
          <w:tcPr>
            <w:tcW w:w="1743" w:type="dxa"/>
            <w:tcBorders>
              <w:right w:val="single" w:sz="4" w:space="0" w:color="000000"/>
            </w:tcBorders>
          </w:tcPr>
          <w:p>
            <w:pPr>
              <w:pStyle w:val="TableParagraph"/>
              <w:spacing w:line="240" w:lineRule="auto" w:before="0"/>
              <w:jc w:val="left"/>
              <w:rPr>
                <w:rFonts w:ascii="Times New Roman"/>
                <w:sz w:val="10"/>
              </w:rPr>
            </w:pPr>
          </w:p>
        </w:tc>
      </w:tr>
      <w:tr>
        <w:trPr>
          <w:trHeight w:val="726" w:hRule="atLeast"/>
        </w:trPr>
        <w:tc>
          <w:tcPr>
            <w:tcW w:w="1759" w:type="dxa"/>
            <w:tcBorders>
              <w:left w:val="single" w:sz="4" w:space="0" w:color="000000"/>
            </w:tcBorders>
          </w:tcPr>
          <w:p>
            <w:pPr>
              <w:pStyle w:val="TableParagraph"/>
              <w:spacing w:line="240" w:lineRule="auto" w:before="0"/>
              <w:jc w:val="left"/>
              <w:rPr>
                <w:rFonts w:ascii="Times New Roman"/>
                <w:sz w:val="18"/>
              </w:rPr>
            </w:pPr>
          </w:p>
        </w:tc>
        <w:tc>
          <w:tcPr>
            <w:tcW w:w="1803" w:type="dxa"/>
          </w:tcPr>
          <w:p>
            <w:pPr>
              <w:pStyle w:val="TableParagraph"/>
              <w:spacing w:before="0"/>
              <w:ind w:left="155" w:right="148"/>
              <w:jc w:val="center"/>
              <w:rPr>
                <w:sz w:val="16"/>
              </w:rPr>
            </w:pPr>
            <w:r>
              <w:rPr>
                <w:sz w:val="16"/>
              </w:rPr>
              <w:t>Escuelas per cápita</w:t>
            </w:r>
          </w:p>
          <w:p>
            <w:pPr>
              <w:pStyle w:val="TableParagraph"/>
              <w:spacing w:line="240" w:lineRule="auto" w:before="0"/>
              <w:jc w:val="left"/>
              <w:rPr>
                <w:i/>
                <w:sz w:val="16"/>
              </w:rPr>
            </w:pPr>
          </w:p>
          <w:p>
            <w:pPr>
              <w:pStyle w:val="TableParagraph"/>
              <w:spacing w:line="180" w:lineRule="atLeast" w:before="0"/>
              <w:ind w:left="413" w:right="400" w:firstLine="2"/>
              <w:jc w:val="center"/>
              <w:rPr>
                <w:sz w:val="16"/>
              </w:rPr>
            </w:pPr>
            <w:r>
              <w:rPr>
                <w:sz w:val="16"/>
              </w:rPr>
              <w:t>Distancia a universidades</w:t>
            </w:r>
          </w:p>
        </w:tc>
        <w:tc>
          <w:tcPr>
            <w:tcW w:w="1760" w:type="dxa"/>
          </w:tcPr>
          <w:p>
            <w:pPr>
              <w:pStyle w:val="TableParagraph"/>
              <w:spacing w:line="240" w:lineRule="auto" w:before="4"/>
              <w:jc w:val="left"/>
              <w:rPr>
                <w:i/>
                <w:sz w:val="15"/>
              </w:rPr>
            </w:pPr>
          </w:p>
          <w:p>
            <w:pPr>
              <w:pStyle w:val="TableParagraph"/>
              <w:spacing w:line="240" w:lineRule="auto" w:before="0"/>
              <w:ind w:left="399" w:right="353" w:firstLine="100"/>
              <w:jc w:val="left"/>
              <w:rPr>
                <w:sz w:val="16"/>
              </w:rPr>
            </w:pPr>
            <w:r>
              <w:rPr>
                <w:sz w:val="16"/>
              </w:rPr>
              <w:t>Distancia a universidades</w:t>
            </w:r>
          </w:p>
        </w:tc>
        <w:tc>
          <w:tcPr>
            <w:tcW w:w="1765" w:type="dxa"/>
            <w:vMerge/>
            <w:tcBorders>
              <w:top w:val="nil"/>
              <w:bottom w:val="single" w:sz="4" w:space="0" w:color="000000"/>
            </w:tcBorders>
          </w:tcPr>
          <w:p>
            <w:pPr>
              <w:rPr>
                <w:sz w:val="2"/>
                <w:szCs w:val="2"/>
              </w:rPr>
            </w:pPr>
          </w:p>
        </w:tc>
        <w:tc>
          <w:tcPr>
            <w:tcW w:w="1743" w:type="dxa"/>
            <w:tcBorders>
              <w:right w:val="single" w:sz="4" w:space="0" w:color="000000"/>
            </w:tcBorders>
          </w:tcPr>
          <w:p>
            <w:pPr>
              <w:pStyle w:val="TableParagraph"/>
              <w:spacing w:line="240" w:lineRule="auto" w:before="0"/>
              <w:ind w:left="519" w:hanging="380"/>
              <w:jc w:val="left"/>
              <w:rPr>
                <w:sz w:val="16"/>
              </w:rPr>
            </w:pPr>
            <w:r>
              <w:rPr>
                <w:sz w:val="16"/>
              </w:rPr>
              <w:t>Acceso a La Rambla (malecón)</w:t>
            </w:r>
          </w:p>
        </w:tc>
      </w:tr>
      <w:tr>
        <w:trPr>
          <w:trHeight w:val="363" w:hRule="atLeast"/>
        </w:trPr>
        <w:tc>
          <w:tcPr>
            <w:tcW w:w="1759" w:type="dxa"/>
            <w:tcBorders>
              <w:left w:val="single" w:sz="4" w:space="0" w:color="000000"/>
              <w:bottom w:val="single" w:sz="4" w:space="0" w:color="000000"/>
            </w:tcBorders>
          </w:tcPr>
          <w:p>
            <w:pPr>
              <w:pStyle w:val="TableParagraph"/>
              <w:spacing w:line="240" w:lineRule="auto" w:before="0"/>
              <w:jc w:val="left"/>
              <w:rPr>
                <w:rFonts w:ascii="Times New Roman"/>
                <w:sz w:val="18"/>
              </w:rPr>
            </w:pPr>
          </w:p>
        </w:tc>
        <w:tc>
          <w:tcPr>
            <w:tcW w:w="1803" w:type="dxa"/>
            <w:tcBorders>
              <w:bottom w:val="single" w:sz="4" w:space="0" w:color="000000"/>
            </w:tcBorders>
          </w:tcPr>
          <w:p>
            <w:pPr>
              <w:pStyle w:val="TableParagraph"/>
              <w:spacing w:line="240" w:lineRule="auto" w:before="1"/>
              <w:jc w:val="left"/>
              <w:rPr>
                <w:i/>
                <w:sz w:val="15"/>
              </w:rPr>
            </w:pPr>
          </w:p>
          <w:p>
            <w:pPr>
              <w:pStyle w:val="TableParagraph"/>
              <w:spacing w:line="169" w:lineRule="exact" w:before="0"/>
              <w:ind w:left="137" w:right="122"/>
              <w:jc w:val="center"/>
              <w:rPr>
                <w:sz w:val="16"/>
              </w:rPr>
            </w:pPr>
            <w:r>
              <w:rPr>
                <w:sz w:val="16"/>
              </w:rPr>
              <w:t>Desempleo más bajo</w:t>
            </w:r>
          </w:p>
        </w:tc>
        <w:tc>
          <w:tcPr>
            <w:tcW w:w="1760" w:type="dxa"/>
            <w:tcBorders>
              <w:bottom w:val="single" w:sz="4" w:space="0" w:color="000000"/>
            </w:tcBorders>
          </w:tcPr>
          <w:p>
            <w:pPr>
              <w:pStyle w:val="TableParagraph"/>
              <w:spacing w:line="174" w:lineRule="exact" w:before="0"/>
              <w:ind w:left="129" w:right="101"/>
              <w:jc w:val="center"/>
              <w:rPr>
                <w:sz w:val="16"/>
              </w:rPr>
            </w:pPr>
            <w:r>
              <w:rPr>
                <w:sz w:val="16"/>
              </w:rPr>
              <w:t>Distancia a lugares</w:t>
            </w:r>
          </w:p>
          <w:p>
            <w:pPr>
              <w:pStyle w:val="TableParagraph"/>
              <w:spacing w:line="169" w:lineRule="exact" w:before="0"/>
              <w:ind w:left="129" w:right="100"/>
              <w:jc w:val="center"/>
              <w:rPr>
                <w:sz w:val="16"/>
              </w:rPr>
            </w:pPr>
            <w:r>
              <w:rPr>
                <w:sz w:val="16"/>
              </w:rPr>
              <w:t>de valor cultural</w:t>
            </w:r>
          </w:p>
        </w:tc>
        <w:tc>
          <w:tcPr>
            <w:tcW w:w="1765" w:type="dxa"/>
            <w:vMerge/>
            <w:tcBorders>
              <w:top w:val="nil"/>
              <w:bottom w:val="single" w:sz="4" w:space="0" w:color="000000"/>
            </w:tcBorders>
          </w:tcPr>
          <w:p>
            <w:pPr>
              <w:rPr>
                <w:sz w:val="2"/>
                <w:szCs w:val="2"/>
              </w:rPr>
            </w:pPr>
          </w:p>
        </w:tc>
        <w:tc>
          <w:tcPr>
            <w:tcW w:w="1743" w:type="dxa"/>
            <w:tcBorders>
              <w:bottom w:val="single" w:sz="4" w:space="0" w:color="000000"/>
              <w:right w:val="single" w:sz="4" w:space="0" w:color="000000"/>
            </w:tcBorders>
          </w:tcPr>
          <w:p>
            <w:pPr>
              <w:pStyle w:val="TableParagraph"/>
              <w:spacing w:line="240" w:lineRule="auto" w:before="0"/>
              <w:jc w:val="left"/>
              <w:rPr>
                <w:rFonts w:ascii="Times New Roman"/>
                <w:sz w:val="18"/>
              </w:rPr>
            </w:pPr>
          </w:p>
        </w:tc>
      </w:tr>
    </w:tbl>
    <w:p>
      <w:pPr>
        <w:pStyle w:val="BodyText"/>
        <w:rPr>
          <w:i/>
          <w:sz w:val="20"/>
        </w:rPr>
      </w:pPr>
    </w:p>
    <w:p>
      <w:pPr>
        <w:pStyle w:val="BodyText"/>
        <w:spacing w:before="1"/>
        <w:rPr>
          <w:i/>
          <w:sz w:val="25"/>
        </w:rPr>
      </w:pPr>
    </w:p>
    <w:p>
      <w:pPr>
        <w:pStyle w:val="BodyText"/>
        <w:spacing w:line="360" w:lineRule="auto" w:before="93"/>
        <w:ind w:left="100" w:right="115"/>
        <w:jc w:val="both"/>
      </w:pPr>
      <w:r>
        <w:rPr/>
        <w:t>En algunas ciudades la distancia a una carretera o camino principal tendrá diversos efectos. En algunos contextos puede considerarse cercanía a contaminación, en otros, menor tiempo de traslado a sitios importantes. En Buenos Aires y Medellín, la distancia al metro produce una correlación positiva. La presencia de servicios básicos consistentemente influye en precios más altos. La proximidad a las escuelas, parques, espacios verdes y seguridad como variables de las vecindades, se correlacionan</w:t>
      </w:r>
    </w:p>
    <w:p>
      <w:pPr>
        <w:spacing w:after="0" w:line="360" w:lineRule="auto"/>
        <w:jc w:val="both"/>
        <w:sectPr>
          <w:pgSz w:w="12240" w:h="15840"/>
          <w:pgMar w:header="0" w:footer="1330" w:top="1500" w:bottom="1580" w:left="1340" w:right="1320"/>
        </w:sectPr>
      </w:pPr>
    </w:p>
    <w:p>
      <w:pPr>
        <w:pStyle w:val="BodyText"/>
        <w:spacing w:line="362" w:lineRule="auto" w:before="107"/>
        <w:ind w:left="100" w:right="125"/>
        <w:jc w:val="both"/>
      </w:pPr>
      <w:r>
        <w:rPr/>
        <w:t>positivamente en general. Asimismo, variables que indiquen la segregación por características socio-económicas parecen tener similar efecto (Lora &amp; Powell, 2011).</w:t>
      </w:r>
    </w:p>
    <w:p>
      <w:pPr>
        <w:pStyle w:val="BodyText"/>
        <w:spacing w:line="360" w:lineRule="auto" w:before="195"/>
        <w:ind w:left="100" w:right="120"/>
        <w:jc w:val="both"/>
      </w:pPr>
      <w:r>
        <w:rPr/>
        <w:t>Lo cierto es que esta revisión demuestra que en América Latina las características específicas del contexto geográfico inmediato que se examina son sumamente determinantes de las variables que afectan el precio de los inmuebles. Podría asumirse como hipótesis para discusión que esta variabilidad posiblemente tiene que ver con la gran diversidad geográfica que caracteriza a la región.</w:t>
      </w:r>
    </w:p>
    <w:p>
      <w:pPr>
        <w:pStyle w:val="BodyText"/>
        <w:spacing w:line="360" w:lineRule="auto" w:before="202"/>
        <w:ind w:left="100" w:right="113"/>
        <w:jc w:val="both"/>
      </w:pPr>
      <w:r>
        <w:rPr/>
        <w:t>Según los autores hay mayor homogeneidad en los estudios en lo que respecta a las características</w:t>
      </w:r>
      <w:r>
        <w:rPr>
          <w:spacing w:val="-12"/>
        </w:rPr>
        <w:t> </w:t>
      </w:r>
      <w:r>
        <w:rPr/>
        <w:t>mismas</w:t>
      </w:r>
      <w:r>
        <w:rPr>
          <w:spacing w:val="-11"/>
        </w:rPr>
        <w:t> </w:t>
      </w:r>
      <w:r>
        <w:rPr/>
        <w:t>de</w:t>
      </w:r>
      <w:r>
        <w:rPr>
          <w:spacing w:val="-13"/>
        </w:rPr>
        <w:t> </w:t>
      </w:r>
      <w:r>
        <w:rPr/>
        <w:t>la</w:t>
      </w:r>
      <w:r>
        <w:rPr>
          <w:spacing w:val="-16"/>
        </w:rPr>
        <w:t> </w:t>
      </w:r>
      <w:r>
        <w:rPr/>
        <w:t>vivienda.</w:t>
      </w:r>
      <w:r>
        <w:rPr>
          <w:spacing w:val="-9"/>
        </w:rPr>
        <w:t> </w:t>
      </w:r>
      <w:r>
        <w:rPr/>
        <w:t>Así,</w:t>
      </w:r>
      <w:r>
        <w:rPr>
          <w:spacing w:val="-14"/>
        </w:rPr>
        <w:t> </w:t>
      </w:r>
      <w:r>
        <w:rPr/>
        <w:t>el</w:t>
      </w:r>
      <w:r>
        <w:rPr>
          <w:spacing w:val="-15"/>
        </w:rPr>
        <w:t> </w:t>
      </w:r>
      <w:r>
        <w:rPr/>
        <w:t>número</w:t>
      </w:r>
      <w:r>
        <w:rPr>
          <w:spacing w:val="-17"/>
        </w:rPr>
        <w:t> </w:t>
      </w:r>
      <w:r>
        <w:rPr/>
        <w:t>de</w:t>
      </w:r>
      <w:r>
        <w:rPr>
          <w:spacing w:val="-13"/>
        </w:rPr>
        <w:t> </w:t>
      </w:r>
      <w:r>
        <w:rPr/>
        <w:t>habitaciones</w:t>
      </w:r>
      <w:r>
        <w:rPr>
          <w:spacing w:val="-11"/>
        </w:rPr>
        <w:t> </w:t>
      </w:r>
      <w:r>
        <w:rPr/>
        <w:t>y</w:t>
      </w:r>
      <w:r>
        <w:rPr>
          <w:spacing w:val="-12"/>
        </w:rPr>
        <w:t> </w:t>
      </w:r>
      <w:r>
        <w:rPr/>
        <w:t>baños</w:t>
      </w:r>
      <w:r>
        <w:rPr>
          <w:spacing w:val="-15"/>
        </w:rPr>
        <w:t> </w:t>
      </w:r>
      <w:r>
        <w:rPr/>
        <w:t>tienen</w:t>
      </w:r>
      <w:r>
        <w:rPr>
          <w:spacing w:val="-13"/>
        </w:rPr>
        <w:t> </w:t>
      </w:r>
      <w:r>
        <w:rPr/>
        <w:t>una correlación positiva mientras que la edad de la casa tiene correlación negativa con el precio. En algunas ciudades la presencia de un garaje o una cocina exclusiva parecen factores importantes determinados por la cultura local. Los autores recopilan que los estudios muestran que las características del entorno explican entre un 30 y un 39% de la varianza en los precios frente a un rango de entre 61%-70% en el caso de las características de la vivienda (Lora, et al., 2010). Consideran así que las características del entorno son efectivamente significativas dentro de los modelos hedónicos de estimación del precio de las</w:t>
      </w:r>
      <w:r>
        <w:rPr>
          <w:spacing w:val="-5"/>
        </w:rPr>
        <w:t> </w:t>
      </w:r>
      <w:r>
        <w:rPr/>
        <w:t>viviendas.</w:t>
      </w:r>
    </w:p>
    <w:p>
      <w:pPr>
        <w:pStyle w:val="BodyText"/>
        <w:spacing w:line="357" w:lineRule="auto" w:before="202"/>
        <w:ind w:left="100" w:right="121"/>
        <w:jc w:val="both"/>
      </w:pPr>
      <w:r>
        <w:rPr/>
        <w:t>Se</w:t>
      </w:r>
      <w:r>
        <w:rPr>
          <w:spacing w:val="-8"/>
        </w:rPr>
        <w:t> </w:t>
      </w:r>
      <w:r>
        <w:rPr/>
        <w:t>parte</w:t>
      </w:r>
      <w:r>
        <w:rPr>
          <w:spacing w:val="-3"/>
        </w:rPr>
        <w:t> </w:t>
      </w:r>
      <w:r>
        <w:rPr/>
        <w:t>de</w:t>
      </w:r>
      <w:r>
        <w:rPr>
          <w:spacing w:val="-3"/>
        </w:rPr>
        <w:t> </w:t>
      </w:r>
      <w:r>
        <w:rPr/>
        <w:t>este</w:t>
      </w:r>
      <w:r>
        <w:rPr>
          <w:spacing w:val="-7"/>
        </w:rPr>
        <w:t> </w:t>
      </w:r>
      <w:r>
        <w:rPr/>
        <w:t>desarrollo metodológico</w:t>
      </w:r>
      <w:r>
        <w:rPr>
          <w:spacing w:val="-6"/>
        </w:rPr>
        <w:t> </w:t>
      </w:r>
      <w:r>
        <w:rPr/>
        <w:t>en</w:t>
      </w:r>
      <w:r>
        <w:rPr>
          <w:spacing w:val="-7"/>
        </w:rPr>
        <w:t> </w:t>
      </w:r>
      <w:r>
        <w:rPr/>
        <w:t>esta</w:t>
      </w:r>
      <w:r>
        <w:rPr>
          <w:spacing w:val="-7"/>
        </w:rPr>
        <w:t> </w:t>
      </w:r>
      <w:r>
        <w:rPr/>
        <w:t>tesis.</w:t>
      </w:r>
      <w:r>
        <w:rPr>
          <w:spacing w:val="-4"/>
        </w:rPr>
        <w:t> </w:t>
      </w:r>
      <w:r>
        <w:rPr/>
        <w:t>En</w:t>
      </w:r>
      <w:r>
        <w:rPr>
          <w:spacing w:val="-7"/>
        </w:rPr>
        <w:t> </w:t>
      </w:r>
      <w:r>
        <w:rPr/>
        <w:t>la</w:t>
      </w:r>
      <w:r>
        <w:rPr>
          <w:spacing w:val="-3"/>
        </w:rPr>
        <w:t> </w:t>
      </w:r>
      <w:r>
        <w:rPr/>
        <w:t>sección</w:t>
      </w:r>
      <w:r>
        <w:rPr>
          <w:spacing w:val="-7"/>
        </w:rPr>
        <w:t> </w:t>
      </w:r>
      <w:r>
        <w:rPr/>
        <w:t>de</w:t>
      </w:r>
      <w:r>
        <w:rPr>
          <w:spacing w:val="-4"/>
        </w:rPr>
        <w:t> </w:t>
      </w:r>
      <w:r>
        <w:rPr/>
        <w:t>metodología</w:t>
      </w:r>
      <w:r>
        <w:rPr>
          <w:spacing w:val="-7"/>
        </w:rPr>
        <w:t> </w:t>
      </w:r>
      <w:r>
        <w:rPr/>
        <w:t>se comentarán las aplicaciones existentes en el contexto</w:t>
      </w:r>
      <w:r>
        <w:rPr>
          <w:spacing w:val="-8"/>
        </w:rPr>
        <w:t> </w:t>
      </w:r>
      <w:r>
        <w:rPr/>
        <w:t>costarricense.</w:t>
      </w:r>
    </w:p>
    <w:p>
      <w:pPr>
        <w:pStyle w:val="Heading2"/>
        <w:numPr>
          <w:ilvl w:val="1"/>
          <w:numId w:val="3"/>
        </w:numPr>
        <w:tabs>
          <w:tab w:pos="821" w:val="left" w:leader="none"/>
        </w:tabs>
        <w:spacing w:line="240" w:lineRule="auto" w:before="202" w:after="0"/>
        <w:ind w:left="820" w:right="0" w:hanging="721"/>
        <w:jc w:val="both"/>
      </w:pPr>
      <w:bookmarkStart w:name="_bookmark22" w:id="28"/>
      <w:bookmarkEnd w:id="28"/>
      <w:r>
        <w:rPr>
          <w:b w:val="0"/>
        </w:rPr>
      </w:r>
      <w:bookmarkStart w:name="_bookmark22" w:id="29"/>
      <w:bookmarkEnd w:id="29"/>
      <w:r>
        <w:rPr/>
        <w:t>L</w:t>
      </w:r>
      <w:r>
        <w:rPr/>
        <w:t>enguajes</w:t>
      </w:r>
      <w:r>
        <w:rPr>
          <w:spacing w:val="-2"/>
        </w:rPr>
        <w:t> </w:t>
      </w:r>
      <w:r>
        <w:rPr/>
        <w:t>Biofísicos</w:t>
      </w:r>
    </w:p>
    <w:p>
      <w:pPr>
        <w:pStyle w:val="BodyText"/>
        <w:spacing w:before="6"/>
        <w:rPr>
          <w:b/>
          <w:sz w:val="29"/>
        </w:rPr>
      </w:pPr>
    </w:p>
    <w:p>
      <w:pPr>
        <w:pStyle w:val="ListParagraph"/>
        <w:numPr>
          <w:ilvl w:val="0"/>
          <w:numId w:val="5"/>
        </w:numPr>
        <w:tabs>
          <w:tab w:pos="821" w:val="left" w:leader="none"/>
        </w:tabs>
        <w:spacing w:line="240" w:lineRule="auto" w:before="0" w:after="0"/>
        <w:ind w:left="820" w:right="0" w:hanging="721"/>
        <w:jc w:val="both"/>
        <w:rPr>
          <w:sz w:val="24"/>
        </w:rPr>
      </w:pPr>
      <w:r>
        <w:rPr>
          <w:sz w:val="24"/>
        </w:rPr>
        <w:t>Teoría</w:t>
      </w:r>
      <w:r>
        <w:rPr>
          <w:spacing w:val="-2"/>
          <w:sz w:val="24"/>
        </w:rPr>
        <w:t> </w:t>
      </w:r>
      <w:r>
        <w:rPr>
          <w:sz w:val="24"/>
        </w:rPr>
        <w:t>General</w:t>
      </w:r>
    </w:p>
    <w:p>
      <w:pPr>
        <w:pStyle w:val="BodyText"/>
        <w:spacing w:before="8"/>
        <w:rPr>
          <w:sz w:val="22"/>
        </w:rPr>
      </w:pPr>
    </w:p>
    <w:p>
      <w:pPr>
        <w:pStyle w:val="BodyText"/>
        <w:spacing w:line="360" w:lineRule="auto"/>
        <w:ind w:left="100" w:right="118"/>
        <w:jc w:val="both"/>
      </w:pPr>
      <w:r>
        <w:rPr/>
        <w:t>Un segundo grupo de lenguajes contabiliza los efectos entre sistemas naturales y humanos, usando unidades biofísicas. Este esfuerzo por la medición conjunta responde a la comprensión de que los sistemas socio-ecológicos, entre ellos la economía, se caracterizan por su uso y degradación de la energía y de la materia. La actividad económica</w:t>
      </w:r>
      <w:r>
        <w:rPr>
          <w:spacing w:val="-6"/>
        </w:rPr>
        <w:t> </w:t>
      </w:r>
      <w:r>
        <w:rPr/>
        <w:t>fundamentalmente</w:t>
      </w:r>
      <w:r>
        <w:rPr>
          <w:spacing w:val="-6"/>
        </w:rPr>
        <w:t> </w:t>
      </w:r>
      <w:r>
        <w:rPr/>
        <w:t>toma</w:t>
      </w:r>
      <w:r>
        <w:rPr>
          <w:spacing w:val="-6"/>
        </w:rPr>
        <w:t> </w:t>
      </w:r>
      <w:r>
        <w:rPr/>
        <w:t>energía</w:t>
      </w:r>
      <w:r>
        <w:rPr>
          <w:spacing w:val="-2"/>
        </w:rPr>
        <w:t> </w:t>
      </w:r>
      <w:r>
        <w:rPr/>
        <w:t>y</w:t>
      </w:r>
      <w:r>
        <w:rPr>
          <w:spacing w:val="-8"/>
        </w:rPr>
        <w:t> </w:t>
      </w:r>
      <w:r>
        <w:rPr/>
        <w:t>materiales</w:t>
      </w:r>
      <w:r>
        <w:rPr>
          <w:spacing w:val="-4"/>
        </w:rPr>
        <w:t> </w:t>
      </w:r>
      <w:r>
        <w:rPr/>
        <w:t>de</w:t>
      </w:r>
      <w:r>
        <w:rPr>
          <w:spacing w:val="-6"/>
        </w:rPr>
        <w:t> </w:t>
      </w:r>
      <w:r>
        <w:rPr/>
        <w:t>la</w:t>
      </w:r>
      <w:r>
        <w:rPr>
          <w:spacing w:val="-6"/>
        </w:rPr>
        <w:t> </w:t>
      </w:r>
      <w:r>
        <w:rPr/>
        <w:t>naturaleza.</w:t>
      </w:r>
      <w:r>
        <w:rPr>
          <w:spacing w:val="-4"/>
        </w:rPr>
        <w:t> </w:t>
      </w:r>
      <w:r>
        <w:rPr/>
        <w:t>Ello</w:t>
      </w:r>
      <w:r>
        <w:rPr>
          <w:spacing w:val="-5"/>
        </w:rPr>
        <w:t> </w:t>
      </w:r>
      <w:r>
        <w:rPr/>
        <w:t>posibilita los procesos productivos. Se devuelven a la naturaleza desechos degradados. Es</w:t>
      </w:r>
      <w:r>
        <w:rPr>
          <w:spacing w:val="-46"/>
        </w:rPr>
        <w:t> </w:t>
      </w:r>
      <w:r>
        <w:rPr/>
        <w:t>decir,</w:t>
      </w:r>
    </w:p>
    <w:p>
      <w:pPr>
        <w:spacing w:after="0" w:line="360" w:lineRule="auto"/>
        <w:jc w:val="both"/>
        <w:sectPr>
          <w:pgSz w:w="12240" w:h="15840"/>
          <w:pgMar w:header="0" w:footer="1330" w:top="1500" w:bottom="1580" w:left="1340" w:right="1320"/>
        </w:sectPr>
      </w:pPr>
    </w:p>
    <w:p>
      <w:pPr>
        <w:pStyle w:val="BodyText"/>
        <w:spacing w:line="362" w:lineRule="auto" w:before="107"/>
        <w:ind w:left="100" w:right="122"/>
        <w:jc w:val="both"/>
      </w:pPr>
      <w:r>
        <w:rPr/>
        <w:t>se configura un transflujo de recursos a través del sistema económico (Georgescu- Roegen, 1971; Gowdy &amp; Mesner, 1998).</w:t>
      </w:r>
    </w:p>
    <w:p>
      <w:pPr>
        <w:pStyle w:val="BodyText"/>
        <w:spacing w:line="360" w:lineRule="auto" w:before="115"/>
        <w:ind w:left="100" w:right="117"/>
        <w:jc w:val="both"/>
      </w:pPr>
      <w:r>
        <w:rPr/>
        <w:t>La contabilidad del valor se concentra en ese uso que degrada y su efecto sobre las reservas</w:t>
      </w:r>
      <w:r>
        <w:rPr>
          <w:spacing w:val="-8"/>
        </w:rPr>
        <w:t> </w:t>
      </w:r>
      <w:r>
        <w:rPr/>
        <w:t>ecológicas.</w:t>
      </w:r>
      <w:r>
        <w:rPr>
          <w:spacing w:val="-6"/>
        </w:rPr>
        <w:t> </w:t>
      </w:r>
      <w:r>
        <w:rPr/>
        <w:t>La</w:t>
      </w:r>
      <w:r>
        <w:rPr>
          <w:spacing w:val="-9"/>
        </w:rPr>
        <w:t> </w:t>
      </w:r>
      <w:r>
        <w:rPr/>
        <w:t>fuente</w:t>
      </w:r>
      <w:r>
        <w:rPr>
          <w:spacing w:val="-9"/>
        </w:rPr>
        <w:t> </w:t>
      </w:r>
      <w:r>
        <w:rPr/>
        <w:t>de</w:t>
      </w:r>
      <w:r>
        <w:rPr>
          <w:spacing w:val="-8"/>
        </w:rPr>
        <w:t> </w:t>
      </w:r>
      <w:r>
        <w:rPr/>
        <w:t>la</w:t>
      </w:r>
      <w:r>
        <w:rPr>
          <w:spacing w:val="-9"/>
        </w:rPr>
        <w:t> </w:t>
      </w:r>
      <w:r>
        <w:rPr/>
        <w:t>relevancia</w:t>
      </w:r>
      <w:r>
        <w:rPr>
          <w:spacing w:val="-9"/>
        </w:rPr>
        <w:t> </w:t>
      </w:r>
      <w:r>
        <w:rPr/>
        <w:t>cambia</w:t>
      </w:r>
      <w:r>
        <w:rPr>
          <w:spacing w:val="-9"/>
        </w:rPr>
        <w:t> </w:t>
      </w:r>
      <w:r>
        <w:rPr/>
        <w:t>del</w:t>
      </w:r>
      <w:r>
        <w:rPr>
          <w:spacing w:val="-9"/>
        </w:rPr>
        <w:t> </w:t>
      </w:r>
      <w:r>
        <w:rPr/>
        <w:t>valor</w:t>
      </w:r>
      <w:r>
        <w:rPr>
          <w:spacing w:val="-7"/>
        </w:rPr>
        <w:t> </w:t>
      </w:r>
      <w:r>
        <w:rPr/>
        <w:t>monetario</w:t>
      </w:r>
      <w:r>
        <w:rPr>
          <w:spacing w:val="-8"/>
        </w:rPr>
        <w:t> </w:t>
      </w:r>
      <w:r>
        <w:rPr/>
        <w:t>a</w:t>
      </w:r>
      <w:r>
        <w:rPr>
          <w:spacing w:val="-9"/>
        </w:rPr>
        <w:t> </w:t>
      </w:r>
      <w:r>
        <w:rPr/>
        <w:t>la</w:t>
      </w:r>
      <w:r>
        <w:rPr>
          <w:spacing w:val="-9"/>
        </w:rPr>
        <w:t> </w:t>
      </w:r>
      <w:r>
        <w:rPr/>
        <w:t>medición física de las reservas y flujos de energía y materiales (Aguilar,</w:t>
      </w:r>
      <w:r>
        <w:rPr>
          <w:spacing w:val="-11"/>
        </w:rPr>
        <w:t> </w:t>
      </w:r>
      <w:r>
        <w:rPr/>
        <w:t>2002).</w:t>
      </w:r>
    </w:p>
    <w:p>
      <w:pPr>
        <w:pStyle w:val="BodyText"/>
        <w:spacing w:line="360" w:lineRule="auto" w:before="202"/>
        <w:ind w:left="100" w:right="110"/>
        <w:jc w:val="both"/>
      </w:pPr>
      <w:r>
        <w:rPr/>
        <w:t>Esta</w:t>
      </w:r>
      <w:r>
        <w:rPr>
          <w:spacing w:val="-8"/>
        </w:rPr>
        <w:t> </w:t>
      </w:r>
      <w:r>
        <w:rPr/>
        <w:t>idea</w:t>
      </w:r>
      <w:r>
        <w:rPr>
          <w:spacing w:val="-6"/>
        </w:rPr>
        <w:t> </w:t>
      </w:r>
      <w:r>
        <w:rPr/>
        <w:t>es</w:t>
      </w:r>
      <w:r>
        <w:rPr>
          <w:spacing w:val="-5"/>
        </w:rPr>
        <w:t> </w:t>
      </w:r>
      <w:r>
        <w:rPr/>
        <w:t>abrazada</w:t>
      </w:r>
      <w:r>
        <w:rPr>
          <w:spacing w:val="-8"/>
        </w:rPr>
        <w:t> </w:t>
      </w:r>
      <w:r>
        <w:rPr/>
        <w:t>por</w:t>
      </w:r>
      <w:r>
        <w:rPr>
          <w:spacing w:val="-5"/>
        </w:rPr>
        <w:t> </w:t>
      </w:r>
      <w:r>
        <w:rPr/>
        <w:t>diversos</w:t>
      </w:r>
      <w:r>
        <w:rPr>
          <w:spacing w:val="-4"/>
        </w:rPr>
        <w:t> </w:t>
      </w:r>
      <w:r>
        <w:rPr/>
        <w:t>autores</w:t>
      </w:r>
      <w:r>
        <w:rPr>
          <w:spacing w:val="-5"/>
        </w:rPr>
        <w:t> </w:t>
      </w:r>
      <w:r>
        <w:rPr/>
        <w:t>como</w:t>
      </w:r>
      <w:r>
        <w:rPr>
          <w:spacing w:val="-8"/>
        </w:rPr>
        <w:t> </w:t>
      </w:r>
      <w:r>
        <w:rPr/>
        <w:t>Odum,</w:t>
      </w:r>
      <w:r>
        <w:rPr>
          <w:spacing w:val="-4"/>
        </w:rPr>
        <w:t> </w:t>
      </w:r>
      <w:r>
        <w:rPr/>
        <w:t>que</w:t>
      </w:r>
      <w:r>
        <w:rPr>
          <w:spacing w:val="-7"/>
        </w:rPr>
        <w:t> </w:t>
      </w:r>
      <w:r>
        <w:rPr/>
        <w:t>dice</w:t>
      </w:r>
      <w:r>
        <w:rPr>
          <w:spacing w:val="-7"/>
        </w:rPr>
        <w:t> </w:t>
      </w:r>
      <w:r>
        <w:rPr/>
        <w:t>que</w:t>
      </w:r>
      <w:r>
        <w:rPr>
          <w:spacing w:val="-8"/>
        </w:rPr>
        <w:t> </w:t>
      </w:r>
      <w:r>
        <w:rPr/>
        <w:t>una</w:t>
      </w:r>
      <w:r>
        <w:rPr>
          <w:spacing w:val="-7"/>
        </w:rPr>
        <w:t> </w:t>
      </w:r>
      <w:r>
        <w:rPr/>
        <w:t>medida</w:t>
      </w:r>
      <w:r>
        <w:rPr>
          <w:spacing w:val="-7"/>
        </w:rPr>
        <w:t> </w:t>
      </w:r>
      <w:r>
        <w:rPr/>
        <w:t>de</w:t>
      </w:r>
      <w:r>
        <w:rPr>
          <w:spacing w:val="-7"/>
        </w:rPr>
        <w:t> </w:t>
      </w:r>
      <w:r>
        <w:rPr/>
        <w:t>la riqueza verdadera requiere de un valor determinado por la energía o los materiales requeridos para crear los objetos (Odum, 1996). Daly, propone medir la productividad como función del valor extraído por unidad de recurso (Daly, 1990). Estas ideas demandan</w:t>
      </w:r>
      <w:r>
        <w:rPr>
          <w:spacing w:val="-9"/>
        </w:rPr>
        <w:t> </w:t>
      </w:r>
      <w:r>
        <w:rPr/>
        <w:t>un</w:t>
      </w:r>
      <w:r>
        <w:rPr>
          <w:spacing w:val="-9"/>
        </w:rPr>
        <w:t> </w:t>
      </w:r>
      <w:r>
        <w:rPr/>
        <w:t>enfoque</w:t>
      </w:r>
      <w:r>
        <w:rPr>
          <w:spacing w:val="-9"/>
        </w:rPr>
        <w:t> </w:t>
      </w:r>
      <w:r>
        <w:rPr/>
        <w:t>verdaderamente</w:t>
      </w:r>
      <w:r>
        <w:rPr>
          <w:spacing w:val="-8"/>
        </w:rPr>
        <w:t> </w:t>
      </w:r>
      <w:r>
        <w:rPr/>
        <w:t>interdisciplinario.</w:t>
      </w:r>
      <w:r>
        <w:rPr>
          <w:spacing w:val="-6"/>
        </w:rPr>
        <w:t> </w:t>
      </w:r>
      <w:r>
        <w:rPr/>
        <w:t>Se</w:t>
      </w:r>
      <w:r>
        <w:rPr>
          <w:spacing w:val="-9"/>
        </w:rPr>
        <w:t> </w:t>
      </w:r>
      <w:r>
        <w:rPr/>
        <w:t>puede</w:t>
      </w:r>
      <w:r>
        <w:rPr>
          <w:spacing w:val="-9"/>
        </w:rPr>
        <w:t> </w:t>
      </w:r>
      <w:r>
        <w:rPr/>
        <w:t>decir</w:t>
      </w:r>
      <w:r>
        <w:rPr>
          <w:spacing w:val="-7"/>
        </w:rPr>
        <w:t> </w:t>
      </w:r>
      <w:r>
        <w:rPr/>
        <w:t>que</w:t>
      </w:r>
      <w:r>
        <w:rPr>
          <w:spacing w:val="-8"/>
        </w:rPr>
        <w:t> </w:t>
      </w:r>
      <w:r>
        <w:rPr/>
        <w:t>se</w:t>
      </w:r>
      <w:r>
        <w:rPr>
          <w:spacing w:val="-9"/>
        </w:rPr>
        <w:t> </w:t>
      </w:r>
      <w:r>
        <w:rPr/>
        <w:t>trata</w:t>
      </w:r>
      <w:r>
        <w:rPr>
          <w:spacing w:val="-9"/>
        </w:rPr>
        <w:t> </w:t>
      </w:r>
      <w:r>
        <w:rPr/>
        <w:t>de la Economía Ecológica en su más puro sentido. Lo que Martínez Alier llamó la “oikonomía” (Martínez-Alier,</w:t>
      </w:r>
      <w:r>
        <w:rPr>
          <w:spacing w:val="2"/>
        </w:rPr>
        <w:t> </w:t>
      </w:r>
      <w:r>
        <w:rPr/>
        <w:t>2011).</w:t>
      </w:r>
    </w:p>
    <w:p>
      <w:pPr>
        <w:pStyle w:val="BodyText"/>
        <w:spacing w:line="360" w:lineRule="auto" w:before="199"/>
        <w:ind w:left="100" w:right="117"/>
        <w:jc w:val="both"/>
      </w:pPr>
      <w:r>
        <w:rPr/>
        <w:t>Pueden</w:t>
      </w:r>
      <w:r>
        <w:rPr>
          <w:spacing w:val="-13"/>
        </w:rPr>
        <w:t> </w:t>
      </w:r>
      <w:r>
        <w:rPr/>
        <w:t>encontrarse</w:t>
      </w:r>
      <w:r>
        <w:rPr>
          <w:spacing w:val="-12"/>
        </w:rPr>
        <w:t> </w:t>
      </w:r>
      <w:r>
        <w:rPr/>
        <w:t>en</w:t>
      </w:r>
      <w:r>
        <w:rPr>
          <w:spacing w:val="-12"/>
        </w:rPr>
        <w:t> </w:t>
      </w:r>
      <w:r>
        <w:rPr/>
        <w:t>esta</w:t>
      </w:r>
      <w:r>
        <w:rPr>
          <w:spacing w:val="-8"/>
        </w:rPr>
        <w:t> </w:t>
      </w:r>
      <w:r>
        <w:rPr/>
        <w:t>línea</w:t>
      </w:r>
      <w:r>
        <w:rPr>
          <w:spacing w:val="-8"/>
        </w:rPr>
        <w:t> </w:t>
      </w:r>
      <w:r>
        <w:rPr/>
        <w:t>de</w:t>
      </w:r>
      <w:r>
        <w:rPr>
          <w:spacing w:val="-13"/>
        </w:rPr>
        <w:t> </w:t>
      </w:r>
      <w:r>
        <w:rPr/>
        <w:t>lenguajes</w:t>
      </w:r>
      <w:r>
        <w:rPr>
          <w:spacing w:val="-10"/>
        </w:rPr>
        <w:t> </w:t>
      </w:r>
      <w:r>
        <w:rPr/>
        <w:t>varios</w:t>
      </w:r>
      <w:r>
        <w:rPr>
          <w:spacing w:val="-10"/>
        </w:rPr>
        <w:t> </w:t>
      </w:r>
      <w:r>
        <w:rPr/>
        <w:t>enfoques</w:t>
      </w:r>
      <w:r>
        <w:rPr>
          <w:spacing w:val="-6"/>
        </w:rPr>
        <w:t> </w:t>
      </w:r>
      <w:r>
        <w:rPr/>
        <w:t>sobre</w:t>
      </w:r>
      <w:r>
        <w:rPr>
          <w:spacing w:val="-13"/>
        </w:rPr>
        <w:t> </w:t>
      </w:r>
      <w:r>
        <w:rPr/>
        <w:t>la</w:t>
      </w:r>
      <w:r>
        <w:rPr>
          <w:spacing w:val="-12"/>
        </w:rPr>
        <w:t> </w:t>
      </w:r>
      <w:r>
        <w:rPr/>
        <w:t>contabilidad</w:t>
      </w:r>
      <w:r>
        <w:rPr>
          <w:spacing w:val="-9"/>
        </w:rPr>
        <w:t> </w:t>
      </w:r>
      <w:r>
        <w:rPr/>
        <w:t>del valor</w:t>
      </w:r>
      <w:r>
        <w:rPr>
          <w:spacing w:val="-9"/>
        </w:rPr>
        <w:t> </w:t>
      </w:r>
      <w:r>
        <w:rPr/>
        <w:t>que</w:t>
      </w:r>
      <w:r>
        <w:rPr>
          <w:spacing w:val="-9"/>
        </w:rPr>
        <w:t> </w:t>
      </w:r>
      <w:r>
        <w:rPr/>
        <w:t>han</w:t>
      </w:r>
      <w:r>
        <w:rPr>
          <w:spacing w:val="-10"/>
        </w:rPr>
        <w:t> </w:t>
      </w:r>
      <w:r>
        <w:rPr/>
        <w:t>sido</w:t>
      </w:r>
      <w:r>
        <w:rPr>
          <w:spacing w:val="-10"/>
        </w:rPr>
        <w:t> </w:t>
      </w:r>
      <w:r>
        <w:rPr/>
        <w:t>desarrolladas</w:t>
      </w:r>
      <w:r>
        <w:rPr>
          <w:spacing w:val="-8"/>
        </w:rPr>
        <w:t> </w:t>
      </w:r>
      <w:r>
        <w:rPr/>
        <w:t>por</w:t>
      </w:r>
      <w:r>
        <w:rPr>
          <w:spacing w:val="-9"/>
        </w:rPr>
        <w:t> </w:t>
      </w:r>
      <w:r>
        <w:rPr/>
        <w:t>economistas</w:t>
      </w:r>
      <w:r>
        <w:rPr>
          <w:spacing w:val="-8"/>
        </w:rPr>
        <w:t> </w:t>
      </w:r>
      <w:r>
        <w:rPr/>
        <w:t>ecológicos</w:t>
      </w:r>
      <w:r>
        <w:rPr>
          <w:spacing w:val="-1"/>
        </w:rPr>
        <w:t> </w:t>
      </w:r>
      <w:r>
        <w:rPr/>
        <w:t>y</w:t>
      </w:r>
      <w:r>
        <w:rPr>
          <w:spacing w:val="-12"/>
        </w:rPr>
        <w:t> </w:t>
      </w:r>
      <w:r>
        <w:rPr/>
        <w:t>científicos</w:t>
      </w:r>
      <w:r>
        <w:rPr>
          <w:spacing w:val="-7"/>
        </w:rPr>
        <w:t> </w:t>
      </w:r>
      <w:r>
        <w:rPr/>
        <w:t>de</w:t>
      </w:r>
      <w:r>
        <w:rPr>
          <w:spacing w:val="-6"/>
        </w:rPr>
        <w:t> </w:t>
      </w:r>
      <w:r>
        <w:rPr/>
        <w:t>otras</w:t>
      </w:r>
      <w:r>
        <w:rPr>
          <w:spacing w:val="-8"/>
        </w:rPr>
        <w:t> </w:t>
      </w:r>
      <w:r>
        <w:rPr/>
        <w:t>áreas de estudio. La primera que se puede enumerar se concentra en la medición del uso de energía, tanto en su forma directa como implícita. Se le conoce como Contabilidad de Energía Implícita (Cleveland, 1995).</w:t>
      </w:r>
    </w:p>
    <w:p>
      <w:pPr>
        <w:pStyle w:val="BodyText"/>
        <w:spacing w:line="360" w:lineRule="auto" w:before="203"/>
        <w:ind w:left="100" w:right="117"/>
        <w:jc w:val="both"/>
      </w:pPr>
      <w:r>
        <w:rPr/>
        <w:t>Una segunda posición incluye no solamente aspectos cuantitativos, pero consideraciones</w:t>
      </w:r>
      <w:r>
        <w:rPr>
          <w:spacing w:val="-6"/>
        </w:rPr>
        <w:t> </w:t>
      </w:r>
      <w:r>
        <w:rPr/>
        <w:t>cualitativas</w:t>
      </w:r>
      <w:r>
        <w:rPr>
          <w:spacing w:val="-6"/>
        </w:rPr>
        <w:t> </w:t>
      </w:r>
      <w:r>
        <w:rPr/>
        <w:t>sobre</w:t>
      </w:r>
      <w:r>
        <w:rPr>
          <w:spacing w:val="-8"/>
        </w:rPr>
        <w:t> </w:t>
      </w:r>
      <w:r>
        <w:rPr/>
        <w:t>la</w:t>
      </w:r>
      <w:r>
        <w:rPr>
          <w:spacing w:val="-7"/>
        </w:rPr>
        <w:t> </w:t>
      </w:r>
      <w:r>
        <w:rPr/>
        <w:t>energía</w:t>
      </w:r>
      <w:r>
        <w:rPr>
          <w:spacing w:val="-8"/>
        </w:rPr>
        <w:t> </w:t>
      </w:r>
      <w:r>
        <w:rPr/>
        <w:t>usada</w:t>
      </w:r>
      <w:r>
        <w:rPr>
          <w:spacing w:val="-8"/>
        </w:rPr>
        <w:t> </w:t>
      </w:r>
      <w:r>
        <w:rPr/>
        <w:t>en</w:t>
      </w:r>
      <w:r>
        <w:rPr>
          <w:spacing w:val="-8"/>
        </w:rPr>
        <w:t> </w:t>
      </w:r>
      <w:r>
        <w:rPr/>
        <w:t>los</w:t>
      </w:r>
      <w:r>
        <w:rPr>
          <w:spacing w:val="-5"/>
        </w:rPr>
        <w:t> </w:t>
      </w:r>
      <w:r>
        <w:rPr/>
        <w:t>sistemas.</w:t>
      </w:r>
      <w:r>
        <w:rPr>
          <w:spacing w:val="-5"/>
        </w:rPr>
        <w:t> </w:t>
      </w:r>
      <w:r>
        <w:rPr/>
        <w:t>Se</w:t>
      </w:r>
      <w:r>
        <w:rPr>
          <w:spacing w:val="-8"/>
        </w:rPr>
        <w:t> </w:t>
      </w:r>
      <w:r>
        <w:rPr/>
        <w:t>le</w:t>
      </w:r>
      <w:r>
        <w:rPr>
          <w:spacing w:val="-8"/>
        </w:rPr>
        <w:t> </w:t>
      </w:r>
      <w:r>
        <w:rPr/>
        <w:t>conoce</w:t>
      </w:r>
      <w:r>
        <w:rPr>
          <w:spacing w:val="-7"/>
        </w:rPr>
        <w:t> </w:t>
      </w:r>
      <w:r>
        <w:rPr/>
        <w:t>como la Contabilidad de Emergía (Odum,</w:t>
      </w:r>
      <w:r>
        <w:rPr>
          <w:spacing w:val="-1"/>
        </w:rPr>
        <w:t> </w:t>
      </w:r>
      <w:r>
        <w:rPr/>
        <w:t>1996).</w:t>
      </w:r>
    </w:p>
    <w:p>
      <w:pPr>
        <w:pStyle w:val="BodyText"/>
        <w:spacing w:line="360" w:lineRule="auto" w:before="198"/>
        <w:ind w:left="100" w:right="115"/>
        <w:jc w:val="both"/>
      </w:pPr>
      <w:r>
        <w:rPr/>
        <w:t>Una tercera posición contabiliza las contribuciones biofísicas por medio de la productividad del agua/tierra requerida para producir los recursos utilizados por una región, ciudad u hogar. Esta es conocida como la Huella Ecológica (Rees &amp; Wackernagel, 1994; Rees &amp; Wackernagel, 1998).</w:t>
      </w:r>
    </w:p>
    <w:p>
      <w:pPr>
        <w:pStyle w:val="BodyText"/>
        <w:spacing w:line="360" w:lineRule="auto" w:before="201"/>
        <w:ind w:left="100" w:right="116"/>
        <w:jc w:val="both"/>
      </w:pPr>
      <w:r>
        <w:rPr/>
        <w:t>Estos tres primeros enfoques han sido aplicados en repetidas ocasiones al modelo de desarrollo costarricense, destacándose el trabajo liderado por el Dr. Charles Hall (Hall, 2000). En éste se encuentran análisis de energía implícita, de Huella Ecológica y de Emergía (Aguilar &amp; Klocker, 2000; Brown, et al., 2000; Hall, et al., 2000; Hall, et al.,</w:t>
      </w:r>
    </w:p>
    <w:p>
      <w:pPr>
        <w:spacing w:after="0" w:line="360" w:lineRule="auto"/>
        <w:jc w:val="both"/>
        <w:sectPr>
          <w:pgSz w:w="12240" w:h="15840"/>
          <w:pgMar w:header="0" w:footer="1330" w:top="1500" w:bottom="1560" w:left="1340" w:right="1320"/>
        </w:sectPr>
      </w:pPr>
    </w:p>
    <w:p>
      <w:pPr>
        <w:pStyle w:val="BodyText"/>
        <w:spacing w:line="360" w:lineRule="auto" w:before="107"/>
        <w:ind w:left="100" w:right="117"/>
        <w:jc w:val="both"/>
      </w:pPr>
      <w:r>
        <w:rPr/>
        <w:t>2000b). Por otro lado, el Programa del Estado de la Nación estima y reporta la Huella Ecológica costarricense con regularidad desde el año 2007 en el Informe del Estado de la Nación (</w:t>
      </w:r>
      <w:hyperlink r:id="rId61">
        <w:r>
          <w:rPr>
            <w:color w:val="0000FF"/>
            <w:u w:val="single" w:color="0000FF"/>
          </w:rPr>
          <w:t>http://www.estadonacion.or.cr/</w:t>
        </w:r>
      </w:hyperlink>
      <w:r>
        <w:rPr/>
        <w:t>). Estas aplicaciones, en lo que respecta a la Huella Ecológica, serán más comentadas en la sección de metodología.</w:t>
      </w:r>
    </w:p>
    <w:p>
      <w:pPr>
        <w:pStyle w:val="BodyText"/>
        <w:spacing w:line="360" w:lineRule="auto" w:before="201"/>
        <w:ind w:left="100" w:right="109"/>
        <w:jc w:val="both"/>
      </w:pPr>
      <w:r>
        <w:rPr/>
        <w:t>Un cuarto ejemplo de estas metodologías usa el concepto del Espacio Ambiental, desarrollado por Amigos de la Tierra y promovido a principios de este siglo por la Unión Europea (Hille, 1997). Consiste en la medición de las cantidades máximas físicas de recursos naturales que podemos usar de una manera sostenible y equitativa (Riechmann, 2003). Su primer uso fue la medición de las cantidades de reducciones físicas necesarias para poder garantizar disponibilidad de los recursos que no obstaculizara</w:t>
      </w:r>
      <w:r>
        <w:rPr>
          <w:spacing w:val="-8"/>
        </w:rPr>
        <w:t> </w:t>
      </w:r>
      <w:r>
        <w:rPr/>
        <w:t>el</w:t>
      </w:r>
      <w:r>
        <w:rPr>
          <w:spacing w:val="-5"/>
        </w:rPr>
        <w:t> </w:t>
      </w:r>
      <w:r>
        <w:rPr/>
        <w:t>desarrollo</w:t>
      </w:r>
      <w:r>
        <w:rPr>
          <w:spacing w:val="-7"/>
        </w:rPr>
        <w:t> </w:t>
      </w:r>
      <w:r>
        <w:rPr/>
        <w:t>económico</w:t>
      </w:r>
      <w:r>
        <w:rPr>
          <w:spacing w:val="-5"/>
        </w:rPr>
        <w:t> </w:t>
      </w:r>
      <w:r>
        <w:rPr/>
        <w:t>en</w:t>
      </w:r>
      <w:r>
        <w:rPr>
          <w:spacing w:val="-7"/>
        </w:rPr>
        <w:t> </w:t>
      </w:r>
      <w:r>
        <w:rPr/>
        <w:t>el</w:t>
      </w:r>
      <w:r>
        <w:rPr>
          <w:spacing w:val="-7"/>
        </w:rPr>
        <w:t> </w:t>
      </w:r>
      <w:r>
        <w:rPr/>
        <w:t>siglo</w:t>
      </w:r>
      <w:r>
        <w:rPr>
          <w:spacing w:val="-5"/>
        </w:rPr>
        <w:t> </w:t>
      </w:r>
      <w:r>
        <w:rPr/>
        <w:t>XXI</w:t>
      </w:r>
      <w:r>
        <w:rPr>
          <w:spacing w:val="-5"/>
        </w:rPr>
        <w:t> </w:t>
      </w:r>
      <w:r>
        <w:rPr/>
        <w:t>para</w:t>
      </w:r>
      <w:r>
        <w:rPr>
          <w:spacing w:val="-8"/>
        </w:rPr>
        <w:t> </w:t>
      </w:r>
      <w:r>
        <w:rPr/>
        <w:t>toda</w:t>
      </w:r>
      <w:r>
        <w:rPr>
          <w:spacing w:val="-4"/>
        </w:rPr>
        <w:t> </w:t>
      </w:r>
      <w:r>
        <w:rPr/>
        <w:t>la</w:t>
      </w:r>
      <w:r>
        <w:rPr>
          <w:spacing w:val="-4"/>
        </w:rPr>
        <w:t> </w:t>
      </w:r>
      <w:r>
        <w:rPr/>
        <w:t>humanidad</w:t>
      </w:r>
      <w:r>
        <w:rPr>
          <w:spacing w:val="-5"/>
        </w:rPr>
        <w:t> </w:t>
      </w:r>
      <w:r>
        <w:rPr/>
        <w:t>(Opschoor &amp; Reijnders, 1991). Resultó en metas dramáticas (Weterings &amp; Opschoor, 1992). Posteriormente el concepto se ha modificado para reconocer los límites externos al consumo privado de recursos debido al cambio climático, la disponibilidad de recursos (como el agua y la madera) y la generación de desechos (Spangenberg,</w:t>
      </w:r>
      <w:r>
        <w:rPr>
          <w:spacing w:val="-13"/>
        </w:rPr>
        <w:t> </w:t>
      </w:r>
      <w:r>
        <w:rPr/>
        <w:t>2002).</w:t>
      </w:r>
    </w:p>
    <w:p>
      <w:pPr>
        <w:pStyle w:val="BodyText"/>
        <w:spacing w:line="360" w:lineRule="auto" w:before="203"/>
        <w:ind w:left="100" w:right="119"/>
        <w:jc w:val="both"/>
      </w:pPr>
      <w:r>
        <w:rPr/>
        <w:t>Otro índice mencionado en la literatura de lenguajes de valoración es el de Apropiación Humana de la Producción Primaria Neta (HANPP). La HANPP se mide en relación de un territorio en el cual se mide la producción potencial de biomasa de autótrofos (las plantas</w:t>
      </w:r>
      <w:r>
        <w:rPr>
          <w:spacing w:val="-10"/>
        </w:rPr>
        <w:t> </w:t>
      </w:r>
      <w:r>
        <w:rPr/>
        <w:t>que</w:t>
      </w:r>
      <w:r>
        <w:rPr>
          <w:spacing w:val="-11"/>
        </w:rPr>
        <w:t> </w:t>
      </w:r>
      <w:r>
        <w:rPr/>
        <w:t>hacen</w:t>
      </w:r>
      <w:r>
        <w:rPr>
          <w:spacing w:val="-11"/>
        </w:rPr>
        <w:t> </w:t>
      </w:r>
      <w:r>
        <w:rPr/>
        <w:t>la</w:t>
      </w:r>
      <w:r>
        <w:rPr>
          <w:spacing w:val="-11"/>
        </w:rPr>
        <w:t> </w:t>
      </w:r>
      <w:r>
        <w:rPr/>
        <w:t>fotosíntesis)</w:t>
      </w:r>
      <w:r>
        <w:rPr>
          <w:spacing w:val="-9"/>
        </w:rPr>
        <w:t> </w:t>
      </w:r>
      <w:r>
        <w:rPr/>
        <w:t>en</w:t>
      </w:r>
      <w:r>
        <w:rPr>
          <w:spacing w:val="-11"/>
        </w:rPr>
        <w:t> </w:t>
      </w:r>
      <w:r>
        <w:rPr/>
        <w:t>determinados</w:t>
      </w:r>
      <w:r>
        <w:rPr>
          <w:spacing w:val="-10"/>
        </w:rPr>
        <w:t> </w:t>
      </w:r>
      <w:r>
        <w:rPr/>
        <w:t>ecosistemas</w:t>
      </w:r>
      <w:r>
        <w:rPr>
          <w:spacing w:val="-9"/>
        </w:rPr>
        <w:t> </w:t>
      </w:r>
      <w:r>
        <w:rPr/>
        <w:t>en</w:t>
      </w:r>
      <w:r>
        <w:rPr>
          <w:spacing w:val="-11"/>
        </w:rPr>
        <w:t> </w:t>
      </w:r>
      <w:r>
        <w:rPr/>
        <w:t>determinado</w:t>
      </w:r>
      <w:r>
        <w:rPr>
          <w:spacing w:val="-11"/>
        </w:rPr>
        <w:t> </w:t>
      </w:r>
      <w:r>
        <w:rPr/>
        <w:t>tiempo. Se</w:t>
      </w:r>
      <w:r>
        <w:rPr>
          <w:spacing w:val="-13"/>
        </w:rPr>
        <w:t> </w:t>
      </w:r>
      <w:r>
        <w:rPr/>
        <w:t>estima</w:t>
      </w:r>
      <w:r>
        <w:rPr>
          <w:spacing w:val="-12"/>
        </w:rPr>
        <w:t> </w:t>
      </w:r>
      <w:r>
        <w:rPr/>
        <w:t>la</w:t>
      </w:r>
      <w:r>
        <w:rPr>
          <w:spacing w:val="-12"/>
        </w:rPr>
        <w:t> </w:t>
      </w:r>
      <w:r>
        <w:rPr/>
        <w:t>producción</w:t>
      </w:r>
      <w:r>
        <w:rPr>
          <w:spacing w:val="-12"/>
        </w:rPr>
        <w:t> </w:t>
      </w:r>
      <w:r>
        <w:rPr/>
        <w:t>actual</w:t>
      </w:r>
      <w:r>
        <w:rPr>
          <w:spacing w:val="-11"/>
        </w:rPr>
        <w:t> </w:t>
      </w:r>
      <w:r>
        <w:rPr/>
        <w:t>real</w:t>
      </w:r>
      <w:r>
        <w:rPr>
          <w:spacing w:val="-12"/>
        </w:rPr>
        <w:t> </w:t>
      </w:r>
      <w:r>
        <w:rPr/>
        <w:t>debida</w:t>
      </w:r>
      <w:r>
        <w:rPr>
          <w:spacing w:val="-12"/>
        </w:rPr>
        <w:t> </w:t>
      </w:r>
      <w:r>
        <w:rPr/>
        <w:t>a</w:t>
      </w:r>
      <w:r>
        <w:rPr>
          <w:spacing w:val="-12"/>
        </w:rPr>
        <w:t> </w:t>
      </w:r>
      <w:r>
        <w:rPr/>
        <w:t>la</w:t>
      </w:r>
      <w:r>
        <w:rPr>
          <w:spacing w:val="-12"/>
        </w:rPr>
        <w:t> </w:t>
      </w:r>
      <w:r>
        <w:rPr/>
        <w:t>intervención</w:t>
      </w:r>
      <w:r>
        <w:rPr>
          <w:spacing w:val="-12"/>
        </w:rPr>
        <w:t> </w:t>
      </w:r>
      <w:r>
        <w:rPr/>
        <w:t>humana.</w:t>
      </w:r>
      <w:r>
        <w:rPr>
          <w:spacing w:val="-10"/>
        </w:rPr>
        <w:t> </w:t>
      </w:r>
      <w:r>
        <w:rPr/>
        <w:t>De</w:t>
      </w:r>
      <w:r>
        <w:rPr>
          <w:spacing w:val="-12"/>
        </w:rPr>
        <w:t> </w:t>
      </w:r>
      <w:r>
        <w:rPr/>
        <w:t>esta</w:t>
      </w:r>
      <w:r>
        <w:rPr>
          <w:spacing w:val="-12"/>
        </w:rPr>
        <w:t> </w:t>
      </w:r>
      <w:r>
        <w:rPr/>
        <w:t>producción actual real una parte es cosechada o apropiada en beneficio de los humanos y sus animales asociados y otra parte queda disponible para alimentar a otros heterótrofos.</w:t>
      </w:r>
      <w:r>
        <w:rPr>
          <w:spacing w:val="-47"/>
        </w:rPr>
        <w:t> </w:t>
      </w:r>
      <w:r>
        <w:rPr/>
        <w:t>El cociente</w:t>
      </w:r>
      <w:r>
        <w:rPr>
          <w:spacing w:val="-5"/>
        </w:rPr>
        <w:t> </w:t>
      </w:r>
      <w:r>
        <w:rPr/>
        <w:t>entre</w:t>
      </w:r>
      <w:r>
        <w:rPr>
          <w:spacing w:val="-5"/>
        </w:rPr>
        <w:t> </w:t>
      </w:r>
      <w:r>
        <w:rPr/>
        <w:t>la</w:t>
      </w:r>
      <w:r>
        <w:rPr>
          <w:spacing w:val="-8"/>
        </w:rPr>
        <w:t> </w:t>
      </w:r>
      <w:r>
        <w:rPr/>
        <w:t>producción</w:t>
      </w:r>
      <w:r>
        <w:rPr>
          <w:spacing w:val="-5"/>
        </w:rPr>
        <w:t> </w:t>
      </w:r>
      <w:r>
        <w:rPr/>
        <w:t>actual</w:t>
      </w:r>
      <w:r>
        <w:rPr>
          <w:spacing w:val="-8"/>
        </w:rPr>
        <w:t> </w:t>
      </w:r>
      <w:r>
        <w:rPr/>
        <w:t>apropiada</w:t>
      </w:r>
      <w:r>
        <w:rPr>
          <w:spacing w:val="-4"/>
        </w:rPr>
        <w:t> </w:t>
      </w:r>
      <w:r>
        <w:rPr/>
        <w:t>por</w:t>
      </w:r>
      <w:r>
        <w:rPr>
          <w:spacing w:val="-7"/>
        </w:rPr>
        <w:t> </w:t>
      </w:r>
      <w:r>
        <w:rPr/>
        <w:t>los</w:t>
      </w:r>
      <w:r>
        <w:rPr>
          <w:spacing w:val="-6"/>
        </w:rPr>
        <w:t> </w:t>
      </w:r>
      <w:r>
        <w:rPr/>
        <w:t>humanos</w:t>
      </w:r>
      <w:r>
        <w:rPr>
          <w:spacing w:val="-3"/>
        </w:rPr>
        <w:t> </w:t>
      </w:r>
      <w:r>
        <w:rPr/>
        <w:t>y</w:t>
      </w:r>
      <w:r>
        <w:rPr>
          <w:spacing w:val="-8"/>
        </w:rPr>
        <w:t> </w:t>
      </w:r>
      <w:r>
        <w:rPr/>
        <w:t>la</w:t>
      </w:r>
      <w:r>
        <w:rPr>
          <w:spacing w:val="-8"/>
        </w:rPr>
        <w:t> </w:t>
      </w:r>
      <w:r>
        <w:rPr/>
        <w:t>producción</w:t>
      </w:r>
      <w:r>
        <w:rPr>
          <w:spacing w:val="-9"/>
        </w:rPr>
        <w:t> </w:t>
      </w:r>
      <w:r>
        <w:rPr/>
        <w:t>potencial es</w:t>
      </w:r>
      <w:r>
        <w:rPr>
          <w:spacing w:val="-9"/>
        </w:rPr>
        <w:t> </w:t>
      </w:r>
      <w:r>
        <w:rPr/>
        <w:t>la</w:t>
      </w:r>
      <w:r>
        <w:rPr>
          <w:spacing w:val="-7"/>
        </w:rPr>
        <w:t> </w:t>
      </w:r>
      <w:r>
        <w:rPr/>
        <w:t>HANPP,</w:t>
      </w:r>
      <w:r>
        <w:rPr>
          <w:spacing w:val="-8"/>
        </w:rPr>
        <w:t> </w:t>
      </w:r>
      <w:r>
        <w:rPr/>
        <w:t>que</w:t>
      </w:r>
      <w:r>
        <w:rPr>
          <w:spacing w:val="-11"/>
        </w:rPr>
        <w:t> </w:t>
      </w:r>
      <w:r>
        <w:rPr/>
        <w:t>el</w:t>
      </w:r>
      <w:r>
        <w:rPr>
          <w:spacing w:val="-10"/>
        </w:rPr>
        <w:t> </w:t>
      </w:r>
      <w:r>
        <w:rPr/>
        <w:t>ecólogo</w:t>
      </w:r>
      <w:r>
        <w:rPr>
          <w:spacing w:val="-7"/>
        </w:rPr>
        <w:t> </w:t>
      </w:r>
      <w:r>
        <w:rPr/>
        <w:t>estadounidense</w:t>
      </w:r>
      <w:r>
        <w:rPr>
          <w:spacing w:val="-11"/>
        </w:rPr>
        <w:t> </w:t>
      </w:r>
      <w:r>
        <w:rPr/>
        <w:t>Peter</w:t>
      </w:r>
      <w:r>
        <w:rPr>
          <w:spacing w:val="-8"/>
        </w:rPr>
        <w:t> </w:t>
      </w:r>
      <w:r>
        <w:rPr/>
        <w:t>Vitousek</w:t>
      </w:r>
      <w:r>
        <w:rPr>
          <w:spacing w:val="-5"/>
        </w:rPr>
        <w:t> </w:t>
      </w:r>
      <w:r>
        <w:rPr/>
        <w:t>calculó</w:t>
      </w:r>
      <w:r>
        <w:rPr>
          <w:spacing w:val="-11"/>
        </w:rPr>
        <w:t> </w:t>
      </w:r>
      <w:r>
        <w:rPr/>
        <w:t>en</w:t>
      </w:r>
      <w:r>
        <w:rPr>
          <w:spacing w:val="-11"/>
        </w:rPr>
        <w:t> </w:t>
      </w:r>
      <w:r>
        <w:rPr/>
        <w:t>1986</w:t>
      </w:r>
      <w:r>
        <w:rPr>
          <w:spacing w:val="-11"/>
        </w:rPr>
        <w:t> </w:t>
      </w:r>
      <w:r>
        <w:rPr/>
        <w:t>en</w:t>
      </w:r>
      <w:r>
        <w:rPr>
          <w:spacing w:val="-7"/>
        </w:rPr>
        <w:t> </w:t>
      </w:r>
      <w:r>
        <w:rPr/>
        <w:t>un</w:t>
      </w:r>
      <w:r>
        <w:rPr>
          <w:spacing w:val="-1"/>
        </w:rPr>
        <w:t> </w:t>
      </w:r>
      <w:r>
        <w:rPr>
          <w:spacing w:val="-2"/>
        </w:rPr>
        <w:t>40% </w:t>
      </w:r>
      <w:r>
        <w:rPr/>
        <w:t>(Vituousek, 1986; Martínez-Alier,</w:t>
      </w:r>
      <w:r>
        <w:rPr>
          <w:spacing w:val="7"/>
        </w:rPr>
        <w:t> </w:t>
      </w:r>
      <w:r>
        <w:rPr/>
        <w:t>2004).</w:t>
      </w:r>
    </w:p>
    <w:p>
      <w:pPr>
        <w:pStyle w:val="BodyText"/>
        <w:spacing w:line="360" w:lineRule="auto" w:before="201"/>
        <w:ind w:left="100" w:right="120"/>
        <w:jc w:val="both"/>
      </w:pPr>
      <w:r>
        <w:rPr/>
        <w:t>Se puede citar también la contabilidad de Metabolismo Social. La estructura metabólica de la sociedad integra dos cuerpos: uno de procesos materiales (flujos de energía y materiales) y otro de dimensiones intangibles (cognitivas, simbólicas, institucionales, jurídicas, etc.). Se interesa esta posición especialmente por la comprensión de los</w:t>
      </w:r>
      <w:r>
        <w:rPr>
          <w:spacing w:val="-45"/>
        </w:rPr>
        <w:t> </w:t>
      </w:r>
      <w:r>
        <w:rPr/>
        <w:t>flujos</w:t>
      </w:r>
    </w:p>
    <w:p>
      <w:pPr>
        <w:spacing w:after="0" w:line="360" w:lineRule="auto"/>
        <w:jc w:val="both"/>
        <w:sectPr>
          <w:pgSz w:w="12240" w:h="15840"/>
          <w:pgMar w:header="0" w:footer="1330" w:top="1500" w:bottom="1580" w:left="1340" w:right="1320"/>
        </w:sectPr>
      </w:pPr>
    </w:p>
    <w:p>
      <w:pPr>
        <w:pStyle w:val="BodyText"/>
        <w:spacing w:line="360" w:lineRule="auto" w:before="107"/>
        <w:ind w:left="100" w:right="114"/>
        <w:jc w:val="both"/>
      </w:pPr>
      <w:r>
        <w:rPr/>
        <w:t>de</w:t>
      </w:r>
      <w:r>
        <w:rPr>
          <w:spacing w:val="-9"/>
        </w:rPr>
        <w:t> </w:t>
      </w:r>
      <w:r>
        <w:rPr/>
        <w:t>materiales</w:t>
      </w:r>
      <w:r>
        <w:rPr>
          <w:spacing w:val="-6"/>
        </w:rPr>
        <w:t> </w:t>
      </w:r>
      <w:r>
        <w:rPr/>
        <w:t>y</w:t>
      </w:r>
      <w:r>
        <w:rPr>
          <w:spacing w:val="-10"/>
        </w:rPr>
        <w:t> </w:t>
      </w:r>
      <w:r>
        <w:rPr/>
        <w:t>la</w:t>
      </w:r>
      <w:r>
        <w:rPr>
          <w:spacing w:val="-8"/>
        </w:rPr>
        <w:t> </w:t>
      </w:r>
      <w:r>
        <w:rPr/>
        <w:t>apropiación</w:t>
      </w:r>
      <w:r>
        <w:rPr>
          <w:spacing w:val="-8"/>
        </w:rPr>
        <w:t> </w:t>
      </w:r>
      <w:r>
        <w:rPr/>
        <w:t>social</w:t>
      </w:r>
      <w:r>
        <w:rPr>
          <w:spacing w:val="-7"/>
        </w:rPr>
        <w:t> </w:t>
      </w:r>
      <w:r>
        <w:rPr/>
        <w:t>de</w:t>
      </w:r>
      <w:r>
        <w:rPr>
          <w:spacing w:val="-8"/>
        </w:rPr>
        <w:t> </w:t>
      </w:r>
      <w:r>
        <w:rPr/>
        <w:t>los</w:t>
      </w:r>
      <w:r>
        <w:rPr>
          <w:spacing w:val="-6"/>
        </w:rPr>
        <w:t> </w:t>
      </w:r>
      <w:r>
        <w:rPr/>
        <w:t>costos</w:t>
      </w:r>
      <w:r>
        <w:rPr>
          <w:spacing w:val="-6"/>
        </w:rPr>
        <w:t> </w:t>
      </w:r>
      <w:r>
        <w:rPr/>
        <w:t>y</w:t>
      </w:r>
      <w:r>
        <w:rPr>
          <w:spacing w:val="-10"/>
        </w:rPr>
        <w:t> </w:t>
      </w:r>
      <w:r>
        <w:rPr/>
        <w:t>beneficios</w:t>
      </w:r>
      <w:r>
        <w:rPr>
          <w:spacing w:val="-6"/>
        </w:rPr>
        <w:t> </w:t>
      </w:r>
      <w:r>
        <w:rPr/>
        <w:t>de</w:t>
      </w:r>
      <w:r>
        <w:rPr>
          <w:spacing w:val="-9"/>
        </w:rPr>
        <w:t> </w:t>
      </w:r>
      <w:r>
        <w:rPr/>
        <w:t>los</w:t>
      </w:r>
      <w:r>
        <w:rPr>
          <w:spacing w:val="-6"/>
        </w:rPr>
        <w:t> </w:t>
      </w:r>
      <w:r>
        <w:rPr/>
        <w:t>mismos</w:t>
      </w:r>
      <w:r>
        <w:rPr>
          <w:spacing w:val="-2"/>
        </w:rPr>
        <w:t> </w:t>
      </w:r>
      <w:r>
        <w:rPr/>
        <w:t>(Martínez- Alier, et al., 2010; EUROSTAT, 2013; Toledo, 2013; Haas, et al., 2015). Se expresa en toneladas por persona y año (Martínez-Alier, 2004). Ha sido utilizado en América Latina para analizar los impactos biofísicos del neo-extractivismo por el comercio ecológicamente desigual (Albán, et al.,</w:t>
      </w:r>
      <w:r>
        <w:rPr>
          <w:spacing w:val="2"/>
        </w:rPr>
        <w:t> </w:t>
      </w:r>
      <w:r>
        <w:rPr/>
        <w:t>2009)</w:t>
      </w:r>
      <w:r>
        <w:rPr>
          <w:position w:val="8"/>
          <w:sz w:val="16"/>
        </w:rPr>
        <w:t>16</w:t>
      </w:r>
      <w:r>
        <w:rPr/>
        <w:t>.</w:t>
      </w:r>
    </w:p>
    <w:p>
      <w:pPr>
        <w:pStyle w:val="BodyText"/>
        <w:spacing w:line="360" w:lineRule="auto" w:before="198"/>
        <w:ind w:left="100" w:right="121"/>
        <w:jc w:val="both"/>
      </w:pPr>
      <w:r>
        <w:rPr/>
        <w:t>Se pueden detectar en la Economía Ecológica por lo menos dos enfoques en el uso de estos lenguajes. Un primer enfoque, si bien muy activo en su utilización para probar las contradicciones con los modelos de desarrollo prevalentes, se preocupa menos por las implicaciones sociales, centrándose en recomendaciones de orden tecnológico.</w:t>
      </w:r>
    </w:p>
    <w:p>
      <w:pPr>
        <w:pStyle w:val="BodyText"/>
        <w:spacing w:line="360" w:lineRule="auto" w:before="201"/>
        <w:ind w:left="100" w:right="117"/>
        <w:jc w:val="both"/>
      </w:pPr>
      <w:r>
        <w:rPr/>
        <w:t>Por otro lado, se encuentran las corrientes de pensamiento dentro de la Economía Ecológica</w:t>
      </w:r>
      <w:r>
        <w:rPr>
          <w:spacing w:val="-14"/>
        </w:rPr>
        <w:t> </w:t>
      </w:r>
      <w:r>
        <w:rPr/>
        <w:t>que</w:t>
      </w:r>
      <w:r>
        <w:rPr>
          <w:spacing w:val="-14"/>
        </w:rPr>
        <w:t> </w:t>
      </w:r>
      <w:r>
        <w:rPr/>
        <w:t>buscan</w:t>
      </w:r>
      <w:r>
        <w:rPr>
          <w:spacing w:val="-14"/>
        </w:rPr>
        <w:t> </w:t>
      </w:r>
      <w:r>
        <w:rPr/>
        <w:t>resaltar</w:t>
      </w:r>
      <w:r>
        <w:rPr>
          <w:spacing w:val="-13"/>
        </w:rPr>
        <w:t> </w:t>
      </w:r>
      <w:r>
        <w:rPr/>
        <w:t>los</w:t>
      </w:r>
      <w:r>
        <w:rPr>
          <w:spacing w:val="-12"/>
        </w:rPr>
        <w:t> </w:t>
      </w:r>
      <w:r>
        <w:rPr/>
        <w:t>insostenibles</w:t>
      </w:r>
      <w:r>
        <w:rPr>
          <w:spacing w:val="-13"/>
        </w:rPr>
        <w:t> </w:t>
      </w:r>
      <w:r>
        <w:rPr/>
        <w:t>costos</w:t>
      </w:r>
      <w:r>
        <w:rPr>
          <w:spacing w:val="-12"/>
        </w:rPr>
        <w:t> </w:t>
      </w:r>
      <w:r>
        <w:rPr/>
        <w:t>físicos</w:t>
      </w:r>
      <w:r>
        <w:rPr>
          <w:spacing w:val="-13"/>
        </w:rPr>
        <w:t> </w:t>
      </w:r>
      <w:r>
        <w:rPr/>
        <w:t>del</w:t>
      </w:r>
      <w:r>
        <w:rPr>
          <w:spacing w:val="-13"/>
        </w:rPr>
        <w:t> </w:t>
      </w:r>
      <w:r>
        <w:rPr/>
        <w:t>crecimiento</w:t>
      </w:r>
      <w:r>
        <w:rPr>
          <w:spacing w:val="-14"/>
        </w:rPr>
        <w:t> </w:t>
      </w:r>
      <w:r>
        <w:rPr/>
        <w:t>económico ilimitado como evidencia del fenómeno socio-ecológico conocido como la segunda contradicción del capitalismo. En su reflexión en memoria de James O´Connor, el Dr. Joan Martínez-Alier resume en forma muy didáctica el concepto de esta segunda contradicción introducido por este autor en la introducción que escribió para el primer número de Capitalism, Nature, Socialism en 1988: “La economía capitalista industrial socavaba sus propias condiciones de producción (debería haber dicho, en mi opinión, las condiciones de existencia o las condiciones de vida, y no solo las condiciones de producción). Había agotamiento de recursos naturales, se introducían tecnologías peligrosas como la energía nuclear, había nuevas formas de contaminación, y el capitalismo no tenía los medios para corregir tales daños.” (sic) (Martínez-Alier,</w:t>
      </w:r>
      <w:r>
        <w:rPr>
          <w:spacing w:val="-22"/>
        </w:rPr>
        <w:t> </w:t>
      </w:r>
      <w:r>
        <w:rPr/>
        <w:t>2017).</w:t>
      </w:r>
    </w:p>
    <w:p>
      <w:pPr>
        <w:pStyle w:val="BodyText"/>
        <w:spacing w:line="360" w:lineRule="auto" w:before="201"/>
        <w:ind w:left="100" w:right="114"/>
        <w:jc w:val="both"/>
      </w:pPr>
      <w:r>
        <w:rPr/>
        <w:t>En</w:t>
      </w:r>
      <w:r>
        <w:rPr>
          <w:spacing w:val="-8"/>
        </w:rPr>
        <w:t> </w:t>
      </w:r>
      <w:r>
        <w:rPr/>
        <w:t>esa</w:t>
      </w:r>
      <w:r>
        <w:rPr>
          <w:spacing w:val="-7"/>
        </w:rPr>
        <w:t> </w:t>
      </w:r>
      <w:r>
        <w:rPr/>
        <w:t>línea</w:t>
      </w:r>
      <w:r>
        <w:rPr>
          <w:spacing w:val="-7"/>
        </w:rPr>
        <w:t> </w:t>
      </w:r>
      <w:r>
        <w:rPr/>
        <w:t>de</w:t>
      </w:r>
      <w:r>
        <w:rPr>
          <w:spacing w:val="-7"/>
        </w:rPr>
        <w:t> </w:t>
      </w:r>
      <w:r>
        <w:rPr/>
        <w:t>pensamiento,</w:t>
      </w:r>
      <w:r>
        <w:rPr>
          <w:spacing w:val="-4"/>
        </w:rPr>
        <w:t> </w:t>
      </w:r>
      <w:r>
        <w:rPr/>
        <w:t>esta</w:t>
      </w:r>
      <w:r>
        <w:rPr>
          <w:spacing w:val="-7"/>
        </w:rPr>
        <w:t> </w:t>
      </w:r>
      <w:r>
        <w:rPr/>
        <w:t>corriente</w:t>
      </w:r>
      <w:r>
        <w:rPr>
          <w:spacing w:val="-7"/>
        </w:rPr>
        <w:t> </w:t>
      </w:r>
      <w:r>
        <w:rPr/>
        <w:t>se</w:t>
      </w:r>
      <w:r>
        <w:rPr>
          <w:spacing w:val="-7"/>
        </w:rPr>
        <w:t> </w:t>
      </w:r>
      <w:r>
        <w:rPr/>
        <w:t>identifica</w:t>
      </w:r>
      <w:r>
        <w:rPr>
          <w:spacing w:val="-8"/>
        </w:rPr>
        <w:t> </w:t>
      </w:r>
      <w:r>
        <w:rPr/>
        <w:t>con</w:t>
      </w:r>
      <w:r>
        <w:rPr>
          <w:spacing w:val="-7"/>
        </w:rPr>
        <w:t> </w:t>
      </w:r>
      <w:r>
        <w:rPr/>
        <w:t>la</w:t>
      </w:r>
      <w:r>
        <w:rPr>
          <w:spacing w:val="-7"/>
        </w:rPr>
        <w:t> </w:t>
      </w:r>
      <w:r>
        <w:rPr/>
        <w:t>posición</w:t>
      </w:r>
      <w:r>
        <w:rPr>
          <w:spacing w:val="-7"/>
        </w:rPr>
        <w:t> </w:t>
      </w:r>
      <w:r>
        <w:rPr/>
        <w:t>defensora</w:t>
      </w:r>
      <w:r>
        <w:rPr>
          <w:spacing w:val="-3"/>
        </w:rPr>
        <w:t> </w:t>
      </w:r>
      <w:r>
        <w:rPr/>
        <w:t>de</w:t>
      </w:r>
      <w:r>
        <w:rPr>
          <w:spacing w:val="-7"/>
        </w:rPr>
        <w:t> </w:t>
      </w:r>
      <w:r>
        <w:rPr/>
        <w:t>la sostenibilidad</w:t>
      </w:r>
      <w:r>
        <w:rPr>
          <w:spacing w:val="-10"/>
        </w:rPr>
        <w:t> </w:t>
      </w:r>
      <w:r>
        <w:rPr/>
        <w:t>fuerte,</w:t>
      </w:r>
      <w:r>
        <w:rPr>
          <w:spacing w:val="-7"/>
        </w:rPr>
        <w:t> </w:t>
      </w:r>
      <w:r>
        <w:rPr/>
        <w:t>que</w:t>
      </w:r>
      <w:r>
        <w:rPr>
          <w:spacing w:val="-10"/>
        </w:rPr>
        <w:t> </w:t>
      </w:r>
      <w:r>
        <w:rPr/>
        <w:t>no</w:t>
      </w:r>
      <w:r>
        <w:rPr>
          <w:spacing w:val="-10"/>
        </w:rPr>
        <w:t> </w:t>
      </w:r>
      <w:r>
        <w:rPr/>
        <w:t>acepta</w:t>
      </w:r>
      <w:r>
        <w:rPr>
          <w:spacing w:val="-9"/>
        </w:rPr>
        <w:t> </w:t>
      </w:r>
      <w:r>
        <w:rPr/>
        <w:t>la</w:t>
      </w:r>
      <w:r>
        <w:rPr>
          <w:spacing w:val="-6"/>
        </w:rPr>
        <w:t> </w:t>
      </w:r>
      <w:r>
        <w:rPr/>
        <w:t>posibilidad</w:t>
      </w:r>
      <w:r>
        <w:rPr>
          <w:spacing w:val="-10"/>
        </w:rPr>
        <w:t> </w:t>
      </w:r>
      <w:r>
        <w:rPr/>
        <w:t>de</w:t>
      </w:r>
      <w:r>
        <w:rPr>
          <w:spacing w:val="-10"/>
        </w:rPr>
        <w:t> </w:t>
      </w:r>
      <w:r>
        <w:rPr/>
        <w:t>sustitución</w:t>
      </w:r>
      <w:r>
        <w:rPr>
          <w:spacing w:val="-9"/>
        </w:rPr>
        <w:t> </w:t>
      </w:r>
      <w:r>
        <w:rPr/>
        <w:t>tecnológica</w:t>
      </w:r>
      <w:r>
        <w:rPr>
          <w:spacing w:val="-10"/>
        </w:rPr>
        <w:t> </w:t>
      </w:r>
      <w:r>
        <w:rPr/>
        <w:t>de</w:t>
      </w:r>
      <w:r>
        <w:rPr>
          <w:spacing w:val="-10"/>
        </w:rPr>
        <w:t> </w:t>
      </w:r>
      <w:r>
        <w:rPr/>
        <w:t>todas</w:t>
      </w:r>
      <w:r>
        <w:rPr>
          <w:spacing w:val="-8"/>
        </w:rPr>
        <w:t> </w:t>
      </w:r>
      <w:r>
        <w:rPr/>
        <w:t>las funciones proveídas por los ecosistemas (Martínez-Alier, 2015). Como resultado de la evolución del pensamiento de la Ecología Política, se ha unido a esta contradicción el estudio de los nexos con la inequidad en la distribución del Espacio Ambiental</w:t>
      </w:r>
      <w:r>
        <w:rPr>
          <w:spacing w:val="9"/>
        </w:rPr>
        <w:t> </w:t>
      </w:r>
      <w:r>
        <w:rPr/>
        <w:t>en tanto</w:t>
      </w:r>
    </w:p>
    <w:p>
      <w:pPr>
        <w:pStyle w:val="BodyText"/>
        <w:rPr>
          <w:sz w:val="20"/>
        </w:rPr>
      </w:pPr>
    </w:p>
    <w:p>
      <w:pPr>
        <w:pStyle w:val="BodyText"/>
        <w:spacing w:before="10"/>
        <w:rPr>
          <w:sz w:val="15"/>
        </w:rPr>
      </w:pPr>
      <w:r>
        <w:rPr/>
        <w:pict>
          <v:rect style="position:absolute;margin-left:72.025002pt;margin-top:11.098653pt;width:144.050pt;height:.599980pt;mso-position-horizontal-relative:page;mso-position-vertical-relative:paragraph;z-index:-15702528;mso-wrap-distance-left:0;mso-wrap-distance-right:0" filled="true" fillcolor="#000000" stroked="false">
            <v:fill type="solid"/>
            <w10:wrap type="topAndBottom"/>
          </v:rect>
        </w:pict>
      </w:r>
    </w:p>
    <w:p>
      <w:pPr>
        <w:spacing w:before="72"/>
        <w:ind w:left="100" w:right="120" w:firstLine="0"/>
        <w:jc w:val="both"/>
        <w:rPr>
          <w:sz w:val="20"/>
        </w:rPr>
      </w:pPr>
      <w:r>
        <w:rPr>
          <w:sz w:val="20"/>
          <w:vertAlign w:val="superscript"/>
        </w:rPr>
        <w:t>16</w:t>
      </w:r>
      <w:r>
        <w:rPr>
          <w:spacing w:val="-11"/>
          <w:sz w:val="20"/>
          <w:vertAlign w:val="baseline"/>
        </w:rPr>
        <w:t> </w:t>
      </w:r>
      <w:r>
        <w:rPr>
          <w:sz w:val="20"/>
          <w:vertAlign w:val="baseline"/>
        </w:rPr>
        <w:t>Mediante</w:t>
      </w:r>
      <w:r>
        <w:rPr>
          <w:spacing w:val="-8"/>
          <w:sz w:val="20"/>
          <w:vertAlign w:val="baseline"/>
        </w:rPr>
        <w:t> </w:t>
      </w:r>
      <w:r>
        <w:rPr>
          <w:sz w:val="20"/>
          <w:vertAlign w:val="baseline"/>
        </w:rPr>
        <w:t>el</w:t>
      </w:r>
      <w:r>
        <w:rPr>
          <w:spacing w:val="-6"/>
          <w:sz w:val="20"/>
          <w:vertAlign w:val="baseline"/>
        </w:rPr>
        <w:t> </w:t>
      </w:r>
      <w:r>
        <w:rPr>
          <w:sz w:val="20"/>
          <w:vertAlign w:val="baseline"/>
        </w:rPr>
        <w:t>proyecto</w:t>
      </w:r>
      <w:r>
        <w:rPr>
          <w:spacing w:val="-8"/>
          <w:sz w:val="20"/>
          <w:vertAlign w:val="baseline"/>
        </w:rPr>
        <w:t> </w:t>
      </w:r>
      <w:r>
        <w:rPr>
          <w:sz w:val="20"/>
          <w:vertAlign w:val="baseline"/>
        </w:rPr>
        <w:t>MESOCA-ANCA</w:t>
      </w:r>
      <w:r>
        <w:rPr>
          <w:spacing w:val="-11"/>
          <w:sz w:val="20"/>
          <w:vertAlign w:val="baseline"/>
        </w:rPr>
        <w:t> </w:t>
      </w:r>
      <w:r>
        <w:rPr>
          <w:sz w:val="20"/>
          <w:vertAlign w:val="baseline"/>
        </w:rPr>
        <w:t>de</w:t>
      </w:r>
      <w:r>
        <w:rPr>
          <w:spacing w:val="-8"/>
          <w:sz w:val="20"/>
          <w:vertAlign w:val="baseline"/>
        </w:rPr>
        <w:t> </w:t>
      </w:r>
      <w:r>
        <w:rPr>
          <w:sz w:val="20"/>
          <w:vertAlign w:val="baseline"/>
        </w:rPr>
        <w:t>la</w:t>
      </w:r>
      <w:r>
        <w:rPr>
          <w:spacing w:val="-8"/>
          <w:sz w:val="20"/>
          <w:vertAlign w:val="baseline"/>
        </w:rPr>
        <w:t> </w:t>
      </w:r>
      <w:r>
        <w:rPr>
          <w:sz w:val="20"/>
          <w:vertAlign w:val="baseline"/>
        </w:rPr>
        <w:t>Universidad</w:t>
      </w:r>
      <w:r>
        <w:rPr>
          <w:spacing w:val="-8"/>
          <w:sz w:val="20"/>
          <w:vertAlign w:val="baseline"/>
        </w:rPr>
        <w:t> </w:t>
      </w:r>
      <w:r>
        <w:rPr>
          <w:sz w:val="20"/>
          <w:vertAlign w:val="baseline"/>
        </w:rPr>
        <w:t>del</w:t>
      </w:r>
      <w:r>
        <w:rPr>
          <w:spacing w:val="-7"/>
          <w:sz w:val="20"/>
          <w:vertAlign w:val="baseline"/>
        </w:rPr>
        <w:t> </w:t>
      </w:r>
      <w:r>
        <w:rPr>
          <w:sz w:val="20"/>
          <w:vertAlign w:val="baseline"/>
        </w:rPr>
        <w:t>Valle</w:t>
      </w:r>
      <w:r>
        <w:rPr>
          <w:spacing w:val="-8"/>
          <w:sz w:val="20"/>
          <w:vertAlign w:val="baseline"/>
        </w:rPr>
        <w:t> </w:t>
      </w:r>
      <w:r>
        <w:rPr>
          <w:sz w:val="20"/>
          <w:vertAlign w:val="baseline"/>
        </w:rPr>
        <w:t>en</w:t>
      </w:r>
      <w:r>
        <w:rPr>
          <w:spacing w:val="-8"/>
          <w:sz w:val="20"/>
          <w:vertAlign w:val="baseline"/>
        </w:rPr>
        <w:t> </w:t>
      </w:r>
      <w:r>
        <w:rPr>
          <w:sz w:val="20"/>
          <w:vertAlign w:val="baseline"/>
        </w:rPr>
        <w:t>Colombia,</w:t>
      </w:r>
      <w:r>
        <w:rPr>
          <w:spacing w:val="-13"/>
          <w:sz w:val="20"/>
          <w:vertAlign w:val="baseline"/>
        </w:rPr>
        <w:t> </w:t>
      </w:r>
      <w:r>
        <w:rPr>
          <w:sz w:val="20"/>
          <w:vertAlign w:val="baseline"/>
        </w:rPr>
        <w:t>liderado</w:t>
      </w:r>
      <w:r>
        <w:rPr>
          <w:spacing w:val="-9"/>
          <w:sz w:val="20"/>
          <w:vertAlign w:val="baseline"/>
        </w:rPr>
        <w:t> </w:t>
      </w:r>
      <w:r>
        <w:rPr>
          <w:sz w:val="20"/>
          <w:vertAlign w:val="baseline"/>
        </w:rPr>
        <w:t>por</w:t>
      </w:r>
      <w:r>
        <w:rPr>
          <w:spacing w:val="-8"/>
          <w:sz w:val="20"/>
          <w:vertAlign w:val="baseline"/>
        </w:rPr>
        <w:t> </w:t>
      </w:r>
      <w:r>
        <w:rPr>
          <w:sz w:val="20"/>
          <w:vertAlign w:val="baseline"/>
        </w:rPr>
        <w:t>el</w:t>
      </w:r>
      <w:r>
        <w:rPr>
          <w:spacing w:val="-6"/>
          <w:sz w:val="20"/>
          <w:vertAlign w:val="baseline"/>
        </w:rPr>
        <w:t> </w:t>
      </w:r>
      <w:r>
        <w:rPr>
          <w:sz w:val="20"/>
          <w:vertAlign w:val="baseline"/>
        </w:rPr>
        <w:t>Dr.</w:t>
      </w:r>
      <w:r>
        <w:rPr>
          <w:spacing w:val="-9"/>
          <w:sz w:val="20"/>
          <w:vertAlign w:val="baseline"/>
        </w:rPr>
        <w:t> </w:t>
      </w:r>
      <w:r>
        <w:rPr>
          <w:sz w:val="20"/>
          <w:vertAlign w:val="baseline"/>
        </w:rPr>
        <w:t>Mario Pérez Rincón se ha investigado la relación entre la conflictividad socio-ambiental y el metabolismo social de los países centroamericanos. Los resultados se encuentran pendientes de publicación al</w:t>
      </w:r>
      <w:r>
        <w:rPr>
          <w:spacing w:val="-33"/>
          <w:sz w:val="20"/>
          <w:vertAlign w:val="baseline"/>
        </w:rPr>
        <w:t> </w:t>
      </w:r>
      <w:r>
        <w:rPr>
          <w:sz w:val="20"/>
          <w:vertAlign w:val="baseline"/>
        </w:rPr>
        <w:t>momento.</w:t>
      </w:r>
    </w:p>
    <w:p>
      <w:pPr>
        <w:spacing w:after="0"/>
        <w:jc w:val="both"/>
        <w:rPr>
          <w:sz w:val="20"/>
        </w:rPr>
        <w:sectPr>
          <w:pgSz w:w="12240" w:h="15840"/>
          <w:pgMar w:header="0" w:footer="1330" w:top="1500" w:bottom="1520" w:left="1340" w:right="1320"/>
        </w:sectPr>
      </w:pPr>
    </w:p>
    <w:p>
      <w:pPr>
        <w:pStyle w:val="BodyText"/>
        <w:spacing w:line="360" w:lineRule="auto" w:before="107"/>
        <w:ind w:left="100" w:right="122"/>
        <w:jc w:val="both"/>
      </w:pPr>
      <w:r>
        <w:rPr/>
        <w:t>la apropiación injusta es consecuencia de los límites biofísicos del planeta y de las condiciones</w:t>
      </w:r>
      <w:r>
        <w:rPr>
          <w:spacing w:val="-12"/>
        </w:rPr>
        <w:t> </w:t>
      </w:r>
      <w:r>
        <w:rPr/>
        <w:t>concentración</w:t>
      </w:r>
      <w:r>
        <w:rPr>
          <w:spacing w:val="-14"/>
        </w:rPr>
        <w:t> </w:t>
      </w:r>
      <w:r>
        <w:rPr/>
        <w:t>del</w:t>
      </w:r>
      <w:r>
        <w:rPr>
          <w:spacing w:val="-13"/>
        </w:rPr>
        <w:t> </w:t>
      </w:r>
      <w:r>
        <w:rPr/>
        <w:t>poder</w:t>
      </w:r>
      <w:r>
        <w:rPr>
          <w:spacing w:val="-12"/>
        </w:rPr>
        <w:t> </w:t>
      </w:r>
      <w:r>
        <w:rPr/>
        <w:t>que</w:t>
      </w:r>
      <w:r>
        <w:rPr>
          <w:spacing w:val="-13"/>
        </w:rPr>
        <w:t> </w:t>
      </w:r>
      <w:r>
        <w:rPr/>
        <w:t>facilitan</w:t>
      </w:r>
      <w:r>
        <w:rPr>
          <w:spacing w:val="-14"/>
        </w:rPr>
        <w:t> </w:t>
      </w:r>
      <w:r>
        <w:rPr/>
        <w:t>la</w:t>
      </w:r>
      <w:r>
        <w:rPr>
          <w:spacing w:val="-14"/>
        </w:rPr>
        <w:t> </w:t>
      </w:r>
      <w:r>
        <w:rPr/>
        <w:t>degradación</w:t>
      </w:r>
      <w:r>
        <w:rPr>
          <w:spacing w:val="-13"/>
        </w:rPr>
        <w:t> </w:t>
      </w:r>
      <w:r>
        <w:rPr/>
        <w:t>de</w:t>
      </w:r>
      <w:r>
        <w:rPr>
          <w:spacing w:val="-14"/>
        </w:rPr>
        <w:t> </w:t>
      </w:r>
      <w:r>
        <w:rPr/>
        <w:t>esas</w:t>
      </w:r>
      <w:r>
        <w:rPr>
          <w:spacing w:val="-12"/>
        </w:rPr>
        <w:t> </w:t>
      </w:r>
      <w:r>
        <w:rPr/>
        <w:t>condiciones</w:t>
      </w:r>
      <w:r>
        <w:rPr>
          <w:spacing w:val="-12"/>
        </w:rPr>
        <w:t> </w:t>
      </w:r>
      <w:r>
        <w:rPr/>
        <w:t>de vida.</w:t>
      </w:r>
    </w:p>
    <w:p>
      <w:pPr>
        <w:pStyle w:val="BodyText"/>
        <w:spacing w:line="360" w:lineRule="auto" w:before="203"/>
        <w:ind w:left="100" w:right="116"/>
        <w:jc w:val="both"/>
      </w:pPr>
      <w:r>
        <w:rPr/>
        <w:t>En</w:t>
      </w:r>
      <w:r>
        <w:rPr>
          <w:spacing w:val="-9"/>
        </w:rPr>
        <w:t> </w:t>
      </w:r>
      <w:r>
        <w:rPr/>
        <w:t>esta</w:t>
      </w:r>
      <w:r>
        <w:rPr>
          <w:spacing w:val="-9"/>
        </w:rPr>
        <w:t> </w:t>
      </w:r>
      <w:r>
        <w:rPr/>
        <w:t>investigación</w:t>
      </w:r>
      <w:r>
        <w:rPr>
          <w:spacing w:val="-9"/>
        </w:rPr>
        <w:t> </w:t>
      </w:r>
      <w:r>
        <w:rPr/>
        <w:t>se</w:t>
      </w:r>
      <w:r>
        <w:rPr>
          <w:spacing w:val="-9"/>
        </w:rPr>
        <w:t> </w:t>
      </w:r>
      <w:r>
        <w:rPr/>
        <w:t>utiliza,</w:t>
      </w:r>
      <w:r>
        <w:rPr>
          <w:spacing w:val="-5"/>
        </w:rPr>
        <w:t> </w:t>
      </w:r>
      <w:r>
        <w:rPr/>
        <w:t>por</w:t>
      </w:r>
      <w:r>
        <w:rPr>
          <w:spacing w:val="-7"/>
        </w:rPr>
        <w:t> </w:t>
      </w:r>
      <w:r>
        <w:rPr/>
        <w:t>su</w:t>
      </w:r>
      <w:r>
        <w:rPr>
          <w:spacing w:val="-9"/>
        </w:rPr>
        <w:t> </w:t>
      </w:r>
      <w:r>
        <w:rPr/>
        <w:t>valor</w:t>
      </w:r>
      <w:r>
        <w:rPr>
          <w:spacing w:val="-7"/>
        </w:rPr>
        <w:t> </w:t>
      </w:r>
      <w:r>
        <w:rPr/>
        <w:t>comunicacional,</w:t>
      </w:r>
      <w:r>
        <w:rPr>
          <w:spacing w:val="-4"/>
        </w:rPr>
        <w:t> </w:t>
      </w:r>
      <w:r>
        <w:rPr/>
        <w:t>la</w:t>
      </w:r>
      <w:r>
        <w:rPr>
          <w:spacing w:val="-9"/>
        </w:rPr>
        <w:t> </w:t>
      </w:r>
      <w:r>
        <w:rPr/>
        <w:t>metodología</w:t>
      </w:r>
      <w:r>
        <w:rPr>
          <w:spacing w:val="-5"/>
        </w:rPr>
        <w:t> </w:t>
      </w:r>
      <w:r>
        <w:rPr/>
        <w:t>de</w:t>
      </w:r>
      <w:r>
        <w:rPr>
          <w:spacing w:val="-9"/>
        </w:rPr>
        <w:t> </w:t>
      </w:r>
      <w:r>
        <w:rPr/>
        <w:t>la</w:t>
      </w:r>
      <w:r>
        <w:rPr>
          <w:spacing w:val="-7"/>
        </w:rPr>
        <w:t> </w:t>
      </w:r>
      <w:r>
        <w:rPr/>
        <w:t>Huella Ecológica para medir el impacto biofísico comparativo entre comunidades que se denominan deudoras y acreedoras de la Deuda Ecológica en la ZPLC. Esta medición permite, conforme se desarrolla posteriormente, una visión </w:t>
      </w:r>
      <w:r>
        <w:rPr>
          <w:spacing w:val="-2"/>
        </w:rPr>
        <w:t>más </w:t>
      </w:r>
      <w:r>
        <w:rPr/>
        <w:t>rica de la problemática de injusticia ambiental de la zona en relación a sus</w:t>
      </w:r>
      <w:r>
        <w:rPr>
          <w:spacing w:val="-7"/>
        </w:rPr>
        <w:t> </w:t>
      </w:r>
      <w:r>
        <w:rPr/>
        <w:t>beneficiarios.</w:t>
      </w:r>
    </w:p>
    <w:p>
      <w:pPr>
        <w:pStyle w:val="ListParagraph"/>
        <w:numPr>
          <w:ilvl w:val="0"/>
          <w:numId w:val="5"/>
        </w:numPr>
        <w:tabs>
          <w:tab w:pos="821" w:val="left" w:leader="none"/>
        </w:tabs>
        <w:spacing w:line="240" w:lineRule="auto" w:before="198" w:after="0"/>
        <w:ind w:left="820" w:right="0" w:hanging="721"/>
        <w:jc w:val="both"/>
        <w:rPr>
          <w:sz w:val="24"/>
        </w:rPr>
      </w:pPr>
      <w:r>
        <w:rPr>
          <w:sz w:val="24"/>
        </w:rPr>
        <w:t>La Huella</w:t>
      </w:r>
      <w:r>
        <w:rPr>
          <w:spacing w:val="-2"/>
          <w:sz w:val="24"/>
        </w:rPr>
        <w:t> </w:t>
      </w:r>
      <w:r>
        <w:rPr>
          <w:sz w:val="24"/>
        </w:rPr>
        <w:t>Ecológica</w:t>
      </w:r>
    </w:p>
    <w:p>
      <w:pPr>
        <w:pStyle w:val="BodyText"/>
        <w:spacing w:before="7"/>
        <w:rPr>
          <w:sz w:val="22"/>
        </w:rPr>
      </w:pPr>
    </w:p>
    <w:p>
      <w:pPr>
        <w:pStyle w:val="BodyText"/>
        <w:spacing w:line="360" w:lineRule="auto"/>
        <w:ind w:left="100" w:right="119"/>
        <w:jc w:val="both"/>
      </w:pPr>
      <w:r>
        <w:rPr/>
        <w:t>La Huella Ecológica es una herramienta que permite analizar la demanda de espacio natural por parte del consumo de una persona, de una empresa, de un país, etc. Corresponde</w:t>
      </w:r>
      <w:r>
        <w:rPr>
          <w:spacing w:val="-15"/>
        </w:rPr>
        <w:t> </w:t>
      </w:r>
      <w:r>
        <w:rPr/>
        <w:t>al</w:t>
      </w:r>
      <w:r>
        <w:rPr>
          <w:spacing w:val="-13"/>
        </w:rPr>
        <w:t> </w:t>
      </w:r>
      <w:r>
        <w:rPr/>
        <w:t>área</w:t>
      </w:r>
      <w:r>
        <w:rPr>
          <w:spacing w:val="-14"/>
        </w:rPr>
        <w:t> </w:t>
      </w:r>
      <w:r>
        <w:rPr/>
        <w:t>biológicamente</w:t>
      </w:r>
      <w:r>
        <w:rPr>
          <w:spacing w:val="-14"/>
        </w:rPr>
        <w:t> </w:t>
      </w:r>
      <w:r>
        <w:rPr/>
        <w:t>productiva</w:t>
      </w:r>
      <w:r>
        <w:rPr>
          <w:spacing w:val="-11"/>
        </w:rPr>
        <w:t> </w:t>
      </w:r>
      <w:r>
        <w:rPr/>
        <w:t>necesaria</w:t>
      </w:r>
      <w:r>
        <w:rPr>
          <w:spacing w:val="-14"/>
        </w:rPr>
        <w:t> </w:t>
      </w:r>
      <w:r>
        <w:rPr/>
        <w:t>para</w:t>
      </w:r>
      <w:r>
        <w:rPr>
          <w:spacing w:val="-14"/>
        </w:rPr>
        <w:t> </w:t>
      </w:r>
      <w:r>
        <w:rPr/>
        <w:t>producir</w:t>
      </w:r>
      <w:r>
        <w:rPr>
          <w:spacing w:val="-13"/>
        </w:rPr>
        <w:t> </w:t>
      </w:r>
      <w:r>
        <w:rPr/>
        <w:t>los</w:t>
      </w:r>
      <w:r>
        <w:rPr>
          <w:spacing w:val="-12"/>
        </w:rPr>
        <w:t> </w:t>
      </w:r>
      <w:r>
        <w:rPr/>
        <w:t>recursos</w:t>
      </w:r>
      <w:r>
        <w:rPr>
          <w:spacing w:val="-12"/>
        </w:rPr>
        <w:t> </w:t>
      </w:r>
      <w:r>
        <w:rPr/>
        <w:t>que se consumen y absorber los desechos que se generan (Rees &amp; Wackernagel,</w:t>
      </w:r>
      <w:r>
        <w:rPr>
          <w:spacing w:val="-20"/>
        </w:rPr>
        <w:t> </w:t>
      </w:r>
      <w:r>
        <w:rPr/>
        <w:t>1998).</w:t>
      </w:r>
    </w:p>
    <w:p>
      <w:pPr>
        <w:pStyle w:val="BodyText"/>
        <w:spacing w:line="360" w:lineRule="auto" w:before="121"/>
        <w:ind w:left="100" w:right="116"/>
        <w:jc w:val="both"/>
      </w:pPr>
      <w:r>
        <w:rPr/>
        <w:t>Esta demanda puede compararse con la capacidad biológica (biocapacidad) de una región o del mundo. Cuando la demanda humana excede la biocapacidad, disminuyen las reservas de naturaleza que permiten las funciones y servicios ecosistémicos. (Rees &amp; Wackernagel, 1994). A esta situación se le llama “sobregiro” o déficit ecológico (Rees &amp; Wackernagel, 1998).</w:t>
      </w:r>
    </w:p>
    <w:p>
      <w:pPr>
        <w:pStyle w:val="BodyText"/>
        <w:spacing w:line="360" w:lineRule="auto" w:before="199"/>
        <w:ind w:left="100" w:right="118"/>
        <w:jc w:val="both"/>
      </w:pPr>
      <w:r>
        <w:rPr/>
        <w:t>El concepto y la metodología de medición de la Huella Ecológica fueron desarrollados por</w:t>
      </w:r>
      <w:r>
        <w:rPr>
          <w:spacing w:val="-14"/>
        </w:rPr>
        <w:t> </w:t>
      </w:r>
      <w:r>
        <w:rPr/>
        <w:t>William</w:t>
      </w:r>
      <w:r>
        <w:rPr>
          <w:spacing w:val="-14"/>
        </w:rPr>
        <w:t> </w:t>
      </w:r>
      <w:r>
        <w:rPr/>
        <w:t>Rees</w:t>
      </w:r>
      <w:r>
        <w:rPr>
          <w:spacing w:val="-6"/>
        </w:rPr>
        <w:t> </w:t>
      </w:r>
      <w:r>
        <w:rPr/>
        <w:t>y</w:t>
      </w:r>
      <w:r>
        <w:rPr>
          <w:spacing w:val="-10"/>
        </w:rPr>
        <w:t> </w:t>
      </w:r>
      <w:r>
        <w:rPr/>
        <w:t>Mathis</w:t>
      </w:r>
      <w:r>
        <w:rPr>
          <w:spacing w:val="-13"/>
        </w:rPr>
        <w:t> </w:t>
      </w:r>
      <w:r>
        <w:rPr/>
        <w:t>Wackernagel</w:t>
      </w:r>
      <w:r>
        <w:rPr>
          <w:spacing w:val="-11"/>
        </w:rPr>
        <w:t> </w:t>
      </w:r>
      <w:r>
        <w:rPr/>
        <w:t>en</w:t>
      </w:r>
      <w:r>
        <w:rPr>
          <w:spacing w:val="-12"/>
        </w:rPr>
        <w:t> </w:t>
      </w:r>
      <w:r>
        <w:rPr/>
        <w:t>la</w:t>
      </w:r>
      <w:r>
        <w:rPr>
          <w:spacing w:val="-11"/>
        </w:rPr>
        <w:t> </w:t>
      </w:r>
      <w:r>
        <w:rPr/>
        <w:t>Universidad</w:t>
      </w:r>
      <w:r>
        <w:rPr>
          <w:spacing w:val="-12"/>
        </w:rPr>
        <w:t> </w:t>
      </w:r>
      <w:r>
        <w:rPr/>
        <w:t>de</w:t>
      </w:r>
      <w:r>
        <w:rPr>
          <w:spacing w:val="-12"/>
        </w:rPr>
        <w:t> </w:t>
      </w:r>
      <w:r>
        <w:rPr/>
        <w:t>Columbia</w:t>
      </w:r>
      <w:r>
        <w:rPr>
          <w:spacing w:val="-11"/>
        </w:rPr>
        <w:t> </w:t>
      </w:r>
      <w:r>
        <w:rPr/>
        <w:t>Británica</w:t>
      </w:r>
      <w:r>
        <w:rPr>
          <w:spacing w:val="-10"/>
        </w:rPr>
        <w:t> </w:t>
      </w:r>
      <w:r>
        <w:rPr/>
        <w:t>durante la primera mitad de los años 90. La medición detallada expresa cuáles son los requerimientos (en términos de hectáreas de tierra “bioutilizable”</w:t>
      </w:r>
      <w:r>
        <w:rPr>
          <w:vertAlign w:val="superscript"/>
        </w:rPr>
        <w:t>17</w:t>
      </w:r>
      <w:r>
        <w:rPr>
          <w:vertAlign w:val="baseline"/>
        </w:rPr>
        <w:t>) para mantener el nivel</w:t>
      </w:r>
      <w:r>
        <w:rPr>
          <w:spacing w:val="-19"/>
          <w:vertAlign w:val="baseline"/>
        </w:rPr>
        <w:t> </w:t>
      </w:r>
      <w:r>
        <w:rPr>
          <w:vertAlign w:val="baseline"/>
        </w:rPr>
        <w:t>de</w:t>
      </w:r>
      <w:r>
        <w:rPr>
          <w:spacing w:val="-19"/>
          <w:vertAlign w:val="baseline"/>
        </w:rPr>
        <w:t> </w:t>
      </w:r>
      <w:r>
        <w:rPr>
          <w:vertAlign w:val="baseline"/>
        </w:rPr>
        <w:t>consumo</w:t>
      </w:r>
      <w:r>
        <w:rPr>
          <w:spacing w:val="-19"/>
          <w:vertAlign w:val="baseline"/>
        </w:rPr>
        <w:t> </w:t>
      </w:r>
      <w:r>
        <w:rPr>
          <w:vertAlign w:val="baseline"/>
        </w:rPr>
        <w:t>de</w:t>
      </w:r>
      <w:r>
        <w:rPr>
          <w:spacing w:val="-15"/>
          <w:vertAlign w:val="baseline"/>
        </w:rPr>
        <w:t> </w:t>
      </w:r>
      <w:r>
        <w:rPr>
          <w:vertAlign w:val="baseline"/>
        </w:rPr>
        <w:t>una</w:t>
      </w:r>
      <w:r>
        <w:rPr>
          <w:spacing w:val="-20"/>
          <w:vertAlign w:val="baseline"/>
        </w:rPr>
        <w:t> </w:t>
      </w:r>
      <w:r>
        <w:rPr>
          <w:vertAlign w:val="baseline"/>
        </w:rPr>
        <w:t>persona,</w:t>
      </w:r>
      <w:r>
        <w:rPr>
          <w:spacing w:val="-12"/>
          <w:vertAlign w:val="baseline"/>
        </w:rPr>
        <w:t> </w:t>
      </w:r>
      <w:r>
        <w:rPr>
          <w:vertAlign w:val="baseline"/>
        </w:rPr>
        <w:t>empresa,</w:t>
      </w:r>
      <w:r>
        <w:rPr>
          <w:spacing w:val="-14"/>
          <w:vertAlign w:val="baseline"/>
        </w:rPr>
        <w:t> </w:t>
      </w:r>
      <w:r>
        <w:rPr>
          <w:vertAlign w:val="baseline"/>
        </w:rPr>
        <w:t>país,</w:t>
      </w:r>
      <w:r>
        <w:rPr>
          <w:spacing w:val="-17"/>
          <w:vertAlign w:val="baseline"/>
        </w:rPr>
        <w:t> </w:t>
      </w:r>
      <w:r>
        <w:rPr>
          <w:vertAlign w:val="baseline"/>
        </w:rPr>
        <w:t>etc.</w:t>
      </w:r>
      <w:r>
        <w:rPr>
          <w:spacing w:val="35"/>
          <w:vertAlign w:val="baseline"/>
        </w:rPr>
        <w:t> </w:t>
      </w:r>
      <w:r>
        <w:rPr>
          <w:vertAlign w:val="baseline"/>
        </w:rPr>
        <w:t>Esto</w:t>
      </w:r>
      <w:r>
        <w:rPr>
          <w:spacing w:val="-19"/>
          <w:vertAlign w:val="baseline"/>
        </w:rPr>
        <w:t> </w:t>
      </w:r>
      <w:r>
        <w:rPr>
          <w:vertAlign w:val="baseline"/>
        </w:rPr>
        <w:t>nos</w:t>
      </w:r>
      <w:r>
        <w:rPr>
          <w:spacing w:val="-17"/>
          <w:vertAlign w:val="baseline"/>
        </w:rPr>
        <w:t> </w:t>
      </w:r>
      <w:r>
        <w:rPr>
          <w:vertAlign w:val="baseline"/>
        </w:rPr>
        <w:t>da</w:t>
      </w:r>
      <w:r>
        <w:rPr>
          <w:spacing w:val="-16"/>
          <w:vertAlign w:val="baseline"/>
        </w:rPr>
        <w:t> </w:t>
      </w:r>
      <w:r>
        <w:rPr>
          <w:vertAlign w:val="baseline"/>
        </w:rPr>
        <w:t>una</w:t>
      </w:r>
      <w:r>
        <w:rPr>
          <w:spacing w:val="-15"/>
          <w:vertAlign w:val="baseline"/>
        </w:rPr>
        <w:t> </w:t>
      </w:r>
      <w:r>
        <w:rPr>
          <w:vertAlign w:val="baseline"/>
        </w:rPr>
        <w:t>idea</w:t>
      </w:r>
      <w:r>
        <w:rPr>
          <w:spacing w:val="-15"/>
          <w:vertAlign w:val="baseline"/>
        </w:rPr>
        <w:t> </w:t>
      </w:r>
      <w:r>
        <w:rPr>
          <w:vertAlign w:val="baseline"/>
        </w:rPr>
        <w:t>muy</w:t>
      </w:r>
      <w:r>
        <w:rPr>
          <w:spacing w:val="-21"/>
          <w:vertAlign w:val="baseline"/>
        </w:rPr>
        <w:t> </w:t>
      </w:r>
      <w:r>
        <w:rPr>
          <w:vertAlign w:val="baseline"/>
        </w:rPr>
        <w:t>tangible del</w:t>
      </w:r>
      <w:r>
        <w:rPr>
          <w:spacing w:val="-8"/>
          <w:vertAlign w:val="baseline"/>
        </w:rPr>
        <w:t> </w:t>
      </w:r>
      <w:r>
        <w:rPr>
          <w:vertAlign w:val="baseline"/>
        </w:rPr>
        <w:t>impacto</w:t>
      </w:r>
      <w:r>
        <w:rPr>
          <w:spacing w:val="-7"/>
          <w:vertAlign w:val="baseline"/>
        </w:rPr>
        <w:t> </w:t>
      </w:r>
      <w:r>
        <w:rPr>
          <w:vertAlign w:val="baseline"/>
        </w:rPr>
        <w:t>real</w:t>
      </w:r>
      <w:r>
        <w:rPr>
          <w:spacing w:val="-5"/>
          <w:vertAlign w:val="baseline"/>
        </w:rPr>
        <w:t> </w:t>
      </w:r>
      <w:r>
        <w:rPr>
          <w:vertAlign w:val="baseline"/>
        </w:rPr>
        <w:t>de</w:t>
      </w:r>
      <w:r>
        <w:rPr>
          <w:spacing w:val="-4"/>
          <w:vertAlign w:val="baseline"/>
        </w:rPr>
        <w:t> </w:t>
      </w:r>
      <w:r>
        <w:rPr>
          <w:vertAlign w:val="baseline"/>
        </w:rPr>
        <w:t>las</w:t>
      </w:r>
      <w:r>
        <w:rPr>
          <w:spacing w:val="-2"/>
          <w:vertAlign w:val="baseline"/>
        </w:rPr>
        <w:t> </w:t>
      </w:r>
      <w:r>
        <w:rPr>
          <w:vertAlign w:val="baseline"/>
        </w:rPr>
        <w:t>actividades</w:t>
      </w:r>
      <w:r>
        <w:rPr>
          <w:spacing w:val="1"/>
          <w:vertAlign w:val="baseline"/>
        </w:rPr>
        <w:t> </w:t>
      </w:r>
      <w:r>
        <w:rPr>
          <w:vertAlign w:val="baseline"/>
        </w:rPr>
        <w:t>humanas</w:t>
      </w:r>
      <w:r>
        <w:rPr>
          <w:spacing w:val="-7"/>
          <w:vertAlign w:val="baseline"/>
        </w:rPr>
        <w:t> </w:t>
      </w:r>
      <w:r>
        <w:rPr>
          <w:vertAlign w:val="baseline"/>
        </w:rPr>
        <w:t>sobre</w:t>
      </w:r>
      <w:r>
        <w:rPr>
          <w:spacing w:val="-4"/>
          <w:vertAlign w:val="baseline"/>
        </w:rPr>
        <w:t> </w:t>
      </w:r>
      <w:r>
        <w:rPr>
          <w:vertAlign w:val="baseline"/>
        </w:rPr>
        <w:t>el</w:t>
      </w:r>
      <w:r>
        <w:rPr>
          <w:spacing w:val="-4"/>
          <w:vertAlign w:val="baseline"/>
        </w:rPr>
        <w:t> </w:t>
      </w:r>
      <w:r>
        <w:rPr>
          <w:vertAlign w:val="baseline"/>
        </w:rPr>
        <w:t>ecosistema</w:t>
      </w:r>
      <w:r>
        <w:rPr>
          <w:spacing w:val="-4"/>
          <w:vertAlign w:val="baseline"/>
        </w:rPr>
        <w:t> </w:t>
      </w:r>
      <w:r>
        <w:rPr>
          <w:vertAlign w:val="baseline"/>
        </w:rPr>
        <w:t>y</w:t>
      </w:r>
      <w:r>
        <w:rPr>
          <w:spacing w:val="-10"/>
          <w:vertAlign w:val="baseline"/>
        </w:rPr>
        <w:t> </w:t>
      </w:r>
      <w:r>
        <w:rPr>
          <w:vertAlign w:val="baseline"/>
        </w:rPr>
        <w:t>por</w:t>
      </w:r>
      <w:r>
        <w:rPr>
          <w:spacing w:val="-6"/>
          <w:vertAlign w:val="baseline"/>
        </w:rPr>
        <w:t> </w:t>
      </w:r>
      <w:r>
        <w:rPr>
          <w:vertAlign w:val="baseline"/>
        </w:rPr>
        <w:t>ello</w:t>
      </w:r>
      <w:r>
        <w:rPr>
          <w:spacing w:val="-4"/>
          <w:vertAlign w:val="baseline"/>
        </w:rPr>
        <w:t> </w:t>
      </w:r>
      <w:r>
        <w:rPr>
          <w:vertAlign w:val="baseline"/>
        </w:rPr>
        <w:t>del</w:t>
      </w:r>
      <w:r>
        <w:rPr>
          <w:spacing w:val="-7"/>
          <w:vertAlign w:val="baseline"/>
        </w:rPr>
        <w:t> </w:t>
      </w:r>
      <w:r>
        <w:rPr>
          <w:vertAlign w:val="baseline"/>
        </w:rPr>
        <w:t>concepto de sostenibilidad desde la perspectiva biofísica (Rees &amp; Wackernagel,</w:t>
      </w:r>
      <w:r>
        <w:rPr>
          <w:spacing w:val="-10"/>
          <w:vertAlign w:val="baseline"/>
        </w:rPr>
        <w:t> </w:t>
      </w:r>
      <w:r>
        <w:rPr>
          <w:vertAlign w:val="baseline"/>
        </w:rPr>
        <w:t>1998).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1"/>
        </w:rPr>
      </w:pPr>
      <w:r>
        <w:rPr/>
        <w:pict>
          <v:rect style="position:absolute;margin-left:72.025002pt;margin-top:8.4233pt;width:144.050pt;height:.60004pt;mso-position-horizontal-relative:page;mso-position-vertical-relative:paragraph;z-index:-15702016;mso-wrap-distance-left:0;mso-wrap-distance-right:0" filled="true" fillcolor="#000000" stroked="false">
            <v:fill type="solid"/>
            <w10:wrap type="topAndBottom"/>
          </v:rect>
        </w:pict>
      </w:r>
    </w:p>
    <w:p>
      <w:pPr>
        <w:spacing w:before="73"/>
        <w:ind w:left="100" w:right="0" w:firstLine="0"/>
        <w:jc w:val="left"/>
        <w:rPr>
          <w:sz w:val="13"/>
        </w:rPr>
      </w:pPr>
      <w:r>
        <w:rPr>
          <w:sz w:val="20"/>
          <w:vertAlign w:val="superscript"/>
        </w:rPr>
        <w:t>17</w:t>
      </w:r>
      <w:r>
        <w:rPr>
          <w:sz w:val="20"/>
          <w:vertAlign w:val="baseline"/>
        </w:rPr>
        <w:t> </w:t>
      </w:r>
      <w:r>
        <w:rPr>
          <w:position w:val="1"/>
          <w:sz w:val="20"/>
          <w:vertAlign w:val="baseline"/>
        </w:rPr>
        <w:t>Cultivos, pastos, bosques, mar, suelo construido o absorción de CO</w:t>
      </w:r>
      <w:r>
        <w:rPr>
          <w:sz w:val="13"/>
          <w:vertAlign w:val="baseline"/>
        </w:rPr>
        <w:t>2.</w:t>
      </w:r>
    </w:p>
    <w:p>
      <w:pPr>
        <w:spacing w:after="0"/>
        <w:jc w:val="left"/>
        <w:rPr>
          <w:sz w:val="13"/>
        </w:rPr>
        <w:sectPr>
          <w:pgSz w:w="12240" w:h="15840"/>
          <w:pgMar w:header="0" w:footer="1330" w:top="1500" w:bottom="1520" w:left="1340" w:right="1320"/>
        </w:sectPr>
      </w:pPr>
    </w:p>
    <w:p>
      <w:pPr>
        <w:pStyle w:val="BodyText"/>
        <w:spacing w:line="360" w:lineRule="auto" w:before="107"/>
        <w:ind w:left="100" w:right="113"/>
        <w:jc w:val="both"/>
      </w:pPr>
      <w:r>
        <w:rPr/>
        <w:t>Se plantea que la Huella Ecológica es en este sentido un indicador de sostenibilidad fuerte que ayuda a visualizar el costo social del crecimiento haciendo visibles muchos impactos que el análisis monetario tradicional no captura. Ayuda a identificar dónde y cuándo</w:t>
      </w:r>
      <w:r>
        <w:rPr>
          <w:spacing w:val="-12"/>
        </w:rPr>
        <w:t> </w:t>
      </w:r>
      <w:r>
        <w:rPr/>
        <w:t>el</w:t>
      </w:r>
      <w:r>
        <w:rPr>
          <w:spacing w:val="-10"/>
        </w:rPr>
        <w:t> </w:t>
      </w:r>
      <w:r>
        <w:rPr/>
        <w:t>crecimiento</w:t>
      </w:r>
      <w:r>
        <w:rPr>
          <w:spacing w:val="-8"/>
        </w:rPr>
        <w:t> </w:t>
      </w:r>
      <w:r>
        <w:rPr/>
        <w:t>económico</w:t>
      </w:r>
      <w:r>
        <w:rPr>
          <w:spacing w:val="-12"/>
        </w:rPr>
        <w:t> </w:t>
      </w:r>
      <w:r>
        <w:rPr/>
        <w:t>se</w:t>
      </w:r>
      <w:r>
        <w:rPr>
          <w:spacing w:val="-11"/>
        </w:rPr>
        <w:t> </w:t>
      </w:r>
      <w:r>
        <w:rPr/>
        <w:t>vuelve</w:t>
      </w:r>
      <w:r>
        <w:rPr>
          <w:spacing w:val="-9"/>
        </w:rPr>
        <w:t> </w:t>
      </w:r>
      <w:r>
        <w:rPr/>
        <w:t>imposible</w:t>
      </w:r>
      <w:r>
        <w:rPr>
          <w:spacing w:val="-11"/>
        </w:rPr>
        <w:t> </w:t>
      </w:r>
      <w:r>
        <w:rPr/>
        <w:t>en</w:t>
      </w:r>
      <w:r>
        <w:rPr>
          <w:spacing w:val="-12"/>
        </w:rPr>
        <w:t> </w:t>
      </w:r>
      <w:r>
        <w:rPr/>
        <w:t>un</w:t>
      </w:r>
      <w:r>
        <w:rPr>
          <w:spacing w:val="-7"/>
        </w:rPr>
        <w:t> </w:t>
      </w:r>
      <w:r>
        <w:rPr/>
        <w:t>planeta</w:t>
      </w:r>
      <w:r>
        <w:rPr>
          <w:spacing w:val="-12"/>
        </w:rPr>
        <w:t> </w:t>
      </w:r>
      <w:r>
        <w:rPr/>
        <w:t>finito</w:t>
      </w:r>
      <w:r>
        <w:rPr>
          <w:spacing w:val="-11"/>
        </w:rPr>
        <w:t> </w:t>
      </w:r>
      <w:r>
        <w:rPr/>
        <w:t>convirtiéndose en una herramienta para medir la imposibilidad de la sustitución tecnológica para todos los casos de deterioro de las reservas</w:t>
      </w:r>
      <w:r>
        <w:rPr>
          <w:spacing w:val="4"/>
        </w:rPr>
        <w:t> </w:t>
      </w:r>
      <w:r>
        <w:rPr/>
        <w:t>ecosistémicas.</w:t>
      </w:r>
    </w:p>
    <w:p>
      <w:pPr>
        <w:pStyle w:val="BodyText"/>
        <w:spacing w:line="360" w:lineRule="auto" w:before="201"/>
        <w:ind w:left="100" w:right="115"/>
        <w:jc w:val="both"/>
      </w:pPr>
      <w:r>
        <w:rPr/>
        <w:t>Asimismo, más allá de un indicador de eficiencia biofísica, la Huella Ecológica permite entender mejor las implicaciones de la equidad social desde la perspectiva de la biocapacidad</w:t>
      </w:r>
      <w:r>
        <w:rPr>
          <w:spacing w:val="-9"/>
        </w:rPr>
        <w:t> </w:t>
      </w:r>
      <w:r>
        <w:rPr/>
        <w:t>necesaria</w:t>
      </w:r>
      <w:r>
        <w:rPr>
          <w:spacing w:val="-3"/>
        </w:rPr>
        <w:t> </w:t>
      </w:r>
      <w:r>
        <w:rPr/>
        <w:t>para</w:t>
      </w:r>
      <w:r>
        <w:rPr>
          <w:spacing w:val="-9"/>
        </w:rPr>
        <w:t> </w:t>
      </w:r>
      <w:r>
        <w:rPr/>
        <w:t>vivir.</w:t>
      </w:r>
      <w:r>
        <w:rPr>
          <w:spacing w:val="-6"/>
        </w:rPr>
        <w:t> </w:t>
      </w:r>
      <w:r>
        <w:rPr/>
        <w:t>El</w:t>
      </w:r>
      <w:r>
        <w:rPr>
          <w:spacing w:val="-8"/>
        </w:rPr>
        <w:t> </w:t>
      </w:r>
      <w:r>
        <w:rPr/>
        <w:t>sobreconsumo</w:t>
      </w:r>
      <w:r>
        <w:rPr>
          <w:spacing w:val="-9"/>
        </w:rPr>
        <w:t> </w:t>
      </w:r>
      <w:r>
        <w:rPr/>
        <w:t>de</w:t>
      </w:r>
      <w:r>
        <w:rPr>
          <w:spacing w:val="-9"/>
        </w:rPr>
        <w:t> </w:t>
      </w:r>
      <w:r>
        <w:rPr/>
        <w:t>las</w:t>
      </w:r>
      <w:r>
        <w:rPr>
          <w:spacing w:val="-3"/>
        </w:rPr>
        <w:t> </w:t>
      </w:r>
      <w:r>
        <w:rPr/>
        <w:t>naciones</w:t>
      </w:r>
      <w:r>
        <w:rPr>
          <w:spacing w:val="-6"/>
        </w:rPr>
        <w:t> </w:t>
      </w:r>
      <w:r>
        <w:rPr/>
        <w:t>principales</w:t>
      </w:r>
      <w:r>
        <w:rPr>
          <w:spacing w:val="-7"/>
        </w:rPr>
        <w:t> </w:t>
      </w:r>
      <w:r>
        <w:rPr/>
        <w:t>o</w:t>
      </w:r>
      <w:r>
        <w:rPr>
          <w:spacing w:val="-9"/>
        </w:rPr>
        <w:t> </w:t>
      </w:r>
      <w:r>
        <w:rPr/>
        <w:t>de</w:t>
      </w:r>
      <w:r>
        <w:rPr>
          <w:spacing w:val="-9"/>
        </w:rPr>
        <w:t> </w:t>
      </w:r>
      <w:r>
        <w:rPr/>
        <w:t>las personas “exitosas” genera en las demás el deseo de imitar su éxito. Ello implica que existe una tendencia a agravar la inequidad ambiental en la cual una minoría de la población del planeta consume la mayoría de los recursos disponibles y genera un sobregiro por encima de la biocapacidad del planeta, incluso utilizando las reservas ecosistémicas que deberían cubrir necesidades de las generaciones futuras. Al ser muchas de esas existencias finitas, su potencial agotamiento lleva a una inequidad multidimensional (Gachet,</w:t>
      </w:r>
      <w:r>
        <w:rPr>
          <w:spacing w:val="1"/>
        </w:rPr>
        <w:t> </w:t>
      </w:r>
      <w:r>
        <w:rPr/>
        <w:t>2002).</w:t>
      </w:r>
    </w:p>
    <w:p>
      <w:pPr>
        <w:pStyle w:val="BodyText"/>
        <w:spacing w:line="360" w:lineRule="auto" w:before="201"/>
        <w:ind w:left="100" w:right="114"/>
        <w:jc w:val="both"/>
      </w:pPr>
      <w:r>
        <w:rPr>
          <w:w w:val="105"/>
        </w:rPr>
        <w:t>Ivan</w:t>
      </w:r>
      <w:r>
        <w:rPr>
          <w:spacing w:val="-14"/>
          <w:w w:val="105"/>
        </w:rPr>
        <w:t> </w:t>
      </w:r>
      <w:r>
        <w:rPr>
          <w:w w:val="105"/>
        </w:rPr>
        <w:t>Gachet,</w:t>
      </w:r>
      <w:r>
        <w:rPr>
          <w:spacing w:val="-12"/>
          <w:w w:val="105"/>
        </w:rPr>
        <w:t> </w:t>
      </w:r>
      <w:r>
        <w:rPr>
          <w:w w:val="105"/>
        </w:rPr>
        <w:t>de</w:t>
      </w:r>
      <w:r>
        <w:rPr>
          <w:spacing w:val="-14"/>
          <w:w w:val="105"/>
        </w:rPr>
        <w:t> </w:t>
      </w:r>
      <w:r>
        <w:rPr>
          <w:w w:val="105"/>
        </w:rPr>
        <w:t>la</w:t>
      </w:r>
      <w:r>
        <w:rPr>
          <w:spacing w:val="-13"/>
          <w:w w:val="105"/>
        </w:rPr>
        <w:t> </w:t>
      </w:r>
      <w:r>
        <w:rPr>
          <w:w w:val="105"/>
        </w:rPr>
        <w:t>Universidad</w:t>
      </w:r>
      <w:r>
        <w:rPr>
          <w:spacing w:val="-14"/>
          <w:w w:val="105"/>
        </w:rPr>
        <w:t> </w:t>
      </w:r>
      <w:r>
        <w:rPr>
          <w:w w:val="105"/>
        </w:rPr>
        <w:t>Católica</w:t>
      </w:r>
      <w:r>
        <w:rPr>
          <w:spacing w:val="-13"/>
          <w:w w:val="105"/>
        </w:rPr>
        <w:t> </w:t>
      </w:r>
      <w:r>
        <w:rPr>
          <w:w w:val="105"/>
        </w:rPr>
        <w:t>del</w:t>
      </w:r>
      <w:r>
        <w:rPr>
          <w:spacing w:val="-14"/>
          <w:w w:val="105"/>
        </w:rPr>
        <w:t> </w:t>
      </w:r>
      <w:r>
        <w:rPr>
          <w:w w:val="105"/>
        </w:rPr>
        <w:t>Ecuador,</w:t>
      </w:r>
      <w:r>
        <w:rPr>
          <w:spacing w:val="-11"/>
          <w:w w:val="105"/>
        </w:rPr>
        <w:t> </w:t>
      </w:r>
      <w:r>
        <w:rPr>
          <w:w w:val="105"/>
        </w:rPr>
        <w:t>busca</w:t>
      </w:r>
      <w:r>
        <w:rPr>
          <w:spacing w:val="-14"/>
          <w:w w:val="105"/>
        </w:rPr>
        <w:t> </w:t>
      </w:r>
      <w:r>
        <w:rPr>
          <w:w w:val="105"/>
        </w:rPr>
        <w:t>probar</w:t>
      </w:r>
      <w:r>
        <w:rPr>
          <w:spacing w:val="-12"/>
          <w:w w:val="105"/>
        </w:rPr>
        <w:t> </w:t>
      </w:r>
      <w:r>
        <w:rPr>
          <w:w w:val="105"/>
        </w:rPr>
        <w:t>la</w:t>
      </w:r>
      <w:r>
        <w:rPr>
          <w:spacing w:val="-12"/>
          <w:w w:val="105"/>
        </w:rPr>
        <w:t> </w:t>
      </w:r>
      <w:r>
        <w:rPr>
          <w:w w:val="105"/>
        </w:rPr>
        <w:t>relación</w:t>
      </w:r>
      <w:r>
        <w:rPr>
          <w:spacing w:val="-13"/>
          <w:w w:val="105"/>
        </w:rPr>
        <w:t> </w:t>
      </w:r>
      <w:r>
        <w:rPr>
          <w:w w:val="105"/>
        </w:rPr>
        <w:t>enre</w:t>
      </w:r>
      <w:r>
        <w:rPr>
          <w:spacing w:val="-14"/>
          <w:w w:val="105"/>
        </w:rPr>
        <w:t> </w:t>
      </w:r>
      <w:r>
        <w:rPr>
          <w:w w:val="105"/>
        </w:rPr>
        <w:t>la Huella</w:t>
      </w:r>
      <w:r>
        <w:rPr>
          <w:spacing w:val="-11"/>
          <w:w w:val="105"/>
        </w:rPr>
        <w:t> </w:t>
      </w:r>
      <w:r>
        <w:rPr>
          <w:w w:val="105"/>
        </w:rPr>
        <w:t>Ecológica</w:t>
      </w:r>
      <w:r>
        <w:rPr>
          <w:spacing w:val="-11"/>
          <w:w w:val="105"/>
        </w:rPr>
        <w:t> </w:t>
      </w:r>
      <w:r>
        <w:rPr>
          <w:w w:val="105"/>
        </w:rPr>
        <w:t>y</w:t>
      </w:r>
      <w:r>
        <w:rPr>
          <w:spacing w:val="-13"/>
          <w:w w:val="105"/>
        </w:rPr>
        <w:t> </w:t>
      </w:r>
      <w:r>
        <w:rPr>
          <w:w w:val="105"/>
        </w:rPr>
        <w:t>la</w:t>
      </w:r>
      <w:r>
        <w:rPr>
          <w:spacing w:val="-9"/>
          <w:w w:val="105"/>
        </w:rPr>
        <w:t> </w:t>
      </w:r>
      <w:r>
        <w:rPr>
          <w:w w:val="105"/>
        </w:rPr>
        <w:t>equidad</w:t>
      </w:r>
      <w:r>
        <w:rPr>
          <w:spacing w:val="-11"/>
          <w:w w:val="105"/>
        </w:rPr>
        <w:t> </w:t>
      </w:r>
      <w:r>
        <w:rPr>
          <w:w w:val="105"/>
        </w:rPr>
        <w:t>mediante</w:t>
      </w:r>
      <w:r>
        <w:rPr>
          <w:spacing w:val="-11"/>
          <w:w w:val="105"/>
        </w:rPr>
        <w:t> </w:t>
      </w:r>
      <w:r>
        <w:rPr>
          <w:w w:val="105"/>
        </w:rPr>
        <w:t>el</w:t>
      </w:r>
      <w:r>
        <w:rPr>
          <w:spacing w:val="-10"/>
          <w:w w:val="105"/>
        </w:rPr>
        <w:t> </w:t>
      </w:r>
      <w:r>
        <w:rPr>
          <w:w w:val="105"/>
        </w:rPr>
        <w:t>estudio</w:t>
      </w:r>
      <w:r>
        <w:rPr>
          <w:spacing w:val="-9"/>
          <w:w w:val="105"/>
        </w:rPr>
        <w:t> </w:t>
      </w:r>
      <w:r>
        <w:rPr>
          <w:w w:val="105"/>
        </w:rPr>
        <w:t>de</w:t>
      </w:r>
      <w:r>
        <w:rPr>
          <w:spacing w:val="-11"/>
          <w:w w:val="105"/>
        </w:rPr>
        <w:t> </w:t>
      </w:r>
      <w:r>
        <w:rPr>
          <w:w w:val="105"/>
        </w:rPr>
        <w:t>la</w:t>
      </w:r>
      <w:r>
        <w:rPr>
          <w:spacing w:val="-11"/>
          <w:w w:val="105"/>
        </w:rPr>
        <w:t> </w:t>
      </w:r>
      <w:r>
        <w:rPr>
          <w:w w:val="105"/>
        </w:rPr>
        <w:t>exportación</w:t>
      </w:r>
      <w:r>
        <w:rPr>
          <w:spacing w:val="-10"/>
          <w:w w:val="105"/>
        </w:rPr>
        <w:t> </w:t>
      </w:r>
      <w:r>
        <w:rPr>
          <w:w w:val="105"/>
        </w:rPr>
        <w:t>del</w:t>
      </w:r>
      <w:r>
        <w:rPr>
          <w:spacing w:val="-11"/>
          <w:w w:val="105"/>
        </w:rPr>
        <w:t> </w:t>
      </w:r>
      <w:r>
        <w:rPr>
          <w:w w:val="105"/>
        </w:rPr>
        <w:t>banano</w:t>
      </w:r>
      <w:r>
        <w:rPr>
          <w:spacing w:val="-11"/>
          <w:w w:val="105"/>
        </w:rPr>
        <w:t> </w:t>
      </w:r>
      <w:r>
        <w:rPr>
          <w:w w:val="105"/>
        </w:rPr>
        <w:t>en</w:t>
      </w:r>
      <w:r>
        <w:rPr>
          <w:spacing w:val="-11"/>
          <w:w w:val="105"/>
        </w:rPr>
        <w:t> </w:t>
      </w:r>
      <w:r>
        <w:rPr>
          <w:w w:val="105"/>
        </w:rPr>
        <w:t>el Ecuador</w:t>
      </w:r>
      <w:r>
        <w:rPr>
          <w:color w:val="221F1F"/>
          <w:w w:val="105"/>
        </w:rPr>
        <w:t>.</w:t>
      </w:r>
      <w:r>
        <w:rPr>
          <w:color w:val="221F1F"/>
          <w:spacing w:val="-16"/>
          <w:w w:val="105"/>
        </w:rPr>
        <w:t> </w:t>
      </w:r>
      <w:r>
        <w:rPr>
          <w:color w:val="221F1F"/>
          <w:w w:val="105"/>
        </w:rPr>
        <w:t>Según</w:t>
      </w:r>
      <w:r>
        <w:rPr>
          <w:color w:val="221F1F"/>
          <w:spacing w:val="-20"/>
          <w:w w:val="105"/>
        </w:rPr>
        <w:t> </w:t>
      </w:r>
      <w:r>
        <w:rPr>
          <w:color w:val="221F1F"/>
          <w:w w:val="105"/>
        </w:rPr>
        <w:t>el</w:t>
      </w:r>
      <w:r>
        <w:rPr>
          <w:color w:val="221F1F"/>
          <w:spacing w:val="-18"/>
          <w:w w:val="105"/>
        </w:rPr>
        <w:t> </w:t>
      </w:r>
      <w:r>
        <w:rPr>
          <w:color w:val="221F1F"/>
          <w:w w:val="105"/>
        </w:rPr>
        <w:t>autor,</w:t>
      </w:r>
      <w:r>
        <w:rPr>
          <w:color w:val="221F1F"/>
          <w:spacing w:val="-19"/>
          <w:w w:val="105"/>
        </w:rPr>
        <w:t> </w:t>
      </w:r>
      <w:r>
        <w:rPr>
          <w:color w:val="221F1F"/>
          <w:w w:val="105"/>
        </w:rPr>
        <w:t>la</w:t>
      </w:r>
      <w:r>
        <w:rPr>
          <w:color w:val="221F1F"/>
          <w:spacing w:val="-14"/>
          <w:w w:val="105"/>
        </w:rPr>
        <w:t> </w:t>
      </w:r>
      <w:r>
        <w:rPr>
          <w:color w:val="221F1F"/>
          <w:w w:val="105"/>
        </w:rPr>
        <w:t>Huella</w:t>
      </w:r>
      <w:r>
        <w:rPr>
          <w:color w:val="221F1F"/>
          <w:spacing w:val="-17"/>
          <w:w w:val="105"/>
        </w:rPr>
        <w:t> </w:t>
      </w:r>
      <w:r>
        <w:rPr>
          <w:color w:val="221F1F"/>
          <w:w w:val="105"/>
        </w:rPr>
        <w:t>Ecológica</w:t>
      </w:r>
      <w:r>
        <w:rPr>
          <w:color w:val="221F1F"/>
          <w:spacing w:val="-18"/>
          <w:w w:val="105"/>
        </w:rPr>
        <w:t> </w:t>
      </w:r>
      <w:r>
        <w:rPr>
          <w:color w:val="221F1F"/>
          <w:w w:val="105"/>
        </w:rPr>
        <w:t>de</w:t>
      </w:r>
      <w:r>
        <w:rPr>
          <w:color w:val="221F1F"/>
          <w:spacing w:val="-21"/>
          <w:w w:val="105"/>
        </w:rPr>
        <w:t> </w:t>
      </w:r>
      <w:r>
        <w:rPr>
          <w:color w:val="221F1F"/>
          <w:w w:val="105"/>
        </w:rPr>
        <w:t>las</w:t>
      </w:r>
      <w:r>
        <w:rPr>
          <w:color w:val="221F1F"/>
          <w:spacing w:val="-18"/>
          <w:w w:val="105"/>
        </w:rPr>
        <w:t> </w:t>
      </w:r>
      <w:r>
        <w:rPr>
          <w:color w:val="221F1F"/>
          <w:w w:val="105"/>
        </w:rPr>
        <w:t>exportaciones</w:t>
      </w:r>
      <w:r>
        <w:rPr>
          <w:color w:val="221F1F"/>
          <w:spacing w:val="-18"/>
          <w:w w:val="105"/>
        </w:rPr>
        <w:t> </w:t>
      </w:r>
      <w:r>
        <w:rPr>
          <w:color w:val="221F1F"/>
          <w:w w:val="105"/>
        </w:rPr>
        <w:t>de</w:t>
      </w:r>
      <w:r>
        <w:rPr>
          <w:color w:val="221F1F"/>
          <w:spacing w:val="-17"/>
          <w:w w:val="105"/>
        </w:rPr>
        <w:t> </w:t>
      </w:r>
      <w:r>
        <w:rPr>
          <w:color w:val="221F1F"/>
          <w:w w:val="105"/>
        </w:rPr>
        <w:t>banano</w:t>
      </w:r>
      <w:r>
        <w:rPr>
          <w:color w:val="221F1F"/>
          <w:spacing w:val="-17"/>
          <w:w w:val="105"/>
        </w:rPr>
        <w:t> </w:t>
      </w:r>
      <w:r>
        <w:rPr>
          <w:color w:val="221F1F"/>
          <w:w w:val="105"/>
        </w:rPr>
        <w:t>obtiene las</w:t>
      </w:r>
      <w:r>
        <w:rPr>
          <w:color w:val="221F1F"/>
          <w:spacing w:val="-15"/>
          <w:w w:val="105"/>
        </w:rPr>
        <w:t> </w:t>
      </w:r>
      <w:r>
        <w:rPr>
          <w:color w:val="221F1F"/>
          <w:w w:val="105"/>
        </w:rPr>
        <w:t>hectáreas</w:t>
      </w:r>
      <w:r>
        <w:rPr>
          <w:color w:val="221F1F"/>
          <w:spacing w:val="-15"/>
          <w:w w:val="105"/>
        </w:rPr>
        <w:t> </w:t>
      </w:r>
      <w:r>
        <w:rPr>
          <w:color w:val="221F1F"/>
          <w:w w:val="105"/>
        </w:rPr>
        <w:t>per</w:t>
      </w:r>
      <w:r>
        <w:rPr>
          <w:color w:val="221F1F"/>
          <w:spacing w:val="-13"/>
          <w:w w:val="105"/>
        </w:rPr>
        <w:t> </w:t>
      </w:r>
      <w:r>
        <w:rPr>
          <w:color w:val="221F1F"/>
          <w:w w:val="105"/>
        </w:rPr>
        <w:t>cápita</w:t>
      </w:r>
      <w:r>
        <w:rPr>
          <w:color w:val="221F1F"/>
          <w:spacing w:val="-13"/>
          <w:w w:val="105"/>
        </w:rPr>
        <w:t> </w:t>
      </w:r>
      <w:r>
        <w:rPr>
          <w:color w:val="221F1F"/>
          <w:w w:val="105"/>
        </w:rPr>
        <w:t>de</w:t>
      </w:r>
      <w:r>
        <w:rPr>
          <w:color w:val="221F1F"/>
          <w:spacing w:val="-17"/>
          <w:w w:val="105"/>
        </w:rPr>
        <w:t> </w:t>
      </w:r>
      <w:r>
        <w:rPr>
          <w:color w:val="221F1F"/>
          <w:w w:val="105"/>
        </w:rPr>
        <w:t>tierra</w:t>
      </w:r>
      <w:r>
        <w:rPr>
          <w:color w:val="221F1F"/>
          <w:spacing w:val="-13"/>
          <w:w w:val="105"/>
        </w:rPr>
        <w:t> </w:t>
      </w:r>
      <w:r>
        <w:rPr>
          <w:color w:val="221F1F"/>
          <w:w w:val="105"/>
        </w:rPr>
        <w:t>ecológicamente</w:t>
      </w:r>
      <w:r>
        <w:rPr>
          <w:color w:val="221F1F"/>
          <w:spacing w:val="-17"/>
          <w:w w:val="105"/>
        </w:rPr>
        <w:t> </w:t>
      </w:r>
      <w:r>
        <w:rPr>
          <w:color w:val="221F1F"/>
          <w:w w:val="105"/>
        </w:rPr>
        <w:t>productiva</w:t>
      </w:r>
      <w:r>
        <w:rPr>
          <w:color w:val="221F1F"/>
          <w:spacing w:val="-13"/>
          <w:w w:val="105"/>
        </w:rPr>
        <w:t> </w:t>
      </w:r>
      <w:r>
        <w:rPr>
          <w:color w:val="221F1F"/>
          <w:w w:val="105"/>
        </w:rPr>
        <w:t>del</w:t>
      </w:r>
      <w:r>
        <w:rPr>
          <w:color w:val="221F1F"/>
          <w:spacing w:val="-4"/>
          <w:w w:val="105"/>
        </w:rPr>
        <w:t> </w:t>
      </w:r>
      <w:r>
        <w:rPr>
          <w:color w:val="221F1F"/>
          <w:w w:val="105"/>
        </w:rPr>
        <w:t>Ecuador</w:t>
      </w:r>
      <w:r>
        <w:rPr>
          <w:color w:val="221F1F"/>
          <w:spacing w:val="-13"/>
          <w:w w:val="105"/>
        </w:rPr>
        <w:t> </w:t>
      </w:r>
      <w:r>
        <w:rPr>
          <w:color w:val="221F1F"/>
          <w:w w:val="105"/>
        </w:rPr>
        <w:t>y</w:t>
      </w:r>
      <w:r>
        <w:rPr>
          <w:color w:val="221F1F"/>
          <w:spacing w:val="-15"/>
          <w:w w:val="105"/>
        </w:rPr>
        <w:t> </w:t>
      </w:r>
      <w:r>
        <w:rPr>
          <w:color w:val="221F1F"/>
          <w:w w:val="105"/>
        </w:rPr>
        <w:t>éstas</w:t>
      </w:r>
      <w:r>
        <w:rPr>
          <w:color w:val="221F1F"/>
          <w:spacing w:val="-15"/>
          <w:w w:val="105"/>
        </w:rPr>
        <w:t> </w:t>
      </w:r>
      <w:r>
        <w:rPr>
          <w:color w:val="221F1F"/>
          <w:w w:val="105"/>
        </w:rPr>
        <w:t>son apropiadas por los principales importadores: Estados Unidos, Alemania, Bélgica e Italia para el consumo y asimilación de desechos de este producto. En otras palabras,</w:t>
      </w:r>
      <w:r>
        <w:rPr>
          <w:color w:val="221F1F"/>
          <w:spacing w:val="-12"/>
          <w:w w:val="105"/>
        </w:rPr>
        <w:t> </w:t>
      </w:r>
      <w:r>
        <w:rPr>
          <w:color w:val="221F1F"/>
          <w:w w:val="105"/>
        </w:rPr>
        <w:t>se</w:t>
      </w:r>
      <w:r>
        <w:rPr>
          <w:color w:val="221F1F"/>
          <w:spacing w:val="-13"/>
          <w:w w:val="105"/>
        </w:rPr>
        <w:t> </w:t>
      </w:r>
      <w:r>
        <w:rPr>
          <w:color w:val="221F1F"/>
          <w:w w:val="105"/>
        </w:rPr>
        <w:t>cuantifica</w:t>
      </w:r>
      <w:r>
        <w:rPr>
          <w:color w:val="221F1F"/>
          <w:spacing w:val="-16"/>
          <w:w w:val="105"/>
        </w:rPr>
        <w:t> </w:t>
      </w:r>
      <w:r>
        <w:rPr>
          <w:color w:val="221F1F"/>
          <w:w w:val="105"/>
        </w:rPr>
        <w:t>la</w:t>
      </w:r>
      <w:r>
        <w:rPr>
          <w:color w:val="221F1F"/>
          <w:spacing w:val="-9"/>
          <w:w w:val="105"/>
        </w:rPr>
        <w:t> </w:t>
      </w:r>
      <w:r>
        <w:rPr>
          <w:color w:val="221F1F"/>
          <w:w w:val="105"/>
        </w:rPr>
        <w:t>exportación</w:t>
      </w:r>
      <w:r>
        <w:rPr>
          <w:color w:val="221F1F"/>
          <w:spacing w:val="-13"/>
          <w:w w:val="105"/>
        </w:rPr>
        <w:t> </w:t>
      </w:r>
      <w:r>
        <w:rPr>
          <w:color w:val="221F1F"/>
          <w:w w:val="105"/>
        </w:rPr>
        <w:t>de</w:t>
      </w:r>
      <w:r>
        <w:rPr>
          <w:color w:val="221F1F"/>
          <w:spacing w:val="-13"/>
          <w:w w:val="105"/>
        </w:rPr>
        <w:t> </w:t>
      </w:r>
      <w:r>
        <w:rPr>
          <w:color w:val="221F1F"/>
          <w:w w:val="105"/>
        </w:rPr>
        <w:t>calidad</w:t>
      </w:r>
      <w:r>
        <w:rPr>
          <w:color w:val="221F1F"/>
          <w:spacing w:val="-12"/>
          <w:w w:val="105"/>
        </w:rPr>
        <w:t> </w:t>
      </w:r>
      <w:r>
        <w:rPr>
          <w:color w:val="221F1F"/>
          <w:w w:val="105"/>
        </w:rPr>
        <w:t>ambiental</w:t>
      </w:r>
      <w:r>
        <w:rPr>
          <w:color w:val="221F1F"/>
          <w:spacing w:val="-10"/>
          <w:w w:val="105"/>
        </w:rPr>
        <w:t> </w:t>
      </w:r>
      <w:r>
        <w:rPr>
          <w:color w:val="221F1F"/>
          <w:w w:val="105"/>
        </w:rPr>
        <w:t>que</w:t>
      </w:r>
      <w:r>
        <w:rPr>
          <w:color w:val="221F1F"/>
          <w:spacing w:val="-13"/>
          <w:w w:val="105"/>
        </w:rPr>
        <w:t> </w:t>
      </w:r>
      <w:r>
        <w:rPr>
          <w:color w:val="221F1F"/>
          <w:w w:val="105"/>
        </w:rPr>
        <w:t>Ecuador</w:t>
      </w:r>
      <w:r>
        <w:rPr>
          <w:color w:val="221F1F"/>
          <w:spacing w:val="-13"/>
          <w:w w:val="105"/>
        </w:rPr>
        <w:t> </w:t>
      </w:r>
      <w:r>
        <w:rPr>
          <w:color w:val="221F1F"/>
          <w:w w:val="105"/>
        </w:rPr>
        <w:t>cede</w:t>
      </w:r>
      <w:r>
        <w:rPr>
          <w:color w:val="221F1F"/>
          <w:spacing w:val="-12"/>
          <w:w w:val="105"/>
        </w:rPr>
        <w:t> </w:t>
      </w:r>
      <w:r>
        <w:rPr>
          <w:color w:val="221F1F"/>
          <w:w w:val="105"/>
        </w:rPr>
        <w:t>a</w:t>
      </w:r>
      <w:r>
        <w:rPr>
          <w:color w:val="221F1F"/>
          <w:spacing w:val="-13"/>
          <w:w w:val="105"/>
        </w:rPr>
        <w:t> </w:t>
      </w:r>
      <w:r>
        <w:rPr>
          <w:color w:val="221F1F"/>
          <w:spacing w:val="3"/>
          <w:w w:val="105"/>
        </w:rPr>
        <w:t>cada </w:t>
      </w:r>
      <w:r>
        <w:rPr>
          <w:color w:val="221F1F"/>
          <w:w w:val="105"/>
        </w:rPr>
        <w:t>uno</w:t>
      </w:r>
      <w:r>
        <w:rPr>
          <w:color w:val="221F1F"/>
          <w:spacing w:val="-19"/>
          <w:w w:val="105"/>
        </w:rPr>
        <w:t> </w:t>
      </w:r>
      <w:r>
        <w:rPr>
          <w:color w:val="221F1F"/>
          <w:w w:val="105"/>
        </w:rPr>
        <w:t>de</w:t>
      </w:r>
      <w:r>
        <w:rPr>
          <w:color w:val="221F1F"/>
          <w:spacing w:val="-21"/>
          <w:w w:val="105"/>
        </w:rPr>
        <w:t> </w:t>
      </w:r>
      <w:r>
        <w:rPr>
          <w:color w:val="221F1F"/>
          <w:w w:val="105"/>
        </w:rPr>
        <w:t>los</w:t>
      </w:r>
      <w:r>
        <w:rPr>
          <w:color w:val="221F1F"/>
          <w:spacing w:val="-17"/>
          <w:w w:val="105"/>
        </w:rPr>
        <w:t> </w:t>
      </w:r>
      <w:r>
        <w:rPr>
          <w:color w:val="221F1F"/>
          <w:w w:val="105"/>
        </w:rPr>
        <w:t>países</w:t>
      </w:r>
      <w:r>
        <w:rPr>
          <w:color w:val="221F1F"/>
          <w:spacing w:val="-20"/>
          <w:w w:val="105"/>
        </w:rPr>
        <w:t> </w:t>
      </w:r>
      <w:r>
        <w:rPr>
          <w:color w:val="221F1F"/>
          <w:w w:val="105"/>
        </w:rPr>
        <w:t>anteriormente</w:t>
      </w:r>
      <w:r>
        <w:rPr>
          <w:color w:val="221F1F"/>
          <w:spacing w:val="-18"/>
          <w:w w:val="105"/>
        </w:rPr>
        <w:t> </w:t>
      </w:r>
      <w:r>
        <w:rPr>
          <w:color w:val="221F1F"/>
          <w:w w:val="105"/>
        </w:rPr>
        <w:t>mencionados,</w:t>
      </w:r>
      <w:r>
        <w:rPr>
          <w:color w:val="221F1F"/>
          <w:spacing w:val="-20"/>
          <w:w w:val="105"/>
        </w:rPr>
        <w:t> </w:t>
      </w:r>
      <w:r>
        <w:rPr>
          <w:color w:val="221F1F"/>
          <w:w w:val="105"/>
        </w:rPr>
        <w:t>a</w:t>
      </w:r>
      <w:r>
        <w:rPr>
          <w:color w:val="221F1F"/>
          <w:spacing w:val="-18"/>
          <w:w w:val="105"/>
        </w:rPr>
        <w:t> </w:t>
      </w:r>
      <w:r>
        <w:rPr>
          <w:color w:val="221F1F"/>
          <w:w w:val="105"/>
        </w:rPr>
        <w:t>través</w:t>
      </w:r>
      <w:r>
        <w:rPr>
          <w:color w:val="221F1F"/>
          <w:spacing w:val="-16"/>
          <w:w w:val="105"/>
        </w:rPr>
        <w:t> </w:t>
      </w:r>
      <w:r>
        <w:rPr>
          <w:color w:val="221F1F"/>
          <w:w w:val="105"/>
        </w:rPr>
        <w:t>del</w:t>
      </w:r>
      <w:r>
        <w:rPr>
          <w:color w:val="221F1F"/>
          <w:spacing w:val="-19"/>
          <w:w w:val="105"/>
        </w:rPr>
        <w:t> </w:t>
      </w:r>
      <w:r>
        <w:rPr>
          <w:color w:val="221F1F"/>
          <w:w w:val="105"/>
        </w:rPr>
        <w:t>comercio</w:t>
      </w:r>
      <w:r>
        <w:rPr>
          <w:color w:val="221F1F"/>
          <w:spacing w:val="-9"/>
          <w:w w:val="105"/>
        </w:rPr>
        <w:t> </w:t>
      </w:r>
      <w:r>
        <w:rPr>
          <w:color w:val="221F1F"/>
          <w:w w:val="105"/>
        </w:rPr>
        <w:t>(Gachet,</w:t>
      </w:r>
      <w:r>
        <w:rPr>
          <w:color w:val="221F1F"/>
          <w:spacing w:val="-17"/>
          <w:w w:val="105"/>
        </w:rPr>
        <w:t> </w:t>
      </w:r>
      <w:r>
        <w:rPr>
          <w:color w:val="221F1F"/>
          <w:w w:val="105"/>
        </w:rPr>
        <w:t>2002). Las externalidades generadas por esa apropiación configuran un caso lo que la Economía Ecológica conoce como comercio ecológicamente desigual (Martínez- Alier,</w:t>
      </w:r>
      <w:r>
        <w:rPr>
          <w:color w:val="221F1F"/>
          <w:spacing w:val="-1"/>
          <w:w w:val="105"/>
        </w:rPr>
        <w:t> </w:t>
      </w:r>
      <w:r>
        <w:rPr>
          <w:color w:val="221F1F"/>
          <w:w w:val="105"/>
        </w:rPr>
        <w:t>2011).</w:t>
      </w:r>
    </w:p>
    <w:p>
      <w:pPr>
        <w:pStyle w:val="BodyText"/>
        <w:spacing w:line="357" w:lineRule="auto" w:before="204"/>
        <w:ind w:left="100" w:right="121"/>
        <w:jc w:val="both"/>
      </w:pPr>
      <w:r>
        <w:rPr>
          <w:color w:val="221F1F"/>
          <w:w w:val="105"/>
        </w:rPr>
        <w:t>Gachet refuerza su argumento mostrando las diferencias en lo que respecta a la apropiación del Espacio Ambiental que se presentan entre las diferentes regiones</w:t>
      </w:r>
    </w:p>
    <w:p>
      <w:pPr>
        <w:spacing w:after="0" w:line="357" w:lineRule="auto"/>
        <w:jc w:val="both"/>
        <w:sectPr>
          <w:pgSz w:w="12240" w:h="15840"/>
          <w:pgMar w:header="0" w:footer="1330" w:top="1500" w:bottom="1580" w:left="1340" w:right="1320"/>
        </w:sectPr>
      </w:pPr>
    </w:p>
    <w:p>
      <w:pPr>
        <w:pStyle w:val="BodyText"/>
        <w:spacing w:line="360" w:lineRule="auto" w:before="107"/>
        <w:ind w:left="100" w:right="120"/>
        <w:jc w:val="both"/>
      </w:pPr>
      <w:r>
        <w:rPr>
          <w:color w:val="221F1F"/>
          <w:w w:val="105"/>
        </w:rPr>
        <w:t>del mundo con base en las cifras recopiladas por Wackernagel para el año 2000 (Cuadro 6). Resalta a simple vista la relación entre tamaño de la población y déficit/superávit ecológico que se da en la simple comparación entre América del Norte y Europa Occidental frente a América Latina y el Caribe y África en aquel momento.</w:t>
      </w:r>
    </w:p>
    <w:p>
      <w:pPr>
        <w:spacing w:before="200"/>
        <w:ind w:left="142" w:right="165" w:firstLine="0"/>
        <w:jc w:val="center"/>
        <w:rPr>
          <w:i/>
          <w:sz w:val="20"/>
        </w:rPr>
      </w:pPr>
      <w:bookmarkStart w:name="_bookmark23" w:id="30"/>
      <w:bookmarkEnd w:id="30"/>
      <w:r>
        <w:rPr/>
      </w:r>
      <w:r>
        <w:rPr>
          <w:i/>
          <w:sz w:val="20"/>
        </w:rPr>
        <w:t>Cuadro 6- Huella Ecológica, Biocapacidad y Déficit/Superávit Ecológico entre Diferentes Regiones del </w:t>
      </w:r>
      <w:r>
        <w:rPr>
          <w:i/>
          <w:sz w:val="20"/>
        </w:rPr>
        <w:t>Mundo en el Año 2000.</w:t>
      </w:r>
    </w:p>
    <w:p>
      <w:pPr>
        <w:spacing w:before="0"/>
        <w:ind w:left="142" w:right="156" w:firstLine="0"/>
        <w:jc w:val="center"/>
        <w:rPr>
          <w:i/>
          <w:sz w:val="20"/>
        </w:rPr>
      </w:pPr>
      <w:r>
        <w:rPr>
          <w:i/>
          <w:sz w:val="20"/>
        </w:rPr>
        <w:t>Fuente: Adaptado de Gachet (2002).</w:t>
      </w:r>
    </w:p>
    <w:p>
      <w:pPr>
        <w:pStyle w:val="BodyText"/>
        <w:spacing w:before="7"/>
        <w:rPr>
          <w:i/>
          <w:sz w:val="27"/>
        </w:rPr>
      </w:pPr>
    </w:p>
    <w:tbl>
      <w:tblPr>
        <w:tblW w:w="0" w:type="auto"/>
        <w:jc w:val="left"/>
        <w:tblInd w:w="4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61"/>
        <w:gridCol w:w="1426"/>
        <w:gridCol w:w="623"/>
        <w:gridCol w:w="1352"/>
        <w:gridCol w:w="1644"/>
        <w:gridCol w:w="1877"/>
      </w:tblGrid>
      <w:tr>
        <w:trPr>
          <w:trHeight w:val="286" w:hRule="atLeast"/>
        </w:trPr>
        <w:tc>
          <w:tcPr>
            <w:tcW w:w="1861" w:type="dxa"/>
            <w:shd w:val="clear" w:color="auto" w:fill="000000"/>
          </w:tcPr>
          <w:p>
            <w:pPr>
              <w:pStyle w:val="TableParagraph"/>
              <w:spacing w:line="240" w:lineRule="auto" w:before="0"/>
              <w:jc w:val="left"/>
              <w:rPr>
                <w:rFonts w:ascii="Times New Roman"/>
                <w:sz w:val="20"/>
              </w:rPr>
            </w:pPr>
          </w:p>
        </w:tc>
        <w:tc>
          <w:tcPr>
            <w:tcW w:w="1426" w:type="dxa"/>
            <w:shd w:val="clear" w:color="auto" w:fill="000000"/>
          </w:tcPr>
          <w:p>
            <w:pPr>
              <w:pStyle w:val="TableParagraph"/>
              <w:spacing w:line="240" w:lineRule="auto" w:before="42"/>
              <w:ind w:left="684"/>
              <w:jc w:val="left"/>
              <w:rPr>
                <w:sz w:val="16"/>
              </w:rPr>
            </w:pPr>
            <w:r>
              <w:rPr>
                <w:color w:val="FFFFFF"/>
                <w:sz w:val="16"/>
              </w:rPr>
              <w:t>Población</w:t>
            </w:r>
          </w:p>
        </w:tc>
        <w:tc>
          <w:tcPr>
            <w:tcW w:w="623" w:type="dxa"/>
            <w:vMerge w:val="restart"/>
            <w:shd w:val="clear" w:color="auto" w:fill="000000"/>
          </w:tcPr>
          <w:p>
            <w:pPr>
              <w:pStyle w:val="TableParagraph"/>
              <w:spacing w:line="240" w:lineRule="auto" w:before="0"/>
              <w:jc w:val="left"/>
              <w:rPr>
                <w:rFonts w:ascii="Times New Roman"/>
                <w:sz w:val="20"/>
              </w:rPr>
            </w:pPr>
          </w:p>
        </w:tc>
        <w:tc>
          <w:tcPr>
            <w:tcW w:w="1352" w:type="dxa"/>
            <w:vMerge w:val="restart"/>
            <w:shd w:val="clear" w:color="auto" w:fill="000000"/>
          </w:tcPr>
          <w:p>
            <w:pPr>
              <w:pStyle w:val="TableParagraph"/>
              <w:spacing w:line="190" w:lineRule="atLeast" w:before="36"/>
              <w:ind w:left="287" w:firstLine="88"/>
              <w:jc w:val="left"/>
              <w:rPr>
                <w:sz w:val="16"/>
              </w:rPr>
            </w:pPr>
            <w:r>
              <w:rPr>
                <w:color w:val="FFFFFF"/>
                <w:w w:val="105"/>
                <w:sz w:val="16"/>
              </w:rPr>
              <w:t>Huella Ecológica</w:t>
            </w:r>
          </w:p>
        </w:tc>
        <w:tc>
          <w:tcPr>
            <w:tcW w:w="1644" w:type="dxa"/>
            <w:shd w:val="clear" w:color="auto" w:fill="000000"/>
          </w:tcPr>
          <w:p>
            <w:pPr>
              <w:pStyle w:val="TableParagraph"/>
              <w:spacing w:line="240" w:lineRule="auto" w:before="42"/>
              <w:ind w:left="336"/>
              <w:jc w:val="left"/>
              <w:rPr>
                <w:sz w:val="16"/>
              </w:rPr>
            </w:pPr>
            <w:r>
              <w:rPr>
                <w:color w:val="FFFFFF"/>
                <w:w w:val="105"/>
                <w:sz w:val="16"/>
              </w:rPr>
              <w:t>Biocapacidad</w:t>
            </w:r>
          </w:p>
        </w:tc>
        <w:tc>
          <w:tcPr>
            <w:tcW w:w="1877" w:type="dxa"/>
            <w:vMerge w:val="restart"/>
            <w:shd w:val="clear" w:color="auto" w:fill="000000"/>
          </w:tcPr>
          <w:p>
            <w:pPr>
              <w:pStyle w:val="TableParagraph"/>
              <w:spacing w:line="190" w:lineRule="atLeast" w:before="36"/>
              <w:ind w:left="552" w:hanging="224"/>
              <w:jc w:val="left"/>
              <w:rPr>
                <w:sz w:val="16"/>
              </w:rPr>
            </w:pPr>
            <w:r>
              <w:rPr>
                <w:color w:val="FFFFFF"/>
                <w:sz w:val="16"/>
              </w:rPr>
              <w:t>Déficit/superávit </w:t>
            </w:r>
            <w:r>
              <w:rPr>
                <w:color w:val="FFFFFF"/>
                <w:w w:val="105"/>
                <w:sz w:val="16"/>
              </w:rPr>
              <w:t>ecológico</w:t>
            </w:r>
          </w:p>
        </w:tc>
      </w:tr>
      <w:tr>
        <w:trPr>
          <w:trHeight w:val="144" w:hRule="atLeast"/>
        </w:trPr>
        <w:tc>
          <w:tcPr>
            <w:tcW w:w="1861" w:type="dxa"/>
            <w:vMerge w:val="restart"/>
            <w:shd w:val="clear" w:color="auto" w:fill="000000"/>
          </w:tcPr>
          <w:p>
            <w:pPr>
              <w:pStyle w:val="TableParagraph"/>
              <w:spacing w:line="240" w:lineRule="auto" w:before="55"/>
              <w:ind w:left="432"/>
              <w:jc w:val="left"/>
              <w:rPr>
                <w:sz w:val="16"/>
              </w:rPr>
            </w:pPr>
            <w:r>
              <w:rPr>
                <w:color w:val="FFFFFF"/>
                <w:sz w:val="16"/>
              </w:rPr>
              <w:t>Región</w:t>
            </w:r>
          </w:p>
        </w:tc>
        <w:tc>
          <w:tcPr>
            <w:tcW w:w="1426" w:type="dxa"/>
            <w:shd w:val="clear" w:color="auto" w:fill="000000"/>
          </w:tcPr>
          <w:p>
            <w:pPr>
              <w:pStyle w:val="TableParagraph"/>
              <w:spacing w:line="240" w:lineRule="auto" w:before="0"/>
              <w:jc w:val="left"/>
              <w:rPr>
                <w:rFonts w:ascii="Times New Roman"/>
                <w:sz w:val="8"/>
              </w:rPr>
            </w:pPr>
          </w:p>
        </w:tc>
        <w:tc>
          <w:tcPr>
            <w:tcW w:w="623" w:type="dxa"/>
            <w:vMerge/>
            <w:tcBorders>
              <w:top w:val="nil"/>
            </w:tcBorders>
            <w:shd w:val="clear" w:color="auto" w:fill="000000"/>
          </w:tcPr>
          <w:p>
            <w:pPr>
              <w:rPr>
                <w:sz w:val="2"/>
                <w:szCs w:val="2"/>
              </w:rPr>
            </w:pPr>
          </w:p>
        </w:tc>
        <w:tc>
          <w:tcPr>
            <w:tcW w:w="1352" w:type="dxa"/>
            <w:vMerge/>
            <w:tcBorders>
              <w:top w:val="nil"/>
            </w:tcBorders>
            <w:shd w:val="clear" w:color="auto" w:fill="000000"/>
          </w:tcPr>
          <w:p>
            <w:pPr>
              <w:rPr>
                <w:sz w:val="2"/>
                <w:szCs w:val="2"/>
              </w:rPr>
            </w:pPr>
          </w:p>
        </w:tc>
        <w:tc>
          <w:tcPr>
            <w:tcW w:w="1644" w:type="dxa"/>
            <w:shd w:val="clear" w:color="auto" w:fill="000000"/>
          </w:tcPr>
          <w:p>
            <w:pPr>
              <w:pStyle w:val="TableParagraph"/>
              <w:spacing w:line="240" w:lineRule="auto" w:before="0"/>
              <w:jc w:val="left"/>
              <w:rPr>
                <w:rFonts w:ascii="Times New Roman"/>
                <w:sz w:val="8"/>
              </w:rPr>
            </w:pPr>
          </w:p>
        </w:tc>
        <w:tc>
          <w:tcPr>
            <w:tcW w:w="1877" w:type="dxa"/>
            <w:vMerge/>
            <w:tcBorders>
              <w:top w:val="nil"/>
            </w:tcBorders>
            <w:shd w:val="clear" w:color="auto" w:fill="000000"/>
          </w:tcPr>
          <w:p>
            <w:pPr>
              <w:rPr>
                <w:sz w:val="2"/>
                <w:szCs w:val="2"/>
              </w:rPr>
            </w:pPr>
          </w:p>
        </w:tc>
      </w:tr>
      <w:tr>
        <w:trPr>
          <w:trHeight w:val="373" w:hRule="atLeast"/>
        </w:trPr>
        <w:tc>
          <w:tcPr>
            <w:tcW w:w="1861" w:type="dxa"/>
            <w:vMerge/>
            <w:tcBorders>
              <w:top w:val="nil"/>
            </w:tcBorders>
            <w:shd w:val="clear" w:color="auto" w:fill="000000"/>
          </w:tcPr>
          <w:p>
            <w:pPr>
              <w:rPr>
                <w:sz w:val="2"/>
                <w:szCs w:val="2"/>
              </w:rPr>
            </w:pPr>
          </w:p>
        </w:tc>
        <w:tc>
          <w:tcPr>
            <w:tcW w:w="1426" w:type="dxa"/>
            <w:shd w:val="clear" w:color="auto" w:fill="000000"/>
          </w:tcPr>
          <w:p>
            <w:pPr>
              <w:pStyle w:val="TableParagraph"/>
              <w:spacing w:line="240" w:lineRule="auto" w:before="3"/>
              <w:ind w:left="587"/>
              <w:jc w:val="left"/>
              <w:rPr>
                <w:sz w:val="16"/>
              </w:rPr>
            </w:pPr>
            <w:r>
              <w:rPr>
                <w:color w:val="FFFFFF"/>
                <w:sz w:val="16"/>
              </w:rPr>
              <w:t>miles</w:t>
            </w:r>
          </w:p>
        </w:tc>
        <w:tc>
          <w:tcPr>
            <w:tcW w:w="623" w:type="dxa"/>
            <w:shd w:val="clear" w:color="auto" w:fill="000000"/>
          </w:tcPr>
          <w:p>
            <w:pPr>
              <w:pStyle w:val="TableParagraph"/>
              <w:spacing w:line="240" w:lineRule="auto" w:before="3"/>
              <w:ind w:left="146"/>
              <w:jc w:val="left"/>
              <w:rPr>
                <w:sz w:val="16"/>
              </w:rPr>
            </w:pPr>
            <w:r>
              <w:rPr>
                <w:color w:val="FFFFFF"/>
                <w:w w:val="122"/>
                <w:sz w:val="16"/>
              </w:rPr>
              <w:t>%</w:t>
            </w:r>
          </w:p>
        </w:tc>
        <w:tc>
          <w:tcPr>
            <w:tcW w:w="1352" w:type="dxa"/>
            <w:shd w:val="clear" w:color="auto" w:fill="000000"/>
          </w:tcPr>
          <w:p>
            <w:pPr>
              <w:pStyle w:val="TableParagraph"/>
              <w:spacing w:line="180" w:lineRule="atLeast" w:before="3"/>
              <w:ind w:left="387" w:right="492" w:hanging="28"/>
              <w:jc w:val="left"/>
              <w:rPr>
                <w:sz w:val="16"/>
              </w:rPr>
            </w:pPr>
            <w:r>
              <w:rPr>
                <w:color w:val="FFFFFF"/>
                <w:sz w:val="16"/>
              </w:rPr>
              <w:t>Ha per cápita</w:t>
            </w:r>
          </w:p>
        </w:tc>
        <w:tc>
          <w:tcPr>
            <w:tcW w:w="1644" w:type="dxa"/>
            <w:shd w:val="clear" w:color="auto" w:fill="000000"/>
          </w:tcPr>
          <w:p>
            <w:pPr>
              <w:pStyle w:val="TableParagraph"/>
              <w:spacing w:line="240" w:lineRule="auto" w:before="3"/>
              <w:ind w:left="336"/>
              <w:jc w:val="left"/>
              <w:rPr>
                <w:sz w:val="16"/>
              </w:rPr>
            </w:pPr>
            <w:r>
              <w:rPr>
                <w:color w:val="FFFFFF"/>
                <w:sz w:val="16"/>
              </w:rPr>
              <w:t>Ha per cápita</w:t>
            </w:r>
          </w:p>
        </w:tc>
        <w:tc>
          <w:tcPr>
            <w:tcW w:w="1877" w:type="dxa"/>
            <w:shd w:val="clear" w:color="auto" w:fill="000000"/>
          </w:tcPr>
          <w:p>
            <w:pPr>
              <w:pStyle w:val="TableParagraph"/>
              <w:spacing w:line="240" w:lineRule="auto" w:before="3"/>
              <w:ind w:left="284"/>
              <w:jc w:val="left"/>
              <w:rPr>
                <w:sz w:val="16"/>
              </w:rPr>
            </w:pPr>
            <w:r>
              <w:rPr>
                <w:color w:val="FFFFFF"/>
                <w:sz w:val="16"/>
              </w:rPr>
              <w:t>Ha per cápita</w:t>
            </w:r>
          </w:p>
        </w:tc>
      </w:tr>
      <w:tr>
        <w:trPr>
          <w:trHeight w:val="414" w:hRule="atLeast"/>
        </w:trPr>
        <w:tc>
          <w:tcPr>
            <w:tcW w:w="1861" w:type="dxa"/>
            <w:tcBorders>
              <w:left w:val="single" w:sz="12" w:space="0" w:color="000000"/>
            </w:tcBorders>
          </w:tcPr>
          <w:p>
            <w:pPr>
              <w:pStyle w:val="TableParagraph"/>
              <w:spacing w:line="240" w:lineRule="auto" w:before="46"/>
              <w:ind w:left="129"/>
              <w:jc w:val="left"/>
              <w:rPr>
                <w:sz w:val="16"/>
              </w:rPr>
            </w:pPr>
            <w:r>
              <w:rPr>
                <w:color w:val="221F1F"/>
                <w:w w:val="105"/>
                <w:sz w:val="16"/>
              </w:rPr>
              <w:t>África</w:t>
            </w:r>
          </w:p>
        </w:tc>
        <w:tc>
          <w:tcPr>
            <w:tcW w:w="1426" w:type="dxa"/>
          </w:tcPr>
          <w:p>
            <w:pPr>
              <w:pStyle w:val="TableParagraph"/>
              <w:spacing w:line="240" w:lineRule="auto" w:before="46"/>
              <w:ind w:left="448"/>
              <w:jc w:val="left"/>
              <w:rPr>
                <w:sz w:val="16"/>
              </w:rPr>
            </w:pPr>
            <w:r>
              <w:rPr>
                <w:color w:val="221F1F"/>
                <w:w w:val="105"/>
                <w:sz w:val="16"/>
              </w:rPr>
              <w:t>709,988</w:t>
            </w:r>
          </w:p>
        </w:tc>
        <w:tc>
          <w:tcPr>
            <w:tcW w:w="623" w:type="dxa"/>
          </w:tcPr>
          <w:p>
            <w:pPr>
              <w:pStyle w:val="TableParagraph"/>
              <w:spacing w:line="240" w:lineRule="auto" w:before="46"/>
              <w:ind w:left="70"/>
              <w:jc w:val="left"/>
              <w:rPr>
                <w:sz w:val="16"/>
              </w:rPr>
            </w:pPr>
            <w:r>
              <w:rPr>
                <w:color w:val="221F1F"/>
                <w:w w:val="110"/>
                <w:sz w:val="16"/>
              </w:rPr>
              <w:t>12</w:t>
            </w:r>
          </w:p>
          <w:p>
            <w:pPr>
              <w:pStyle w:val="TableParagraph"/>
              <w:spacing w:line="165" w:lineRule="exact" w:before="0"/>
              <w:ind w:left="90"/>
              <w:jc w:val="left"/>
              <w:rPr>
                <w:sz w:val="16"/>
              </w:rPr>
            </w:pPr>
            <w:r>
              <w:rPr>
                <w:color w:val="221F1F"/>
                <w:w w:val="111"/>
                <w:sz w:val="16"/>
              </w:rPr>
              <w:t>%</w:t>
            </w:r>
          </w:p>
        </w:tc>
        <w:tc>
          <w:tcPr>
            <w:tcW w:w="1352" w:type="dxa"/>
          </w:tcPr>
          <w:p>
            <w:pPr>
              <w:pStyle w:val="TableParagraph"/>
              <w:spacing w:line="240" w:lineRule="auto" w:before="46"/>
              <w:ind w:right="605"/>
              <w:rPr>
                <w:sz w:val="16"/>
              </w:rPr>
            </w:pPr>
            <w:r>
              <w:rPr>
                <w:color w:val="221F1F"/>
                <w:w w:val="105"/>
                <w:sz w:val="16"/>
              </w:rPr>
              <w:t>1.33</w:t>
            </w:r>
          </w:p>
        </w:tc>
        <w:tc>
          <w:tcPr>
            <w:tcW w:w="1644" w:type="dxa"/>
          </w:tcPr>
          <w:p>
            <w:pPr>
              <w:pStyle w:val="TableParagraph"/>
              <w:spacing w:line="240" w:lineRule="auto" w:before="46"/>
              <w:ind w:left="566" w:right="710"/>
              <w:jc w:val="center"/>
              <w:rPr>
                <w:sz w:val="16"/>
              </w:rPr>
            </w:pPr>
            <w:r>
              <w:rPr>
                <w:color w:val="221F1F"/>
                <w:w w:val="105"/>
                <w:sz w:val="16"/>
              </w:rPr>
              <w:t>1.73</w:t>
            </w:r>
          </w:p>
        </w:tc>
        <w:tc>
          <w:tcPr>
            <w:tcW w:w="1877" w:type="dxa"/>
            <w:tcBorders>
              <w:right w:val="single" w:sz="12" w:space="0" w:color="000000"/>
            </w:tcBorders>
          </w:tcPr>
          <w:p>
            <w:pPr>
              <w:pStyle w:val="TableParagraph"/>
              <w:spacing w:line="240" w:lineRule="auto" w:before="46"/>
              <w:ind w:left="729" w:right="709"/>
              <w:jc w:val="center"/>
              <w:rPr>
                <w:sz w:val="16"/>
              </w:rPr>
            </w:pPr>
            <w:r>
              <w:rPr>
                <w:color w:val="221F1F"/>
                <w:w w:val="105"/>
                <w:sz w:val="16"/>
              </w:rPr>
              <w:t>0.40</w:t>
            </w:r>
          </w:p>
        </w:tc>
      </w:tr>
      <w:tr>
        <w:trPr>
          <w:trHeight w:val="391" w:hRule="atLeast"/>
        </w:trPr>
        <w:tc>
          <w:tcPr>
            <w:tcW w:w="1861" w:type="dxa"/>
            <w:tcBorders>
              <w:left w:val="single" w:sz="12" w:space="0" w:color="000000"/>
            </w:tcBorders>
          </w:tcPr>
          <w:p>
            <w:pPr>
              <w:pStyle w:val="TableParagraph"/>
              <w:spacing w:line="223" w:lineRule="auto" w:before="6"/>
              <w:ind w:left="129" w:right="355"/>
              <w:jc w:val="left"/>
              <w:rPr>
                <w:sz w:val="16"/>
              </w:rPr>
            </w:pPr>
            <w:r>
              <w:rPr>
                <w:color w:val="221F1F"/>
                <w:sz w:val="16"/>
              </w:rPr>
              <w:t>Medio Este y Centro de Asia</w:t>
            </w:r>
          </w:p>
        </w:tc>
        <w:tc>
          <w:tcPr>
            <w:tcW w:w="1426" w:type="dxa"/>
          </w:tcPr>
          <w:p>
            <w:pPr>
              <w:pStyle w:val="TableParagraph"/>
              <w:spacing w:line="240" w:lineRule="auto" w:before="119"/>
              <w:ind w:left="424"/>
              <w:jc w:val="left"/>
              <w:rPr>
                <w:sz w:val="16"/>
              </w:rPr>
            </w:pPr>
            <w:r>
              <w:rPr>
                <w:color w:val="221F1F"/>
                <w:w w:val="105"/>
                <w:sz w:val="16"/>
              </w:rPr>
              <w:t>307,001</w:t>
            </w:r>
          </w:p>
        </w:tc>
        <w:tc>
          <w:tcPr>
            <w:tcW w:w="623" w:type="dxa"/>
          </w:tcPr>
          <w:p>
            <w:pPr>
              <w:pStyle w:val="TableParagraph"/>
              <w:spacing w:line="240" w:lineRule="auto" w:before="119"/>
              <w:ind w:left="38"/>
              <w:jc w:val="left"/>
              <w:rPr>
                <w:sz w:val="16"/>
              </w:rPr>
            </w:pPr>
            <w:r>
              <w:rPr>
                <w:color w:val="221F1F"/>
                <w:w w:val="110"/>
                <w:sz w:val="16"/>
              </w:rPr>
              <w:t>5%</w:t>
            </w:r>
          </w:p>
        </w:tc>
        <w:tc>
          <w:tcPr>
            <w:tcW w:w="1352" w:type="dxa"/>
          </w:tcPr>
          <w:p>
            <w:pPr>
              <w:pStyle w:val="TableParagraph"/>
              <w:spacing w:line="240" w:lineRule="auto" w:before="119"/>
              <w:ind w:right="605"/>
              <w:rPr>
                <w:sz w:val="16"/>
              </w:rPr>
            </w:pPr>
            <w:r>
              <w:rPr>
                <w:color w:val="221F1F"/>
                <w:w w:val="105"/>
                <w:sz w:val="16"/>
              </w:rPr>
              <w:t>2.73</w:t>
            </w:r>
          </w:p>
        </w:tc>
        <w:tc>
          <w:tcPr>
            <w:tcW w:w="1644" w:type="dxa"/>
          </w:tcPr>
          <w:p>
            <w:pPr>
              <w:pStyle w:val="TableParagraph"/>
              <w:spacing w:line="240" w:lineRule="auto" w:before="119"/>
              <w:ind w:left="566" w:right="710"/>
              <w:jc w:val="center"/>
              <w:rPr>
                <w:sz w:val="16"/>
              </w:rPr>
            </w:pPr>
            <w:r>
              <w:rPr>
                <w:color w:val="221F1F"/>
                <w:w w:val="105"/>
                <w:sz w:val="16"/>
              </w:rPr>
              <w:t>0.91</w:t>
            </w:r>
          </w:p>
        </w:tc>
        <w:tc>
          <w:tcPr>
            <w:tcW w:w="1877" w:type="dxa"/>
            <w:tcBorders>
              <w:right w:val="single" w:sz="12" w:space="0" w:color="000000"/>
            </w:tcBorders>
          </w:tcPr>
          <w:p>
            <w:pPr>
              <w:pStyle w:val="TableParagraph"/>
              <w:spacing w:line="240" w:lineRule="auto" w:before="119"/>
              <w:ind w:left="729" w:right="709"/>
              <w:jc w:val="center"/>
              <w:rPr>
                <w:sz w:val="16"/>
              </w:rPr>
            </w:pPr>
            <w:r>
              <w:rPr>
                <w:color w:val="221F1F"/>
                <w:w w:val="105"/>
                <w:sz w:val="16"/>
              </w:rPr>
              <w:t>-1.82</w:t>
            </w:r>
          </w:p>
        </w:tc>
      </w:tr>
      <w:tr>
        <w:trPr>
          <w:trHeight w:val="419" w:hRule="atLeast"/>
        </w:trPr>
        <w:tc>
          <w:tcPr>
            <w:tcW w:w="1861" w:type="dxa"/>
            <w:tcBorders>
              <w:left w:val="single" w:sz="12" w:space="0" w:color="000000"/>
            </w:tcBorders>
          </w:tcPr>
          <w:p>
            <w:pPr>
              <w:pStyle w:val="TableParagraph"/>
              <w:spacing w:line="240" w:lineRule="auto" w:before="35"/>
              <w:ind w:left="129"/>
              <w:jc w:val="left"/>
              <w:rPr>
                <w:sz w:val="16"/>
              </w:rPr>
            </w:pPr>
            <w:r>
              <w:rPr>
                <w:color w:val="221F1F"/>
                <w:sz w:val="16"/>
              </w:rPr>
              <w:t>Asia/Pacífico</w:t>
            </w:r>
          </w:p>
        </w:tc>
        <w:tc>
          <w:tcPr>
            <w:tcW w:w="1426" w:type="dxa"/>
          </w:tcPr>
          <w:p>
            <w:pPr>
              <w:pStyle w:val="TableParagraph"/>
              <w:spacing w:line="240" w:lineRule="auto" w:before="35"/>
              <w:ind w:left="367"/>
              <w:jc w:val="left"/>
              <w:rPr>
                <w:sz w:val="16"/>
              </w:rPr>
            </w:pPr>
            <w:r>
              <w:rPr>
                <w:color w:val="221F1F"/>
                <w:w w:val="105"/>
                <w:sz w:val="16"/>
              </w:rPr>
              <w:t>3,222,295</w:t>
            </w:r>
          </w:p>
        </w:tc>
        <w:tc>
          <w:tcPr>
            <w:tcW w:w="623" w:type="dxa"/>
          </w:tcPr>
          <w:p>
            <w:pPr>
              <w:pStyle w:val="TableParagraph"/>
              <w:spacing w:line="240" w:lineRule="auto" w:before="35"/>
              <w:ind w:left="70"/>
              <w:jc w:val="left"/>
              <w:rPr>
                <w:sz w:val="16"/>
              </w:rPr>
            </w:pPr>
            <w:r>
              <w:rPr>
                <w:color w:val="221F1F"/>
                <w:w w:val="110"/>
                <w:sz w:val="16"/>
              </w:rPr>
              <w:t>56</w:t>
            </w:r>
          </w:p>
          <w:p>
            <w:pPr>
              <w:pStyle w:val="TableParagraph"/>
              <w:spacing w:line="180" w:lineRule="exact" w:before="0"/>
              <w:ind w:left="90"/>
              <w:jc w:val="left"/>
              <w:rPr>
                <w:sz w:val="16"/>
              </w:rPr>
            </w:pPr>
            <w:r>
              <w:rPr>
                <w:color w:val="221F1F"/>
                <w:w w:val="111"/>
                <w:sz w:val="16"/>
              </w:rPr>
              <w:t>%</w:t>
            </w:r>
          </w:p>
        </w:tc>
        <w:tc>
          <w:tcPr>
            <w:tcW w:w="1352" w:type="dxa"/>
          </w:tcPr>
          <w:p>
            <w:pPr>
              <w:pStyle w:val="TableParagraph"/>
              <w:spacing w:line="240" w:lineRule="auto" w:before="35"/>
              <w:ind w:right="605"/>
              <w:rPr>
                <w:sz w:val="16"/>
              </w:rPr>
            </w:pPr>
            <w:r>
              <w:rPr>
                <w:color w:val="221F1F"/>
                <w:w w:val="105"/>
                <w:sz w:val="16"/>
              </w:rPr>
              <w:t>1.78</w:t>
            </w:r>
          </w:p>
        </w:tc>
        <w:tc>
          <w:tcPr>
            <w:tcW w:w="1644" w:type="dxa"/>
          </w:tcPr>
          <w:p>
            <w:pPr>
              <w:pStyle w:val="TableParagraph"/>
              <w:spacing w:line="240" w:lineRule="auto" w:before="35"/>
              <w:ind w:left="566" w:right="710"/>
              <w:jc w:val="center"/>
              <w:rPr>
                <w:sz w:val="16"/>
              </w:rPr>
            </w:pPr>
            <w:r>
              <w:rPr>
                <w:color w:val="221F1F"/>
                <w:w w:val="105"/>
                <w:sz w:val="16"/>
              </w:rPr>
              <w:t>1.11</w:t>
            </w:r>
          </w:p>
        </w:tc>
        <w:tc>
          <w:tcPr>
            <w:tcW w:w="1877" w:type="dxa"/>
            <w:tcBorders>
              <w:right w:val="single" w:sz="12" w:space="0" w:color="000000"/>
            </w:tcBorders>
          </w:tcPr>
          <w:p>
            <w:pPr>
              <w:pStyle w:val="TableParagraph"/>
              <w:spacing w:line="240" w:lineRule="auto" w:before="35"/>
              <w:ind w:left="729" w:right="709"/>
              <w:jc w:val="center"/>
              <w:rPr>
                <w:sz w:val="16"/>
              </w:rPr>
            </w:pPr>
            <w:r>
              <w:rPr>
                <w:color w:val="221F1F"/>
                <w:w w:val="105"/>
                <w:sz w:val="16"/>
              </w:rPr>
              <w:t>-0.67</w:t>
            </w:r>
          </w:p>
        </w:tc>
      </w:tr>
      <w:tr>
        <w:trPr>
          <w:trHeight w:val="478" w:hRule="atLeast"/>
        </w:trPr>
        <w:tc>
          <w:tcPr>
            <w:tcW w:w="1861" w:type="dxa"/>
            <w:tcBorders>
              <w:left w:val="single" w:sz="12" w:space="0" w:color="000000"/>
            </w:tcBorders>
          </w:tcPr>
          <w:p>
            <w:pPr>
              <w:pStyle w:val="TableParagraph"/>
              <w:spacing w:line="244" w:lineRule="auto" w:before="11"/>
              <w:ind w:left="129" w:right="355"/>
              <w:jc w:val="left"/>
              <w:rPr>
                <w:sz w:val="16"/>
              </w:rPr>
            </w:pPr>
            <w:r>
              <w:rPr>
                <w:color w:val="221F1F"/>
                <w:w w:val="105"/>
                <w:sz w:val="16"/>
              </w:rPr>
              <w:t>América Latina y el Caribe</w:t>
            </w:r>
          </w:p>
        </w:tc>
        <w:tc>
          <w:tcPr>
            <w:tcW w:w="1426" w:type="dxa"/>
          </w:tcPr>
          <w:p>
            <w:pPr>
              <w:pStyle w:val="TableParagraph"/>
              <w:spacing w:line="240" w:lineRule="auto" w:before="4"/>
              <w:jc w:val="left"/>
              <w:rPr>
                <w:i/>
                <w:sz w:val="25"/>
              </w:rPr>
            </w:pPr>
          </w:p>
          <w:p>
            <w:pPr>
              <w:pStyle w:val="TableParagraph"/>
              <w:spacing w:line="167" w:lineRule="exact" w:before="0"/>
              <w:ind w:left="448"/>
              <w:jc w:val="left"/>
              <w:rPr>
                <w:sz w:val="16"/>
              </w:rPr>
            </w:pPr>
            <w:r>
              <w:rPr>
                <w:color w:val="221F1F"/>
                <w:w w:val="105"/>
                <w:sz w:val="16"/>
              </w:rPr>
              <w:t>483,837</w:t>
            </w:r>
          </w:p>
        </w:tc>
        <w:tc>
          <w:tcPr>
            <w:tcW w:w="623" w:type="dxa"/>
          </w:tcPr>
          <w:p>
            <w:pPr>
              <w:pStyle w:val="TableParagraph"/>
              <w:spacing w:line="240" w:lineRule="auto" w:before="4"/>
              <w:jc w:val="left"/>
              <w:rPr>
                <w:i/>
                <w:sz w:val="25"/>
              </w:rPr>
            </w:pPr>
          </w:p>
          <w:p>
            <w:pPr>
              <w:pStyle w:val="TableParagraph"/>
              <w:spacing w:line="167" w:lineRule="exact" w:before="0"/>
              <w:ind w:left="38"/>
              <w:jc w:val="left"/>
              <w:rPr>
                <w:sz w:val="16"/>
              </w:rPr>
            </w:pPr>
            <w:r>
              <w:rPr>
                <w:color w:val="221F1F"/>
                <w:w w:val="110"/>
                <w:sz w:val="16"/>
              </w:rPr>
              <w:t>8%</w:t>
            </w:r>
          </w:p>
        </w:tc>
        <w:tc>
          <w:tcPr>
            <w:tcW w:w="1352" w:type="dxa"/>
          </w:tcPr>
          <w:p>
            <w:pPr>
              <w:pStyle w:val="TableParagraph"/>
              <w:spacing w:line="240" w:lineRule="auto" w:before="4"/>
              <w:jc w:val="left"/>
              <w:rPr>
                <w:i/>
                <w:sz w:val="25"/>
              </w:rPr>
            </w:pPr>
          </w:p>
          <w:p>
            <w:pPr>
              <w:pStyle w:val="TableParagraph"/>
              <w:spacing w:line="167" w:lineRule="exact" w:before="0"/>
              <w:ind w:right="605"/>
              <w:rPr>
                <w:sz w:val="16"/>
              </w:rPr>
            </w:pPr>
            <w:r>
              <w:rPr>
                <w:color w:val="221F1F"/>
                <w:w w:val="105"/>
                <w:sz w:val="16"/>
              </w:rPr>
              <w:t>2.46</w:t>
            </w:r>
          </w:p>
        </w:tc>
        <w:tc>
          <w:tcPr>
            <w:tcW w:w="1644" w:type="dxa"/>
          </w:tcPr>
          <w:p>
            <w:pPr>
              <w:pStyle w:val="TableParagraph"/>
              <w:spacing w:line="240" w:lineRule="auto" w:before="4"/>
              <w:jc w:val="left"/>
              <w:rPr>
                <w:i/>
                <w:sz w:val="25"/>
              </w:rPr>
            </w:pPr>
          </w:p>
          <w:p>
            <w:pPr>
              <w:pStyle w:val="TableParagraph"/>
              <w:spacing w:line="167" w:lineRule="exact" w:before="0"/>
              <w:ind w:left="566" w:right="710"/>
              <w:jc w:val="center"/>
              <w:rPr>
                <w:sz w:val="16"/>
              </w:rPr>
            </w:pPr>
            <w:r>
              <w:rPr>
                <w:color w:val="221F1F"/>
                <w:w w:val="105"/>
                <w:sz w:val="16"/>
              </w:rPr>
              <w:t>6.39</w:t>
            </w:r>
          </w:p>
        </w:tc>
        <w:tc>
          <w:tcPr>
            <w:tcW w:w="1877" w:type="dxa"/>
            <w:tcBorders>
              <w:right w:val="single" w:sz="12" w:space="0" w:color="000000"/>
            </w:tcBorders>
          </w:tcPr>
          <w:p>
            <w:pPr>
              <w:pStyle w:val="TableParagraph"/>
              <w:spacing w:line="240" w:lineRule="auto" w:before="4"/>
              <w:jc w:val="left"/>
              <w:rPr>
                <w:i/>
                <w:sz w:val="25"/>
              </w:rPr>
            </w:pPr>
          </w:p>
          <w:p>
            <w:pPr>
              <w:pStyle w:val="TableParagraph"/>
              <w:spacing w:line="167" w:lineRule="exact" w:before="0"/>
              <w:ind w:left="729" w:right="709"/>
              <w:jc w:val="center"/>
              <w:rPr>
                <w:sz w:val="16"/>
              </w:rPr>
            </w:pPr>
            <w:r>
              <w:rPr>
                <w:color w:val="221F1F"/>
                <w:w w:val="105"/>
                <w:sz w:val="16"/>
              </w:rPr>
              <w:t>3.93</w:t>
            </w:r>
          </w:p>
        </w:tc>
      </w:tr>
      <w:tr>
        <w:trPr>
          <w:trHeight w:val="310" w:hRule="atLeast"/>
        </w:trPr>
        <w:tc>
          <w:tcPr>
            <w:tcW w:w="1861" w:type="dxa"/>
            <w:tcBorders>
              <w:left w:val="single" w:sz="12" w:space="0" w:color="000000"/>
            </w:tcBorders>
          </w:tcPr>
          <w:p>
            <w:pPr>
              <w:pStyle w:val="TableParagraph"/>
              <w:spacing w:line="173" w:lineRule="exact" w:before="117"/>
              <w:ind w:left="129"/>
              <w:jc w:val="left"/>
              <w:rPr>
                <w:sz w:val="16"/>
              </w:rPr>
            </w:pPr>
            <w:r>
              <w:rPr>
                <w:color w:val="221F1F"/>
                <w:sz w:val="16"/>
              </w:rPr>
              <w:t>América del Norte</w:t>
            </w:r>
          </w:p>
        </w:tc>
        <w:tc>
          <w:tcPr>
            <w:tcW w:w="1426" w:type="dxa"/>
          </w:tcPr>
          <w:p>
            <w:pPr>
              <w:pStyle w:val="TableParagraph"/>
              <w:spacing w:line="181" w:lineRule="exact" w:before="0"/>
              <w:ind w:left="424"/>
              <w:jc w:val="left"/>
              <w:rPr>
                <w:sz w:val="16"/>
              </w:rPr>
            </w:pPr>
            <w:r>
              <w:rPr>
                <w:color w:val="221F1F"/>
                <w:w w:val="105"/>
                <w:sz w:val="16"/>
              </w:rPr>
              <w:t>299,385</w:t>
            </w:r>
          </w:p>
        </w:tc>
        <w:tc>
          <w:tcPr>
            <w:tcW w:w="623" w:type="dxa"/>
          </w:tcPr>
          <w:p>
            <w:pPr>
              <w:pStyle w:val="TableParagraph"/>
              <w:spacing w:line="181" w:lineRule="exact" w:before="0"/>
              <w:ind w:left="38"/>
              <w:jc w:val="left"/>
              <w:rPr>
                <w:sz w:val="16"/>
              </w:rPr>
            </w:pPr>
            <w:r>
              <w:rPr>
                <w:color w:val="221F1F"/>
                <w:w w:val="110"/>
                <w:sz w:val="16"/>
              </w:rPr>
              <w:t>5%</w:t>
            </w:r>
          </w:p>
        </w:tc>
        <w:tc>
          <w:tcPr>
            <w:tcW w:w="1352" w:type="dxa"/>
          </w:tcPr>
          <w:p>
            <w:pPr>
              <w:pStyle w:val="TableParagraph"/>
              <w:spacing w:line="181" w:lineRule="exact" w:before="0"/>
              <w:ind w:right="585"/>
              <w:rPr>
                <w:sz w:val="16"/>
              </w:rPr>
            </w:pPr>
            <w:r>
              <w:rPr>
                <w:color w:val="221F1F"/>
                <w:w w:val="105"/>
                <w:sz w:val="16"/>
              </w:rPr>
              <w:t>11.77</w:t>
            </w:r>
          </w:p>
        </w:tc>
        <w:tc>
          <w:tcPr>
            <w:tcW w:w="1644" w:type="dxa"/>
          </w:tcPr>
          <w:p>
            <w:pPr>
              <w:pStyle w:val="TableParagraph"/>
              <w:spacing w:line="181" w:lineRule="exact" w:before="0"/>
              <w:ind w:left="566" w:right="710"/>
              <w:jc w:val="center"/>
              <w:rPr>
                <w:sz w:val="16"/>
              </w:rPr>
            </w:pPr>
            <w:r>
              <w:rPr>
                <w:color w:val="221F1F"/>
                <w:w w:val="105"/>
                <w:sz w:val="16"/>
              </w:rPr>
              <w:t>6.13</w:t>
            </w:r>
          </w:p>
        </w:tc>
        <w:tc>
          <w:tcPr>
            <w:tcW w:w="1877" w:type="dxa"/>
            <w:tcBorders>
              <w:right w:val="single" w:sz="12" w:space="0" w:color="000000"/>
            </w:tcBorders>
          </w:tcPr>
          <w:p>
            <w:pPr>
              <w:pStyle w:val="TableParagraph"/>
              <w:spacing w:line="173" w:lineRule="exact" w:before="117"/>
              <w:ind w:left="729" w:right="709"/>
              <w:jc w:val="center"/>
              <w:rPr>
                <w:sz w:val="16"/>
              </w:rPr>
            </w:pPr>
            <w:r>
              <w:rPr>
                <w:color w:val="221F1F"/>
                <w:w w:val="105"/>
                <w:sz w:val="16"/>
              </w:rPr>
              <w:t>-5.64</w:t>
            </w:r>
          </w:p>
        </w:tc>
      </w:tr>
      <w:tr>
        <w:trPr>
          <w:trHeight w:val="307" w:hRule="atLeast"/>
        </w:trPr>
        <w:tc>
          <w:tcPr>
            <w:tcW w:w="1861" w:type="dxa"/>
            <w:tcBorders>
              <w:left w:val="single" w:sz="12" w:space="0" w:color="000000"/>
            </w:tcBorders>
          </w:tcPr>
          <w:p>
            <w:pPr>
              <w:pStyle w:val="TableParagraph"/>
              <w:spacing w:line="240" w:lineRule="auto" w:before="3"/>
              <w:ind w:left="129"/>
              <w:jc w:val="left"/>
              <w:rPr>
                <w:sz w:val="16"/>
              </w:rPr>
            </w:pPr>
            <w:r>
              <w:rPr>
                <w:color w:val="221F1F"/>
                <w:sz w:val="16"/>
              </w:rPr>
              <w:t>Europa Occidental</w:t>
            </w:r>
          </w:p>
        </w:tc>
        <w:tc>
          <w:tcPr>
            <w:tcW w:w="1426" w:type="dxa"/>
          </w:tcPr>
          <w:p>
            <w:pPr>
              <w:pStyle w:val="TableParagraph"/>
              <w:spacing w:line="177" w:lineRule="exact" w:before="111"/>
              <w:ind w:left="424"/>
              <w:jc w:val="left"/>
              <w:rPr>
                <w:sz w:val="16"/>
              </w:rPr>
            </w:pPr>
            <w:r>
              <w:rPr>
                <w:color w:val="221F1F"/>
                <w:w w:val="105"/>
                <w:sz w:val="16"/>
              </w:rPr>
              <w:t>384,730</w:t>
            </w:r>
          </w:p>
        </w:tc>
        <w:tc>
          <w:tcPr>
            <w:tcW w:w="623" w:type="dxa"/>
          </w:tcPr>
          <w:p>
            <w:pPr>
              <w:pStyle w:val="TableParagraph"/>
              <w:spacing w:line="177" w:lineRule="exact" w:before="111"/>
              <w:ind w:left="38"/>
              <w:jc w:val="left"/>
              <w:rPr>
                <w:sz w:val="16"/>
              </w:rPr>
            </w:pPr>
            <w:r>
              <w:rPr>
                <w:color w:val="221F1F"/>
                <w:w w:val="110"/>
                <w:sz w:val="16"/>
              </w:rPr>
              <w:t>7%</w:t>
            </w:r>
          </w:p>
        </w:tc>
        <w:tc>
          <w:tcPr>
            <w:tcW w:w="1352" w:type="dxa"/>
          </w:tcPr>
          <w:p>
            <w:pPr>
              <w:pStyle w:val="TableParagraph"/>
              <w:spacing w:line="177" w:lineRule="exact" w:before="111"/>
              <w:ind w:right="605"/>
              <w:rPr>
                <w:sz w:val="16"/>
              </w:rPr>
            </w:pPr>
            <w:r>
              <w:rPr>
                <w:color w:val="221F1F"/>
                <w:w w:val="105"/>
                <w:sz w:val="16"/>
              </w:rPr>
              <w:t>6.28</w:t>
            </w:r>
          </w:p>
        </w:tc>
        <w:tc>
          <w:tcPr>
            <w:tcW w:w="1644" w:type="dxa"/>
          </w:tcPr>
          <w:p>
            <w:pPr>
              <w:pStyle w:val="TableParagraph"/>
              <w:spacing w:line="177" w:lineRule="exact" w:before="111"/>
              <w:ind w:left="566" w:right="710"/>
              <w:jc w:val="center"/>
              <w:rPr>
                <w:sz w:val="16"/>
              </w:rPr>
            </w:pPr>
            <w:r>
              <w:rPr>
                <w:color w:val="221F1F"/>
                <w:w w:val="105"/>
                <w:sz w:val="16"/>
              </w:rPr>
              <w:t>2.93</w:t>
            </w:r>
          </w:p>
        </w:tc>
        <w:tc>
          <w:tcPr>
            <w:tcW w:w="1877" w:type="dxa"/>
            <w:tcBorders>
              <w:right w:val="single" w:sz="12" w:space="0" w:color="000000"/>
            </w:tcBorders>
          </w:tcPr>
          <w:p>
            <w:pPr>
              <w:pStyle w:val="TableParagraph"/>
              <w:spacing w:line="177" w:lineRule="exact" w:before="111"/>
              <w:ind w:left="729" w:right="709"/>
              <w:jc w:val="center"/>
              <w:rPr>
                <w:sz w:val="16"/>
              </w:rPr>
            </w:pPr>
            <w:r>
              <w:rPr>
                <w:color w:val="221F1F"/>
                <w:w w:val="105"/>
                <w:sz w:val="16"/>
              </w:rPr>
              <w:t>-3.35</w:t>
            </w:r>
          </w:p>
        </w:tc>
      </w:tr>
      <w:tr>
        <w:trPr>
          <w:trHeight w:val="522" w:hRule="atLeast"/>
        </w:trPr>
        <w:tc>
          <w:tcPr>
            <w:tcW w:w="1861" w:type="dxa"/>
            <w:tcBorders>
              <w:left w:val="single" w:sz="12" w:space="0" w:color="000000"/>
            </w:tcBorders>
          </w:tcPr>
          <w:p>
            <w:pPr>
              <w:pStyle w:val="TableParagraph"/>
              <w:spacing w:line="244" w:lineRule="auto" w:before="7"/>
              <w:ind w:left="129"/>
              <w:jc w:val="left"/>
              <w:rPr>
                <w:sz w:val="16"/>
              </w:rPr>
            </w:pPr>
            <w:r>
              <w:rPr>
                <w:color w:val="221F1F"/>
                <w:sz w:val="16"/>
              </w:rPr>
              <w:t>Europa Central y Oriental</w:t>
            </w:r>
          </w:p>
        </w:tc>
        <w:tc>
          <w:tcPr>
            <w:tcW w:w="1426" w:type="dxa"/>
          </w:tcPr>
          <w:p>
            <w:pPr>
              <w:pStyle w:val="TableParagraph"/>
              <w:spacing w:line="240" w:lineRule="auto" w:before="0"/>
              <w:jc w:val="left"/>
              <w:rPr>
                <w:i/>
                <w:sz w:val="26"/>
              </w:rPr>
            </w:pPr>
          </w:p>
          <w:p>
            <w:pPr>
              <w:pStyle w:val="TableParagraph"/>
              <w:spacing w:line="240" w:lineRule="auto" w:before="0"/>
              <w:ind w:left="500"/>
              <w:jc w:val="left"/>
              <w:rPr>
                <w:sz w:val="16"/>
              </w:rPr>
            </w:pPr>
            <w:r>
              <w:rPr>
                <w:color w:val="221F1F"/>
                <w:w w:val="105"/>
                <w:sz w:val="16"/>
              </w:rPr>
              <w:t>342,817</w:t>
            </w:r>
          </w:p>
        </w:tc>
        <w:tc>
          <w:tcPr>
            <w:tcW w:w="623" w:type="dxa"/>
          </w:tcPr>
          <w:p>
            <w:pPr>
              <w:pStyle w:val="TableParagraph"/>
              <w:spacing w:line="240" w:lineRule="auto" w:before="0"/>
              <w:jc w:val="left"/>
              <w:rPr>
                <w:i/>
                <w:sz w:val="26"/>
              </w:rPr>
            </w:pPr>
          </w:p>
          <w:p>
            <w:pPr>
              <w:pStyle w:val="TableParagraph"/>
              <w:spacing w:line="240" w:lineRule="auto" w:before="0"/>
              <w:ind w:left="38"/>
              <w:jc w:val="left"/>
              <w:rPr>
                <w:sz w:val="16"/>
              </w:rPr>
            </w:pPr>
            <w:r>
              <w:rPr>
                <w:color w:val="221F1F"/>
                <w:w w:val="110"/>
                <w:sz w:val="16"/>
              </w:rPr>
              <w:t>6%</w:t>
            </w:r>
          </w:p>
        </w:tc>
        <w:tc>
          <w:tcPr>
            <w:tcW w:w="1352" w:type="dxa"/>
          </w:tcPr>
          <w:p>
            <w:pPr>
              <w:pStyle w:val="TableParagraph"/>
              <w:spacing w:line="240" w:lineRule="auto" w:before="0"/>
              <w:jc w:val="left"/>
              <w:rPr>
                <w:i/>
                <w:sz w:val="26"/>
              </w:rPr>
            </w:pPr>
          </w:p>
          <w:p>
            <w:pPr>
              <w:pStyle w:val="TableParagraph"/>
              <w:spacing w:line="240" w:lineRule="auto" w:before="0"/>
              <w:ind w:right="605"/>
              <w:rPr>
                <w:sz w:val="16"/>
              </w:rPr>
            </w:pPr>
            <w:r>
              <w:rPr>
                <w:color w:val="221F1F"/>
                <w:w w:val="105"/>
                <w:sz w:val="16"/>
              </w:rPr>
              <w:t>4.89</w:t>
            </w:r>
          </w:p>
        </w:tc>
        <w:tc>
          <w:tcPr>
            <w:tcW w:w="1644" w:type="dxa"/>
          </w:tcPr>
          <w:p>
            <w:pPr>
              <w:pStyle w:val="TableParagraph"/>
              <w:spacing w:line="240" w:lineRule="auto" w:before="0"/>
              <w:jc w:val="left"/>
              <w:rPr>
                <w:i/>
                <w:sz w:val="26"/>
              </w:rPr>
            </w:pPr>
          </w:p>
          <w:p>
            <w:pPr>
              <w:pStyle w:val="TableParagraph"/>
              <w:spacing w:line="240" w:lineRule="auto" w:before="0"/>
              <w:ind w:left="566" w:right="710"/>
              <w:jc w:val="center"/>
              <w:rPr>
                <w:sz w:val="16"/>
              </w:rPr>
            </w:pPr>
            <w:r>
              <w:rPr>
                <w:color w:val="221F1F"/>
                <w:w w:val="105"/>
                <w:sz w:val="16"/>
              </w:rPr>
              <w:t>3.14</w:t>
            </w:r>
          </w:p>
        </w:tc>
        <w:tc>
          <w:tcPr>
            <w:tcW w:w="1877" w:type="dxa"/>
            <w:tcBorders>
              <w:right w:val="single" w:sz="12" w:space="0" w:color="000000"/>
            </w:tcBorders>
          </w:tcPr>
          <w:p>
            <w:pPr>
              <w:pStyle w:val="TableParagraph"/>
              <w:spacing w:line="240" w:lineRule="auto" w:before="0"/>
              <w:jc w:val="left"/>
              <w:rPr>
                <w:i/>
                <w:sz w:val="26"/>
              </w:rPr>
            </w:pPr>
          </w:p>
          <w:p>
            <w:pPr>
              <w:pStyle w:val="TableParagraph"/>
              <w:spacing w:line="240" w:lineRule="auto" w:before="0"/>
              <w:ind w:left="729" w:right="709"/>
              <w:jc w:val="center"/>
              <w:rPr>
                <w:sz w:val="16"/>
              </w:rPr>
            </w:pPr>
            <w:r>
              <w:rPr>
                <w:color w:val="221F1F"/>
                <w:w w:val="105"/>
                <w:sz w:val="16"/>
              </w:rPr>
              <w:t>-1.75</w:t>
            </w:r>
          </w:p>
        </w:tc>
      </w:tr>
      <w:tr>
        <w:trPr>
          <w:trHeight w:val="338" w:hRule="atLeast"/>
        </w:trPr>
        <w:tc>
          <w:tcPr>
            <w:tcW w:w="1861" w:type="dxa"/>
            <w:tcBorders>
              <w:left w:val="single" w:sz="12" w:space="0" w:color="000000"/>
              <w:bottom w:val="single" w:sz="12" w:space="0" w:color="000000"/>
            </w:tcBorders>
          </w:tcPr>
          <w:p>
            <w:pPr>
              <w:pStyle w:val="TableParagraph"/>
              <w:spacing w:line="240" w:lineRule="auto" w:before="33"/>
              <w:ind w:left="129"/>
              <w:jc w:val="left"/>
              <w:rPr>
                <w:sz w:val="16"/>
              </w:rPr>
            </w:pPr>
            <w:r>
              <w:rPr>
                <w:color w:val="221F1F"/>
                <w:sz w:val="16"/>
              </w:rPr>
              <w:t>Mundo</w:t>
            </w:r>
          </w:p>
        </w:tc>
        <w:tc>
          <w:tcPr>
            <w:tcW w:w="1426" w:type="dxa"/>
            <w:tcBorders>
              <w:bottom w:val="single" w:sz="12" w:space="0" w:color="000000"/>
            </w:tcBorders>
          </w:tcPr>
          <w:p>
            <w:pPr>
              <w:pStyle w:val="TableParagraph"/>
              <w:spacing w:line="240" w:lineRule="auto" w:before="33"/>
              <w:ind w:left="367"/>
              <w:jc w:val="left"/>
              <w:rPr>
                <w:sz w:val="16"/>
              </w:rPr>
            </w:pPr>
            <w:r>
              <w:rPr>
                <w:color w:val="221F1F"/>
                <w:w w:val="105"/>
                <w:sz w:val="16"/>
              </w:rPr>
              <w:t>5,744,872</w:t>
            </w:r>
          </w:p>
        </w:tc>
        <w:tc>
          <w:tcPr>
            <w:tcW w:w="623" w:type="dxa"/>
            <w:tcBorders>
              <w:bottom w:val="single" w:sz="12" w:space="0" w:color="000000"/>
            </w:tcBorders>
          </w:tcPr>
          <w:p>
            <w:pPr>
              <w:pStyle w:val="TableParagraph"/>
              <w:spacing w:line="240" w:lineRule="auto" w:before="0"/>
              <w:jc w:val="left"/>
              <w:rPr>
                <w:rFonts w:ascii="Times New Roman"/>
                <w:sz w:val="20"/>
              </w:rPr>
            </w:pPr>
          </w:p>
        </w:tc>
        <w:tc>
          <w:tcPr>
            <w:tcW w:w="1352" w:type="dxa"/>
            <w:tcBorders>
              <w:bottom w:val="single" w:sz="12" w:space="0" w:color="000000"/>
            </w:tcBorders>
          </w:tcPr>
          <w:p>
            <w:pPr>
              <w:pStyle w:val="TableParagraph"/>
              <w:spacing w:line="240" w:lineRule="auto" w:before="33"/>
              <w:ind w:right="605"/>
              <w:rPr>
                <w:sz w:val="16"/>
              </w:rPr>
            </w:pPr>
            <w:r>
              <w:rPr>
                <w:color w:val="221F1F"/>
                <w:w w:val="105"/>
                <w:sz w:val="16"/>
              </w:rPr>
              <w:t>2.85</w:t>
            </w:r>
          </w:p>
        </w:tc>
        <w:tc>
          <w:tcPr>
            <w:tcW w:w="1644" w:type="dxa"/>
            <w:tcBorders>
              <w:bottom w:val="single" w:sz="12" w:space="0" w:color="000000"/>
            </w:tcBorders>
          </w:tcPr>
          <w:p>
            <w:pPr>
              <w:pStyle w:val="TableParagraph"/>
              <w:spacing w:line="240" w:lineRule="auto" w:before="33"/>
              <w:ind w:left="566" w:right="710"/>
              <w:jc w:val="center"/>
              <w:rPr>
                <w:sz w:val="16"/>
              </w:rPr>
            </w:pPr>
            <w:r>
              <w:rPr>
                <w:color w:val="221F1F"/>
                <w:w w:val="105"/>
                <w:sz w:val="16"/>
              </w:rPr>
              <w:t>2.18</w:t>
            </w:r>
          </w:p>
        </w:tc>
        <w:tc>
          <w:tcPr>
            <w:tcW w:w="1877" w:type="dxa"/>
            <w:tcBorders>
              <w:bottom w:val="single" w:sz="12" w:space="0" w:color="000000"/>
              <w:right w:val="single" w:sz="12" w:space="0" w:color="000000"/>
            </w:tcBorders>
          </w:tcPr>
          <w:p>
            <w:pPr>
              <w:pStyle w:val="TableParagraph"/>
              <w:spacing w:line="240" w:lineRule="auto" w:before="0"/>
              <w:jc w:val="left"/>
              <w:rPr>
                <w:rFonts w:ascii="Times New Roman"/>
                <w:sz w:val="20"/>
              </w:rPr>
            </w:pPr>
          </w:p>
        </w:tc>
      </w:tr>
    </w:tbl>
    <w:p>
      <w:pPr>
        <w:pStyle w:val="BodyText"/>
        <w:rPr>
          <w:i/>
          <w:sz w:val="22"/>
        </w:rPr>
      </w:pPr>
    </w:p>
    <w:p>
      <w:pPr>
        <w:pStyle w:val="BodyText"/>
        <w:spacing w:before="5"/>
        <w:rPr>
          <w:i/>
          <w:sz w:val="31"/>
        </w:rPr>
      </w:pPr>
    </w:p>
    <w:p>
      <w:pPr>
        <w:pStyle w:val="BodyText"/>
        <w:spacing w:line="360" w:lineRule="auto" w:before="1"/>
        <w:ind w:left="100" w:right="116"/>
        <w:jc w:val="both"/>
      </w:pPr>
      <w:r>
        <w:rPr/>
        <w:t>La prevalencia de esta situación de inequidad hoy día se puede ilustrar con los datos provenientes</w:t>
      </w:r>
      <w:r>
        <w:rPr>
          <w:spacing w:val="-18"/>
        </w:rPr>
        <w:t> </w:t>
      </w:r>
      <w:r>
        <w:rPr/>
        <w:t>de</w:t>
      </w:r>
      <w:r>
        <w:rPr>
          <w:spacing w:val="-16"/>
        </w:rPr>
        <w:t> </w:t>
      </w:r>
      <w:r>
        <w:rPr/>
        <w:t>la</w:t>
      </w:r>
      <w:r>
        <w:rPr>
          <w:spacing w:val="-19"/>
        </w:rPr>
        <w:t> </w:t>
      </w:r>
      <w:r>
        <w:rPr/>
        <w:t>Red</w:t>
      </w:r>
      <w:r>
        <w:rPr>
          <w:spacing w:val="-20"/>
        </w:rPr>
        <w:t> </w:t>
      </w:r>
      <w:r>
        <w:rPr/>
        <w:t>Global</w:t>
      </w:r>
      <w:r>
        <w:rPr>
          <w:spacing w:val="-15"/>
        </w:rPr>
        <w:t> </w:t>
      </w:r>
      <w:r>
        <w:rPr/>
        <w:t>de</w:t>
      </w:r>
      <w:r>
        <w:rPr>
          <w:spacing w:val="-15"/>
        </w:rPr>
        <w:t> </w:t>
      </w:r>
      <w:r>
        <w:rPr/>
        <w:t>la</w:t>
      </w:r>
      <w:r>
        <w:rPr>
          <w:spacing w:val="-17"/>
        </w:rPr>
        <w:t> </w:t>
      </w:r>
      <w:r>
        <w:rPr/>
        <w:t>Huella</w:t>
      </w:r>
      <w:r>
        <w:rPr>
          <w:spacing w:val="-19"/>
        </w:rPr>
        <w:t> </w:t>
      </w:r>
      <w:r>
        <w:rPr/>
        <w:t>Ecológica.</w:t>
      </w:r>
      <w:r>
        <w:rPr>
          <w:spacing w:val="-17"/>
        </w:rPr>
        <w:t> </w:t>
      </w:r>
      <w:r>
        <w:rPr/>
        <w:t>Puede</w:t>
      </w:r>
      <w:r>
        <w:rPr>
          <w:spacing w:val="-20"/>
        </w:rPr>
        <w:t> </w:t>
      </w:r>
      <w:r>
        <w:rPr/>
        <w:t>verse</w:t>
      </w:r>
      <w:r>
        <w:rPr>
          <w:spacing w:val="-19"/>
        </w:rPr>
        <w:t> </w:t>
      </w:r>
      <w:r>
        <w:rPr/>
        <w:t>de</w:t>
      </w:r>
      <w:r>
        <w:rPr>
          <w:spacing w:val="-20"/>
        </w:rPr>
        <w:t> </w:t>
      </w:r>
      <w:r>
        <w:rPr/>
        <w:t>los</w:t>
      </w:r>
      <w:r>
        <w:rPr>
          <w:spacing w:val="-17"/>
        </w:rPr>
        <w:t> </w:t>
      </w:r>
      <w:r>
        <w:rPr/>
        <w:t>datos</w:t>
      </w:r>
      <w:r>
        <w:rPr>
          <w:spacing w:val="-18"/>
        </w:rPr>
        <w:t> </w:t>
      </w:r>
      <w:r>
        <w:rPr/>
        <w:t>extraídos y representados en la Figura 18 una comparación entre los diez países con mayores huellas ecológicas en el año 2013 y las diversas regiones del mundo. La línea roja es la línea</w:t>
      </w:r>
      <w:r>
        <w:rPr>
          <w:spacing w:val="-17"/>
        </w:rPr>
        <w:t> </w:t>
      </w:r>
      <w:r>
        <w:rPr/>
        <w:t>de</w:t>
      </w:r>
      <w:r>
        <w:rPr>
          <w:spacing w:val="-16"/>
        </w:rPr>
        <w:t> </w:t>
      </w:r>
      <w:r>
        <w:rPr/>
        <w:t>biocapacidad</w:t>
      </w:r>
      <w:r>
        <w:rPr>
          <w:spacing w:val="-17"/>
        </w:rPr>
        <w:t> </w:t>
      </w:r>
      <w:r>
        <w:rPr/>
        <w:t>promedio</w:t>
      </w:r>
      <w:r>
        <w:rPr>
          <w:spacing w:val="-16"/>
        </w:rPr>
        <w:t> </w:t>
      </w:r>
      <w:r>
        <w:rPr/>
        <w:t>para</w:t>
      </w:r>
      <w:r>
        <w:rPr>
          <w:spacing w:val="-16"/>
        </w:rPr>
        <w:t> </w:t>
      </w:r>
      <w:r>
        <w:rPr/>
        <w:t>el</w:t>
      </w:r>
      <w:r>
        <w:rPr>
          <w:spacing w:val="-16"/>
        </w:rPr>
        <w:t> </w:t>
      </w:r>
      <w:r>
        <w:rPr/>
        <w:t>planeta.</w:t>
      </w:r>
      <w:r>
        <w:rPr>
          <w:spacing w:val="-13"/>
        </w:rPr>
        <w:t> </w:t>
      </w:r>
      <w:r>
        <w:rPr/>
        <w:t>Para</w:t>
      </w:r>
      <w:r>
        <w:rPr>
          <w:spacing w:val="-17"/>
        </w:rPr>
        <w:t> </w:t>
      </w:r>
      <w:r>
        <w:rPr/>
        <w:t>efectos</w:t>
      </w:r>
      <w:r>
        <w:rPr>
          <w:spacing w:val="-14"/>
        </w:rPr>
        <w:t> </w:t>
      </w:r>
      <w:r>
        <w:rPr/>
        <w:t>de</w:t>
      </w:r>
      <w:r>
        <w:rPr>
          <w:spacing w:val="-17"/>
        </w:rPr>
        <w:t> </w:t>
      </w:r>
      <w:r>
        <w:rPr/>
        <w:t>comparación,</w:t>
      </w:r>
      <w:r>
        <w:rPr>
          <w:spacing w:val="-13"/>
        </w:rPr>
        <w:t> </w:t>
      </w:r>
      <w:r>
        <w:rPr/>
        <w:t>se</w:t>
      </w:r>
      <w:r>
        <w:rPr>
          <w:spacing w:val="-17"/>
        </w:rPr>
        <w:t> </w:t>
      </w:r>
      <w:r>
        <w:rPr/>
        <w:t>incluye también a Costa</w:t>
      </w:r>
      <w:r>
        <w:rPr>
          <w:spacing w:val="-4"/>
        </w:rPr>
        <w:t> </w:t>
      </w:r>
      <w:r>
        <w:rPr/>
        <w:t>Rica.</w:t>
      </w:r>
    </w:p>
    <w:p>
      <w:pPr>
        <w:pStyle w:val="BodyText"/>
        <w:spacing w:line="360" w:lineRule="auto" w:before="200"/>
        <w:ind w:left="100" w:right="118"/>
        <w:jc w:val="both"/>
      </w:pPr>
      <w:r>
        <w:rPr/>
        <w:t>Se</w:t>
      </w:r>
      <w:r>
        <w:rPr>
          <w:spacing w:val="-19"/>
        </w:rPr>
        <w:t> </w:t>
      </w:r>
      <w:r>
        <w:rPr/>
        <w:t>observa</w:t>
      </w:r>
      <w:r>
        <w:rPr>
          <w:spacing w:val="-19"/>
        </w:rPr>
        <w:t> </w:t>
      </w:r>
      <w:r>
        <w:rPr/>
        <w:t>que</w:t>
      </w:r>
      <w:r>
        <w:rPr>
          <w:spacing w:val="-19"/>
        </w:rPr>
        <w:t> </w:t>
      </w:r>
      <w:r>
        <w:rPr/>
        <w:t>la</w:t>
      </w:r>
      <w:r>
        <w:rPr>
          <w:spacing w:val="-15"/>
        </w:rPr>
        <w:t> </w:t>
      </w:r>
      <w:r>
        <w:rPr/>
        <w:t>mayoría</w:t>
      </w:r>
      <w:r>
        <w:rPr>
          <w:spacing w:val="-19"/>
        </w:rPr>
        <w:t> </w:t>
      </w:r>
      <w:r>
        <w:rPr/>
        <w:t>de</w:t>
      </w:r>
      <w:r>
        <w:rPr>
          <w:spacing w:val="-19"/>
        </w:rPr>
        <w:t> </w:t>
      </w:r>
      <w:r>
        <w:rPr/>
        <w:t>los</w:t>
      </w:r>
      <w:r>
        <w:rPr>
          <w:spacing w:val="-17"/>
        </w:rPr>
        <w:t> </w:t>
      </w:r>
      <w:r>
        <w:rPr/>
        <w:t>diez</w:t>
      </w:r>
      <w:r>
        <w:rPr>
          <w:spacing w:val="-21"/>
        </w:rPr>
        <w:t> </w:t>
      </w:r>
      <w:r>
        <w:rPr/>
        <w:t>países</w:t>
      </w:r>
      <w:r>
        <w:rPr>
          <w:spacing w:val="-17"/>
        </w:rPr>
        <w:t> </w:t>
      </w:r>
      <w:r>
        <w:rPr/>
        <w:t>con</w:t>
      </w:r>
      <w:r>
        <w:rPr>
          <w:spacing w:val="-15"/>
        </w:rPr>
        <w:t> </w:t>
      </w:r>
      <w:r>
        <w:rPr/>
        <w:t>mayor</w:t>
      </w:r>
      <w:r>
        <w:rPr>
          <w:spacing w:val="-18"/>
        </w:rPr>
        <w:t> </w:t>
      </w:r>
      <w:r>
        <w:rPr/>
        <w:t>huella</w:t>
      </w:r>
      <w:r>
        <w:rPr>
          <w:spacing w:val="-18"/>
        </w:rPr>
        <w:t> </w:t>
      </w:r>
      <w:r>
        <w:rPr/>
        <w:t>per</w:t>
      </w:r>
      <w:r>
        <w:rPr>
          <w:spacing w:val="-18"/>
        </w:rPr>
        <w:t> </w:t>
      </w:r>
      <w:r>
        <w:rPr/>
        <w:t>cápita</w:t>
      </w:r>
      <w:r>
        <w:rPr>
          <w:spacing w:val="-18"/>
        </w:rPr>
        <w:t> </w:t>
      </w:r>
      <w:r>
        <w:rPr/>
        <w:t>(con</w:t>
      </w:r>
      <w:r>
        <w:rPr>
          <w:spacing w:val="-19"/>
        </w:rPr>
        <w:t> </w:t>
      </w:r>
      <w:r>
        <w:rPr/>
        <w:t>sobregiros que representan hasta casi 9 veces la biocapacidad del planeta) representan países de economías de alto consumo de América del Norte, Europa, Oceanía y pequeños emiratos de Asia Occidental. Estas naciones concentran la apropiación del Espacio Ambiental de ésta y las futuras</w:t>
      </w:r>
      <w:r>
        <w:rPr>
          <w:spacing w:val="1"/>
        </w:rPr>
        <w:t> </w:t>
      </w:r>
      <w:r>
        <w:rPr/>
        <w:t>generaciones.</w:t>
      </w:r>
    </w:p>
    <w:p>
      <w:pPr>
        <w:spacing w:after="0" w:line="360" w:lineRule="auto"/>
        <w:jc w:val="both"/>
        <w:sectPr>
          <w:pgSz w:w="12240" w:h="15840"/>
          <w:pgMar w:header="0" w:footer="1330" w:top="1500" w:bottom="1580" w:left="1340" w:right="1320"/>
        </w:sectPr>
      </w:pPr>
    </w:p>
    <w:p>
      <w:pPr>
        <w:pStyle w:val="BodyText"/>
        <w:rPr>
          <w:sz w:val="20"/>
        </w:rPr>
      </w:pPr>
    </w:p>
    <w:p>
      <w:pPr>
        <w:pStyle w:val="BodyText"/>
        <w:spacing w:before="10"/>
        <w:rPr>
          <w:sz w:val="20"/>
        </w:rPr>
      </w:pPr>
    </w:p>
    <w:p>
      <w:pPr>
        <w:pStyle w:val="BodyText"/>
        <w:ind w:left="118"/>
        <w:rPr>
          <w:sz w:val="20"/>
        </w:rPr>
      </w:pPr>
      <w:r>
        <w:rPr>
          <w:sz w:val="20"/>
        </w:rPr>
        <w:drawing>
          <wp:inline distT="0" distB="0" distL="0" distR="0">
            <wp:extent cx="8324580" cy="4905375"/>
            <wp:effectExtent l="0" t="0" r="0" b="0"/>
            <wp:docPr id="45" name="image48.jpeg"/>
            <wp:cNvGraphicFramePr>
              <a:graphicFrameLocks noChangeAspect="1"/>
            </wp:cNvGraphicFramePr>
            <a:graphic>
              <a:graphicData uri="http://schemas.openxmlformats.org/drawingml/2006/picture">
                <pic:pic>
                  <pic:nvPicPr>
                    <pic:cNvPr id="46" name="image48.jpeg"/>
                    <pic:cNvPicPr/>
                  </pic:nvPicPr>
                  <pic:blipFill>
                    <a:blip r:embed="rId63" cstate="print"/>
                    <a:stretch>
                      <a:fillRect/>
                    </a:stretch>
                  </pic:blipFill>
                  <pic:spPr>
                    <a:xfrm>
                      <a:off x="0" y="0"/>
                      <a:ext cx="8324580" cy="4905375"/>
                    </a:xfrm>
                    <a:prstGeom prst="rect">
                      <a:avLst/>
                    </a:prstGeom>
                  </pic:spPr>
                </pic:pic>
              </a:graphicData>
            </a:graphic>
          </wp:inline>
        </w:drawing>
      </w:r>
      <w:r>
        <w:rPr>
          <w:sz w:val="20"/>
        </w:rPr>
      </w:r>
    </w:p>
    <w:p>
      <w:pPr>
        <w:pStyle w:val="BodyText"/>
        <w:rPr>
          <w:sz w:val="20"/>
        </w:rPr>
      </w:pPr>
    </w:p>
    <w:p>
      <w:pPr>
        <w:pStyle w:val="BodyText"/>
        <w:spacing w:before="5"/>
        <w:rPr>
          <w:sz w:val="25"/>
        </w:rPr>
      </w:pPr>
    </w:p>
    <w:p>
      <w:pPr>
        <w:spacing w:before="94"/>
        <w:ind w:left="1367" w:right="1328" w:firstLine="0"/>
        <w:jc w:val="center"/>
        <w:rPr>
          <w:i/>
          <w:sz w:val="20"/>
        </w:rPr>
      </w:pPr>
      <w:bookmarkStart w:name="_bookmark24" w:id="31"/>
      <w:bookmarkEnd w:id="31"/>
      <w:r>
        <w:rPr/>
      </w:r>
      <w:r>
        <w:rPr>
          <w:i/>
          <w:sz w:val="20"/>
        </w:rPr>
        <w:t>Figura 18 – Huella Ecológica Per Cápita de Diversos Países y Regiones del Mundo y Bio-capacidad Promedio Mundial.</w:t>
      </w:r>
    </w:p>
    <w:p>
      <w:pPr>
        <w:pStyle w:val="BodyText"/>
        <w:spacing w:before="2"/>
        <w:rPr>
          <w:i/>
          <w:sz w:val="17"/>
        </w:rPr>
      </w:pPr>
    </w:p>
    <w:p>
      <w:pPr>
        <w:spacing w:before="1"/>
        <w:ind w:left="1366" w:right="1328" w:firstLine="0"/>
        <w:jc w:val="center"/>
        <w:rPr>
          <w:i/>
          <w:sz w:val="20"/>
        </w:rPr>
      </w:pPr>
      <w:r>
        <w:rPr>
          <w:i/>
          <w:sz w:val="20"/>
        </w:rPr>
        <w:t>Fuente: Elaboración propia con datos de </w:t>
      </w:r>
      <w:hyperlink r:id="rId64">
        <w:r>
          <w:rPr>
            <w:i/>
            <w:sz w:val="20"/>
          </w:rPr>
          <w:t>http://www.footprintnetwork.org.</w:t>
        </w:r>
      </w:hyperlink>
    </w:p>
    <w:p>
      <w:pPr>
        <w:spacing w:after="0"/>
        <w:jc w:val="center"/>
        <w:rPr>
          <w:sz w:val="20"/>
        </w:rPr>
        <w:sectPr>
          <w:footerReference w:type="default" r:id="rId62"/>
          <w:pgSz w:w="15840" w:h="12240" w:orient="landscape"/>
          <w:pgMar w:footer="1350" w:header="0" w:top="1140" w:bottom="1540" w:left="1240" w:right="1280"/>
        </w:sectPr>
      </w:pPr>
    </w:p>
    <w:p>
      <w:pPr>
        <w:pStyle w:val="BodyText"/>
        <w:spacing w:line="360" w:lineRule="auto" w:before="107"/>
        <w:ind w:left="180" w:right="116"/>
        <w:jc w:val="both"/>
      </w:pPr>
      <w:r>
        <w:rPr/>
        <w:t>El valor para comunicación de la Huella Ecológica ha causado su popularización. Por ello, las aplicaciones de diversas versiones del concepto se han multiplicado a nivel de países, regiones y ciudades. Posiblemente el más conocido es el Informe del Planeta Vivo de WWF (WWF, 2016). Fuera de éstos, se encuentran con facilidad ejemplos a diversas escalas en diversas latitudes. (Prat, 1998; van Vuuren, et al., 1999; Matteucci, 2005; Doménech, 2006; Guerrero &amp; Guiñirgo, 2008).</w:t>
      </w:r>
    </w:p>
    <w:p>
      <w:pPr>
        <w:pStyle w:val="BodyText"/>
        <w:spacing w:line="360" w:lineRule="auto" w:before="201"/>
        <w:ind w:left="180" w:right="118"/>
        <w:jc w:val="both"/>
      </w:pPr>
      <w:r>
        <w:rPr/>
        <w:t>Se</w:t>
      </w:r>
      <w:r>
        <w:rPr>
          <w:spacing w:val="-13"/>
        </w:rPr>
        <w:t> </w:t>
      </w:r>
      <w:r>
        <w:rPr/>
        <w:t>parte</w:t>
      </w:r>
      <w:r>
        <w:rPr>
          <w:spacing w:val="-12"/>
        </w:rPr>
        <w:t> </w:t>
      </w:r>
      <w:r>
        <w:rPr/>
        <w:t>del</w:t>
      </w:r>
      <w:r>
        <w:rPr>
          <w:spacing w:val="-12"/>
        </w:rPr>
        <w:t> </w:t>
      </w:r>
      <w:r>
        <w:rPr/>
        <w:t>desarrollo</w:t>
      </w:r>
      <w:r>
        <w:rPr>
          <w:spacing w:val="-12"/>
        </w:rPr>
        <w:t> </w:t>
      </w:r>
      <w:r>
        <w:rPr/>
        <w:t>en</w:t>
      </w:r>
      <w:r>
        <w:rPr>
          <w:spacing w:val="-13"/>
        </w:rPr>
        <w:t> </w:t>
      </w:r>
      <w:r>
        <w:rPr/>
        <w:t>esta</w:t>
      </w:r>
      <w:r>
        <w:rPr>
          <w:spacing w:val="-9"/>
        </w:rPr>
        <w:t> </w:t>
      </w:r>
      <w:r>
        <w:rPr/>
        <w:t>metodología</w:t>
      </w:r>
      <w:r>
        <w:rPr>
          <w:spacing w:val="-12"/>
        </w:rPr>
        <w:t> </w:t>
      </w:r>
      <w:r>
        <w:rPr/>
        <w:t>para</w:t>
      </w:r>
      <w:r>
        <w:rPr>
          <w:spacing w:val="-10"/>
        </w:rPr>
        <w:t> </w:t>
      </w:r>
      <w:r>
        <w:rPr/>
        <w:t>la</w:t>
      </w:r>
      <w:r>
        <w:rPr>
          <w:spacing w:val="-12"/>
        </w:rPr>
        <w:t> </w:t>
      </w:r>
      <w:r>
        <w:rPr/>
        <w:t>metodología</w:t>
      </w:r>
      <w:r>
        <w:rPr>
          <w:spacing w:val="-13"/>
        </w:rPr>
        <w:t> </w:t>
      </w:r>
      <w:r>
        <w:rPr/>
        <w:t>específica</w:t>
      </w:r>
      <w:r>
        <w:rPr>
          <w:spacing w:val="-9"/>
        </w:rPr>
        <w:t> </w:t>
      </w:r>
      <w:r>
        <w:rPr/>
        <w:t>de</w:t>
      </w:r>
      <w:r>
        <w:rPr>
          <w:spacing w:val="-13"/>
        </w:rPr>
        <w:t> </w:t>
      </w:r>
      <w:r>
        <w:rPr/>
        <w:t>esta</w:t>
      </w:r>
      <w:r>
        <w:rPr>
          <w:spacing w:val="-12"/>
        </w:rPr>
        <w:t> </w:t>
      </w:r>
      <w:r>
        <w:rPr/>
        <w:t>tesis. En la sección de metodología se comentarán las aplicaciones existentes en el contexto costarricense.</w:t>
      </w:r>
    </w:p>
    <w:p>
      <w:pPr>
        <w:pStyle w:val="Heading2"/>
        <w:numPr>
          <w:ilvl w:val="1"/>
          <w:numId w:val="3"/>
        </w:numPr>
        <w:tabs>
          <w:tab w:pos="901" w:val="left" w:leader="none"/>
        </w:tabs>
        <w:spacing w:line="240" w:lineRule="auto" w:before="198" w:after="0"/>
        <w:ind w:left="900" w:right="0" w:hanging="721"/>
        <w:jc w:val="both"/>
      </w:pPr>
      <w:bookmarkStart w:name="_bookmark25" w:id="32"/>
      <w:bookmarkEnd w:id="32"/>
      <w:r>
        <w:rPr>
          <w:b w:val="0"/>
        </w:rPr>
      </w:r>
      <w:bookmarkStart w:name="_bookmark25" w:id="33"/>
      <w:bookmarkEnd w:id="33"/>
      <w:r>
        <w:rPr/>
        <w:t>L</w:t>
      </w:r>
      <w:r>
        <w:rPr/>
        <w:t>enguajes Cualitativos y su Integración en los Procesos</w:t>
      </w:r>
      <w:r>
        <w:rPr>
          <w:spacing w:val="-18"/>
        </w:rPr>
        <w:t> </w:t>
      </w:r>
      <w:r>
        <w:rPr/>
        <w:t>Multicriteriales</w:t>
      </w:r>
    </w:p>
    <w:p>
      <w:pPr>
        <w:pStyle w:val="BodyText"/>
        <w:spacing w:before="7"/>
        <w:rPr>
          <w:b/>
          <w:sz w:val="29"/>
        </w:rPr>
      </w:pPr>
    </w:p>
    <w:p>
      <w:pPr>
        <w:pStyle w:val="BodyText"/>
        <w:spacing w:line="360" w:lineRule="auto"/>
        <w:ind w:left="180" w:right="117"/>
        <w:jc w:val="both"/>
      </w:pPr>
      <w:r>
        <w:rPr/>
        <w:t>Conforme lo sugiere el pionero trabajo de Giampietro, Mayumi y Munda (2006), especialmente cuando se refiere a las ciencias para las decisiones sociales, es crucial establecer un proceso que garantice la calidad en la generación de los análisis científicos. Proponen la necesidad de hacer una evaluación semiótica de los procesos científicos, pues cada actividad científica estará ajustada a cada situación específica, rompiéndose la aspiración a una gran narrativa universal que trascienda tiempo y espacio.</w:t>
      </w:r>
      <w:r>
        <w:rPr>
          <w:spacing w:val="-16"/>
        </w:rPr>
        <w:t> </w:t>
      </w:r>
      <w:r>
        <w:rPr/>
        <w:t>Estas</w:t>
      </w:r>
      <w:r>
        <w:rPr>
          <w:spacing w:val="-16"/>
        </w:rPr>
        <w:t> </w:t>
      </w:r>
      <w:r>
        <w:rPr/>
        <w:t>características</w:t>
      </w:r>
      <w:r>
        <w:rPr>
          <w:spacing w:val="-16"/>
        </w:rPr>
        <w:t> </w:t>
      </w:r>
      <w:r>
        <w:rPr/>
        <w:t>específicas</w:t>
      </w:r>
      <w:r>
        <w:rPr>
          <w:spacing w:val="-16"/>
        </w:rPr>
        <w:t> </w:t>
      </w:r>
      <w:r>
        <w:rPr/>
        <w:t>son</w:t>
      </w:r>
      <w:r>
        <w:rPr>
          <w:spacing w:val="-18"/>
        </w:rPr>
        <w:t> </w:t>
      </w:r>
      <w:r>
        <w:rPr/>
        <w:t>especialmente</w:t>
      </w:r>
      <w:r>
        <w:rPr>
          <w:spacing w:val="-18"/>
        </w:rPr>
        <w:t> </w:t>
      </w:r>
      <w:r>
        <w:rPr/>
        <w:t>importantes</w:t>
      </w:r>
      <w:r>
        <w:rPr>
          <w:spacing w:val="-16"/>
        </w:rPr>
        <w:t> </w:t>
      </w:r>
      <w:r>
        <w:rPr/>
        <w:t>en</w:t>
      </w:r>
      <w:r>
        <w:rPr>
          <w:spacing w:val="-15"/>
        </w:rPr>
        <w:t> </w:t>
      </w:r>
      <w:r>
        <w:rPr/>
        <w:t>las</w:t>
      </w:r>
      <w:r>
        <w:rPr>
          <w:spacing w:val="-16"/>
        </w:rPr>
        <w:t> </w:t>
      </w:r>
      <w:r>
        <w:rPr/>
        <w:t>ciencias de decisión social y sustentabilidad. En estos casos sostienen que la revolución de la complejidad demanda que un proceso semiótico se haga caso por caso. Todas las situaciones reales son especiales, los actores sociales deben estar de acuerdo en las percepciones,</w:t>
      </w:r>
      <w:r>
        <w:rPr>
          <w:spacing w:val="-7"/>
        </w:rPr>
        <w:t> </w:t>
      </w:r>
      <w:r>
        <w:rPr/>
        <w:t>narrativas,</w:t>
      </w:r>
      <w:r>
        <w:rPr>
          <w:spacing w:val="-6"/>
        </w:rPr>
        <w:t> </w:t>
      </w:r>
      <w:r>
        <w:rPr/>
        <w:t>modelos,</w:t>
      </w:r>
      <w:r>
        <w:rPr>
          <w:spacing w:val="-7"/>
        </w:rPr>
        <w:t> </w:t>
      </w:r>
      <w:r>
        <w:rPr/>
        <w:t>datos</w:t>
      </w:r>
      <w:r>
        <w:rPr>
          <w:spacing w:val="-7"/>
        </w:rPr>
        <w:t> </w:t>
      </w:r>
      <w:r>
        <w:rPr/>
        <w:t>e</w:t>
      </w:r>
      <w:r>
        <w:rPr>
          <w:spacing w:val="-10"/>
        </w:rPr>
        <w:t> </w:t>
      </w:r>
      <w:r>
        <w:rPr/>
        <w:t>indicadores</w:t>
      </w:r>
      <w:r>
        <w:rPr>
          <w:spacing w:val="-7"/>
        </w:rPr>
        <w:t> </w:t>
      </w:r>
      <w:r>
        <w:rPr/>
        <w:t>seleccionados</w:t>
      </w:r>
      <w:r>
        <w:rPr>
          <w:spacing w:val="-4"/>
        </w:rPr>
        <w:t> </w:t>
      </w:r>
      <w:r>
        <w:rPr/>
        <w:t>por</w:t>
      </w:r>
      <w:r>
        <w:rPr>
          <w:spacing w:val="-7"/>
        </w:rPr>
        <w:t> </w:t>
      </w:r>
      <w:r>
        <w:rPr/>
        <w:t>los</w:t>
      </w:r>
      <w:r>
        <w:rPr>
          <w:spacing w:val="-7"/>
        </w:rPr>
        <w:t> </w:t>
      </w:r>
      <w:r>
        <w:rPr/>
        <w:t>científicos (Giampietro, et al.,</w:t>
      </w:r>
      <w:r>
        <w:rPr>
          <w:spacing w:val="2"/>
        </w:rPr>
        <w:t> </w:t>
      </w:r>
      <w:r>
        <w:rPr/>
        <w:t>2006).</w:t>
      </w:r>
    </w:p>
    <w:p>
      <w:pPr>
        <w:pStyle w:val="BodyText"/>
        <w:spacing w:line="360" w:lineRule="auto" w:before="202"/>
        <w:ind w:left="180" w:right="114"/>
        <w:jc w:val="both"/>
      </w:pPr>
      <w:r>
        <w:rPr/>
        <w:t>Conforme</w:t>
      </w:r>
      <w:r>
        <w:rPr>
          <w:spacing w:val="-9"/>
        </w:rPr>
        <w:t> </w:t>
      </w:r>
      <w:r>
        <w:rPr/>
        <w:t>quedó</w:t>
      </w:r>
      <w:r>
        <w:rPr>
          <w:spacing w:val="-9"/>
        </w:rPr>
        <w:t> </w:t>
      </w:r>
      <w:r>
        <w:rPr/>
        <w:t>ilustrado</w:t>
      </w:r>
      <w:r>
        <w:rPr>
          <w:spacing w:val="-8"/>
        </w:rPr>
        <w:t> </w:t>
      </w:r>
      <w:r>
        <w:rPr/>
        <w:t>en</w:t>
      </w:r>
      <w:r>
        <w:rPr>
          <w:spacing w:val="-13"/>
        </w:rPr>
        <w:t> </w:t>
      </w:r>
      <w:r>
        <w:rPr/>
        <w:t>la</w:t>
      </w:r>
      <w:r>
        <w:rPr>
          <w:spacing w:val="-12"/>
        </w:rPr>
        <w:t> </w:t>
      </w:r>
      <w:r>
        <w:rPr/>
        <w:t>Figura</w:t>
      </w:r>
      <w:r>
        <w:rPr>
          <w:spacing w:val="-6"/>
        </w:rPr>
        <w:t> </w:t>
      </w:r>
      <w:r>
        <w:rPr/>
        <w:t>17,</w:t>
      </w:r>
      <w:r>
        <w:rPr>
          <w:spacing w:val="-10"/>
        </w:rPr>
        <w:t> </w:t>
      </w:r>
      <w:r>
        <w:rPr/>
        <w:t>se</w:t>
      </w:r>
      <w:r>
        <w:rPr>
          <w:spacing w:val="-12"/>
        </w:rPr>
        <w:t> </w:t>
      </w:r>
      <w:r>
        <w:rPr/>
        <w:t>reconoce</w:t>
      </w:r>
      <w:r>
        <w:rPr>
          <w:spacing w:val="-11"/>
        </w:rPr>
        <w:t> </w:t>
      </w:r>
      <w:r>
        <w:rPr/>
        <w:t>en</w:t>
      </w:r>
      <w:r>
        <w:rPr>
          <w:spacing w:val="-8"/>
        </w:rPr>
        <w:t> </w:t>
      </w:r>
      <w:r>
        <w:rPr/>
        <w:t>la</w:t>
      </w:r>
      <w:r>
        <w:rPr>
          <w:spacing w:val="-9"/>
        </w:rPr>
        <w:t> </w:t>
      </w:r>
      <w:r>
        <w:rPr/>
        <w:t>literatura</w:t>
      </w:r>
      <w:r>
        <w:rPr>
          <w:spacing w:val="-12"/>
        </w:rPr>
        <w:t> </w:t>
      </w:r>
      <w:r>
        <w:rPr/>
        <w:t>contemporánea</w:t>
      </w:r>
      <w:r>
        <w:rPr>
          <w:spacing w:val="-6"/>
        </w:rPr>
        <w:t> </w:t>
      </w:r>
      <w:r>
        <w:rPr/>
        <w:t>la validez</w:t>
      </w:r>
      <w:r>
        <w:rPr>
          <w:spacing w:val="-15"/>
        </w:rPr>
        <w:t> </w:t>
      </w:r>
      <w:r>
        <w:rPr/>
        <w:t>de</w:t>
      </w:r>
      <w:r>
        <w:rPr>
          <w:spacing w:val="-13"/>
        </w:rPr>
        <w:t> </w:t>
      </w:r>
      <w:r>
        <w:rPr/>
        <w:t>los</w:t>
      </w:r>
      <w:r>
        <w:rPr>
          <w:spacing w:val="-10"/>
        </w:rPr>
        <w:t> </w:t>
      </w:r>
      <w:r>
        <w:rPr/>
        <w:t>enfoques</w:t>
      </w:r>
      <w:r>
        <w:rPr>
          <w:spacing w:val="-11"/>
        </w:rPr>
        <w:t> </w:t>
      </w:r>
      <w:r>
        <w:rPr/>
        <w:t>que</w:t>
      </w:r>
      <w:r>
        <w:rPr>
          <w:spacing w:val="-13"/>
        </w:rPr>
        <w:t> </w:t>
      </w:r>
      <w:r>
        <w:rPr/>
        <w:t>expresan</w:t>
      </w:r>
      <w:r>
        <w:rPr>
          <w:spacing w:val="-8"/>
        </w:rPr>
        <w:t> </w:t>
      </w:r>
      <w:r>
        <w:rPr/>
        <w:t>preferencias</w:t>
      </w:r>
      <w:r>
        <w:rPr>
          <w:spacing w:val="-11"/>
        </w:rPr>
        <w:t> </w:t>
      </w:r>
      <w:r>
        <w:rPr/>
        <w:t>no</w:t>
      </w:r>
      <w:r>
        <w:rPr>
          <w:spacing w:val="-13"/>
        </w:rPr>
        <w:t> </w:t>
      </w:r>
      <w:r>
        <w:rPr/>
        <w:t>monetarias</w:t>
      </w:r>
      <w:r>
        <w:rPr>
          <w:spacing w:val="-10"/>
        </w:rPr>
        <w:t> </w:t>
      </w:r>
      <w:r>
        <w:rPr/>
        <w:t>partiendo</w:t>
      </w:r>
      <w:r>
        <w:rPr>
          <w:spacing w:val="-13"/>
        </w:rPr>
        <w:t> </w:t>
      </w:r>
      <w:r>
        <w:rPr/>
        <w:t>de</w:t>
      </w:r>
      <w:r>
        <w:rPr>
          <w:spacing w:val="-13"/>
        </w:rPr>
        <w:t> </w:t>
      </w:r>
      <w:r>
        <w:rPr/>
        <w:t>una</w:t>
      </w:r>
      <w:r>
        <w:rPr>
          <w:spacing w:val="-12"/>
        </w:rPr>
        <w:t> </w:t>
      </w:r>
      <w:r>
        <w:rPr/>
        <w:t>base ética diversa o de lenguajes alternativos. Cada vez más en todos los países se convoca al público a la discusión de los avances científicos y tecnológicos que antes sólo se reservaba a los técnicos y a los políticos. Especialmente en asuntos donde la incertidumbre</w:t>
      </w:r>
      <w:r>
        <w:rPr>
          <w:spacing w:val="51"/>
        </w:rPr>
        <w:t> </w:t>
      </w:r>
      <w:r>
        <w:rPr/>
        <w:t>es</w:t>
      </w:r>
      <w:r>
        <w:rPr>
          <w:spacing w:val="49"/>
        </w:rPr>
        <w:t> </w:t>
      </w:r>
      <w:r>
        <w:rPr/>
        <w:t>grande</w:t>
      </w:r>
      <w:r>
        <w:rPr>
          <w:spacing w:val="51"/>
        </w:rPr>
        <w:t> </w:t>
      </w:r>
      <w:r>
        <w:rPr/>
        <w:t>y</w:t>
      </w:r>
      <w:r>
        <w:rPr>
          <w:spacing w:val="49"/>
        </w:rPr>
        <w:t> </w:t>
      </w:r>
      <w:r>
        <w:rPr/>
        <w:t>los</w:t>
      </w:r>
      <w:r>
        <w:rPr>
          <w:spacing w:val="48"/>
        </w:rPr>
        <w:t> </w:t>
      </w:r>
      <w:r>
        <w:rPr/>
        <w:t>conflictos</w:t>
      </w:r>
      <w:r>
        <w:rPr>
          <w:spacing w:val="49"/>
        </w:rPr>
        <w:t> </w:t>
      </w:r>
      <w:r>
        <w:rPr/>
        <w:t>de</w:t>
      </w:r>
      <w:r>
        <w:rPr>
          <w:spacing w:val="47"/>
        </w:rPr>
        <w:t> </w:t>
      </w:r>
      <w:r>
        <w:rPr/>
        <w:t>intereses</w:t>
      </w:r>
      <w:r>
        <w:rPr>
          <w:spacing w:val="48"/>
        </w:rPr>
        <w:t> </w:t>
      </w:r>
      <w:r>
        <w:rPr/>
        <w:t>son</w:t>
      </w:r>
      <w:r>
        <w:rPr>
          <w:spacing w:val="47"/>
        </w:rPr>
        <w:t> </w:t>
      </w:r>
      <w:r>
        <w:rPr/>
        <w:t>difícilmente</w:t>
      </w:r>
      <w:r>
        <w:rPr>
          <w:spacing w:val="47"/>
        </w:rPr>
        <w:t> </w:t>
      </w:r>
      <w:r>
        <w:rPr/>
        <w:t>evitables,</w:t>
      </w:r>
      <w:r>
        <w:rPr>
          <w:spacing w:val="59"/>
        </w:rPr>
        <w:t> </w:t>
      </w:r>
      <w:r>
        <w:rPr/>
        <w:t>los</w:t>
      </w:r>
    </w:p>
    <w:p>
      <w:pPr>
        <w:spacing w:after="0" w:line="360" w:lineRule="auto"/>
        <w:jc w:val="both"/>
        <w:sectPr>
          <w:footerReference w:type="default" r:id="rId65"/>
          <w:pgSz w:w="12240" w:h="15840"/>
          <w:pgMar w:footer="1330" w:header="0" w:top="1500" w:bottom="1520" w:left="1260" w:right="1320"/>
          <w:pgNumType w:start="57"/>
        </w:sectPr>
      </w:pPr>
    </w:p>
    <w:p>
      <w:pPr>
        <w:pStyle w:val="BodyText"/>
        <w:spacing w:line="362" w:lineRule="auto" w:before="107"/>
        <w:ind w:left="180" w:right="125"/>
        <w:jc w:val="both"/>
      </w:pPr>
      <w:r>
        <w:rPr/>
        <w:t>resultados tienen tendencia a politizarse y a ventilarse en foros públicos de información (Funtowicz &amp; Ravetz, 1994).</w:t>
      </w:r>
    </w:p>
    <w:p>
      <w:pPr>
        <w:pStyle w:val="BodyText"/>
        <w:spacing w:line="360" w:lineRule="auto" w:before="195"/>
        <w:ind w:left="180" w:right="116"/>
        <w:jc w:val="both"/>
      </w:pPr>
      <w:r>
        <w:rPr/>
        <w:t>El corazón de esta concepción es la “calidad” </w:t>
      </w:r>
      <w:r>
        <w:rPr>
          <w:spacing w:val="-2"/>
        </w:rPr>
        <w:t>más </w:t>
      </w:r>
      <w:r>
        <w:rPr/>
        <w:t>que la “verdad.” Así, la comunidad extendida de interesados desarrollará su propia interpretación extendida de los hechos integrando su interpretación de los patrones del mundo natural y del comportamiento</w:t>
      </w:r>
      <w:r>
        <w:rPr>
          <w:spacing w:val="-48"/>
        </w:rPr>
        <w:t> </w:t>
      </w:r>
      <w:r>
        <w:rPr/>
        <w:t>de los sistemas técnicos y sociales (Ravetz, 2001). Conforme lo señala Svampa (2013) dentro</w:t>
      </w:r>
      <w:r>
        <w:rPr>
          <w:spacing w:val="-8"/>
        </w:rPr>
        <w:t> </w:t>
      </w:r>
      <w:r>
        <w:rPr/>
        <w:t>de</w:t>
      </w:r>
      <w:r>
        <w:rPr>
          <w:spacing w:val="-11"/>
        </w:rPr>
        <w:t> </w:t>
      </w:r>
      <w:r>
        <w:rPr/>
        <w:t>la</w:t>
      </w:r>
      <w:r>
        <w:rPr>
          <w:spacing w:val="-11"/>
        </w:rPr>
        <w:t> </w:t>
      </w:r>
      <w:r>
        <w:rPr/>
        <w:t>coyuntura</w:t>
      </w:r>
      <w:r>
        <w:rPr>
          <w:spacing w:val="-8"/>
        </w:rPr>
        <w:t> </w:t>
      </w:r>
      <w:r>
        <w:rPr/>
        <w:t>actual</w:t>
      </w:r>
      <w:r>
        <w:rPr>
          <w:spacing w:val="-6"/>
        </w:rPr>
        <w:t> </w:t>
      </w:r>
      <w:r>
        <w:rPr/>
        <w:t>del</w:t>
      </w:r>
      <w:r>
        <w:rPr>
          <w:spacing w:val="-11"/>
        </w:rPr>
        <w:t> </w:t>
      </w:r>
      <w:r>
        <w:rPr/>
        <w:t>“Consenso</w:t>
      </w:r>
      <w:r>
        <w:rPr>
          <w:spacing w:val="-7"/>
        </w:rPr>
        <w:t> </w:t>
      </w:r>
      <w:r>
        <w:rPr/>
        <w:t>de</w:t>
      </w:r>
      <w:r>
        <w:rPr>
          <w:spacing w:val="-11"/>
        </w:rPr>
        <w:t> </w:t>
      </w:r>
      <w:r>
        <w:rPr/>
        <w:t>los</w:t>
      </w:r>
      <w:r>
        <w:rPr>
          <w:spacing w:val="-10"/>
        </w:rPr>
        <w:t> </w:t>
      </w:r>
      <w:r>
        <w:rPr/>
        <w:t>Commodities”</w:t>
      </w:r>
      <w:r>
        <w:rPr>
          <w:spacing w:val="-9"/>
        </w:rPr>
        <w:t> </w:t>
      </w:r>
      <w:r>
        <w:rPr/>
        <w:t>la</w:t>
      </w:r>
      <w:r>
        <w:rPr>
          <w:spacing w:val="-11"/>
        </w:rPr>
        <w:t> </w:t>
      </w:r>
      <w:r>
        <w:rPr/>
        <w:t>conflictividad</w:t>
      </w:r>
      <w:r>
        <w:rPr>
          <w:spacing w:val="-12"/>
        </w:rPr>
        <w:t> </w:t>
      </w:r>
      <w:r>
        <w:rPr/>
        <w:t>que</w:t>
      </w:r>
      <w:r>
        <w:rPr>
          <w:spacing w:val="-11"/>
        </w:rPr>
        <w:t> </w:t>
      </w:r>
      <w:r>
        <w:rPr/>
        <w:t>se presenta por el acceso al territorio y a los bienes y servicios ambientales expresan diferentes concepciones sobre el territorio, la naturaleza y el ambiente, al tiempo que va estableciendo</w:t>
      </w:r>
      <w:r>
        <w:rPr>
          <w:spacing w:val="-9"/>
        </w:rPr>
        <w:t> </w:t>
      </w:r>
      <w:r>
        <w:rPr/>
        <w:t>una</w:t>
      </w:r>
      <w:r>
        <w:rPr>
          <w:spacing w:val="-8"/>
        </w:rPr>
        <w:t> </w:t>
      </w:r>
      <w:r>
        <w:rPr/>
        <w:t>disputa</w:t>
      </w:r>
      <w:r>
        <w:rPr>
          <w:spacing w:val="-12"/>
        </w:rPr>
        <w:t> </w:t>
      </w:r>
      <w:r>
        <w:rPr/>
        <w:t>acerca</w:t>
      </w:r>
      <w:r>
        <w:rPr>
          <w:spacing w:val="-12"/>
        </w:rPr>
        <w:t> </w:t>
      </w:r>
      <w:r>
        <w:rPr/>
        <w:t>de</w:t>
      </w:r>
      <w:r>
        <w:rPr>
          <w:spacing w:val="-8"/>
        </w:rPr>
        <w:t> </w:t>
      </w:r>
      <w:r>
        <w:rPr/>
        <w:t>lo</w:t>
      </w:r>
      <w:r>
        <w:rPr>
          <w:spacing w:val="-12"/>
        </w:rPr>
        <w:t> </w:t>
      </w:r>
      <w:r>
        <w:rPr/>
        <w:t>que</w:t>
      </w:r>
      <w:r>
        <w:rPr>
          <w:spacing w:val="-11"/>
        </w:rPr>
        <w:t> </w:t>
      </w:r>
      <w:r>
        <w:rPr/>
        <w:t>se</w:t>
      </w:r>
      <w:r>
        <w:rPr>
          <w:spacing w:val="-12"/>
        </w:rPr>
        <w:t> </w:t>
      </w:r>
      <w:r>
        <w:rPr/>
        <w:t>entiende</w:t>
      </w:r>
      <w:r>
        <w:rPr>
          <w:spacing w:val="-12"/>
        </w:rPr>
        <w:t> </w:t>
      </w:r>
      <w:r>
        <w:rPr/>
        <w:t>por</w:t>
      </w:r>
      <w:r>
        <w:rPr>
          <w:spacing w:val="-6"/>
        </w:rPr>
        <w:t> </w:t>
      </w:r>
      <w:r>
        <w:rPr/>
        <w:t>desarrollo</w:t>
      </w:r>
      <w:r>
        <w:rPr>
          <w:spacing w:val="-9"/>
        </w:rPr>
        <w:t> </w:t>
      </w:r>
      <w:r>
        <w:rPr>
          <w:spacing w:val="-3"/>
        </w:rPr>
        <w:t>y,</w:t>
      </w:r>
      <w:r>
        <w:rPr>
          <w:spacing w:val="-9"/>
        </w:rPr>
        <w:t> </w:t>
      </w:r>
      <w:r>
        <w:rPr/>
        <w:t>de</w:t>
      </w:r>
      <w:r>
        <w:rPr>
          <w:spacing w:val="-8"/>
        </w:rPr>
        <w:t> </w:t>
      </w:r>
      <w:r>
        <w:rPr/>
        <w:t>manera</w:t>
      </w:r>
      <w:r>
        <w:rPr>
          <w:spacing w:val="-8"/>
        </w:rPr>
        <w:t> </w:t>
      </w:r>
      <w:r>
        <w:rPr/>
        <w:t>más general, por</w:t>
      </w:r>
      <w:r>
        <w:rPr>
          <w:spacing w:val="1"/>
        </w:rPr>
        <w:t> </w:t>
      </w:r>
      <w:r>
        <w:rPr/>
        <w:t>democracia.</w:t>
      </w:r>
    </w:p>
    <w:p>
      <w:pPr>
        <w:pStyle w:val="BodyText"/>
        <w:spacing w:line="360" w:lineRule="auto" w:before="203"/>
        <w:ind w:left="180" w:right="116"/>
        <w:jc w:val="both"/>
      </w:pPr>
      <w:r>
        <w:rPr/>
        <w:t>La conflictividad convoca entonces a grupos indígenas y campesinos al lado de nuevos movimientos</w:t>
      </w:r>
      <w:r>
        <w:rPr>
          <w:spacing w:val="-8"/>
        </w:rPr>
        <w:t> </w:t>
      </w:r>
      <w:r>
        <w:rPr/>
        <w:t>socioambientales,</w:t>
      </w:r>
      <w:r>
        <w:rPr>
          <w:spacing w:val="-6"/>
        </w:rPr>
        <w:t> </w:t>
      </w:r>
      <w:r>
        <w:rPr/>
        <w:t>rurales</w:t>
      </w:r>
      <w:r>
        <w:rPr>
          <w:spacing w:val="-4"/>
        </w:rPr>
        <w:t> </w:t>
      </w:r>
      <w:r>
        <w:rPr/>
        <w:t>y</w:t>
      </w:r>
      <w:r>
        <w:rPr>
          <w:spacing w:val="-11"/>
        </w:rPr>
        <w:t> </w:t>
      </w:r>
      <w:r>
        <w:rPr/>
        <w:t>urbanos,</w:t>
      </w:r>
      <w:r>
        <w:rPr>
          <w:spacing w:val="-6"/>
        </w:rPr>
        <w:t> </w:t>
      </w:r>
      <w:r>
        <w:rPr/>
        <w:t>de</w:t>
      </w:r>
      <w:r>
        <w:rPr>
          <w:spacing w:val="-10"/>
        </w:rPr>
        <w:t> </w:t>
      </w:r>
      <w:r>
        <w:rPr/>
        <w:t>carácter</w:t>
      </w:r>
      <w:r>
        <w:rPr>
          <w:spacing w:val="-7"/>
        </w:rPr>
        <w:t> </w:t>
      </w:r>
      <w:r>
        <w:rPr/>
        <w:t>policlasista</w:t>
      </w:r>
      <w:r>
        <w:rPr>
          <w:spacing w:val="-5"/>
        </w:rPr>
        <w:t> </w:t>
      </w:r>
      <w:r>
        <w:rPr/>
        <w:t>y</w:t>
      </w:r>
      <w:r>
        <w:rPr>
          <w:spacing w:val="-11"/>
        </w:rPr>
        <w:t> </w:t>
      </w:r>
      <w:r>
        <w:rPr/>
        <w:t>ciertas</w:t>
      </w:r>
      <w:r>
        <w:rPr>
          <w:spacing w:val="-7"/>
        </w:rPr>
        <w:t> </w:t>
      </w:r>
      <w:r>
        <w:rPr/>
        <w:t>ONG del sector ambiental que combinan la política de </w:t>
      </w:r>
      <w:r>
        <w:rPr>
          <w:i/>
        </w:rPr>
        <w:t>lobby </w:t>
      </w:r>
      <w:r>
        <w:rPr/>
        <w:t>con una lógica de movimiento social–</w:t>
      </w:r>
      <w:r>
        <w:rPr>
          <w:spacing w:val="-13"/>
        </w:rPr>
        <w:t> </w:t>
      </w:r>
      <w:r>
        <w:rPr/>
        <w:t>y</w:t>
      </w:r>
      <w:r>
        <w:rPr>
          <w:spacing w:val="-11"/>
        </w:rPr>
        <w:t> </w:t>
      </w:r>
      <w:r>
        <w:rPr/>
        <w:t>diferentes</w:t>
      </w:r>
      <w:r>
        <w:rPr>
          <w:spacing w:val="-11"/>
        </w:rPr>
        <w:t> </w:t>
      </w:r>
      <w:r>
        <w:rPr/>
        <w:t>colectivos</w:t>
      </w:r>
      <w:r>
        <w:rPr>
          <w:spacing w:val="-10"/>
        </w:rPr>
        <w:t> </w:t>
      </w:r>
      <w:r>
        <w:rPr/>
        <w:t>culturales,</w:t>
      </w:r>
      <w:r>
        <w:rPr>
          <w:spacing w:val="-10"/>
        </w:rPr>
        <w:t> </w:t>
      </w:r>
      <w:r>
        <w:rPr/>
        <w:t>en</w:t>
      </w:r>
      <w:r>
        <w:rPr>
          <w:spacing w:val="-13"/>
        </w:rPr>
        <w:t> </w:t>
      </w:r>
      <w:r>
        <w:rPr/>
        <w:t>los</w:t>
      </w:r>
      <w:r>
        <w:rPr>
          <w:spacing w:val="-10"/>
        </w:rPr>
        <w:t> </w:t>
      </w:r>
      <w:r>
        <w:rPr/>
        <w:t>cuales</w:t>
      </w:r>
      <w:r>
        <w:rPr>
          <w:spacing w:val="-11"/>
        </w:rPr>
        <w:t> </w:t>
      </w:r>
      <w:r>
        <w:rPr/>
        <w:t>abundan</w:t>
      </w:r>
      <w:r>
        <w:rPr>
          <w:spacing w:val="-13"/>
        </w:rPr>
        <w:t> </w:t>
      </w:r>
      <w:r>
        <w:rPr/>
        <w:t>intelectuales</w:t>
      </w:r>
      <w:r>
        <w:rPr>
          <w:spacing w:val="-10"/>
        </w:rPr>
        <w:t> </w:t>
      </w:r>
      <w:r>
        <w:rPr/>
        <w:t>y</w:t>
      </w:r>
      <w:r>
        <w:rPr>
          <w:spacing w:val="-15"/>
        </w:rPr>
        <w:t> </w:t>
      </w:r>
      <w:r>
        <w:rPr/>
        <w:t>expertos, mujeres y jóvenes, que no solo acompañan la acción de organizaciones y movimientos sociales, sino que en muchas ocasiones forman parte de ellos. Aquí, lo más novedoso es la articulación entre actores diferentes que se traduce en un diálogo de saberes y disciplinas que conduce a la emergencia de un saber experto independiente de los discursos dominantes y a la valorización de saberes locales, muchos de ellos de raíz campesina-indígena (Svampa, 2013; Martinez-Alier, et al., 2016).</w:t>
      </w:r>
    </w:p>
    <w:p>
      <w:pPr>
        <w:pStyle w:val="BodyText"/>
        <w:spacing w:line="360" w:lineRule="auto" w:before="197"/>
        <w:ind w:left="180" w:right="113"/>
        <w:jc w:val="both"/>
      </w:pPr>
      <w:r>
        <w:rPr/>
        <w:t>Estos </w:t>
      </w:r>
      <w:r>
        <w:rPr>
          <w:i/>
        </w:rPr>
        <w:t>lenguajes de valoración </w:t>
      </w:r>
      <w:r>
        <w:rPr/>
        <w:t>acerca de la territorialidad han ido impulsando la sanción de</w:t>
      </w:r>
      <w:r>
        <w:rPr>
          <w:spacing w:val="-8"/>
        </w:rPr>
        <w:t> </w:t>
      </w:r>
      <w:r>
        <w:rPr/>
        <w:t>leyes</w:t>
      </w:r>
      <w:r>
        <w:rPr>
          <w:spacing w:val="-2"/>
        </w:rPr>
        <w:t> </w:t>
      </w:r>
      <w:r>
        <w:rPr/>
        <w:t>y</w:t>
      </w:r>
      <w:r>
        <w:rPr>
          <w:spacing w:val="-10"/>
        </w:rPr>
        <w:t> </w:t>
      </w:r>
      <w:r>
        <w:rPr/>
        <w:t>normativas,</w:t>
      </w:r>
      <w:r>
        <w:rPr>
          <w:spacing w:val="-5"/>
        </w:rPr>
        <w:t> </w:t>
      </w:r>
      <w:r>
        <w:rPr/>
        <w:t>incluso</w:t>
      </w:r>
      <w:r>
        <w:rPr>
          <w:spacing w:val="-8"/>
        </w:rPr>
        <w:t> </w:t>
      </w:r>
      <w:r>
        <w:rPr/>
        <w:t>de</w:t>
      </w:r>
      <w:r>
        <w:rPr>
          <w:spacing w:val="-7"/>
        </w:rPr>
        <w:t> </w:t>
      </w:r>
      <w:r>
        <w:rPr/>
        <w:t>marcos</w:t>
      </w:r>
      <w:r>
        <w:rPr>
          <w:spacing w:val="-6"/>
        </w:rPr>
        <w:t> </w:t>
      </w:r>
      <w:r>
        <w:rPr/>
        <w:t>jurídicos</w:t>
      </w:r>
      <w:r>
        <w:rPr>
          <w:spacing w:val="-6"/>
        </w:rPr>
        <w:t> </w:t>
      </w:r>
      <w:r>
        <w:rPr/>
        <w:t>que</w:t>
      </w:r>
      <w:r>
        <w:rPr>
          <w:spacing w:val="-8"/>
        </w:rPr>
        <w:t> </w:t>
      </w:r>
      <w:r>
        <w:rPr/>
        <w:t>apuntan</w:t>
      </w:r>
      <w:r>
        <w:rPr>
          <w:spacing w:val="-8"/>
        </w:rPr>
        <w:t> </w:t>
      </w:r>
      <w:r>
        <w:rPr/>
        <w:t>a</w:t>
      </w:r>
      <w:r>
        <w:rPr>
          <w:spacing w:val="-7"/>
        </w:rPr>
        <w:t> </w:t>
      </w:r>
      <w:r>
        <w:rPr/>
        <w:t>la</w:t>
      </w:r>
      <w:r>
        <w:rPr>
          <w:spacing w:val="-8"/>
        </w:rPr>
        <w:t> </w:t>
      </w:r>
      <w:r>
        <w:rPr/>
        <w:t>construcción</w:t>
      </w:r>
      <w:r>
        <w:rPr>
          <w:spacing w:val="-8"/>
        </w:rPr>
        <w:t> </w:t>
      </w:r>
      <w:r>
        <w:rPr/>
        <w:t>de</w:t>
      </w:r>
      <w:r>
        <w:rPr>
          <w:spacing w:val="-8"/>
        </w:rPr>
        <w:t> </w:t>
      </w:r>
      <w:r>
        <w:rPr/>
        <w:t>una </w:t>
      </w:r>
      <w:r>
        <w:rPr>
          <w:i/>
        </w:rPr>
        <w:t>nueva</w:t>
      </w:r>
      <w:r>
        <w:rPr>
          <w:i/>
          <w:spacing w:val="-7"/>
        </w:rPr>
        <w:t> </w:t>
      </w:r>
      <w:r>
        <w:rPr>
          <w:i/>
        </w:rPr>
        <w:t>institucionalidad</w:t>
      </w:r>
      <w:r>
        <w:rPr>
          <w:i/>
          <w:spacing w:val="-6"/>
        </w:rPr>
        <w:t> </w:t>
      </w:r>
      <w:r>
        <w:rPr>
          <w:i/>
        </w:rPr>
        <w:t>ambiental</w:t>
      </w:r>
      <w:r>
        <w:rPr/>
        <w:t>,</w:t>
      </w:r>
      <w:r>
        <w:rPr>
          <w:spacing w:val="-4"/>
        </w:rPr>
        <w:t> </w:t>
      </w:r>
      <w:r>
        <w:rPr/>
        <w:t>en</w:t>
      </w:r>
      <w:r>
        <w:rPr>
          <w:spacing w:val="-6"/>
        </w:rPr>
        <w:t> </w:t>
      </w:r>
      <w:r>
        <w:rPr/>
        <w:t>oposición</w:t>
      </w:r>
      <w:r>
        <w:rPr>
          <w:spacing w:val="-6"/>
        </w:rPr>
        <w:t> </w:t>
      </w:r>
      <w:r>
        <w:rPr/>
        <w:t>a</w:t>
      </w:r>
      <w:r>
        <w:rPr>
          <w:spacing w:val="-6"/>
        </w:rPr>
        <w:t> </w:t>
      </w:r>
      <w:r>
        <w:rPr/>
        <w:t>las</w:t>
      </w:r>
      <w:r>
        <w:rPr>
          <w:spacing w:val="-5"/>
        </w:rPr>
        <w:t> </w:t>
      </w:r>
      <w:r>
        <w:rPr/>
        <w:t>actuales</w:t>
      </w:r>
      <w:r>
        <w:rPr>
          <w:spacing w:val="-4"/>
        </w:rPr>
        <w:t> </w:t>
      </w:r>
      <w:r>
        <w:rPr/>
        <w:t>políticas</w:t>
      </w:r>
      <w:r>
        <w:rPr>
          <w:spacing w:val="-4"/>
        </w:rPr>
        <w:t> </w:t>
      </w:r>
      <w:r>
        <w:rPr/>
        <w:t>públicas</w:t>
      </w:r>
      <w:r>
        <w:rPr>
          <w:spacing w:val="-4"/>
        </w:rPr>
        <w:t> </w:t>
      </w:r>
      <w:r>
        <w:rPr/>
        <w:t>de</w:t>
      </w:r>
      <w:r>
        <w:rPr>
          <w:spacing w:val="-1"/>
        </w:rPr>
        <w:t> </w:t>
      </w:r>
      <w:r>
        <w:rPr/>
        <w:t>corte extractivista-crematístico. Se genera un lenguaje común que ilustra el cruce innovador entre matriz indígena-comunitaria, defensa del territorio y discurso ambientalista: bienes comunes, soberanía alimentaria, justicia ambiental y «buen vivir» son algunos de los tópicos que expresan este cruce productivo entre matrices diferentes (Martínez-Alier, et al., 2014). En este sentido, es posible hablar de la construcción de marcos comunes</w:t>
      </w:r>
      <w:r>
        <w:rPr>
          <w:spacing w:val="24"/>
        </w:rPr>
        <w:t> </w:t>
      </w:r>
      <w:r>
        <w:rPr/>
        <w:t>de</w:t>
      </w:r>
    </w:p>
    <w:p>
      <w:pPr>
        <w:spacing w:after="0" w:line="360" w:lineRule="auto"/>
        <w:jc w:val="both"/>
        <w:sectPr>
          <w:pgSz w:w="12240" w:h="15840"/>
          <w:pgMar w:header="0" w:footer="1330" w:top="1500" w:bottom="1580" w:left="1260" w:right="1320"/>
        </w:sectPr>
      </w:pPr>
    </w:p>
    <w:p>
      <w:pPr>
        <w:pStyle w:val="BodyText"/>
        <w:spacing w:line="360" w:lineRule="auto" w:before="107"/>
        <w:ind w:left="180" w:right="118"/>
        <w:jc w:val="both"/>
      </w:pPr>
      <w:r>
        <w:rPr/>
        <w:t>la</w:t>
      </w:r>
      <w:r>
        <w:rPr>
          <w:spacing w:val="-16"/>
        </w:rPr>
        <w:t> </w:t>
      </w:r>
      <w:r>
        <w:rPr/>
        <w:t>acción</w:t>
      </w:r>
      <w:r>
        <w:rPr>
          <w:spacing w:val="-16"/>
        </w:rPr>
        <w:t> </w:t>
      </w:r>
      <w:r>
        <w:rPr/>
        <w:t>colectiva,</w:t>
      </w:r>
      <w:r>
        <w:rPr>
          <w:spacing w:val="-14"/>
        </w:rPr>
        <w:t> </w:t>
      </w:r>
      <w:r>
        <w:rPr/>
        <w:t>que</w:t>
      </w:r>
      <w:r>
        <w:rPr>
          <w:spacing w:val="-16"/>
        </w:rPr>
        <w:t> </w:t>
      </w:r>
      <w:r>
        <w:rPr/>
        <w:t>funcionan</w:t>
      </w:r>
      <w:r>
        <w:rPr>
          <w:spacing w:val="-12"/>
        </w:rPr>
        <w:t> </w:t>
      </w:r>
      <w:r>
        <w:rPr/>
        <w:t>no</w:t>
      </w:r>
      <w:r>
        <w:rPr>
          <w:spacing w:val="-13"/>
        </w:rPr>
        <w:t> </w:t>
      </w:r>
      <w:r>
        <w:rPr/>
        <w:t>sólo</w:t>
      </w:r>
      <w:r>
        <w:rPr>
          <w:spacing w:val="-16"/>
        </w:rPr>
        <w:t> </w:t>
      </w:r>
      <w:r>
        <w:rPr/>
        <w:t>como</w:t>
      </w:r>
      <w:r>
        <w:rPr>
          <w:spacing w:val="-16"/>
        </w:rPr>
        <w:t> </w:t>
      </w:r>
      <w:r>
        <w:rPr/>
        <w:t>esquemas</w:t>
      </w:r>
      <w:r>
        <w:rPr>
          <w:spacing w:val="-14"/>
        </w:rPr>
        <w:t> </w:t>
      </w:r>
      <w:r>
        <w:rPr/>
        <w:t>de</w:t>
      </w:r>
      <w:r>
        <w:rPr>
          <w:spacing w:val="-16"/>
        </w:rPr>
        <w:t> </w:t>
      </w:r>
      <w:r>
        <w:rPr/>
        <w:t>interpretación</w:t>
      </w:r>
      <w:r>
        <w:rPr>
          <w:spacing w:val="-12"/>
        </w:rPr>
        <w:t> </w:t>
      </w:r>
      <w:r>
        <w:rPr/>
        <w:t>alternativos, sino como productores de una subjetividad colectiva. Los bienes naturales no son comprendidos como pura mercancía, pero tampoco exclusivamente como recursos naturales</w:t>
      </w:r>
      <w:r>
        <w:rPr>
          <w:spacing w:val="-5"/>
        </w:rPr>
        <w:t> </w:t>
      </w:r>
      <w:r>
        <w:rPr/>
        <w:t>estratégicos</w:t>
      </w:r>
      <w:r>
        <w:rPr>
          <w:spacing w:val="-3"/>
        </w:rPr>
        <w:t> </w:t>
      </w:r>
      <w:r>
        <w:rPr/>
        <w:t>(Martinez-Alier,</w:t>
      </w:r>
      <w:r>
        <w:rPr>
          <w:spacing w:val="-3"/>
        </w:rPr>
        <w:t> </w:t>
      </w:r>
      <w:r>
        <w:rPr/>
        <w:t>et</w:t>
      </w:r>
      <w:r>
        <w:rPr>
          <w:spacing w:val="-5"/>
        </w:rPr>
        <w:t> </w:t>
      </w:r>
      <w:r>
        <w:rPr/>
        <w:t>al.,</w:t>
      </w:r>
      <w:r>
        <w:rPr>
          <w:spacing w:val="-4"/>
        </w:rPr>
        <w:t> </w:t>
      </w:r>
      <w:r>
        <w:rPr/>
        <w:t>2016).</w:t>
      </w:r>
      <w:r>
        <w:rPr>
          <w:spacing w:val="-4"/>
        </w:rPr>
        <w:t> </w:t>
      </w:r>
      <w:r>
        <w:rPr/>
        <w:t>Se</w:t>
      </w:r>
      <w:r>
        <w:rPr>
          <w:spacing w:val="-7"/>
        </w:rPr>
        <w:t> </w:t>
      </w:r>
      <w:r>
        <w:rPr/>
        <w:t>enfrenta</w:t>
      </w:r>
      <w:r>
        <w:rPr>
          <w:spacing w:val="-6"/>
        </w:rPr>
        <w:t> </w:t>
      </w:r>
      <w:r>
        <w:rPr/>
        <w:t>la</w:t>
      </w:r>
      <w:r>
        <w:rPr>
          <w:spacing w:val="-6"/>
        </w:rPr>
        <w:t> </w:t>
      </w:r>
      <w:r>
        <w:rPr/>
        <w:t>concepción</w:t>
      </w:r>
      <w:r>
        <w:rPr>
          <w:spacing w:val="-7"/>
        </w:rPr>
        <w:t> </w:t>
      </w:r>
      <w:r>
        <w:rPr/>
        <w:t>utilitarista que implica el desconocimiento de otros atributos y valoraciones –que no pueden representarse mediante un precio de mercado. Así, la noción de bienes comunes alude a la necesidad de mantener fuera del mercado aquellos bienes que, por su carácter de patrimonio natural, social o cultural, pertenecen al ámbito de la comunidad y poseen un valor que rebasa cualquier precio (Svampa, 2013).</w:t>
      </w:r>
    </w:p>
    <w:p>
      <w:pPr>
        <w:pStyle w:val="BodyText"/>
        <w:spacing w:line="360" w:lineRule="auto" w:before="203"/>
        <w:ind w:left="180" w:right="117"/>
        <w:jc w:val="both"/>
      </w:pPr>
      <w:r>
        <w:rPr/>
        <w:t>En</w:t>
      </w:r>
      <w:r>
        <w:rPr>
          <w:spacing w:val="-8"/>
        </w:rPr>
        <w:t> </w:t>
      </w:r>
      <w:r>
        <w:rPr/>
        <w:t>el</w:t>
      </w:r>
      <w:r>
        <w:rPr>
          <w:spacing w:val="-8"/>
        </w:rPr>
        <w:t> </w:t>
      </w:r>
      <w:r>
        <w:rPr/>
        <w:t>espacio</w:t>
      </w:r>
      <w:r>
        <w:rPr>
          <w:spacing w:val="-5"/>
        </w:rPr>
        <w:t> </w:t>
      </w:r>
      <w:r>
        <w:rPr/>
        <w:t>de</w:t>
      </w:r>
      <w:r>
        <w:rPr>
          <w:spacing w:val="-8"/>
        </w:rPr>
        <w:t> </w:t>
      </w:r>
      <w:r>
        <w:rPr/>
        <w:t>diversidad</w:t>
      </w:r>
      <w:r>
        <w:rPr>
          <w:spacing w:val="-8"/>
        </w:rPr>
        <w:t> </w:t>
      </w:r>
      <w:r>
        <w:rPr/>
        <w:t>de</w:t>
      </w:r>
      <w:r>
        <w:rPr>
          <w:spacing w:val="-8"/>
        </w:rPr>
        <w:t> </w:t>
      </w:r>
      <w:r>
        <w:rPr/>
        <w:t>lenguajes,</w:t>
      </w:r>
      <w:r>
        <w:rPr>
          <w:spacing w:val="-5"/>
        </w:rPr>
        <w:t> </w:t>
      </w:r>
      <w:r>
        <w:rPr/>
        <w:t>donde</w:t>
      </w:r>
      <w:r>
        <w:rPr>
          <w:spacing w:val="-8"/>
        </w:rPr>
        <w:t> </w:t>
      </w:r>
      <w:r>
        <w:rPr/>
        <w:t>las</w:t>
      </w:r>
      <w:r>
        <w:rPr>
          <w:spacing w:val="-6"/>
        </w:rPr>
        <w:t> </w:t>
      </w:r>
      <w:r>
        <w:rPr/>
        <w:t>evaluaciones</w:t>
      </w:r>
      <w:r>
        <w:rPr>
          <w:spacing w:val="-6"/>
        </w:rPr>
        <w:t> </w:t>
      </w:r>
      <w:r>
        <w:rPr/>
        <w:t>cualitativas</w:t>
      </w:r>
      <w:r>
        <w:rPr>
          <w:spacing w:val="-6"/>
        </w:rPr>
        <w:t> </w:t>
      </w:r>
      <w:r>
        <w:rPr/>
        <w:t>llevan</w:t>
      </w:r>
      <w:r>
        <w:rPr>
          <w:spacing w:val="-8"/>
        </w:rPr>
        <w:t> </w:t>
      </w:r>
      <w:r>
        <w:rPr/>
        <w:t>a</w:t>
      </w:r>
      <w:r>
        <w:rPr>
          <w:spacing w:val="-8"/>
        </w:rPr>
        <w:t> </w:t>
      </w:r>
      <w:r>
        <w:rPr/>
        <w:t>la comparabilidad débil, </w:t>
      </w:r>
      <w:r>
        <w:rPr>
          <w:spacing w:val="-2"/>
        </w:rPr>
        <w:t>más </w:t>
      </w:r>
      <w:r>
        <w:rPr/>
        <w:t>que a la medición en unidades conjuntas, la Economía Ecológica puede ayudar a promover decisiones donde la calidad de la decisión es un factor fundamental (Martínez-Alier, 2013). Así, en lugar de promover decisiones monocriteriales, promueve una visión multidimensional del proceso de valoración mediante la combinación de diversas escalas de medición, dentro de un proceso multicriterial, logrando decisiones que respeten las diversas formas del valor que deben ser producto del diálogo participativo. (Falconí &amp; Burbano, 2004; Aguilar González, 2007).</w:t>
      </w:r>
    </w:p>
    <w:p>
      <w:pPr>
        <w:pStyle w:val="BodyText"/>
        <w:spacing w:line="360" w:lineRule="auto" w:before="200"/>
        <w:ind w:left="180" w:right="122"/>
        <w:jc w:val="both"/>
      </w:pPr>
      <w:r>
        <w:rPr/>
        <w:t>El</w:t>
      </w:r>
      <w:r>
        <w:rPr>
          <w:spacing w:val="-12"/>
        </w:rPr>
        <w:t> </w:t>
      </w:r>
      <w:r>
        <w:rPr/>
        <w:t>proceso</w:t>
      </w:r>
      <w:r>
        <w:rPr>
          <w:spacing w:val="-12"/>
        </w:rPr>
        <w:t> </w:t>
      </w:r>
      <w:r>
        <w:rPr/>
        <w:t>multicriterial,</w:t>
      </w:r>
      <w:r>
        <w:rPr>
          <w:spacing w:val="-8"/>
        </w:rPr>
        <w:t> </w:t>
      </w:r>
      <w:r>
        <w:rPr/>
        <w:t>no</w:t>
      </w:r>
      <w:r>
        <w:rPr>
          <w:spacing w:val="-12"/>
        </w:rPr>
        <w:t> </w:t>
      </w:r>
      <w:r>
        <w:rPr/>
        <w:t>busca</w:t>
      </w:r>
      <w:r>
        <w:rPr>
          <w:spacing w:val="-11"/>
        </w:rPr>
        <w:t> </w:t>
      </w:r>
      <w:r>
        <w:rPr/>
        <w:t>descubrir</w:t>
      </w:r>
      <w:r>
        <w:rPr>
          <w:spacing w:val="-10"/>
        </w:rPr>
        <w:t> </w:t>
      </w:r>
      <w:r>
        <w:rPr/>
        <w:t>una</w:t>
      </w:r>
      <w:r>
        <w:rPr>
          <w:spacing w:val="-8"/>
        </w:rPr>
        <w:t> </w:t>
      </w:r>
      <w:r>
        <w:rPr/>
        <w:t>métrica</w:t>
      </w:r>
      <w:r>
        <w:rPr>
          <w:spacing w:val="-7"/>
        </w:rPr>
        <w:t> </w:t>
      </w:r>
      <w:r>
        <w:rPr/>
        <w:t>única</w:t>
      </w:r>
      <w:r>
        <w:rPr>
          <w:spacing w:val="-12"/>
        </w:rPr>
        <w:t> </w:t>
      </w:r>
      <w:r>
        <w:rPr/>
        <w:t>en</w:t>
      </w:r>
      <w:r>
        <w:rPr>
          <w:spacing w:val="-11"/>
        </w:rPr>
        <w:t> </w:t>
      </w:r>
      <w:r>
        <w:rPr/>
        <w:t>forma</w:t>
      </w:r>
      <w:r>
        <w:rPr>
          <w:spacing w:val="-8"/>
        </w:rPr>
        <w:t> </w:t>
      </w:r>
      <w:r>
        <w:rPr/>
        <w:t>de</w:t>
      </w:r>
      <w:r>
        <w:rPr>
          <w:spacing w:val="-11"/>
        </w:rPr>
        <w:t> </w:t>
      </w:r>
      <w:r>
        <w:rPr/>
        <w:t>una</w:t>
      </w:r>
      <w:r>
        <w:rPr>
          <w:spacing w:val="-12"/>
        </w:rPr>
        <w:t> </w:t>
      </w:r>
      <w:r>
        <w:rPr/>
        <w:t>cifra</w:t>
      </w:r>
      <w:r>
        <w:rPr>
          <w:spacing w:val="-12"/>
        </w:rPr>
        <w:t> </w:t>
      </w:r>
      <w:r>
        <w:rPr/>
        <w:t>o</w:t>
      </w:r>
      <w:r>
        <w:rPr>
          <w:spacing w:val="-11"/>
        </w:rPr>
        <w:t> </w:t>
      </w:r>
      <w:r>
        <w:rPr/>
        <w:t>de un cociente. Se busca mayor entendimiento de la naturaleza de los conflictos entre lenguajes de valoración que involucra una decisión y la forma de</w:t>
      </w:r>
      <w:r>
        <w:rPr>
          <w:spacing w:val="-12"/>
        </w:rPr>
        <w:t> </w:t>
      </w:r>
      <w:r>
        <w:rPr/>
        <w:t>resolverlos.</w:t>
      </w:r>
    </w:p>
    <w:p>
      <w:pPr>
        <w:pStyle w:val="BodyText"/>
        <w:spacing w:line="360" w:lineRule="auto" w:before="202"/>
        <w:ind w:left="180" w:right="117"/>
        <w:jc w:val="both"/>
      </w:pPr>
      <w:r>
        <w:rPr/>
        <w:t>La mayor ventaja de los métodos multicriterio es que, conforme se desarrollará en la parte metodológica, permiten considerar un amplio número de datos, relaciones y objetivos, que generalmente están presentes en un problema de decisión específica del mundo</w:t>
      </w:r>
      <w:r>
        <w:rPr>
          <w:spacing w:val="-9"/>
        </w:rPr>
        <w:t> </w:t>
      </w:r>
      <w:r>
        <w:rPr/>
        <w:t>real,</w:t>
      </w:r>
      <w:r>
        <w:rPr>
          <w:spacing w:val="-5"/>
        </w:rPr>
        <w:t> </w:t>
      </w:r>
      <w:r>
        <w:rPr/>
        <w:t>de</w:t>
      </w:r>
      <w:r>
        <w:rPr>
          <w:spacing w:val="-8"/>
        </w:rPr>
        <w:t> </w:t>
      </w:r>
      <w:r>
        <w:rPr/>
        <w:t>tal</w:t>
      </w:r>
      <w:r>
        <w:rPr>
          <w:spacing w:val="-7"/>
        </w:rPr>
        <w:t> </w:t>
      </w:r>
      <w:r>
        <w:rPr/>
        <w:t>modo</w:t>
      </w:r>
      <w:r>
        <w:rPr>
          <w:spacing w:val="-8"/>
        </w:rPr>
        <w:t> </w:t>
      </w:r>
      <w:r>
        <w:rPr/>
        <w:t>que</w:t>
      </w:r>
      <w:r>
        <w:rPr>
          <w:spacing w:val="-6"/>
        </w:rPr>
        <w:t> </w:t>
      </w:r>
      <w:r>
        <w:rPr/>
        <w:t>el</w:t>
      </w:r>
      <w:r>
        <w:rPr>
          <w:spacing w:val="-7"/>
        </w:rPr>
        <w:t> </w:t>
      </w:r>
      <w:r>
        <w:rPr/>
        <w:t>problema</w:t>
      </w:r>
      <w:r>
        <w:rPr>
          <w:spacing w:val="-8"/>
        </w:rPr>
        <w:t> </w:t>
      </w:r>
      <w:r>
        <w:rPr/>
        <w:t>de</w:t>
      </w:r>
      <w:r>
        <w:rPr>
          <w:spacing w:val="-8"/>
        </w:rPr>
        <w:t> </w:t>
      </w:r>
      <w:r>
        <w:rPr/>
        <w:t>decisión</w:t>
      </w:r>
      <w:r>
        <w:rPr>
          <w:spacing w:val="-8"/>
        </w:rPr>
        <w:t> </w:t>
      </w:r>
      <w:r>
        <w:rPr/>
        <w:t>a</w:t>
      </w:r>
      <w:r>
        <w:rPr>
          <w:spacing w:val="-8"/>
        </w:rPr>
        <w:t> </w:t>
      </w:r>
      <w:r>
        <w:rPr/>
        <w:t>manejar,</w:t>
      </w:r>
      <w:r>
        <w:rPr>
          <w:spacing w:val="-5"/>
        </w:rPr>
        <w:t> </w:t>
      </w:r>
      <w:r>
        <w:rPr/>
        <w:t>puede</w:t>
      </w:r>
      <w:r>
        <w:rPr>
          <w:spacing w:val="-8"/>
        </w:rPr>
        <w:t> </w:t>
      </w:r>
      <w:r>
        <w:rPr/>
        <w:t>ser</w:t>
      </w:r>
      <w:r>
        <w:rPr>
          <w:spacing w:val="-6"/>
        </w:rPr>
        <w:t> </w:t>
      </w:r>
      <w:r>
        <w:rPr/>
        <w:t>estudiado</w:t>
      </w:r>
      <w:r>
        <w:rPr>
          <w:spacing w:val="-8"/>
        </w:rPr>
        <w:t> </w:t>
      </w:r>
      <w:r>
        <w:rPr/>
        <w:t>de una manera multidimensional. Una acción puede ser mejor que otra acción de acuerdo a un criterio y peor según a otro. Por tanto, cuando se toma en consideración diferentes evaluaciones en conflicto, un problema multicriterio esta matemáticamente mal</w:t>
      </w:r>
      <w:r>
        <w:rPr>
          <w:spacing w:val="24"/>
        </w:rPr>
        <w:t> </w:t>
      </w:r>
      <w:r>
        <w:rPr/>
        <w:t>definido</w:t>
      </w:r>
    </w:p>
    <w:p>
      <w:pPr>
        <w:spacing w:after="0" w:line="360" w:lineRule="auto"/>
        <w:jc w:val="both"/>
        <w:sectPr>
          <w:pgSz w:w="12240" w:h="15840"/>
          <w:pgMar w:header="0" w:footer="1330" w:top="1500" w:bottom="1580" w:left="1260" w:right="1320"/>
        </w:sectPr>
      </w:pPr>
    </w:p>
    <w:p>
      <w:pPr>
        <w:pStyle w:val="BodyText"/>
        <w:spacing w:line="362" w:lineRule="auto" w:before="107"/>
        <w:ind w:left="180" w:right="126"/>
        <w:jc w:val="both"/>
      </w:pPr>
      <w:r>
        <w:rPr/>
        <w:t>en el sentido de que puede no existir la solución óptima, por lo que generalmente se requieren "soluciones compromiso" (Falconí &amp; Burbano, 2004).</w:t>
      </w:r>
    </w:p>
    <w:p>
      <w:pPr>
        <w:pStyle w:val="BodyText"/>
        <w:spacing w:line="360" w:lineRule="auto" w:before="195"/>
        <w:ind w:left="180" w:right="116"/>
        <w:jc w:val="both"/>
      </w:pPr>
      <w:r>
        <w:rPr/>
        <w:t>La calidad del proceso se consigue principalmente con la interacción de los afectados y la transparencia del proceso de decisión (Falconí &amp; Burbano, 2004). De esta manera, conforme lo prescribe Giuseppe Munda, los procesos multicriteriales usualmente involucran una serie de pasos comunes: 1) Definición y estructuración del problema a investigar; 2) Generación de alternativas; 3) Definición de un conjunto de criterios de evaluación; 4) Identificación de las preferencias subjetivas del o los decisores; 5) Elección del procedimiento de agregación de los criterios (Munda, et al., 1994).</w:t>
      </w:r>
    </w:p>
    <w:p>
      <w:pPr>
        <w:pStyle w:val="BodyText"/>
        <w:spacing w:line="360" w:lineRule="auto" w:before="203"/>
        <w:ind w:left="180" w:right="116"/>
        <w:jc w:val="both"/>
      </w:pPr>
      <w:r>
        <w:rPr/>
        <w:t>Se identifican tres casos de aplicación de metodologías multicriteriales en Costa Rica dentro</w:t>
      </w:r>
      <w:r>
        <w:rPr>
          <w:spacing w:val="-14"/>
        </w:rPr>
        <w:t> </w:t>
      </w:r>
      <w:r>
        <w:rPr/>
        <w:t>del</w:t>
      </w:r>
      <w:r>
        <w:rPr>
          <w:spacing w:val="-13"/>
        </w:rPr>
        <w:t> </w:t>
      </w:r>
      <w:r>
        <w:rPr/>
        <w:t>marco</w:t>
      </w:r>
      <w:r>
        <w:rPr>
          <w:spacing w:val="-13"/>
        </w:rPr>
        <w:t> </w:t>
      </w:r>
      <w:r>
        <w:rPr/>
        <w:t>de</w:t>
      </w:r>
      <w:r>
        <w:rPr>
          <w:spacing w:val="-14"/>
        </w:rPr>
        <w:t> </w:t>
      </w:r>
      <w:r>
        <w:rPr/>
        <w:t>procesos</w:t>
      </w:r>
      <w:r>
        <w:rPr>
          <w:spacing w:val="-12"/>
        </w:rPr>
        <w:t> </w:t>
      </w:r>
      <w:r>
        <w:rPr/>
        <w:t>de</w:t>
      </w:r>
      <w:r>
        <w:rPr>
          <w:spacing w:val="-13"/>
        </w:rPr>
        <w:t> </w:t>
      </w:r>
      <w:r>
        <w:rPr/>
        <w:t>evaluación</w:t>
      </w:r>
      <w:r>
        <w:rPr>
          <w:spacing w:val="-14"/>
        </w:rPr>
        <w:t> </w:t>
      </w:r>
      <w:r>
        <w:rPr/>
        <w:t>de</w:t>
      </w:r>
      <w:r>
        <w:rPr>
          <w:spacing w:val="-14"/>
        </w:rPr>
        <w:t> </w:t>
      </w:r>
      <w:r>
        <w:rPr/>
        <w:t>sostenibilidad/alternativas</w:t>
      </w:r>
      <w:r>
        <w:rPr>
          <w:spacing w:val="-12"/>
        </w:rPr>
        <w:t> </w:t>
      </w:r>
      <w:r>
        <w:rPr/>
        <w:t>de</w:t>
      </w:r>
      <w:r>
        <w:rPr>
          <w:spacing w:val="-13"/>
        </w:rPr>
        <w:t> </w:t>
      </w:r>
      <w:r>
        <w:rPr/>
        <w:t>política.</w:t>
      </w:r>
      <w:r>
        <w:rPr>
          <w:spacing w:val="-8"/>
        </w:rPr>
        <w:t> </w:t>
      </w:r>
      <w:r>
        <w:rPr/>
        <w:t>Se utilizó el Índice Integral de Salud de Ecosistemas, una herramienta multicriterial de evaluación,</w:t>
      </w:r>
      <w:r>
        <w:rPr>
          <w:spacing w:val="-10"/>
        </w:rPr>
        <w:t> </w:t>
      </w:r>
      <w:r>
        <w:rPr/>
        <w:t>para</w:t>
      </w:r>
      <w:r>
        <w:rPr>
          <w:spacing w:val="-12"/>
        </w:rPr>
        <w:t> </w:t>
      </w:r>
      <w:r>
        <w:rPr/>
        <w:t>las</w:t>
      </w:r>
      <w:r>
        <w:rPr>
          <w:spacing w:val="-10"/>
        </w:rPr>
        <w:t> </w:t>
      </w:r>
      <w:r>
        <w:rPr/>
        <w:t>ZP</w:t>
      </w:r>
      <w:r>
        <w:rPr>
          <w:spacing w:val="-10"/>
        </w:rPr>
        <w:t> </w:t>
      </w:r>
      <w:r>
        <w:rPr/>
        <w:t>del</w:t>
      </w:r>
      <w:r>
        <w:rPr>
          <w:spacing w:val="-11"/>
        </w:rPr>
        <w:t> </w:t>
      </w:r>
      <w:r>
        <w:rPr/>
        <w:t>Valle</w:t>
      </w:r>
      <w:r>
        <w:rPr>
          <w:spacing w:val="-12"/>
        </w:rPr>
        <w:t> </w:t>
      </w:r>
      <w:r>
        <w:rPr/>
        <w:t>Central</w:t>
      </w:r>
      <w:r>
        <w:rPr>
          <w:spacing w:val="-11"/>
        </w:rPr>
        <w:t> </w:t>
      </w:r>
      <w:r>
        <w:rPr/>
        <w:t>a</w:t>
      </w:r>
      <w:r>
        <w:rPr>
          <w:spacing w:val="-12"/>
        </w:rPr>
        <w:t> </w:t>
      </w:r>
      <w:r>
        <w:rPr/>
        <w:t>mediados</w:t>
      </w:r>
      <w:r>
        <w:rPr>
          <w:spacing w:val="-10"/>
        </w:rPr>
        <w:t> </w:t>
      </w:r>
      <w:r>
        <w:rPr/>
        <w:t>de</w:t>
      </w:r>
      <w:r>
        <w:rPr>
          <w:spacing w:val="-12"/>
        </w:rPr>
        <w:t> </w:t>
      </w:r>
      <w:r>
        <w:rPr/>
        <w:t>los</w:t>
      </w:r>
      <w:r>
        <w:rPr>
          <w:spacing w:val="-11"/>
        </w:rPr>
        <w:t> </w:t>
      </w:r>
      <w:r>
        <w:rPr/>
        <w:t>años</w:t>
      </w:r>
      <w:r>
        <w:rPr>
          <w:spacing w:val="-10"/>
        </w:rPr>
        <w:t> </w:t>
      </w:r>
      <w:r>
        <w:rPr/>
        <w:t>90,</w:t>
      </w:r>
      <w:r>
        <w:rPr>
          <w:spacing w:val="-9"/>
        </w:rPr>
        <w:t> </w:t>
      </w:r>
      <w:r>
        <w:rPr/>
        <w:t>incluyendo</w:t>
      </w:r>
      <w:r>
        <w:rPr>
          <w:spacing w:val="-12"/>
        </w:rPr>
        <w:t> </w:t>
      </w:r>
      <w:r>
        <w:rPr/>
        <w:t>la</w:t>
      </w:r>
      <w:r>
        <w:rPr>
          <w:spacing w:val="-12"/>
        </w:rPr>
        <w:t> </w:t>
      </w:r>
      <w:r>
        <w:rPr/>
        <w:t>ZPLC (Aguilar González, 2009). Posteriormente, dentro del programa Alianzas de la UICN se aplicó la metodología multicriterial al problema de la conservación de los humedales de Gandoca-Manzanillo</w:t>
      </w:r>
      <w:r>
        <w:rPr>
          <w:spacing w:val="-8"/>
        </w:rPr>
        <w:t> </w:t>
      </w:r>
      <w:r>
        <w:rPr/>
        <w:t>y</w:t>
      </w:r>
      <w:r>
        <w:rPr>
          <w:spacing w:val="-9"/>
        </w:rPr>
        <w:t> </w:t>
      </w:r>
      <w:r>
        <w:rPr/>
        <w:t>San</w:t>
      </w:r>
      <w:r>
        <w:rPr>
          <w:spacing w:val="-11"/>
        </w:rPr>
        <w:t> </w:t>
      </w:r>
      <w:r>
        <w:rPr/>
        <w:t>San</w:t>
      </w:r>
      <w:r>
        <w:rPr>
          <w:spacing w:val="-11"/>
        </w:rPr>
        <w:t> </w:t>
      </w:r>
      <w:r>
        <w:rPr/>
        <w:t>Pond</w:t>
      </w:r>
      <w:r>
        <w:rPr>
          <w:spacing w:val="-3"/>
        </w:rPr>
        <w:t> </w:t>
      </w:r>
      <w:r>
        <w:rPr/>
        <w:t>Sak</w:t>
      </w:r>
      <w:r>
        <w:rPr>
          <w:spacing w:val="-5"/>
        </w:rPr>
        <w:t> </w:t>
      </w:r>
      <w:r>
        <w:rPr/>
        <w:t>en</w:t>
      </w:r>
      <w:r>
        <w:rPr>
          <w:spacing w:val="-9"/>
        </w:rPr>
        <w:t> </w:t>
      </w:r>
      <w:r>
        <w:rPr/>
        <w:t>la</w:t>
      </w:r>
      <w:r>
        <w:rPr>
          <w:spacing w:val="-11"/>
        </w:rPr>
        <w:t> </w:t>
      </w:r>
      <w:r>
        <w:rPr/>
        <w:t>región</w:t>
      </w:r>
      <w:r>
        <w:rPr>
          <w:spacing w:val="-11"/>
        </w:rPr>
        <w:t> </w:t>
      </w:r>
      <w:r>
        <w:rPr/>
        <w:t>del</w:t>
      </w:r>
      <w:r>
        <w:rPr>
          <w:spacing w:val="-6"/>
        </w:rPr>
        <w:t> </w:t>
      </w:r>
      <w:r>
        <w:rPr/>
        <w:t>Caribe</w:t>
      </w:r>
      <w:r>
        <w:rPr>
          <w:spacing w:val="-11"/>
        </w:rPr>
        <w:t> </w:t>
      </w:r>
      <w:r>
        <w:rPr/>
        <w:t>sur</w:t>
      </w:r>
      <w:r>
        <w:rPr>
          <w:spacing w:val="-9"/>
        </w:rPr>
        <w:t> </w:t>
      </w:r>
      <w:r>
        <w:rPr/>
        <w:t>de</w:t>
      </w:r>
      <w:r>
        <w:rPr>
          <w:spacing w:val="-7"/>
        </w:rPr>
        <w:t> </w:t>
      </w:r>
      <w:r>
        <w:rPr/>
        <w:t>Costa</w:t>
      </w:r>
      <w:r>
        <w:rPr>
          <w:spacing w:val="-11"/>
        </w:rPr>
        <w:t> </w:t>
      </w:r>
      <w:r>
        <w:rPr/>
        <w:t>Rica</w:t>
      </w:r>
      <w:r>
        <w:rPr>
          <w:spacing w:val="-8"/>
        </w:rPr>
        <w:t> </w:t>
      </w:r>
      <w:r>
        <w:rPr/>
        <w:t>y</w:t>
      </w:r>
      <w:r>
        <w:rPr>
          <w:spacing w:val="-9"/>
        </w:rPr>
        <w:t> </w:t>
      </w:r>
      <w:r>
        <w:rPr/>
        <w:t>de Bocas del Toro en Panamá (Marozzi &amp; Solís, 2007). Finalmente, se aplicó también a</w:t>
      </w:r>
      <w:r>
        <w:rPr>
          <w:spacing w:val="-39"/>
        </w:rPr>
        <w:t> </w:t>
      </w:r>
      <w:r>
        <w:rPr/>
        <w:t>las alternativas de desarrollo dentro de la problemática de conservación del Humedal Nacional Térraba-Sierpe (Aguilar-González &amp; Moulaert,</w:t>
      </w:r>
      <w:r>
        <w:rPr>
          <w:spacing w:val="-6"/>
        </w:rPr>
        <w:t> </w:t>
      </w:r>
      <w:r>
        <w:rPr/>
        <w:t>2013).</w:t>
      </w:r>
    </w:p>
    <w:p>
      <w:pPr>
        <w:pStyle w:val="BodyText"/>
        <w:spacing w:before="7"/>
        <w:rPr>
          <w:sz w:val="20"/>
        </w:rPr>
      </w:pPr>
    </w:p>
    <w:p>
      <w:pPr>
        <w:pStyle w:val="Heading2"/>
        <w:numPr>
          <w:ilvl w:val="0"/>
          <w:numId w:val="3"/>
        </w:numPr>
        <w:tabs>
          <w:tab w:pos="901" w:val="left" w:leader="none"/>
        </w:tabs>
        <w:spacing w:line="357" w:lineRule="auto" w:before="0" w:after="0"/>
        <w:ind w:left="180" w:right="114" w:firstLine="0"/>
        <w:jc w:val="both"/>
      </w:pPr>
      <w:bookmarkStart w:name="_bookmark26" w:id="34"/>
      <w:bookmarkEnd w:id="34"/>
      <w:r>
        <w:rPr>
          <w:b w:val="0"/>
        </w:rPr>
      </w:r>
      <w:bookmarkStart w:name="_bookmark26" w:id="35"/>
      <w:bookmarkEnd w:id="35"/>
      <w:r>
        <w:rPr/>
        <w:t>El</w:t>
      </w:r>
      <w:r>
        <w:rPr/>
        <w:t> Concepto de Deuda Ecológica en la Ecología Política y la Reformulación Usada en esta</w:t>
      </w:r>
      <w:r>
        <w:rPr>
          <w:spacing w:val="-1"/>
        </w:rPr>
        <w:t> </w:t>
      </w:r>
      <w:r>
        <w:rPr/>
        <w:t>Investigación.</w:t>
      </w:r>
    </w:p>
    <w:p>
      <w:pPr>
        <w:pStyle w:val="BodyText"/>
        <w:spacing w:line="360" w:lineRule="auto" w:before="70"/>
        <w:ind w:left="180" w:right="120"/>
        <w:jc w:val="both"/>
      </w:pPr>
      <w:r>
        <w:rPr/>
        <w:t>La Ecología Política enfoca su objeto de estudio en cómo las comunidades, la administración de recursos y el ambiente están siendo transformados por la economía global. Ha señalado la importancia del contexto histórico del cambio social y ambiental, las conexiones entre los procesos a nivel internacional, regional y nacional que interactúan con los procesos locales. Resalta cómo el poder político y económico de los diferentes actores e instituciones influencia las interacciones sociales y ambientales y reconoce la pluralidad de percepciones del cambio ecológico (Fisher, et al., 2005). Así, su objeto de estudio se preocupa por la distribución de los costos y beneficios, de</w:t>
      </w:r>
    </w:p>
    <w:p>
      <w:pPr>
        <w:spacing w:after="0" w:line="360" w:lineRule="auto"/>
        <w:jc w:val="both"/>
        <w:sectPr>
          <w:pgSz w:w="12240" w:h="15840"/>
          <w:pgMar w:header="0" w:footer="1330" w:top="1500" w:bottom="1580" w:left="1260" w:right="1320"/>
        </w:sectPr>
      </w:pPr>
    </w:p>
    <w:p>
      <w:pPr>
        <w:pStyle w:val="BodyText"/>
        <w:spacing w:line="360" w:lineRule="auto" w:before="107"/>
        <w:ind w:left="180" w:right="118"/>
        <w:jc w:val="both"/>
      </w:pPr>
      <w:r>
        <w:rPr/>
        <w:t>acuerdo con esas relaciones de poder, de la conservación de los ecosistemas y su utilización entre los actores sociales. La conflictividad socio-ecológica está por ello en el centro de su interés.</w:t>
      </w:r>
    </w:p>
    <w:p>
      <w:pPr>
        <w:pStyle w:val="BodyText"/>
        <w:spacing w:line="360" w:lineRule="auto" w:before="203"/>
        <w:ind w:left="180" w:right="117"/>
        <w:jc w:val="both"/>
      </w:pPr>
      <w:r>
        <w:rPr/>
        <w:t>Dentro del proceso de diálogo de saberes y de co-construcción conceptual que sugiere Svampa (2013), varios conceptos utilizados por la Ecología Política y la Economía Ecológica se generan mediante un proceso constructivista con las organizaciones de la sociedad civil (Martínez-Alier, et al., 2014), donde la experiencia práctica informa el proceso de construcción de la alteridad en la utilización de los lenguajes de valoración. De allí que alguna de la más reciente literatura proponga el estudio de ambas transdisciplinas desde abajo hacia arriba, partiendo de estudios de caso desde la experiencia de las organizaciones de la sociedad civil (Healey, et al., 2013).</w:t>
      </w:r>
    </w:p>
    <w:p>
      <w:pPr>
        <w:pStyle w:val="BodyText"/>
        <w:spacing w:line="360" w:lineRule="auto" w:before="201"/>
        <w:ind w:left="180" w:right="116"/>
        <w:jc w:val="both"/>
      </w:pPr>
      <w:r>
        <w:rPr/>
        <w:t>Este proceso ha generado varios conceptos que se han convertido en la columna vertebral de la Ecología Política, entre ellos, la Deuda Ecológica. Específicamente, el concepto se ha promovido desde varias organizaciones de la sociedad civil e instituciones académicas.</w:t>
      </w:r>
    </w:p>
    <w:p>
      <w:pPr>
        <w:pStyle w:val="BodyText"/>
        <w:spacing w:line="360" w:lineRule="auto" w:before="196"/>
        <w:ind w:left="180" w:right="114"/>
        <w:jc w:val="both"/>
      </w:pPr>
      <w:r>
        <w:rPr/>
        <w:t>En el prólogo de una de las publicaciones </w:t>
      </w:r>
      <w:r>
        <w:rPr>
          <w:spacing w:val="-2"/>
        </w:rPr>
        <w:t>más </w:t>
      </w:r>
      <w:r>
        <w:rPr/>
        <w:t>icónicas en la materia, “</w:t>
      </w:r>
      <w:r>
        <w:rPr>
          <w:i/>
        </w:rPr>
        <w:t>DEUDA </w:t>
      </w:r>
      <w:r>
        <w:rPr>
          <w:i/>
        </w:rPr>
        <w:t>ECOLÓGICA.</w:t>
      </w:r>
      <w:r>
        <w:rPr>
          <w:i/>
          <w:spacing w:val="-10"/>
        </w:rPr>
        <w:t> </w:t>
      </w:r>
      <w:r>
        <w:rPr>
          <w:i/>
        </w:rPr>
        <w:t>El</w:t>
      </w:r>
      <w:r>
        <w:rPr>
          <w:i/>
          <w:spacing w:val="-16"/>
        </w:rPr>
        <w:t> </w:t>
      </w:r>
      <w:r>
        <w:rPr>
          <w:i/>
        </w:rPr>
        <w:t>Norte</w:t>
      </w:r>
      <w:r>
        <w:rPr>
          <w:i/>
          <w:spacing w:val="-13"/>
        </w:rPr>
        <w:t> </w:t>
      </w:r>
      <w:r>
        <w:rPr>
          <w:i/>
        </w:rPr>
        <w:t>está</w:t>
      </w:r>
      <w:r>
        <w:rPr>
          <w:i/>
          <w:spacing w:val="-12"/>
        </w:rPr>
        <w:t> </w:t>
      </w:r>
      <w:r>
        <w:rPr>
          <w:i/>
        </w:rPr>
        <w:t>en</w:t>
      </w:r>
      <w:r>
        <w:rPr>
          <w:i/>
          <w:spacing w:val="-13"/>
        </w:rPr>
        <w:t> </w:t>
      </w:r>
      <w:r>
        <w:rPr>
          <w:i/>
        </w:rPr>
        <w:t>deuda</w:t>
      </w:r>
      <w:r>
        <w:rPr>
          <w:i/>
          <w:spacing w:val="-13"/>
        </w:rPr>
        <w:t> </w:t>
      </w:r>
      <w:r>
        <w:rPr>
          <w:i/>
        </w:rPr>
        <w:t>con</w:t>
      </w:r>
      <w:r>
        <w:rPr>
          <w:i/>
          <w:spacing w:val="-12"/>
        </w:rPr>
        <w:t> </w:t>
      </w:r>
      <w:r>
        <w:rPr>
          <w:i/>
        </w:rPr>
        <w:t>los</w:t>
      </w:r>
      <w:r>
        <w:rPr>
          <w:i/>
          <w:spacing w:val="-11"/>
        </w:rPr>
        <w:t> </w:t>
      </w:r>
      <w:r>
        <w:rPr>
          <w:i/>
        </w:rPr>
        <w:t>países</w:t>
      </w:r>
      <w:r>
        <w:rPr>
          <w:i/>
          <w:spacing w:val="-11"/>
        </w:rPr>
        <w:t> </w:t>
      </w:r>
      <w:r>
        <w:rPr>
          <w:i/>
        </w:rPr>
        <w:t>del</w:t>
      </w:r>
      <w:r>
        <w:rPr>
          <w:i/>
          <w:spacing w:val="-12"/>
        </w:rPr>
        <w:t> </w:t>
      </w:r>
      <w:r>
        <w:rPr>
          <w:i/>
        </w:rPr>
        <w:t>Sur</w:t>
      </w:r>
      <w:r>
        <w:rPr/>
        <w:t>”,</w:t>
      </w:r>
      <w:r>
        <w:rPr>
          <w:spacing w:val="-10"/>
        </w:rPr>
        <w:t> </w:t>
      </w:r>
      <w:r>
        <w:rPr/>
        <w:t>Joan</w:t>
      </w:r>
      <w:r>
        <w:rPr>
          <w:spacing w:val="-12"/>
        </w:rPr>
        <w:t> </w:t>
      </w:r>
      <w:r>
        <w:rPr/>
        <w:t>Martínez</w:t>
      </w:r>
      <w:r>
        <w:rPr>
          <w:spacing w:val="-15"/>
        </w:rPr>
        <w:t> </w:t>
      </w:r>
      <w:r>
        <w:rPr/>
        <w:t>Alier</w:t>
      </w:r>
      <w:r>
        <w:rPr>
          <w:spacing w:val="-11"/>
        </w:rPr>
        <w:t> </w:t>
      </w:r>
      <w:r>
        <w:rPr/>
        <w:t>señala que</w:t>
      </w:r>
      <w:r>
        <w:rPr>
          <w:spacing w:val="-6"/>
        </w:rPr>
        <w:t> </w:t>
      </w:r>
      <w:r>
        <w:rPr/>
        <w:t>la</w:t>
      </w:r>
      <w:r>
        <w:rPr>
          <w:spacing w:val="-5"/>
        </w:rPr>
        <w:t> </w:t>
      </w:r>
      <w:r>
        <w:rPr/>
        <w:t>discusión</w:t>
      </w:r>
      <w:r>
        <w:rPr>
          <w:spacing w:val="-5"/>
        </w:rPr>
        <w:t> </w:t>
      </w:r>
      <w:r>
        <w:rPr/>
        <w:t>data</w:t>
      </w:r>
      <w:r>
        <w:rPr>
          <w:spacing w:val="-6"/>
        </w:rPr>
        <w:t> </w:t>
      </w:r>
      <w:r>
        <w:rPr/>
        <w:t>aproximadamente</w:t>
      </w:r>
      <w:r>
        <w:rPr>
          <w:spacing w:val="-5"/>
        </w:rPr>
        <w:t> </w:t>
      </w:r>
      <w:r>
        <w:rPr/>
        <w:t>de</w:t>
      </w:r>
      <w:r>
        <w:rPr>
          <w:spacing w:val="-5"/>
        </w:rPr>
        <w:t> </w:t>
      </w:r>
      <w:r>
        <w:rPr/>
        <w:t>1990</w:t>
      </w:r>
      <w:r>
        <w:rPr>
          <w:spacing w:val="-5"/>
        </w:rPr>
        <w:t> </w:t>
      </w:r>
      <w:r>
        <w:rPr/>
        <w:t>cuando</w:t>
      </w:r>
      <w:r>
        <w:rPr>
          <w:spacing w:val="-6"/>
        </w:rPr>
        <w:t> </w:t>
      </w:r>
      <w:r>
        <w:rPr/>
        <w:t>el</w:t>
      </w:r>
      <w:r>
        <w:rPr>
          <w:spacing w:val="-5"/>
        </w:rPr>
        <w:t> </w:t>
      </w:r>
      <w:r>
        <w:rPr/>
        <w:t>Instituto</w:t>
      </w:r>
      <w:r>
        <w:rPr>
          <w:spacing w:val="-5"/>
        </w:rPr>
        <w:t> </w:t>
      </w:r>
      <w:r>
        <w:rPr/>
        <w:t>de</w:t>
      </w:r>
      <w:r>
        <w:rPr>
          <w:spacing w:val="2"/>
        </w:rPr>
        <w:t> </w:t>
      </w:r>
      <w:r>
        <w:rPr/>
        <w:t>Ecología</w:t>
      </w:r>
      <w:r>
        <w:rPr>
          <w:spacing w:val="-5"/>
        </w:rPr>
        <w:t> </w:t>
      </w:r>
      <w:r>
        <w:rPr/>
        <w:t>Política de Chile publicó un documento donde explicaba que la producción de clorofluorocarbonos</w:t>
      </w:r>
      <w:r>
        <w:rPr>
          <w:spacing w:val="-6"/>
        </w:rPr>
        <w:t> </w:t>
      </w:r>
      <w:r>
        <w:rPr/>
        <w:t>de</w:t>
      </w:r>
      <w:r>
        <w:rPr>
          <w:spacing w:val="-8"/>
        </w:rPr>
        <w:t> </w:t>
      </w:r>
      <w:r>
        <w:rPr/>
        <w:t>los</w:t>
      </w:r>
      <w:r>
        <w:rPr>
          <w:spacing w:val="-2"/>
        </w:rPr>
        <w:t> </w:t>
      </w:r>
      <w:r>
        <w:rPr/>
        <w:t>países</w:t>
      </w:r>
      <w:r>
        <w:rPr>
          <w:spacing w:val="-6"/>
        </w:rPr>
        <w:t> </w:t>
      </w:r>
      <w:r>
        <w:rPr/>
        <w:t>ricos</w:t>
      </w:r>
      <w:r>
        <w:rPr>
          <w:spacing w:val="-6"/>
        </w:rPr>
        <w:t> </w:t>
      </w:r>
      <w:r>
        <w:rPr/>
        <w:t>hacía</w:t>
      </w:r>
      <w:r>
        <w:rPr>
          <w:spacing w:val="-8"/>
        </w:rPr>
        <w:t> </w:t>
      </w:r>
      <w:r>
        <w:rPr/>
        <w:t>disminuir</w:t>
      </w:r>
      <w:r>
        <w:rPr>
          <w:spacing w:val="-6"/>
        </w:rPr>
        <w:t> </w:t>
      </w:r>
      <w:r>
        <w:rPr/>
        <w:t>el</w:t>
      </w:r>
      <w:r>
        <w:rPr>
          <w:spacing w:val="-7"/>
        </w:rPr>
        <w:t> </w:t>
      </w:r>
      <w:r>
        <w:rPr/>
        <w:t>filtro</w:t>
      </w:r>
      <w:r>
        <w:rPr>
          <w:spacing w:val="-8"/>
        </w:rPr>
        <w:t> </w:t>
      </w:r>
      <w:r>
        <w:rPr/>
        <w:t>que</w:t>
      </w:r>
      <w:r>
        <w:rPr>
          <w:spacing w:val="-8"/>
        </w:rPr>
        <w:t> </w:t>
      </w:r>
      <w:r>
        <w:rPr/>
        <w:t>el</w:t>
      </w:r>
      <w:r>
        <w:rPr>
          <w:spacing w:val="-7"/>
        </w:rPr>
        <w:t> </w:t>
      </w:r>
      <w:r>
        <w:rPr/>
        <w:t>ozono</w:t>
      </w:r>
      <w:r>
        <w:rPr>
          <w:spacing w:val="-4"/>
        </w:rPr>
        <w:t> </w:t>
      </w:r>
      <w:r>
        <w:rPr/>
        <w:t>proporciona contra la radiación solar. Aducían que ello causaría cánceres de piel en los humanos y otros efectos en los animales, y que por tanto se producía una “Deuda Ecológica”. Continúa asegurando que el segundo paso de esta evolución se dio en las reuniones alternativas</w:t>
      </w:r>
      <w:r>
        <w:rPr>
          <w:spacing w:val="-9"/>
        </w:rPr>
        <w:t> </w:t>
      </w:r>
      <w:r>
        <w:rPr/>
        <w:t>de</w:t>
      </w:r>
      <w:r>
        <w:rPr>
          <w:spacing w:val="-11"/>
        </w:rPr>
        <w:t> </w:t>
      </w:r>
      <w:r>
        <w:rPr/>
        <w:t>Río</w:t>
      </w:r>
      <w:r>
        <w:rPr>
          <w:spacing w:val="-7"/>
        </w:rPr>
        <w:t> </w:t>
      </w:r>
      <w:r>
        <w:rPr/>
        <w:t>de</w:t>
      </w:r>
      <w:r>
        <w:rPr>
          <w:spacing w:val="-10"/>
        </w:rPr>
        <w:t> </w:t>
      </w:r>
      <w:r>
        <w:rPr/>
        <w:t>Janeiro</w:t>
      </w:r>
      <w:r>
        <w:rPr>
          <w:spacing w:val="-11"/>
        </w:rPr>
        <w:t> </w:t>
      </w:r>
      <w:r>
        <w:rPr/>
        <w:t>en</w:t>
      </w:r>
      <w:r>
        <w:rPr>
          <w:spacing w:val="-11"/>
        </w:rPr>
        <w:t> </w:t>
      </w:r>
      <w:r>
        <w:rPr/>
        <w:t>junio</w:t>
      </w:r>
      <w:r>
        <w:rPr>
          <w:spacing w:val="-7"/>
        </w:rPr>
        <w:t> </w:t>
      </w:r>
      <w:r>
        <w:rPr/>
        <w:t>de</w:t>
      </w:r>
      <w:r>
        <w:rPr>
          <w:spacing w:val="-10"/>
        </w:rPr>
        <w:t> </w:t>
      </w:r>
      <w:r>
        <w:rPr/>
        <w:t>1992,</w:t>
      </w:r>
      <w:r>
        <w:rPr>
          <w:spacing w:val="-4"/>
        </w:rPr>
        <w:t> </w:t>
      </w:r>
      <w:r>
        <w:rPr/>
        <w:t>donde</w:t>
      </w:r>
      <w:r>
        <w:rPr>
          <w:spacing w:val="-11"/>
        </w:rPr>
        <w:t> </w:t>
      </w:r>
      <w:r>
        <w:rPr/>
        <w:t>se</w:t>
      </w:r>
      <w:r>
        <w:rPr>
          <w:spacing w:val="-11"/>
        </w:rPr>
        <w:t> </w:t>
      </w:r>
      <w:r>
        <w:rPr/>
        <w:t>aprobó</w:t>
      </w:r>
      <w:r>
        <w:rPr>
          <w:spacing w:val="-10"/>
        </w:rPr>
        <w:t> </w:t>
      </w:r>
      <w:r>
        <w:rPr/>
        <w:t>un</w:t>
      </w:r>
      <w:r>
        <w:rPr>
          <w:spacing w:val="-7"/>
        </w:rPr>
        <w:t> </w:t>
      </w:r>
      <w:r>
        <w:rPr/>
        <w:t>“documento</w:t>
      </w:r>
      <w:r>
        <w:rPr>
          <w:spacing w:val="-7"/>
        </w:rPr>
        <w:t> </w:t>
      </w:r>
      <w:r>
        <w:rPr/>
        <w:t>marco” entre grupos ecologistas donde se ligaba el tema de la Deuda Externa (que los países del Sur deben a los acreedores del Norte) con el tema de la Deuda Ecológica donde los deudores son los ciudadanos y empresas de los países ricos y los acreedores los habitantes de los países empobrecidos. Mencionaba ya este documento el flujo de comercio</w:t>
      </w:r>
      <w:r>
        <w:rPr>
          <w:spacing w:val="-16"/>
        </w:rPr>
        <w:t> </w:t>
      </w:r>
      <w:r>
        <w:rPr/>
        <w:t>de</w:t>
      </w:r>
      <w:r>
        <w:rPr>
          <w:spacing w:val="-16"/>
        </w:rPr>
        <w:t> </w:t>
      </w:r>
      <w:r>
        <w:rPr/>
        <w:t>materiales</w:t>
      </w:r>
      <w:r>
        <w:rPr>
          <w:spacing w:val="-13"/>
        </w:rPr>
        <w:t> </w:t>
      </w:r>
      <w:r>
        <w:rPr/>
        <w:t>y</w:t>
      </w:r>
      <w:r>
        <w:rPr>
          <w:spacing w:val="-22"/>
        </w:rPr>
        <w:t> </w:t>
      </w:r>
      <w:r>
        <w:rPr/>
        <w:t>energía</w:t>
      </w:r>
      <w:r>
        <w:rPr>
          <w:spacing w:val="-15"/>
        </w:rPr>
        <w:t> </w:t>
      </w:r>
      <w:r>
        <w:rPr>
          <w:spacing w:val="-2"/>
        </w:rPr>
        <w:t>mal</w:t>
      </w:r>
      <w:r>
        <w:rPr>
          <w:spacing w:val="-15"/>
        </w:rPr>
        <w:t> </w:t>
      </w:r>
      <w:r>
        <w:rPr/>
        <w:t>pagados</w:t>
      </w:r>
      <w:r>
        <w:rPr>
          <w:spacing w:val="-13"/>
        </w:rPr>
        <w:t> </w:t>
      </w:r>
      <w:r>
        <w:rPr/>
        <w:t>del</w:t>
      </w:r>
      <w:r>
        <w:rPr>
          <w:spacing w:val="-19"/>
        </w:rPr>
        <w:t> </w:t>
      </w:r>
      <w:r>
        <w:rPr/>
        <w:t>Sur</w:t>
      </w:r>
      <w:r>
        <w:rPr>
          <w:spacing w:val="-17"/>
        </w:rPr>
        <w:t> </w:t>
      </w:r>
      <w:r>
        <w:rPr/>
        <w:t>al</w:t>
      </w:r>
      <w:r>
        <w:rPr>
          <w:spacing w:val="-15"/>
        </w:rPr>
        <w:t> </w:t>
      </w:r>
      <w:r>
        <w:rPr/>
        <w:t>Norte,</w:t>
      </w:r>
      <w:r>
        <w:rPr>
          <w:spacing w:val="-16"/>
        </w:rPr>
        <w:t> </w:t>
      </w:r>
      <w:r>
        <w:rPr/>
        <w:t>así</w:t>
      </w:r>
      <w:r>
        <w:rPr>
          <w:spacing w:val="-17"/>
        </w:rPr>
        <w:t> </w:t>
      </w:r>
      <w:r>
        <w:rPr/>
        <w:t>como</w:t>
      </w:r>
      <w:r>
        <w:rPr>
          <w:spacing w:val="-19"/>
        </w:rPr>
        <w:t> </w:t>
      </w:r>
      <w:r>
        <w:rPr/>
        <w:t>de</w:t>
      </w:r>
      <w:r>
        <w:rPr>
          <w:spacing w:val="-16"/>
        </w:rPr>
        <w:t> </w:t>
      </w:r>
      <w:r>
        <w:rPr/>
        <w:t>la</w:t>
      </w:r>
      <w:r>
        <w:rPr>
          <w:spacing w:val="-19"/>
        </w:rPr>
        <w:t> </w:t>
      </w:r>
      <w:r>
        <w:rPr/>
        <w:t>ocupación</w:t>
      </w:r>
    </w:p>
    <w:p>
      <w:pPr>
        <w:spacing w:after="0" w:line="360" w:lineRule="auto"/>
        <w:jc w:val="both"/>
        <w:sectPr>
          <w:pgSz w:w="12240" w:h="15840"/>
          <w:pgMar w:header="0" w:footer="1330" w:top="1500" w:bottom="1580" w:left="1260" w:right="1320"/>
        </w:sectPr>
      </w:pPr>
    </w:p>
    <w:p>
      <w:pPr>
        <w:pStyle w:val="BodyText"/>
        <w:spacing w:line="362" w:lineRule="auto" w:before="107"/>
        <w:ind w:left="180" w:right="120"/>
        <w:jc w:val="both"/>
      </w:pPr>
      <w:r>
        <w:rPr/>
        <w:t>desproporcionada</w:t>
      </w:r>
      <w:r>
        <w:rPr>
          <w:spacing w:val="-10"/>
        </w:rPr>
        <w:t> </w:t>
      </w:r>
      <w:r>
        <w:rPr/>
        <w:t>del</w:t>
      </w:r>
      <w:r>
        <w:rPr>
          <w:spacing w:val="-7"/>
        </w:rPr>
        <w:t> </w:t>
      </w:r>
      <w:r>
        <w:rPr/>
        <w:t>Espacio</w:t>
      </w:r>
      <w:r>
        <w:rPr>
          <w:spacing w:val="-10"/>
        </w:rPr>
        <w:t> </w:t>
      </w:r>
      <w:r>
        <w:rPr/>
        <w:t>Ambiental</w:t>
      </w:r>
      <w:r>
        <w:rPr>
          <w:spacing w:val="-7"/>
        </w:rPr>
        <w:t> </w:t>
      </w:r>
      <w:r>
        <w:rPr/>
        <w:t>por</w:t>
      </w:r>
      <w:r>
        <w:rPr>
          <w:spacing w:val="-8"/>
        </w:rPr>
        <w:t> </w:t>
      </w:r>
      <w:r>
        <w:rPr/>
        <w:t>parte</w:t>
      </w:r>
      <w:r>
        <w:rPr>
          <w:spacing w:val="-9"/>
        </w:rPr>
        <w:t> </w:t>
      </w:r>
      <w:r>
        <w:rPr/>
        <w:t>de</w:t>
      </w:r>
      <w:r>
        <w:rPr>
          <w:spacing w:val="-10"/>
        </w:rPr>
        <w:t> </w:t>
      </w:r>
      <w:r>
        <w:rPr/>
        <w:t>los</w:t>
      </w:r>
      <w:r>
        <w:rPr>
          <w:spacing w:val="-7"/>
        </w:rPr>
        <w:t> </w:t>
      </w:r>
      <w:r>
        <w:rPr/>
        <w:t>países</w:t>
      </w:r>
      <w:r>
        <w:rPr>
          <w:spacing w:val="-8"/>
        </w:rPr>
        <w:t> </w:t>
      </w:r>
      <w:r>
        <w:rPr/>
        <w:t>ricos</w:t>
      </w:r>
      <w:r>
        <w:rPr>
          <w:spacing w:val="-7"/>
        </w:rPr>
        <w:t> </w:t>
      </w:r>
      <w:r>
        <w:rPr/>
        <w:t>para</w:t>
      </w:r>
      <w:r>
        <w:rPr>
          <w:spacing w:val="-6"/>
        </w:rPr>
        <w:t> </w:t>
      </w:r>
      <w:r>
        <w:rPr/>
        <w:t>depositar</w:t>
      </w:r>
      <w:r>
        <w:rPr>
          <w:spacing w:val="-7"/>
        </w:rPr>
        <w:t> </w:t>
      </w:r>
      <w:r>
        <w:rPr/>
        <w:t>los gases de efecto invernadero (Colectivo de Difusión de la Deuda Ecológica,</w:t>
      </w:r>
      <w:r>
        <w:rPr>
          <w:spacing w:val="-19"/>
        </w:rPr>
        <w:t> </w:t>
      </w:r>
      <w:r>
        <w:rPr/>
        <w:t>2003).</w:t>
      </w:r>
    </w:p>
    <w:p>
      <w:pPr>
        <w:pStyle w:val="BodyText"/>
        <w:spacing w:line="360" w:lineRule="auto" w:before="195"/>
        <w:ind w:left="180" w:right="118"/>
        <w:jc w:val="both"/>
      </w:pPr>
      <w:r>
        <w:rPr/>
        <w:t>Menciona</w:t>
      </w:r>
      <w:r>
        <w:rPr>
          <w:spacing w:val="-2"/>
        </w:rPr>
        <w:t> </w:t>
      </w:r>
      <w:r>
        <w:rPr/>
        <w:t>Martínez</w:t>
      </w:r>
      <w:r>
        <w:rPr>
          <w:spacing w:val="-9"/>
        </w:rPr>
        <w:t> </w:t>
      </w:r>
      <w:r>
        <w:rPr/>
        <w:t>Alier</w:t>
      </w:r>
      <w:r>
        <w:rPr>
          <w:spacing w:val="-4"/>
        </w:rPr>
        <w:t> </w:t>
      </w:r>
      <w:r>
        <w:rPr/>
        <w:t>que</w:t>
      </w:r>
      <w:r>
        <w:rPr>
          <w:spacing w:val="-6"/>
        </w:rPr>
        <w:t> </w:t>
      </w:r>
      <w:r>
        <w:rPr/>
        <w:t>en</w:t>
      </w:r>
      <w:r>
        <w:rPr>
          <w:spacing w:val="-7"/>
        </w:rPr>
        <w:t> </w:t>
      </w:r>
      <w:r>
        <w:rPr/>
        <w:t>1994</w:t>
      </w:r>
      <w:r>
        <w:rPr>
          <w:spacing w:val="1"/>
        </w:rPr>
        <w:t> </w:t>
      </w:r>
      <w:r>
        <w:rPr/>
        <w:t>J.M.</w:t>
      </w:r>
      <w:r>
        <w:rPr>
          <w:spacing w:val="-3"/>
        </w:rPr>
        <w:t> </w:t>
      </w:r>
      <w:r>
        <w:rPr/>
        <w:t>Borrero</w:t>
      </w:r>
      <w:r>
        <w:rPr>
          <w:spacing w:val="-3"/>
        </w:rPr>
        <w:t> </w:t>
      </w:r>
      <w:r>
        <w:rPr/>
        <w:t>en</w:t>
      </w:r>
      <w:r>
        <w:rPr>
          <w:spacing w:val="-3"/>
        </w:rPr>
        <w:t> </w:t>
      </w:r>
      <w:r>
        <w:rPr/>
        <w:t>Colombia</w:t>
      </w:r>
      <w:r>
        <w:rPr>
          <w:spacing w:val="-7"/>
        </w:rPr>
        <w:t> </w:t>
      </w:r>
      <w:r>
        <w:rPr/>
        <w:t>publicó</w:t>
      </w:r>
      <w:r>
        <w:rPr>
          <w:spacing w:val="-2"/>
        </w:rPr>
        <w:t> </w:t>
      </w:r>
      <w:r>
        <w:rPr/>
        <w:t>un</w:t>
      </w:r>
      <w:r>
        <w:rPr>
          <w:spacing w:val="-7"/>
        </w:rPr>
        <w:t> </w:t>
      </w:r>
      <w:r>
        <w:rPr/>
        <w:t>libro</w:t>
      </w:r>
      <w:r>
        <w:rPr>
          <w:spacing w:val="-7"/>
        </w:rPr>
        <w:t> </w:t>
      </w:r>
      <w:r>
        <w:rPr/>
        <w:t>sobre</w:t>
      </w:r>
      <w:r>
        <w:rPr>
          <w:spacing w:val="-6"/>
        </w:rPr>
        <w:t> </w:t>
      </w:r>
      <w:r>
        <w:rPr/>
        <w:t>el tema basado en preguntas a diversos/as ecologistas de todo el mundo. Cita en 1997 la realización en Quito de un seminario sobre Deuda Ecológica, organizado Acción Ecológica de Ecuador. El año 2000 marca el inicio del crecimiento del debate por las campañas Jubileo 2000 y Jubileo Sur contra la deuda externa que oprime a los países empobrecidos y que es mucho menor que la Deuda Ecológica. En estas campañas se destacaron promotores como Andrew Simms, en Londres y Beverly Keene en Buenos Aires (Colectivo de Difusión de la Deuda Ecológica,</w:t>
      </w:r>
      <w:r>
        <w:rPr>
          <w:spacing w:val="-8"/>
        </w:rPr>
        <w:t> </w:t>
      </w:r>
      <w:r>
        <w:rPr/>
        <w:t>2003).</w:t>
      </w:r>
    </w:p>
    <w:p>
      <w:pPr>
        <w:pStyle w:val="BodyText"/>
        <w:spacing w:line="360" w:lineRule="auto" w:before="201"/>
        <w:ind w:left="180" w:right="118"/>
        <w:jc w:val="both"/>
      </w:pPr>
      <w:r>
        <w:rPr/>
        <w:t>Finalmente</w:t>
      </w:r>
      <w:r>
        <w:rPr>
          <w:spacing w:val="-9"/>
        </w:rPr>
        <w:t> </w:t>
      </w:r>
      <w:r>
        <w:rPr/>
        <w:t>cita</w:t>
      </w:r>
      <w:r>
        <w:rPr>
          <w:spacing w:val="-9"/>
        </w:rPr>
        <w:t> </w:t>
      </w:r>
      <w:r>
        <w:rPr/>
        <w:t>la</w:t>
      </w:r>
      <w:r>
        <w:rPr>
          <w:spacing w:val="-8"/>
        </w:rPr>
        <w:t> </w:t>
      </w:r>
      <w:r>
        <w:rPr/>
        <w:t>campaña</w:t>
      </w:r>
      <w:r>
        <w:rPr>
          <w:spacing w:val="-9"/>
        </w:rPr>
        <w:t> </w:t>
      </w:r>
      <w:r>
        <w:rPr/>
        <w:t>que</w:t>
      </w:r>
      <w:r>
        <w:rPr>
          <w:spacing w:val="-8"/>
        </w:rPr>
        <w:t> </w:t>
      </w:r>
      <w:r>
        <w:rPr/>
        <w:t>la</w:t>
      </w:r>
      <w:r>
        <w:rPr>
          <w:spacing w:val="-9"/>
        </w:rPr>
        <w:t> </w:t>
      </w:r>
      <w:r>
        <w:rPr/>
        <w:t>confederación</w:t>
      </w:r>
      <w:r>
        <w:rPr>
          <w:spacing w:val="-8"/>
        </w:rPr>
        <w:t> </w:t>
      </w:r>
      <w:r>
        <w:rPr/>
        <w:t>Amigos</w:t>
      </w:r>
      <w:r>
        <w:rPr>
          <w:spacing w:val="-7"/>
        </w:rPr>
        <w:t> </w:t>
      </w:r>
      <w:r>
        <w:rPr/>
        <w:t>de</w:t>
      </w:r>
      <w:r>
        <w:rPr>
          <w:spacing w:val="-9"/>
        </w:rPr>
        <w:t> </w:t>
      </w:r>
      <w:r>
        <w:rPr/>
        <w:t>la</w:t>
      </w:r>
      <w:r>
        <w:rPr>
          <w:spacing w:val="-8"/>
        </w:rPr>
        <w:t> </w:t>
      </w:r>
      <w:r>
        <w:rPr/>
        <w:t>Tierra</w:t>
      </w:r>
      <w:r>
        <w:rPr>
          <w:spacing w:val="-8"/>
        </w:rPr>
        <w:t> </w:t>
      </w:r>
      <w:r>
        <w:rPr/>
        <w:t>Internacional</w:t>
      </w:r>
      <w:r>
        <w:rPr>
          <w:spacing w:val="-8"/>
        </w:rPr>
        <w:t> </w:t>
      </w:r>
      <w:r>
        <w:rPr/>
        <w:t>tenía sobre la Deuda Ecológica que el Norte debe al Sur a principios primera década del</w:t>
      </w:r>
      <w:r>
        <w:rPr>
          <w:spacing w:val="-39"/>
        </w:rPr>
        <w:t> </w:t>
      </w:r>
      <w:r>
        <w:rPr/>
        <w:t>siglo veintiuno, y la reunión en Benín a finales del 2001 con la participación de los grupos africanos. En aquel momento señalaba la posibilidad de que se convirtiera en tema central de la discusión internacional desde la cumbre de Johannesburgo en agosto del 2002, desde Indonesia, por la destrucción de bosques y los daños de empresas de minería como Freeport MacMoran y desde India, especialmente por la reclamación contra</w:t>
      </w:r>
      <w:r>
        <w:rPr>
          <w:spacing w:val="-12"/>
        </w:rPr>
        <w:t> </w:t>
      </w:r>
      <w:r>
        <w:rPr/>
        <w:t>Union</w:t>
      </w:r>
      <w:r>
        <w:rPr>
          <w:spacing w:val="-12"/>
        </w:rPr>
        <w:t> </w:t>
      </w:r>
      <w:r>
        <w:rPr/>
        <w:t>Carbide</w:t>
      </w:r>
      <w:r>
        <w:rPr>
          <w:spacing w:val="-12"/>
        </w:rPr>
        <w:t> </w:t>
      </w:r>
      <w:r>
        <w:rPr/>
        <w:t>por</w:t>
      </w:r>
      <w:r>
        <w:rPr>
          <w:spacing w:val="-10"/>
        </w:rPr>
        <w:t> </w:t>
      </w:r>
      <w:r>
        <w:rPr/>
        <w:t>el</w:t>
      </w:r>
      <w:r>
        <w:rPr>
          <w:spacing w:val="-11"/>
        </w:rPr>
        <w:t> </w:t>
      </w:r>
      <w:r>
        <w:rPr/>
        <w:t>accidente</w:t>
      </w:r>
      <w:r>
        <w:rPr>
          <w:spacing w:val="-8"/>
        </w:rPr>
        <w:t> </w:t>
      </w:r>
      <w:r>
        <w:rPr/>
        <w:t>de</w:t>
      </w:r>
      <w:r>
        <w:rPr>
          <w:spacing w:val="-12"/>
        </w:rPr>
        <w:t> </w:t>
      </w:r>
      <w:r>
        <w:rPr/>
        <w:t>Bhopal</w:t>
      </w:r>
      <w:r>
        <w:rPr>
          <w:spacing w:val="-11"/>
        </w:rPr>
        <w:t> </w:t>
      </w:r>
      <w:r>
        <w:rPr/>
        <w:t>en</w:t>
      </w:r>
      <w:r>
        <w:rPr>
          <w:spacing w:val="-12"/>
        </w:rPr>
        <w:t> </w:t>
      </w:r>
      <w:r>
        <w:rPr/>
        <w:t>1984.</w:t>
      </w:r>
      <w:r>
        <w:rPr>
          <w:spacing w:val="48"/>
        </w:rPr>
        <w:t> </w:t>
      </w:r>
      <w:r>
        <w:rPr/>
        <w:t>Asimismo</w:t>
      </w:r>
      <w:r>
        <w:rPr>
          <w:spacing w:val="-12"/>
        </w:rPr>
        <w:t> </w:t>
      </w:r>
      <w:r>
        <w:rPr/>
        <w:t>apuntaba</w:t>
      </w:r>
      <w:r>
        <w:rPr>
          <w:spacing w:val="-12"/>
        </w:rPr>
        <w:t> </w:t>
      </w:r>
      <w:r>
        <w:rPr/>
        <w:t>al</w:t>
      </w:r>
      <w:r>
        <w:rPr>
          <w:spacing w:val="-10"/>
        </w:rPr>
        <w:t> </w:t>
      </w:r>
      <w:r>
        <w:rPr/>
        <w:t>trabajo de la CONACAMI en Perú (coordinadora de comunidades afectadas por la minería) que insistía al momento en los "pasivos ambientales" de las empresas mineras como expresión</w:t>
      </w:r>
      <w:r>
        <w:rPr>
          <w:spacing w:val="-8"/>
        </w:rPr>
        <w:t> </w:t>
      </w:r>
      <w:r>
        <w:rPr/>
        <w:t>sinónima</w:t>
      </w:r>
      <w:r>
        <w:rPr>
          <w:spacing w:val="-5"/>
        </w:rPr>
        <w:t> </w:t>
      </w:r>
      <w:r>
        <w:rPr/>
        <w:t>de</w:t>
      </w:r>
      <w:r>
        <w:rPr>
          <w:spacing w:val="-8"/>
        </w:rPr>
        <w:t> </w:t>
      </w:r>
      <w:r>
        <w:rPr/>
        <w:t>deudas</w:t>
      </w:r>
      <w:r>
        <w:rPr>
          <w:spacing w:val="-6"/>
        </w:rPr>
        <w:t> </w:t>
      </w:r>
      <w:r>
        <w:rPr/>
        <w:t>ecológicas</w:t>
      </w:r>
      <w:r>
        <w:rPr>
          <w:spacing w:val="-3"/>
        </w:rPr>
        <w:t> </w:t>
      </w:r>
      <w:r>
        <w:rPr/>
        <w:t>(Colectivo</w:t>
      </w:r>
      <w:r>
        <w:rPr>
          <w:spacing w:val="-8"/>
        </w:rPr>
        <w:t> </w:t>
      </w:r>
      <w:r>
        <w:rPr/>
        <w:t>de</w:t>
      </w:r>
      <w:r>
        <w:rPr>
          <w:spacing w:val="-8"/>
        </w:rPr>
        <w:t> </w:t>
      </w:r>
      <w:r>
        <w:rPr/>
        <w:t>Difusión</w:t>
      </w:r>
      <w:r>
        <w:rPr>
          <w:spacing w:val="-4"/>
        </w:rPr>
        <w:t> </w:t>
      </w:r>
      <w:r>
        <w:rPr/>
        <w:t>de</w:t>
      </w:r>
      <w:r>
        <w:rPr>
          <w:spacing w:val="-8"/>
        </w:rPr>
        <w:t> </w:t>
      </w:r>
      <w:r>
        <w:rPr/>
        <w:t>la</w:t>
      </w:r>
      <w:r>
        <w:rPr>
          <w:spacing w:val="-8"/>
        </w:rPr>
        <w:t> </w:t>
      </w:r>
      <w:r>
        <w:rPr/>
        <w:t>Deuda</w:t>
      </w:r>
      <w:r>
        <w:rPr>
          <w:spacing w:val="-8"/>
        </w:rPr>
        <w:t> </w:t>
      </w:r>
      <w:r>
        <w:rPr/>
        <w:t>Ecológica, 2003)</w:t>
      </w:r>
    </w:p>
    <w:p>
      <w:pPr>
        <w:pStyle w:val="BodyText"/>
        <w:spacing w:line="360" w:lineRule="auto" w:before="202"/>
        <w:ind w:left="180" w:right="113"/>
        <w:jc w:val="both"/>
      </w:pPr>
      <w:r>
        <w:rPr/>
        <w:t>Entre</w:t>
      </w:r>
      <w:r>
        <w:rPr>
          <w:spacing w:val="-16"/>
        </w:rPr>
        <w:t> </w:t>
      </w:r>
      <w:r>
        <w:rPr/>
        <w:t>los</w:t>
      </w:r>
      <w:r>
        <w:rPr>
          <w:spacing w:val="-14"/>
        </w:rPr>
        <w:t> </w:t>
      </w:r>
      <w:r>
        <w:rPr/>
        <w:t>estudiosos</w:t>
      </w:r>
      <w:r>
        <w:rPr>
          <w:spacing w:val="-10"/>
        </w:rPr>
        <w:t> </w:t>
      </w:r>
      <w:r>
        <w:rPr/>
        <w:t>en</w:t>
      </w:r>
      <w:r>
        <w:rPr>
          <w:spacing w:val="-16"/>
        </w:rPr>
        <w:t> </w:t>
      </w:r>
      <w:r>
        <w:rPr/>
        <w:t>América</w:t>
      </w:r>
      <w:r>
        <w:rPr>
          <w:spacing w:val="-15"/>
        </w:rPr>
        <w:t> </w:t>
      </w:r>
      <w:r>
        <w:rPr/>
        <w:t>Latina,</w:t>
      </w:r>
      <w:r>
        <w:rPr>
          <w:spacing w:val="-13"/>
        </w:rPr>
        <w:t> </w:t>
      </w:r>
      <w:r>
        <w:rPr/>
        <w:t>merece</w:t>
      </w:r>
      <w:r>
        <w:rPr>
          <w:spacing w:val="-16"/>
        </w:rPr>
        <w:t> </w:t>
      </w:r>
      <w:r>
        <w:rPr/>
        <w:t>la</w:t>
      </w:r>
      <w:r>
        <w:rPr>
          <w:spacing w:val="-16"/>
        </w:rPr>
        <w:t> </w:t>
      </w:r>
      <w:r>
        <w:rPr/>
        <w:t>pena</w:t>
      </w:r>
      <w:r>
        <w:rPr>
          <w:spacing w:val="-7"/>
        </w:rPr>
        <w:t> </w:t>
      </w:r>
      <w:r>
        <w:rPr/>
        <w:t>destacar</w:t>
      </w:r>
      <w:r>
        <w:rPr>
          <w:spacing w:val="-14"/>
        </w:rPr>
        <w:t> </w:t>
      </w:r>
      <w:r>
        <w:rPr/>
        <w:t>el</w:t>
      </w:r>
      <w:r>
        <w:rPr>
          <w:spacing w:val="-15"/>
        </w:rPr>
        <w:t> </w:t>
      </w:r>
      <w:r>
        <w:rPr/>
        <w:t>trabajo</w:t>
      </w:r>
      <w:r>
        <w:rPr>
          <w:spacing w:val="-15"/>
        </w:rPr>
        <w:t> </w:t>
      </w:r>
      <w:r>
        <w:rPr/>
        <w:t>del</w:t>
      </w:r>
      <w:r>
        <w:rPr>
          <w:spacing w:val="-15"/>
        </w:rPr>
        <w:t> </w:t>
      </w:r>
      <w:r>
        <w:rPr/>
        <w:t>Dr.</w:t>
      </w:r>
      <w:r>
        <w:rPr>
          <w:spacing w:val="-17"/>
        </w:rPr>
        <w:t> </w:t>
      </w:r>
      <w:r>
        <w:rPr/>
        <w:t>Walter Pengue en Argentina, quién desde sus cursos del “ecoportal” y a través de su libro </w:t>
      </w:r>
      <w:r>
        <w:rPr>
          <w:i/>
        </w:rPr>
        <w:t>Fundamentos de Economía Ecológica</w:t>
      </w:r>
      <w:r>
        <w:rPr/>
        <w:t>, ha sistematizado y ordenado mucha de la discusión sobre el concepto con particular atención a las aplicaciones dentro del campo de la agricultura (Pengue, 2008; Pengue, 2009). Buena parte de este trabajo se ha concentrado en estudios sobre el cultivo de la soja (o soya como la llamamos en Costa Rica),</w:t>
      </w:r>
      <w:r>
        <w:rPr>
          <w:spacing w:val="-6"/>
        </w:rPr>
        <w:t> </w:t>
      </w:r>
      <w:r>
        <w:rPr/>
        <w:t>sus</w:t>
      </w:r>
      <w:r>
        <w:rPr>
          <w:spacing w:val="-6"/>
        </w:rPr>
        <w:t> </w:t>
      </w:r>
      <w:r>
        <w:rPr/>
        <w:t>efectos</w:t>
      </w:r>
      <w:r>
        <w:rPr>
          <w:spacing w:val="-6"/>
        </w:rPr>
        <w:t> </w:t>
      </w:r>
      <w:r>
        <w:rPr/>
        <w:t>sobre</w:t>
      </w:r>
      <w:r>
        <w:rPr>
          <w:spacing w:val="-8"/>
        </w:rPr>
        <w:t> </w:t>
      </w:r>
      <w:r>
        <w:rPr/>
        <w:t>los</w:t>
      </w:r>
      <w:r>
        <w:rPr>
          <w:spacing w:val="-6"/>
        </w:rPr>
        <w:t> </w:t>
      </w:r>
      <w:r>
        <w:rPr/>
        <w:t>ecosistemas</w:t>
      </w:r>
      <w:r>
        <w:rPr>
          <w:spacing w:val="-6"/>
        </w:rPr>
        <w:t> </w:t>
      </w:r>
      <w:r>
        <w:rPr/>
        <w:t>de</w:t>
      </w:r>
      <w:r>
        <w:rPr>
          <w:spacing w:val="-8"/>
        </w:rPr>
        <w:t> </w:t>
      </w:r>
      <w:r>
        <w:rPr/>
        <w:t>la</w:t>
      </w:r>
      <w:r>
        <w:rPr>
          <w:spacing w:val="-8"/>
        </w:rPr>
        <w:t> </w:t>
      </w:r>
      <w:r>
        <w:rPr/>
        <w:t>pampa</w:t>
      </w:r>
      <w:r>
        <w:rPr>
          <w:spacing w:val="-8"/>
        </w:rPr>
        <w:t> </w:t>
      </w:r>
      <w:r>
        <w:rPr/>
        <w:t>argentina</w:t>
      </w:r>
      <w:r>
        <w:rPr>
          <w:spacing w:val="-4"/>
        </w:rPr>
        <w:t> </w:t>
      </w:r>
      <w:r>
        <w:rPr/>
        <w:t>y</w:t>
      </w:r>
      <w:r>
        <w:rPr>
          <w:spacing w:val="-10"/>
        </w:rPr>
        <w:t> </w:t>
      </w:r>
      <w:r>
        <w:rPr/>
        <w:t>los</w:t>
      </w:r>
      <w:r>
        <w:rPr>
          <w:spacing w:val="-6"/>
        </w:rPr>
        <w:t> </w:t>
      </w:r>
      <w:r>
        <w:rPr/>
        <w:t>efectos</w:t>
      </w:r>
      <w:r>
        <w:rPr>
          <w:spacing w:val="-3"/>
        </w:rPr>
        <w:t> </w:t>
      </w:r>
      <w:r>
        <w:rPr/>
        <w:t>nocivos</w:t>
      </w:r>
      <w:r>
        <w:rPr>
          <w:spacing w:val="-6"/>
        </w:rPr>
        <w:t> </w:t>
      </w:r>
      <w:r>
        <w:rPr/>
        <w:t>de</w:t>
      </w:r>
    </w:p>
    <w:p>
      <w:pPr>
        <w:spacing w:after="0" w:line="360" w:lineRule="auto"/>
        <w:jc w:val="both"/>
        <w:sectPr>
          <w:pgSz w:w="12240" w:h="15840"/>
          <w:pgMar w:header="0" w:footer="1330" w:top="1500" w:bottom="1580" w:left="1260" w:right="1320"/>
        </w:sectPr>
      </w:pPr>
    </w:p>
    <w:p>
      <w:pPr>
        <w:pStyle w:val="BodyText"/>
        <w:spacing w:line="360" w:lineRule="auto" w:before="107"/>
        <w:ind w:left="180" w:right="114"/>
        <w:jc w:val="both"/>
      </w:pPr>
      <w:r>
        <w:rPr/>
        <w:t>los insumos agroquímicos (Pengue, 2005; Pengue, 2006). Asimismo, destaca su esfuerzo por integrar al concepto el análisis de las consecuencias del comercio ecológicamente desigual. Otros estudios han enfocado en forma similar el tema (No te Comas el Mundo, 2002; Lecea &amp; Ramírez, 2007).</w:t>
      </w:r>
    </w:p>
    <w:p>
      <w:pPr>
        <w:pStyle w:val="BodyText"/>
        <w:spacing w:line="360" w:lineRule="auto" w:before="201"/>
        <w:ind w:left="180" w:right="120"/>
        <w:jc w:val="both"/>
      </w:pPr>
      <w:r>
        <w:rPr/>
        <w:t>Debe mencionarse la promoción del concepto en examen por la revista especializada Ecología Política de Editorial Icaria en Cataluña. En esta publicación, cinco números registran énfasis en la materia de Deuda Ecológica entre 1997 y el año 2005.</w:t>
      </w:r>
    </w:p>
    <w:p>
      <w:pPr>
        <w:pStyle w:val="BodyText"/>
        <w:spacing w:line="360" w:lineRule="auto" w:before="202"/>
        <w:ind w:left="180" w:right="116"/>
        <w:jc w:val="both"/>
      </w:pPr>
      <w:r>
        <w:rPr/>
        <w:t>El</w:t>
      </w:r>
      <w:r>
        <w:rPr>
          <w:spacing w:val="-13"/>
        </w:rPr>
        <w:t> </w:t>
      </w:r>
      <w:r>
        <w:rPr/>
        <w:t>primero</w:t>
      </w:r>
      <w:r>
        <w:rPr>
          <w:spacing w:val="-12"/>
        </w:rPr>
        <w:t> </w:t>
      </w:r>
      <w:r>
        <w:rPr/>
        <w:t>introduce</w:t>
      </w:r>
      <w:r>
        <w:rPr>
          <w:spacing w:val="-13"/>
        </w:rPr>
        <w:t> </w:t>
      </w:r>
      <w:r>
        <w:rPr/>
        <w:t>el</w:t>
      </w:r>
      <w:r>
        <w:rPr>
          <w:spacing w:val="-11"/>
        </w:rPr>
        <w:t> </w:t>
      </w:r>
      <w:r>
        <w:rPr/>
        <w:t>concepto</w:t>
      </w:r>
      <w:r>
        <w:rPr>
          <w:spacing w:val="-13"/>
        </w:rPr>
        <w:t> </w:t>
      </w:r>
      <w:r>
        <w:rPr/>
        <w:t>y</w:t>
      </w:r>
      <w:r>
        <w:rPr>
          <w:spacing w:val="-15"/>
        </w:rPr>
        <w:t> </w:t>
      </w:r>
      <w:r>
        <w:rPr/>
        <w:t>explora</w:t>
      </w:r>
      <w:r>
        <w:rPr>
          <w:spacing w:val="-12"/>
        </w:rPr>
        <w:t> </w:t>
      </w:r>
      <w:r>
        <w:rPr/>
        <w:t>sus</w:t>
      </w:r>
      <w:r>
        <w:rPr>
          <w:spacing w:val="-11"/>
        </w:rPr>
        <w:t> </w:t>
      </w:r>
      <w:r>
        <w:rPr/>
        <w:t>relaciones</w:t>
      </w:r>
      <w:r>
        <w:rPr>
          <w:spacing w:val="-11"/>
        </w:rPr>
        <w:t> </w:t>
      </w:r>
      <w:r>
        <w:rPr/>
        <w:t>con</w:t>
      </w:r>
      <w:r>
        <w:rPr>
          <w:spacing w:val="-13"/>
        </w:rPr>
        <w:t> </w:t>
      </w:r>
      <w:r>
        <w:rPr/>
        <w:t>la</w:t>
      </w:r>
      <w:r>
        <w:rPr>
          <w:spacing w:val="-12"/>
        </w:rPr>
        <w:t> </w:t>
      </w:r>
      <w:r>
        <w:rPr/>
        <w:t>noción</w:t>
      </w:r>
      <w:r>
        <w:rPr>
          <w:spacing w:val="-13"/>
        </w:rPr>
        <w:t> </w:t>
      </w:r>
      <w:r>
        <w:rPr/>
        <w:t>de</w:t>
      </w:r>
      <w:r>
        <w:rPr>
          <w:spacing w:val="-13"/>
        </w:rPr>
        <w:t> </w:t>
      </w:r>
      <w:r>
        <w:rPr/>
        <w:t>deuda</w:t>
      </w:r>
      <w:r>
        <w:rPr>
          <w:spacing w:val="-13"/>
        </w:rPr>
        <w:t> </w:t>
      </w:r>
      <w:r>
        <w:rPr/>
        <w:t>externa proponiendo a la Deuda Ecológica como un mecanismo de compensación de la deuda externa de los países del “sur” (Acción Ecológica, 1997; Acosta, 1997; Martínez Alier, 1997). En 1999 se desarrolla una extensa sección de Deuda Ecológica y Ecologismos Populares</w:t>
      </w:r>
      <w:r>
        <w:rPr>
          <w:spacing w:val="-14"/>
        </w:rPr>
        <w:t> </w:t>
      </w:r>
      <w:r>
        <w:rPr/>
        <w:t>en</w:t>
      </w:r>
      <w:r>
        <w:rPr>
          <w:spacing w:val="-20"/>
        </w:rPr>
        <w:t> </w:t>
      </w:r>
      <w:r>
        <w:rPr/>
        <w:t>la</w:t>
      </w:r>
      <w:r>
        <w:rPr>
          <w:spacing w:val="-17"/>
        </w:rPr>
        <w:t> </w:t>
      </w:r>
      <w:r>
        <w:rPr/>
        <w:t>cual</w:t>
      </w:r>
      <w:r>
        <w:rPr>
          <w:spacing w:val="-19"/>
        </w:rPr>
        <w:t> </w:t>
      </w:r>
      <w:r>
        <w:rPr/>
        <w:t>destaca</w:t>
      </w:r>
      <w:r>
        <w:rPr>
          <w:spacing w:val="-19"/>
        </w:rPr>
        <w:t> </w:t>
      </w:r>
      <w:r>
        <w:rPr/>
        <w:t>un</w:t>
      </w:r>
      <w:r>
        <w:rPr>
          <w:spacing w:val="-16"/>
        </w:rPr>
        <w:t> </w:t>
      </w:r>
      <w:r>
        <w:rPr/>
        <w:t>artículo</w:t>
      </w:r>
      <w:r>
        <w:rPr>
          <w:spacing w:val="-19"/>
        </w:rPr>
        <w:t> </w:t>
      </w:r>
      <w:r>
        <w:rPr/>
        <w:t>aglutinador</w:t>
      </w:r>
      <w:r>
        <w:rPr>
          <w:spacing w:val="-12"/>
        </w:rPr>
        <w:t> </w:t>
      </w:r>
      <w:r>
        <w:rPr/>
        <w:t>de</w:t>
      </w:r>
      <w:r>
        <w:rPr>
          <w:spacing w:val="-19"/>
        </w:rPr>
        <w:t> </w:t>
      </w:r>
      <w:r>
        <w:rPr/>
        <w:t>Alerta</w:t>
      </w:r>
      <w:r>
        <w:rPr>
          <w:spacing w:val="-20"/>
        </w:rPr>
        <w:t> </w:t>
      </w:r>
      <w:r>
        <w:rPr/>
        <w:t>Verde</w:t>
      </w:r>
      <w:r>
        <w:rPr>
          <w:spacing w:val="-18"/>
        </w:rPr>
        <w:t> </w:t>
      </w:r>
      <w:r>
        <w:rPr/>
        <w:t>(Alerta</w:t>
      </w:r>
      <w:r>
        <w:rPr>
          <w:spacing w:val="-19"/>
        </w:rPr>
        <w:t> </w:t>
      </w:r>
      <w:r>
        <w:rPr/>
        <w:t>Verde,</w:t>
      </w:r>
      <w:r>
        <w:rPr>
          <w:spacing w:val="-17"/>
        </w:rPr>
        <w:t> </w:t>
      </w:r>
      <w:r>
        <w:rPr/>
        <w:t>1999). En</w:t>
      </w:r>
      <w:r>
        <w:rPr>
          <w:spacing w:val="-5"/>
        </w:rPr>
        <w:t> </w:t>
      </w:r>
      <w:r>
        <w:rPr/>
        <w:t>el</w:t>
      </w:r>
      <w:r>
        <w:rPr>
          <w:spacing w:val="-4"/>
        </w:rPr>
        <w:t> </w:t>
      </w:r>
      <w:r>
        <w:rPr/>
        <w:t>año</w:t>
      </w:r>
      <w:r>
        <w:rPr>
          <w:spacing w:val="-4"/>
        </w:rPr>
        <w:t> </w:t>
      </w:r>
      <w:r>
        <w:rPr/>
        <w:t>2000,</w:t>
      </w:r>
      <w:r>
        <w:rPr>
          <w:spacing w:val="-3"/>
        </w:rPr>
        <w:t> </w:t>
      </w:r>
      <w:r>
        <w:rPr/>
        <w:t>se</w:t>
      </w:r>
      <w:r>
        <w:rPr>
          <w:spacing w:val="-4"/>
        </w:rPr>
        <w:t> </w:t>
      </w:r>
      <w:r>
        <w:rPr/>
        <w:t>incluye</w:t>
      </w:r>
      <w:r>
        <w:rPr>
          <w:spacing w:val="-4"/>
        </w:rPr>
        <w:t> </w:t>
      </w:r>
      <w:r>
        <w:rPr/>
        <w:t>el</w:t>
      </w:r>
      <w:r>
        <w:rPr>
          <w:spacing w:val="-1"/>
        </w:rPr>
        <w:t> </w:t>
      </w:r>
      <w:r>
        <w:rPr/>
        <w:t>concepto</w:t>
      </w:r>
      <w:r>
        <w:rPr>
          <w:spacing w:val="-4"/>
        </w:rPr>
        <w:t> </w:t>
      </w:r>
      <w:r>
        <w:rPr/>
        <w:t>dentro</w:t>
      </w:r>
      <w:r>
        <w:rPr>
          <w:spacing w:val="-4"/>
        </w:rPr>
        <w:t> </w:t>
      </w:r>
      <w:r>
        <w:rPr/>
        <w:t>del</w:t>
      </w:r>
      <w:r>
        <w:rPr>
          <w:spacing w:val="-5"/>
        </w:rPr>
        <w:t> </w:t>
      </w:r>
      <w:r>
        <w:rPr/>
        <w:t>acápite</w:t>
      </w:r>
      <w:r>
        <w:rPr>
          <w:spacing w:val="-4"/>
        </w:rPr>
        <w:t> </w:t>
      </w:r>
      <w:r>
        <w:rPr/>
        <w:t>de</w:t>
      </w:r>
      <w:r>
        <w:rPr>
          <w:spacing w:val="-4"/>
        </w:rPr>
        <w:t> </w:t>
      </w:r>
      <w:r>
        <w:rPr/>
        <w:t>la</w:t>
      </w:r>
      <w:r>
        <w:rPr>
          <w:spacing w:val="-4"/>
        </w:rPr>
        <w:t> </w:t>
      </w:r>
      <w:r>
        <w:rPr/>
        <w:t>resistencia</w:t>
      </w:r>
      <w:r>
        <w:rPr>
          <w:spacing w:val="-5"/>
        </w:rPr>
        <w:t> </w:t>
      </w:r>
      <w:r>
        <w:rPr/>
        <w:t>como</w:t>
      </w:r>
      <w:r>
        <w:rPr>
          <w:spacing w:val="-4"/>
        </w:rPr>
        <w:t> </w:t>
      </w:r>
      <w:r>
        <w:rPr/>
        <w:t>camino a la sustentabilidad y otro artículo con un análisis crítico de situación (Martínez Alier, 2000). El mismo año, se consigna una sección completa titulada “Quién Debe a Quién”, en la que destaca </w:t>
      </w:r>
      <w:r>
        <w:rPr>
          <w:i/>
        </w:rPr>
        <w:t>Deuda Ecológica. El Sur Dice al Norte: “Es Hora de Pagar” </w:t>
      </w:r>
      <w:r>
        <w:rPr/>
        <w:t>por su contribución aclaratoria del concepto (Dillon, 2000). Entre el 2004 y el 2005 continúan con la inclusión y desarrollo del concepto, incluyendo revisiones de la evolución del concepto a la luz de la cambiante naturaleza en el ambientalismo mundial (Donoso, 2004), las manifestaciones en el Foros Social de las Américas (2004) sobre compensación de deuda externa por Deuda Ecológica (Ortega Cerda, 2004) y de la Deuda Ecológica dentro del marco de los cambio socio-ambientales que trae la globalización (Nahuel Oddone &amp; Granato, 2005; Pengue,</w:t>
      </w:r>
      <w:r>
        <w:rPr>
          <w:spacing w:val="-2"/>
        </w:rPr>
        <w:t> </w:t>
      </w:r>
      <w:r>
        <w:rPr/>
        <w:t>2005).</w:t>
      </w:r>
    </w:p>
    <w:p>
      <w:pPr>
        <w:pStyle w:val="BodyText"/>
        <w:spacing w:line="360" w:lineRule="auto" w:before="202"/>
        <w:ind w:left="180" w:right="116"/>
        <w:jc w:val="both"/>
      </w:pPr>
      <w:r>
        <w:rPr/>
        <w:t>Algunas otras contribuciones que pueden destacarse incluyen estudios enfocados en actividades específicas y sus consecuencias socioambientales. Entre ellos pueden mencionarse algunos que se ocupan de los casos de la biopiratería y los impactos de la exploración petrolera (The Ecumenical Coalition for Environmental Justice, 2000; Vicente, 2002; Oilwatch, 2005).</w:t>
      </w:r>
    </w:p>
    <w:p>
      <w:pPr>
        <w:spacing w:after="0" w:line="360" w:lineRule="auto"/>
        <w:jc w:val="both"/>
        <w:sectPr>
          <w:pgSz w:w="12240" w:h="15840"/>
          <w:pgMar w:header="0" w:footer="1330" w:top="1500" w:bottom="1580" w:left="1260" w:right="1320"/>
        </w:sectPr>
      </w:pPr>
    </w:p>
    <w:p>
      <w:pPr>
        <w:pStyle w:val="BodyText"/>
        <w:spacing w:line="360" w:lineRule="auto" w:before="107"/>
        <w:ind w:left="180" w:right="114"/>
        <w:jc w:val="both"/>
      </w:pPr>
      <w:r>
        <w:rPr/>
        <w:t>De todo este desarrollo en publicaciones pueden sintetizarse algunas tendencias y descomponerse</w:t>
      </w:r>
      <w:r>
        <w:rPr>
          <w:spacing w:val="-19"/>
        </w:rPr>
        <w:t> </w:t>
      </w:r>
      <w:r>
        <w:rPr/>
        <w:t>el</w:t>
      </w:r>
      <w:r>
        <w:rPr>
          <w:spacing w:val="-18"/>
        </w:rPr>
        <w:t> </w:t>
      </w:r>
      <w:r>
        <w:rPr/>
        <w:t>concepto</w:t>
      </w:r>
      <w:r>
        <w:rPr>
          <w:spacing w:val="-16"/>
        </w:rPr>
        <w:t> </w:t>
      </w:r>
      <w:r>
        <w:rPr/>
        <w:t>conforme</w:t>
      </w:r>
      <w:r>
        <w:rPr>
          <w:spacing w:val="-19"/>
        </w:rPr>
        <w:t> </w:t>
      </w:r>
      <w:r>
        <w:rPr/>
        <w:t>se</w:t>
      </w:r>
      <w:r>
        <w:rPr>
          <w:spacing w:val="-19"/>
        </w:rPr>
        <w:t> </w:t>
      </w:r>
      <w:r>
        <w:rPr/>
        <w:t>observa</w:t>
      </w:r>
      <w:r>
        <w:rPr>
          <w:spacing w:val="-18"/>
        </w:rPr>
        <w:t> </w:t>
      </w:r>
      <w:r>
        <w:rPr/>
        <w:t>en</w:t>
      </w:r>
      <w:r>
        <w:rPr>
          <w:spacing w:val="-19"/>
        </w:rPr>
        <w:t> </w:t>
      </w:r>
      <w:r>
        <w:rPr/>
        <w:t>la</w:t>
      </w:r>
      <w:r>
        <w:rPr>
          <w:spacing w:val="-18"/>
        </w:rPr>
        <w:t> </w:t>
      </w:r>
      <w:r>
        <w:rPr/>
        <w:t>Figura</w:t>
      </w:r>
      <w:r>
        <w:rPr>
          <w:spacing w:val="-19"/>
        </w:rPr>
        <w:t> </w:t>
      </w:r>
      <w:r>
        <w:rPr/>
        <w:t>19</w:t>
      </w:r>
      <w:r>
        <w:rPr>
          <w:spacing w:val="-17"/>
        </w:rPr>
        <w:t> </w:t>
      </w:r>
      <w:r>
        <w:rPr/>
        <w:t>con</w:t>
      </w:r>
      <w:r>
        <w:rPr>
          <w:spacing w:val="-18"/>
        </w:rPr>
        <w:t> </w:t>
      </w:r>
      <w:r>
        <w:rPr/>
        <w:t>la</w:t>
      </w:r>
      <w:r>
        <w:rPr>
          <w:spacing w:val="-19"/>
        </w:rPr>
        <w:t> </w:t>
      </w:r>
      <w:r>
        <w:rPr/>
        <w:t>ayuda</w:t>
      </w:r>
      <w:r>
        <w:rPr>
          <w:spacing w:val="-18"/>
        </w:rPr>
        <w:t> </w:t>
      </w:r>
      <w:r>
        <w:rPr/>
        <w:t>de</w:t>
      </w:r>
      <w:r>
        <w:rPr>
          <w:spacing w:val="-19"/>
        </w:rPr>
        <w:t> </w:t>
      </w:r>
      <w:r>
        <w:rPr/>
        <w:t>Villalba (2008).</w:t>
      </w:r>
      <w:r>
        <w:rPr>
          <w:spacing w:val="-6"/>
        </w:rPr>
        <w:t> </w:t>
      </w:r>
      <w:r>
        <w:rPr/>
        <w:t>Primeramente,</w:t>
      </w:r>
      <w:r>
        <w:rPr>
          <w:spacing w:val="-3"/>
        </w:rPr>
        <w:t> </w:t>
      </w:r>
      <w:r>
        <w:rPr/>
        <w:t>cabe</w:t>
      </w:r>
      <w:r>
        <w:rPr>
          <w:spacing w:val="-9"/>
        </w:rPr>
        <w:t> </w:t>
      </w:r>
      <w:r>
        <w:rPr/>
        <w:t>estar</w:t>
      </w:r>
      <w:r>
        <w:rPr>
          <w:spacing w:val="-6"/>
        </w:rPr>
        <w:t> </w:t>
      </w:r>
      <w:r>
        <w:rPr/>
        <w:t>de</w:t>
      </w:r>
      <w:r>
        <w:rPr>
          <w:spacing w:val="-8"/>
        </w:rPr>
        <w:t> </w:t>
      </w:r>
      <w:r>
        <w:rPr/>
        <w:t>acuerdo</w:t>
      </w:r>
      <w:r>
        <w:rPr>
          <w:spacing w:val="-8"/>
        </w:rPr>
        <w:t> </w:t>
      </w:r>
      <w:r>
        <w:rPr/>
        <w:t>con</w:t>
      </w:r>
      <w:r>
        <w:rPr>
          <w:spacing w:val="-8"/>
        </w:rPr>
        <w:t> </w:t>
      </w:r>
      <w:r>
        <w:rPr/>
        <w:t>su</w:t>
      </w:r>
      <w:r>
        <w:rPr>
          <w:spacing w:val="-9"/>
        </w:rPr>
        <w:t> </w:t>
      </w:r>
      <w:r>
        <w:rPr/>
        <w:t>aseveración</w:t>
      </w:r>
      <w:r>
        <w:rPr>
          <w:spacing w:val="-8"/>
        </w:rPr>
        <w:t> </w:t>
      </w:r>
      <w:r>
        <w:rPr/>
        <w:t>de</w:t>
      </w:r>
      <w:r>
        <w:rPr>
          <w:spacing w:val="-8"/>
        </w:rPr>
        <w:t> </w:t>
      </w:r>
      <w:r>
        <w:rPr/>
        <w:t>que</w:t>
      </w:r>
      <w:r>
        <w:rPr>
          <w:spacing w:val="-5"/>
        </w:rPr>
        <w:t> </w:t>
      </w:r>
      <w:r>
        <w:rPr/>
        <w:t>el</w:t>
      </w:r>
      <w:r>
        <w:rPr>
          <w:spacing w:val="-5"/>
        </w:rPr>
        <w:t> </w:t>
      </w:r>
      <w:r>
        <w:rPr/>
        <w:t>concepto</w:t>
      </w:r>
      <w:r>
        <w:rPr>
          <w:spacing w:val="-8"/>
        </w:rPr>
        <w:t> </w:t>
      </w:r>
      <w:r>
        <w:rPr/>
        <w:t>de Deuda Ecológica es definitivamente un concepto en</w:t>
      </w:r>
      <w:r>
        <w:rPr>
          <w:spacing w:val="-9"/>
        </w:rPr>
        <w:t> </w:t>
      </w:r>
      <w:r>
        <w:rPr/>
        <w:t>construcción.</w:t>
      </w:r>
    </w:p>
    <w:p>
      <w:pPr>
        <w:pStyle w:val="BodyText"/>
        <w:spacing w:line="360" w:lineRule="auto" w:before="201"/>
        <w:ind w:left="180" w:right="119"/>
        <w:jc w:val="both"/>
      </w:pPr>
      <w:r>
        <w:rPr/>
        <w:drawing>
          <wp:anchor distT="0" distB="0" distL="0" distR="0" allowOverlap="1" layoutInCell="1" locked="0" behindDoc="1" simplePos="0" relativeHeight="473288704">
            <wp:simplePos x="0" y="0"/>
            <wp:positionH relativeFrom="page">
              <wp:posOffset>914400</wp:posOffset>
            </wp:positionH>
            <wp:positionV relativeFrom="paragraph">
              <wp:posOffset>1409895</wp:posOffset>
            </wp:positionV>
            <wp:extent cx="5923915" cy="4168526"/>
            <wp:effectExtent l="0" t="0" r="0" b="0"/>
            <wp:wrapNone/>
            <wp:docPr id="47" name="image49.png"/>
            <wp:cNvGraphicFramePr>
              <a:graphicFrameLocks noChangeAspect="1"/>
            </wp:cNvGraphicFramePr>
            <a:graphic>
              <a:graphicData uri="http://schemas.openxmlformats.org/drawingml/2006/picture">
                <pic:pic>
                  <pic:nvPicPr>
                    <pic:cNvPr id="48" name="image49.png"/>
                    <pic:cNvPicPr/>
                  </pic:nvPicPr>
                  <pic:blipFill>
                    <a:blip r:embed="rId66" cstate="print"/>
                    <a:stretch>
                      <a:fillRect/>
                    </a:stretch>
                  </pic:blipFill>
                  <pic:spPr>
                    <a:xfrm>
                      <a:off x="0" y="0"/>
                      <a:ext cx="5923915" cy="4168526"/>
                    </a:xfrm>
                    <a:prstGeom prst="rect">
                      <a:avLst/>
                    </a:prstGeom>
                  </pic:spPr>
                </pic:pic>
              </a:graphicData>
            </a:graphic>
          </wp:anchor>
        </w:drawing>
      </w:r>
      <w:r>
        <w:rPr/>
        <w:t>Reconoce el autor como una de las definiciones básicas la del Centro de Difusión de la Deuda</w:t>
      </w:r>
      <w:r>
        <w:rPr>
          <w:spacing w:val="-16"/>
        </w:rPr>
        <w:t> </w:t>
      </w:r>
      <w:r>
        <w:rPr/>
        <w:t>Ecológica</w:t>
      </w:r>
      <w:r>
        <w:rPr>
          <w:spacing w:val="-15"/>
        </w:rPr>
        <w:t> </w:t>
      </w:r>
      <w:r>
        <w:rPr/>
        <w:t>del</w:t>
      </w:r>
      <w:r>
        <w:rPr>
          <w:spacing w:val="-15"/>
        </w:rPr>
        <w:t> </w:t>
      </w:r>
      <w:r>
        <w:rPr/>
        <w:t>Observatorio</w:t>
      </w:r>
      <w:r>
        <w:rPr>
          <w:spacing w:val="-16"/>
        </w:rPr>
        <w:t> </w:t>
      </w:r>
      <w:r>
        <w:rPr/>
        <w:t>de</w:t>
      </w:r>
      <w:r>
        <w:rPr>
          <w:spacing w:val="-16"/>
        </w:rPr>
        <w:t> </w:t>
      </w:r>
      <w:r>
        <w:rPr/>
        <w:t>la</w:t>
      </w:r>
      <w:r>
        <w:rPr>
          <w:spacing w:val="-16"/>
        </w:rPr>
        <w:t> </w:t>
      </w:r>
      <w:r>
        <w:rPr/>
        <w:t>Deuda</w:t>
      </w:r>
      <w:r>
        <w:rPr>
          <w:spacing w:val="-15"/>
        </w:rPr>
        <w:t> </w:t>
      </w:r>
      <w:r>
        <w:rPr/>
        <w:t>en</w:t>
      </w:r>
      <w:r>
        <w:rPr>
          <w:spacing w:val="-12"/>
        </w:rPr>
        <w:t> </w:t>
      </w:r>
      <w:r>
        <w:rPr/>
        <w:t>la</w:t>
      </w:r>
      <w:r>
        <w:rPr>
          <w:spacing w:val="-16"/>
        </w:rPr>
        <w:t> </w:t>
      </w:r>
      <w:r>
        <w:rPr/>
        <w:t>Globalización</w:t>
      </w:r>
      <w:r>
        <w:rPr>
          <w:spacing w:val="-11"/>
        </w:rPr>
        <w:t> </w:t>
      </w:r>
      <w:r>
        <w:rPr/>
        <w:t>(Colectivo</w:t>
      </w:r>
      <w:r>
        <w:rPr>
          <w:spacing w:val="-16"/>
        </w:rPr>
        <w:t> </w:t>
      </w:r>
      <w:r>
        <w:rPr/>
        <w:t>de</w:t>
      </w:r>
      <w:r>
        <w:rPr>
          <w:spacing w:val="-16"/>
        </w:rPr>
        <w:t> </w:t>
      </w:r>
      <w:r>
        <w:rPr/>
        <w:t>Difusión de la Deuda Ecológica, 2003). En la Figura 19 le agregamos a la definición como componente adicional la contribución de Pengue (2008) del comercio ecológicamente desigual.</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spacing w:before="172"/>
        <w:ind w:left="92" w:right="112" w:firstLine="0"/>
        <w:jc w:val="center"/>
        <w:rPr>
          <w:i/>
          <w:sz w:val="20"/>
        </w:rPr>
      </w:pPr>
      <w:r>
        <w:rPr>
          <w:i/>
          <w:sz w:val="20"/>
        </w:rPr>
        <w:t>Figura 19- Descomposición del concepto de Deuda Ecológica de la CDE (2003) y Pengue (2008).</w:t>
      </w:r>
    </w:p>
    <w:p>
      <w:pPr>
        <w:spacing w:before="122"/>
        <w:ind w:left="166" w:right="112" w:firstLine="0"/>
        <w:jc w:val="center"/>
        <w:rPr>
          <w:i/>
          <w:sz w:val="20"/>
        </w:rPr>
      </w:pPr>
      <w:r>
        <w:rPr>
          <w:i/>
          <w:sz w:val="20"/>
        </w:rPr>
        <w:t>Fuente: Aguilar González (2013).</w:t>
      </w:r>
    </w:p>
    <w:p>
      <w:pPr>
        <w:pStyle w:val="BodyText"/>
        <w:spacing w:before="6"/>
        <w:rPr>
          <w:i/>
          <w:sz w:val="27"/>
        </w:rPr>
      </w:pPr>
    </w:p>
    <w:p>
      <w:pPr>
        <w:pStyle w:val="BodyText"/>
        <w:spacing w:line="360" w:lineRule="auto"/>
        <w:ind w:left="180" w:right="122"/>
        <w:jc w:val="both"/>
      </w:pPr>
      <w:r>
        <w:rPr/>
        <w:t>Conforme</w:t>
      </w:r>
      <w:r>
        <w:rPr>
          <w:spacing w:val="-3"/>
        </w:rPr>
        <w:t> </w:t>
      </w:r>
      <w:r>
        <w:rPr/>
        <w:t>se</w:t>
      </w:r>
      <w:r>
        <w:rPr>
          <w:spacing w:val="-7"/>
        </w:rPr>
        <w:t> </w:t>
      </w:r>
      <w:r>
        <w:rPr/>
        <w:t>puede</w:t>
      </w:r>
      <w:r>
        <w:rPr>
          <w:spacing w:val="-7"/>
        </w:rPr>
        <w:t> </w:t>
      </w:r>
      <w:r>
        <w:rPr/>
        <w:t>observar,</w:t>
      </w:r>
      <w:r>
        <w:rPr>
          <w:spacing w:val="-4"/>
        </w:rPr>
        <w:t> </w:t>
      </w:r>
      <w:r>
        <w:rPr/>
        <w:t>la</w:t>
      </w:r>
      <w:r>
        <w:rPr>
          <w:spacing w:val="-7"/>
        </w:rPr>
        <w:t> </w:t>
      </w:r>
      <w:r>
        <w:rPr/>
        <w:t>primera</w:t>
      </w:r>
      <w:r>
        <w:rPr>
          <w:spacing w:val="-6"/>
        </w:rPr>
        <w:t> </w:t>
      </w:r>
      <w:r>
        <w:rPr/>
        <w:t>parte</w:t>
      </w:r>
      <w:r>
        <w:rPr>
          <w:spacing w:val="-3"/>
        </w:rPr>
        <w:t> </w:t>
      </w:r>
      <w:r>
        <w:rPr/>
        <w:t>del</w:t>
      </w:r>
      <w:r>
        <w:rPr>
          <w:spacing w:val="-6"/>
        </w:rPr>
        <w:t> </w:t>
      </w:r>
      <w:r>
        <w:rPr/>
        <w:t>concepto</w:t>
      </w:r>
      <w:r>
        <w:rPr>
          <w:spacing w:val="-7"/>
        </w:rPr>
        <w:t> </w:t>
      </w:r>
      <w:r>
        <w:rPr/>
        <w:t>se</w:t>
      </w:r>
      <w:r>
        <w:rPr>
          <w:spacing w:val="-3"/>
        </w:rPr>
        <w:t> </w:t>
      </w:r>
      <w:r>
        <w:rPr/>
        <w:t>ocupa</w:t>
      </w:r>
      <w:r>
        <w:rPr>
          <w:spacing w:val="-7"/>
        </w:rPr>
        <w:t> </w:t>
      </w:r>
      <w:r>
        <w:rPr/>
        <w:t>de</w:t>
      </w:r>
      <w:r>
        <w:rPr>
          <w:spacing w:val="-6"/>
        </w:rPr>
        <w:t> </w:t>
      </w:r>
      <w:r>
        <w:rPr/>
        <w:t>la</w:t>
      </w:r>
      <w:r>
        <w:rPr>
          <w:spacing w:val="-7"/>
        </w:rPr>
        <w:t> </w:t>
      </w:r>
      <w:r>
        <w:rPr/>
        <w:t>definición</w:t>
      </w:r>
      <w:r>
        <w:rPr>
          <w:spacing w:val="-3"/>
        </w:rPr>
        <w:t> </w:t>
      </w:r>
      <w:r>
        <w:rPr/>
        <w:t>de las</w:t>
      </w:r>
      <w:r>
        <w:rPr>
          <w:spacing w:val="-18"/>
        </w:rPr>
        <w:t> </w:t>
      </w:r>
      <w:r>
        <w:rPr/>
        <w:t>partes</w:t>
      </w:r>
      <w:r>
        <w:rPr>
          <w:spacing w:val="-17"/>
        </w:rPr>
        <w:t> </w:t>
      </w:r>
      <w:r>
        <w:rPr/>
        <w:t>involucradas</w:t>
      </w:r>
      <w:r>
        <w:rPr>
          <w:spacing w:val="-18"/>
        </w:rPr>
        <w:t> </w:t>
      </w:r>
      <w:r>
        <w:rPr/>
        <w:t>en</w:t>
      </w:r>
      <w:r>
        <w:rPr>
          <w:spacing w:val="-19"/>
        </w:rPr>
        <w:t> </w:t>
      </w:r>
      <w:r>
        <w:rPr/>
        <w:t>la</w:t>
      </w:r>
      <w:r>
        <w:rPr>
          <w:spacing w:val="-20"/>
        </w:rPr>
        <w:t> </w:t>
      </w:r>
      <w:r>
        <w:rPr/>
        <w:t>relación.</w:t>
      </w:r>
      <w:r>
        <w:rPr>
          <w:spacing w:val="-16"/>
        </w:rPr>
        <w:t> </w:t>
      </w:r>
      <w:r>
        <w:rPr/>
        <w:t>Se</w:t>
      </w:r>
      <w:r>
        <w:rPr>
          <w:spacing w:val="-20"/>
        </w:rPr>
        <w:t> </w:t>
      </w:r>
      <w:r>
        <w:rPr/>
        <w:t>pasa</w:t>
      </w:r>
      <w:r>
        <w:rPr>
          <w:spacing w:val="-19"/>
        </w:rPr>
        <w:t> </w:t>
      </w:r>
      <w:r>
        <w:rPr/>
        <w:t>inmediatamente</w:t>
      </w:r>
      <w:r>
        <w:rPr>
          <w:spacing w:val="-19"/>
        </w:rPr>
        <w:t> </w:t>
      </w:r>
      <w:r>
        <w:rPr/>
        <w:t>a</w:t>
      </w:r>
      <w:r>
        <w:rPr>
          <w:spacing w:val="-20"/>
        </w:rPr>
        <w:t> </w:t>
      </w:r>
      <w:r>
        <w:rPr/>
        <w:t>lo</w:t>
      </w:r>
      <w:r>
        <w:rPr>
          <w:spacing w:val="-19"/>
        </w:rPr>
        <w:t> </w:t>
      </w:r>
      <w:r>
        <w:rPr/>
        <w:t>que</w:t>
      </w:r>
      <w:r>
        <w:rPr>
          <w:spacing w:val="-19"/>
        </w:rPr>
        <w:t> </w:t>
      </w:r>
      <w:r>
        <w:rPr/>
        <w:t>se</w:t>
      </w:r>
      <w:r>
        <w:rPr>
          <w:spacing w:val="-20"/>
        </w:rPr>
        <w:t> </w:t>
      </w:r>
      <w:r>
        <w:rPr/>
        <w:t>podrían</w:t>
      </w:r>
      <w:r>
        <w:rPr>
          <w:spacing w:val="-19"/>
        </w:rPr>
        <w:t> </w:t>
      </w:r>
      <w:r>
        <w:rPr/>
        <w:t>llamar</w:t>
      </w:r>
    </w:p>
    <w:p>
      <w:pPr>
        <w:spacing w:after="0" w:line="360" w:lineRule="auto"/>
        <w:jc w:val="both"/>
        <w:sectPr>
          <w:pgSz w:w="12240" w:h="15840"/>
          <w:pgMar w:header="0" w:footer="1330" w:top="1500" w:bottom="1580" w:left="1260" w:right="1320"/>
        </w:sectPr>
      </w:pPr>
    </w:p>
    <w:p>
      <w:pPr>
        <w:pStyle w:val="BodyText"/>
        <w:spacing w:line="360" w:lineRule="auto" w:before="107"/>
        <w:ind w:left="180" w:right="122"/>
        <w:jc w:val="both"/>
      </w:pPr>
      <w:r>
        <w:rPr/>
        <w:t>elementos que éticamente justifican la exigibilidad de la deuda. Todos ellos parten de la imposición de condiciones de un grupo de países a otro en virtud de una relación asimétrica</w:t>
      </w:r>
      <w:r>
        <w:rPr>
          <w:spacing w:val="-14"/>
        </w:rPr>
        <w:t> </w:t>
      </w:r>
      <w:r>
        <w:rPr/>
        <w:t>de</w:t>
      </w:r>
      <w:r>
        <w:rPr>
          <w:spacing w:val="-13"/>
        </w:rPr>
        <w:t> </w:t>
      </w:r>
      <w:r>
        <w:rPr/>
        <w:t>poder</w:t>
      </w:r>
      <w:r>
        <w:rPr>
          <w:spacing w:val="-11"/>
        </w:rPr>
        <w:t> </w:t>
      </w:r>
      <w:r>
        <w:rPr/>
        <w:t>que</w:t>
      </w:r>
      <w:r>
        <w:rPr>
          <w:spacing w:val="-14"/>
        </w:rPr>
        <w:t> </w:t>
      </w:r>
      <w:r>
        <w:rPr/>
        <w:t>incluso</w:t>
      </w:r>
      <w:r>
        <w:rPr>
          <w:spacing w:val="-13"/>
        </w:rPr>
        <w:t> </w:t>
      </w:r>
      <w:r>
        <w:rPr/>
        <w:t>permite</w:t>
      </w:r>
      <w:r>
        <w:rPr>
          <w:spacing w:val="-13"/>
        </w:rPr>
        <w:t> </w:t>
      </w:r>
      <w:r>
        <w:rPr/>
        <w:t>la</w:t>
      </w:r>
      <w:r>
        <w:rPr>
          <w:spacing w:val="-13"/>
        </w:rPr>
        <w:t> </w:t>
      </w:r>
      <w:r>
        <w:rPr/>
        <w:t>utilización</w:t>
      </w:r>
      <w:r>
        <w:rPr>
          <w:spacing w:val="-14"/>
        </w:rPr>
        <w:t> </w:t>
      </w:r>
      <w:r>
        <w:rPr/>
        <w:t>arbitraria</w:t>
      </w:r>
      <w:r>
        <w:rPr>
          <w:spacing w:val="-13"/>
        </w:rPr>
        <w:t> </w:t>
      </w:r>
      <w:r>
        <w:rPr/>
        <w:t>de</w:t>
      </w:r>
      <w:r>
        <w:rPr>
          <w:spacing w:val="-13"/>
        </w:rPr>
        <w:t> </w:t>
      </w:r>
      <w:r>
        <w:rPr/>
        <w:t>los</w:t>
      </w:r>
      <w:r>
        <w:rPr>
          <w:spacing w:val="-12"/>
        </w:rPr>
        <w:t> </w:t>
      </w:r>
      <w:r>
        <w:rPr/>
        <w:t>espacios</w:t>
      </w:r>
      <w:r>
        <w:rPr>
          <w:spacing w:val="-11"/>
        </w:rPr>
        <w:t> </w:t>
      </w:r>
      <w:r>
        <w:rPr/>
        <w:t>comunes.</w:t>
      </w:r>
    </w:p>
    <w:p>
      <w:pPr>
        <w:pStyle w:val="BodyText"/>
        <w:spacing w:line="360" w:lineRule="auto" w:before="203"/>
        <w:ind w:left="180" w:right="115"/>
        <w:jc w:val="both"/>
      </w:pPr>
      <w:r>
        <w:rPr/>
        <w:t>El</w:t>
      </w:r>
      <w:r>
        <w:rPr>
          <w:spacing w:val="-21"/>
        </w:rPr>
        <w:t> </w:t>
      </w:r>
      <w:r>
        <w:rPr/>
        <w:t>trabajo</w:t>
      </w:r>
      <w:r>
        <w:rPr>
          <w:spacing w:val="-17"/>
        </w:rPr>
        <w:t> </w:t>
      </w:r>
      <w:r>
        <w:rPr/>
        <w:t>del</w:t>
      </w:r>
      <w:r>
        <w:rPr>
          <w:spacing w:val="-19"/>
        </w:rPr>
        <w:t> </w:t>
      </w:r>
      <w:r>
        <w:rPr/>
        <w:t>Colectivo</w:t>
      </w:r>
      <w:r>
        <w:rPr>
          <w:spacing w:val="-20"/>
        </w:rPr>
        <w:t> </w:t>
      </w:r>
      <w:r>
        <w:rPr/>
        <w:t>de</w:t>
      </w:r>
      <w:r>
        <w:rPr>
          <w:spacing w:val="-21"/>
        </w:rPr>
        <w:t> </w:t>
      </w:r>
      <w:r>
        <w:rPr/>
        <w:t>Difusión</w:t>
      </w:r>
      <w:r>
        <w:rPr>
          <w:spacing w:val="-20"/>
        </w:rPr>
        <w:t> </w:t>
      </w:r>
      <w:r>
        <w:rPr/>
        <w:t>de</w:t>
      </w:r>
      <w:r>
        <w:rPr>
          <w:spacing w:val="-20"/>
        </w:rPr>
        <w:t> </w:t>
      </w:r>
      <w:r>
        <w:rPr/>
        <w:t>la</w:t>
      </w:r>
      <w:r>
        <w:rPr>
          <w:spacing w:val="-19"/>
        </w:rPr>
        <w:t> </w:t>
      </w:r>
      <w:r>
        <w:rPr/>
        <w:t>Deuda</w:t>
      </w:r>
      <w:r>
        <w:rPr>
          <w:spacing w:val="-20"/>
        </w:rPr>
        <w:t> </w:t>
      </w:r>
      <w:r>
        <w:rPr/>
        <w:t>Ecológica</w:t>
      </w:r>
      <w:r>
        <w:rPr>
          <w:spacing w:val="-20"/>
        </w:rPr>
        <w:t> </w:t>
      </w:r>
      <w:r>
        <w:rPr/>
        <w:t>(CDE)</w:t>
      </w:r>
      <w:r>
        <w:rPr>
          <w:spacing w:val="-18"/>
        </w:rPr>
        <w:t> </w:t>
      </w:r>
      <w:r>
        <w:rPr/>
        <w:t>denomina</w:t>
      </w:r>
      <w:r>
        <w:rPr>
          <w:spacing w:val="-21"/>
        </w:rPr>
        <w:t> </w:t>
      </w:r>
      <w:r>
        <w:rPr/>
        <w:t>componentes a la biopiratería, los pasivos ambientales, la deuda de carbono y la exportación de residuos</w:t>
      </w:r>
      <w:r>
        <w:rPr>
          <w:spacing w:val="-11"/>
        </w:rPr>
        <w:t> </w:t>
      </w:r>
      <w:r>
        <w:rPr/>
        <w:t>tóxicos.</w:t>
      </w:r>
      <w:r>
        <w:rPr>
          <w:spacing w:val="-9"/>
        </w:rPr>
        <w:t> </w:t>
      </w:r>
      <w:r>
        <w:rPr/>
        <w:t>Al</w:t>
      </w:r>
      <w:r>
        <w:rPr>
          <w:spacing w:val="-12"/>
        </w:rPr>
        <w:t> </w:t>
      </w:r>
      <w:r>
        <w:rPr/>
        <w:t>parecer</w:t>
      </w:r>
      <w:r>
        <w:rPr>
          <w:spacing w:val="-10"/>
        </w:rPr>
        <w:t> </w:t>
      </w:r>
      <w:r>
        <w:rPr/>
        <w:t>la</w:t>
      </w:r>
      <w:r>
        <w:rPr>
          <w:spacing w:val="-12"/>
        </w:rPr>
        <w:t> </w:t>
      </w:r>
      <w:r>
        <w:rPr/>
        <w:t>enumeración</w:t>
      </w:r>
      <w:r>
        <w:rPr>
          <w:spacing w:val="-8"/>
        </w:rPr>
        <w:t> </w:t>
      </w:r>
      <w:r>
        <w:rPr/>
        <w:t>de</w:t>
      </w:r>
      <w:r>
        <w:rPr>
          <w:spacing w:val="-8"/>
        </w:rPr>
        <w:t> </w:t>
      </w:r>
      <w:r>
        <w:rPr/>
        <w:t>estos</w:t>
      </w:r>
      <w:r>
        <w:rPr>
          <w:spacing w:val="-11"/>
        </w:rPr>
        <w:t> </w:t>
      </w:r>
      <w:r>
        <w:rPr/>
        <w:t>componentes</w:t>
      </w:r>
      <w:r>
        <w:rPr>
          <w:spacing w:val="-10"/>
        </w:rPr>
        <w:t> </w:t>
      </w:r>
      <w:r>
        <w:rPr/>
        <w:t>parte</w:t>
      </w:r>
      <w:r>
        <w:rPr>
          <w:spacing w:val="-12"/>
        </w:rPr>
        <w:t> </w:t>
      </w:r>
      <w:r>
        <w:rPr/>
        <w:t>de</w:t>
      </w:r>
      <w:r>
        <w:rPr>
          <w:spacing w:val="-4"/>
        </w:rPr>
        <w:t> </w:t>
      </w:r>
      <w:r>
        <w:rPr/>
        <w:t>ser</w:t>
      </w:r>
      <w:r>
        <w:rPr>
          <w:spacing w:val="-10"/>
        </w:rPr>
        <w:t> </w:t>
      </w:r>
      <w:r>
        <w:rPr/>
        <w:t>una</w:t>
      </w:r>
      <w:r>
        <w:rPr>
          <w:spacing w:val="-9"/>
        </w:rPr>
        <w:t> </w:t>
      </w:r>
      <w:r>
        <w:rPr/>
        <w:t>lista no</w:t>
      </w:r>
      <w:r>
        <w:rPr>
          <w:spacing w:val="-14"/>
        </w:rPr>
        <w:t> </w:t>
      </w:r>
      <w:r>
        <w:rPr/>
        <w:t>taxativa</w:t>
      </w:r>
      <w:r>
        <w:rPr>
          <w:spacing w:val="-15"/>
        </w:rPr>
        <w:t> </w:t>
      </w:r>
      <w:r>
        <w:rPr/>
        <w:t>sino</w:t>
      </w:r>
      <w:r>
        <w:rPr>
          <w:spacing w:val="-14"/>
        </w:rPr>
        <w:t> </w:t>
      </w:r>
      <w:r>
        <w:rPr/>
        <w:t>abierta</w:t>
      </w:r>
      <w:r>
        <w:rPr>
          <w:spacing w:val="-10"/>
        </w:rPr>
        <w:t> </w:t>
      </w:r>
      <w:r>
        <w:rPr/>
        <w:t>en</w:t>
      </w:r>
      <w:r>
        <w:rPr>
          <w:spacing w:val="-14"/>
        </w:rPr>
        <w:t> </w:t>
      </w:r>
      <w:r>
        <w:rPr/>
        <w:t>tanto</w:t>
      </w:r>
      <w:r>
        <w:rPr>
          <w:spacing w:val="-14"/>
        </w:rPr>
        <w:t> </w:t>
      </w:r>
      <w:r>
        <w:rPr/>
        <w:t>constituyen</w:t>
      </w:r>
      <w:r>
        <w:rPr>
          <w:spacing w:val="-14"/>
        </w:rPr>
        <w:t> </w:t>
      </w:r>
      <w:r>
        <w:rPr/>
        <w:t>estos</w:t>
      </w:r>
      <w:r>
        <w:rPr>
          <w:spacing w:val="-12"/>
        </w:rPr>
        <w:t> </w:t>
      </w:r>
      <w:r>
        <w:rPr/>
        <w:t>componentes</w:t>
      </w:r>
      <w:r>
        <w:rPr>
          <w:spacing w:val="-12"/>
        </w:rPr>
        <w:t> </w:t>
      </w:r>
      <w:r>
        <w:rPr/>
        <w:t>los</w:t>
      </w:r>
      <w:r>
        <w:rPr>
          <w:spacing w:val="-12"/>
        </w:rPr>
        <w:t> </w:t>
      </w:r>
      <w:r>
        <w:rPr/>
        <w:t>“ejemplos</w:t>
      </w:r>
      <w:r>
        <w:rPr>
          <w:spacing w:val="-12"/>
        </w:rPr>
        <w:t> </w:t>
      </w:r>
      <w:r>
        <w:rPr/>
        <w:t>históricos” que mayor documentación han recibido en diversas latitudes del mundo al momento de formularse la</w:t>
      </w:r>
      <w:r>
        <w:rPr>
          <w:spacing w:val="-3"/>
        </w:rPr>
        <w:t> </w:t>
      </w:r>
      <w:r>
        <w:rPr/>
        <w:t>definición.</w:t>
      </w:r>
    </w:p>
    <w:p>
      <w:pPr>
        <w:pStyle w:val="BodyText"/>
        <w:spacing w:line="360" w:lineRule="auto" w:before="200"/>
        <w:ind w:left="180" w:right="118"/>
        <w:jc w:val="both"/>
      </w:pPr>
      <w:r>
        <w:rPr/>
        <w:t>De especial interés para este trabajo es el pasivo ambiental, definido como el conjunto de los daños ambientales, en términos de contaminación del agua, del suelo, del aire, del</w:t>
      </w:r>
      <w:r>
        <w:rPr>
          <w:spacing w:val="-12"/>
        </w:rPr>
        <w:t> </w:t>
      </w:r>
      <w:r>
        <w:rPr/>
        <w:t>deterioro</w:t>
      </w:r>
      <w:r>
        <w:rPr>
          <w:spacing w:val="-12"/>
        </w:rPr>
        <w:t> </w:t>
      </w:r>
      <w:r>
        <w:rPr/>
        <w:t>de</w:t>
      </w:r>
      <w:r>
        <w:rPr>
          <w:spacing w:val="-12"/>
        </w:rPr>
        <w:t> </w:t>
      </w:r>
      <w:r>
        <w:rPr/>
        <w:t>los</w:t>
      </w:r>
      <w:r>
        <w:rPr>
          <w:spacing w:val="-10"/>
        </w:rPr>
        <w:t> </w:t>
      </w:r>
      <w:r>
        <w:rPr/>
        <w:t>recursos</w:t>
      </w:r>
      <w:r>
        <w:rPr>
          <w:spacing w:val="-6"/>
        </w:rPr>
        <w:t> </w:t>
      </w:r>
      <w:r>
        <w:rPr/>
        <w:t>y</w:t>
      </w:r>
      <w:r>
        <w:rPr>
          <w:spacing w:val="-14"/>
        </w:rPr>
        <w:t> </w:t>
      </w:r>
      <w:r>
        <w:rPr/>
        <w:t>de</w:t>
      </w:r>
      <w:r>
        <w:rPr>
          <w:spacing w:val="-12"/>
        </w:rPr>
        <w:t> </w:t>
      </w:r>
      <w:r>
        <w:rPr/>
        <w:t>los</w:t>
      </w:r>
      <w:r>
        <w:rPr>
          <w:spacing w:val="-11"/>
        </w:rPr>
        <w:t> </w:t>
      </w:r>
      <w:r>
        <w:rPr/>
        <w:t>ecosistemas,</w:t>
      </w:r>
      <w:r>
        <w:rPr>
          <w:spacing w:val="-9"/>
        </w:rPr>
        <w:t> </w:t>
      </w:r>
      <w:r>
        <w:rPr/>
        <w:t>producidos</w:t>
      </w:r>
      <w:r>
        <w:rPr>
          <w:spacing w:val="-10"/>
        </w:rPr>
        <w:t> </w:t>
      </w:r>
      <w:r>
        <w:rPr/>
        <w:t>por</w:t>
      </w:r>
      <w:r>
        <w:rPr>
          <w:spacing w:val="-10"/>
        </w:rPr>
        <w:t> </w:t>
      </w:r>
      <w:r>
        <w:rPr/>
        <w:t>una</w:t>
      </w:r>
      <w:r>
        <w:rPr>
          <w:spacing w:val="-9"/>
        </w:rPr>
        <w:t> </w:t>
      </w:r>
      <w:r>
        <w:rPr/>
        <w:t>empresa,</w:t>
      </w:r>
      <w:r>
        <w:rPr>
          <w:spacing w:val="-9"/>
        </w:rPr>
        <w:t> </w:t>
      </w:r>
      <w:r>
        <w:rPr/>
        <w:t>durante su funcionamiento ordinario o por accidentes imprevistos, a lo largo de su historia (Colectivo de Difusión de la Deuda Ecológica,</w:t>
      </w:r>
      <w:r>
        <w:rPr>
          <w:spacing w:val="-8"/>
        </w:rPr>
        <w:t> </w:t>
      </w:r>
      <w:r>
        <w:rPr/>
        <w:t>2003).</w:t>
      </w:r>
    </w:p>
    <w:p>
      <w:pPr>
        <w:pStyle w:val="BodyText"/>
        <w:spacing w:line="360" w:lineRule="auto" w:before="199"/>
        <w:ind w:left="180" w:right="116"/>
        <w:jc w:val="both"/>
      </w:pPr>
      <w:r>
        <w:rPr/>
        <w:t>Ahora bien, Villalba también nos presenta dos definiciones más. Una que relaciona el equivalente monetario del déficit ecológico, siendo este último la diferencia entre la Huella Ecológica y la biocapacidad de cada país. De estas diferencias, sugiere que se derivan las implicaciones respecto a la justicia, la sostenibilidad y los derechos (Villalba, 2008). Introduce como factor importante la idea de cuantificación por vía de una combinación de varios lenguajes de valoración con el fin de determinar un nivel de “comparabilidad”</w:t>
      </w:r>
      <w:r>
        <w:rPr>
          <w:spacing w:val="-7"/>
        </w:rPr>
        <w:t> </w:t>
      </w:r>
      <w:r>
        <w:rPr/>
        <w:t>que</w:t>
      </w:r>
      <w:r>
        <w:rPr>
          <w:spacing w:val="-8"/>
        </w:rPr>
        <w:t> </w:t>
      </w:r>
      <w:r>
        <w:rPr/>
        <w:t>sugiere</w:t>
      </w:r>
      <w:r>
        <w:rPr>
          <w:spacing w:val="-8"/>
        </w:rPr>
        <w:t> </w:t>
      </w:r>
      <w:r>
        <w:rPr/>
        <w:t>soluciones</w:t>
      </w:r>
      <w:r>
        <w:rPr>
          <w:spacing w:val="-7"/>
        </w:rPr>
        <w:t> </w:t>
      </w:r>
      <w:r>
        <w:rPr/>
        <w:t>por</w:t>
      </w:r>
      <w:r>
        <w:rPr>
          <w:spacing w:val="-6"/>
        </w:rPr>
        <w:t> </w:t>
      </w:r>
      <w:r>
        <w:rPr/>
        <w:t>la</w:t>
      </w:r>
      <w:r>
        <w:rPr>
          <w:spacing w:val="-8"/>
        </w:rPr>
        <w:t> </w:t>
      </w:r>
      <w:r>
        <w:rPr/>
        <w:t>vía</w:t>
      </w:r>
      <w:r>
        <w:rPr>
          <w:spacing w:val="-8"/>
        </w:rPr>
        <w:t> </w:t>
      </w:r>
      <w:r>
        <w:rPr/>
        <w:t>de</w:t>
      </w:r>
      <w:r>
        <w:rPr>
          <w:spacing w:val="-9"/>
        </w:rPr>
        <w:t> </w:t>
      </w:r>
      <w:r>
        <w:rPr/>
        <w:t>la</w:t>
      </w:r>
      <w:r>
        <w:rPr>
          <w:spacing w:val="-8"/>
        </w:rPr>
        <w:t> </w:t>
      </w:r>
      <w:r>
        <w:rPr/>
        <w:t>compensación</w:t>
      </w:r>
      <w:r>
        <w:rPr>
          <w:spacing w:val="-8"/>
        </w:rPr>
        <w:t> </w:t>
      </w:r>
      <w:r>
        <w:rPr/>
        <w:t>monetaria</w:t>
      </w:r>
      <w:r>
        <w:rPr>
          <w:spacing w:val="-8"/>
        </w:rPr>
        <w:t> </w:t>
      </w:r>
      <w:r>
        <w:rPr/>
        <w:t>en</w:t>
      </w:r>
      <w:r>
        <w:rPr>
          <w:spacing w:val="-8"/>
        </w:rPr>
        <w:t> </w:t>
      </w:r>
      <w:r>
        <w:rPr/>
        <w:t>vía institucional. Ese respeto por la diversidad de lenguajes hace que su propuesta, desde la perspectiva de la Ecología Política, sea superior a otras propuestas que contemplan la</w:t>
      </w:r>
      <w:r>
        <w:rPr>
          <w:spacing w:val="-22"/>
        </w:rPr>
        <w:t> </w:t>
      </w:r>
      <w:r>
        <w:rPr/>
        <w:t>utilización</w:t>
      </w:r>
      <w:r>
        <w:rPr>
          <w:spacing w:val="-22"/>
        </w:rPr>
        <w:t> </w:t>
      </w:r>
      <w:r>
        <w:rPr/>
        <w:t>de</w:t>
      </w:r>
      <w:r>
        <w:rPr>
          <w:spacing w:val="-22"/>
        </w:rPr>
        <w:t> </w:t>
      </w:r>
      <w:r>
        <w:rPr/>
        <w:t>metodologías</w:t>
      </w:r>
      <w:r>
        <w:rPr>
          <w:spacing w:val="-20"/>
        </w:rPr>
        <w:t> </w:t>
      </w:r>
      <w:r>
        <w:rPr/>
        <w:t>prevalentemente</w:t>
      </w:r>
      <w:r>
        <w:rPr>
          <w:spacing w:val="-18"/>
        </w:rPr>
        <w:t> </w:t>
      </w:r>
      <w:r>
        <w:rPr/>
        <w:t>monetarias</w:t>
      </w:r>
      <w:r>
        <w:rPr>
          <w:spacing w:val="-16"/>
        </w:rPr>
        <w:t> </w:t>
      </w:r>
      <w:r>
        <w:rPr/>
        <w:t>(Instituto</w:t>
      </w:r>
      <w:r>
        <w:rPr>
          <w:spacing w:val="-18"/>
        </w:rPr>
        <w:t> </w:t>
      </w:r>
      <w:r>
        <w:rPr/>
        <w:t>de</w:t>
      </w:r>
      <w:r>
        <w:rPr>
          <w:spacing w:val="-22"/>
        </w:rPr>
        <w:t> </w:t>
      </w:r>
      <w:r>
        <w:rPr/>
        <w:t>Ecología</w:t>
      </w:r>
      <w:r>
        <w:rPr>
          <w:spacing w:val="-22"/>
        </w:rPr>
        <w:t> </w:t>
      </w:r>
      <w:r>
        <w:rPr/>
        <w:t>Política, s.f.)</w:t>
      </w:r>
    </w:p>
    <w:p>
      <w:pPr>
        <w:pStyle w:val="BodyText"/>
        <w:spacing w:line="360" w:lineRule="auto" w:before="203"/>
        <w:ind w:left="180" w:right="117"/>
        <w:jc w:val="both"/>
      </w:pPr>
      <w:r>
        <w:rPr/>
        <w:t>Ilustra Villalba su presentación con un cálculo comparativo de las huellas ecológicas en relación</w:t>
      </w:r>
      <w:r>
        <w:rPr>
          <w:spacing w:val="-5"/>
        </w:rPr>
        <w:t> </w:t>
      </w:r>
      <w:r>
        <w:rPr/>
        <w:t>a</w:t>
      </w:r>
      <w:r>
        <w:rPr>
          <w:spacing w:val="-5"/>
        </w:rPr>
        <w:t> </w:t>
      </w:r>
      <w:r>
        <w:rPr/>
        <w:t>la</w:t>
      </w:r>
      <w:r>
        <w:rPr>
          <w:spacing w:val="-5"/>
        </w:rPr>
        <w:t> </w:t>
      </w:r>
      <w:r>
        <w:rPr/>
        <w:t>biocapacidad</w:t>
      </w:r>
      <w:r>
        <w:rPr>
          <w:spacing w:val="-5"/>
        </w:rPr>
        <w:t> </w:t>
      </w:r>
      <w:r>
        <w:rPr/>
        <w:t>de</w:t>
      </w:r>
      <w:r>
        <w:rPr>
          <w:spacing w:val="-4"/>
        </w:rPr>
        <w:t> </w:t>
      </w:r>
      <w:r>
        <w:rPr/>
        <w:t>Canadá</w:t>
      </w:r>
      <w:r>
        <w:rPr>
          <w:spacing w:val="-5"/>
        </w:rPr>
        <w:t> </w:t>
      </w:r>
      <w:r>
        <w:rPr/>
        <w:t>y</w:t>
      </w:r>
      <w:r>
        <w:rPr>
          <w:spacing w:val="-8"/>
        </w:rPr>
        <w:t> </w:t>
      </w:r>
      <w:r>
        <w:rPr/>
        <w:t>de</w:t>
      </w:r>
      <w:r>
        <w:rPr>
          <w:spacing w:val="-5"/>
        </w:rPr>
        <w:t> </w:t>
      </w:r>
      <w:r>
        <w:rPr/>
        <w:t>Bangladesh,</w:t>
      </w:r>
      <w:r>
        <w:rPr>
          <w:spacing w:val="-3"/>
        </w:rPr>
        <w:t> </w:t>
      </w:r>
      <w:r>
        <w:rPr/>
        <w:t>concluyendo</w:t>
      </w:r>
      <w:r>
        <w:rPr>
          <w:spacing w:val="-4"/>
        </w:rPr>
        <w:t> </w:t>
      </w:r>
      <w:r>
        <w:rPr/>
        <w:t>que</w:t>
      </w:r>
      <w:r>
        <w:rPr>
          <w:spacing w:val="-5"/>
        </w:rPr>
        <w:t> </w:t>
      </w:r>
      <w:r>
        <w:rPr/>
        <w:t>Canadá</w:t>
      </w:r>
      <w:r>
        <w:rPr>
          <w:spacing w:val="-5"/>
        </w:rPr>
        <w:t> </w:t>
      </w:r>
      <w:r>
        <w:rPr/>
        <w:t>es</w:t>
      </w:r>
      <w:r>
        <w:rPr>
          <w:spacing w:val="-3"/>
        </w:rPr>
        <w:t> </w:t>
      </w:r>
      <w:r>
        <w:rPr/>
        <w:t>un país deudor y Bangladesh acreedor. Finaliza su presentación de definiciones con la</w:t>
      </w:r>
      <w:r>
        <w:rPr>
          <w:spacing w:val="40"/>
        </w:rPr>
        <w:t> </w:t>
      </w:r>
      <w:r>
        <w:rPr/>
        <w:t>del</w:t>
      </w:r>
    </w:p>
    <w:p>
      <w:pPr>
        <w:spacing w:after="0" w:line="360" w:lineRule="auto"/>
        <w:jc w:val="both"/>
        <w:sectPr>
          <w:pgSz w:w="12240" w:h="15840"/>
          <w:pgMar w:header="0" w:footer="1330" w:top="1500" w:bottom="1580" w:left="1260" w:right="1320"/>
        </w:sectPr>
      </w:pPr>
    </w:p>
    <w:p>
      <w:pPr>
        <w:pStyle w:val="BodyText"/>
        <w:spacing w:line="360" w:lineRule="auto" w:before="107"/>
        <w:ind w:left="180" w:right="114"/>
        <w:jc w:val="both"/>
      </w:pPr>
      <w:r>
        <w:rPr/>
        <w:t>Centro</w:t>
      </w:r>
      <w:r>
        <w:rPr>
          <w:spacing w:val="-13"/>
        </w:rPr>
        <w:t> </w:t>
      </w:r>
      <w:r>
        <w:rPr/>
        <w:t>para</w:t>
      </w:r>
      <w:r>
        <w:rPr>
          <w:spacing w:val="-13"/>
        </w:rPr>
        <w:t> </w:t>
      </w:r>
      <w:r>
        <w:rPr/>
        <w:t>el</w:t>
      </w:r>
      <w:r>
        <w:rPr>
          <w:spacing w:val="-13"/>
        </w:rPr>
        <w:t> </w:t>
      </w:r>
      <w:r>
        <w:rPr/>
        <w:t>Desarrollo</w:t>
      </w:r>
      <w:r>
        <w:rPr>
          <w:spacing w:val="-13"/>
        </w:rPr>
        <w:t> </w:t>
      </w:r>
      <w:r>
        <w:rPr/>
        <w:t>Sostenible</w:t>
      </w:r>
      <w:r>
        <w:rPr>
          <w:spacing w:val="-13"/>
        </w:rPr>
        <w:t> </w:t>
      </w:r>
      <w:r>
        <w:rPr/>
        <w:t>de</w:t>
      </w:r>
      <w:r>
        <w:rPr>
          <w:spacing w:val="-13"/>
        </w:rPr>
        <w:t> </w:t>
      </w:r>
      <w:r>
        <w:rPr/>
        <w:t>la</w:t>
      </w:r>
      <w:r>
        <w:rPr>
          <w:spacing w:val="-13"/>
        </w:rPr>
        <w:t> </w:t>
      </w:r>
      <w:r>
        <w:rPr/>
        <w:t>Universidad</w:t>
      </w:r>
      <w:r>
        <w:rPr>
          <w:spacing w:val="-13"/>
        </w:rPr>
        <w:t> </w:t>
      </w:r>
      <w:r>
        <w:rPr/>
        <w:t>de</w:t>
      </w:r>
      <w:r>
        <w:rPr>
          <w:spacing w:val="-13"/>
        </w:rPr>
        <w:t> </w:t>
      </w:r>
      <w:r>
        <w:rPr/>
        <w:t>Ghent</w:t>
      </w:r>
      <w:r>
        <w:rPr>
          <w:spacing w:val="-8"/>
        </w:rPr>
        <w:t> </w:t>
      </w:r>
      <w:r>
        <w:rPr/>
        <w:t>y</w:t>
      </w:r>
      <w:r>
        <w:rPr>
          <w:spacing w:val="-15"/>
        </w:rPr>
        <w:t> </w:t>
      </w:r>
      <w:r>
        <w:rPr/>
        <w:t>la</w:t>
      </w:r>
      <w:r>
        <w:rPr>
          <w:spacing w:val="-13"/>
        </w:rPr>
        <w:t> </w:t>
      </w:r>
      <w:r>
        <w:rPr/>
        <w:t>organización</w:t>
      </w:r>
      <w:r>
        <w:rPr>
          <w:spacing w:val="-13"/>
        </w:rPr>
        <w:t> </w:t>
      </w:r>
      <w:r>
        <w:rPr/>
        <w:t>VODO de Bélgica (Paredis, et al., 2004). Ésta se enfoca en los daños causados a través del tiempo o históricamente en otros países o en ecosistemas fuera de su jurisdicción nacional a causa de su modelo de producción o consumo. Asimismo incluye la deuda constituida por el uso o explotación de los bienes y servicios producidos por los ecosistemas a través del tiempo, por un país a expensas de</w:t>
      </w:r>
      <w:r>
        <w:rPr>
          <w:spacing w:val="-48"/>
        </w:rPr>
        <w:t> </w:t>
      </w:r>
      <w:r>
        <w:rPr/>
        <w:t>los derechos equitativos de otros países o individuos sobre esos ecosistemas (Villalba, 2008). En este caso los elementos de exigibilidad son el modelo de producción o consumo (neocolonialismo, consumismo,</w:t>
      </w:r>
      <w:r>
        <w:rPr>
          <w:spacing w:val="-13"/>
        </w:rPr>
        <w:t> </w:t>
      </w:r>
      <w:r>
        <w:rPr/>
        <w:t>etc.)</w:t>
      </w:r>
      <w:r>
        <w:rPr>
          <w:spacing w:val="-13"/>
        </w:rPr>
        <w:t> </w:t>
      </w:r>
      <w:r>
        <w:rPr/>
        <w:t>y</w:t>
      </w:r>
      <w:r>
        <w:rPr>
          <w:spacing w:val="-18"/>
        </w:rPr>
        <w:t> </w:t>
      </w:r>
      <w:r>
        <w:rPr/>
        <w:t>la</w:t>
      </w:r>
      <w:r>
        <w:rPr>
          <w:spacing w:val="-15"/>
        </w:rPr>
        <w:t> </w:t>
      </w:r>
      <w:r>
        <w:rPr/>
        <w:t>violación</w:t>
      </w:r>
      <w:r>
        <w:rPr>
          <w:spacing w:val="-12"/>
        </w:rPr>
        <w:t> </w:t>
      </w:r>
      <w:r>
        <w:rPr/>
        <w:t>de</w:t>
      </w:r>
      <w:r>
        <w:rPr>
          <w:spacing w:val="-15"/>
        </w:rPr>
        <w:t> </w:t>
      </w:r>
      <w:r>
        <w:rPr/>
        <w:t>los</w:t>
      </w:r>
      <w:r>
        <w:rPr>
          <w:spacing w:val="-10"/>
        </w:rPr>
        <w:t> </w:t>
      </w:r>
      <w:r>
        <w:rPr/>
        <w:t>derechos</w:t>
      </w:r>
      <w:r>
        <w:rPr>
          <w:spacing w:val="-13"/>
        </w:rPr>
        <w:t> </w:t>
      </w:r>
      <w:r>
        <w:rPr/>
        <w:t>de</w:t>
      </w:r>
      <w:r>
        <w:rPr>
          <w:spacing w:val="-15"/>
        </w:rPr>
        <w:t> </w:t>
      </w:r>
      <w:r>
        <w:rPr/>
        <w:t>otros</w:t>
      </w:r>
      <w:r>
        <w:rPr>
          <w:spacing w:val="-14"/>
        </w:rPr>
        <w:t> </w:t>
      </w:r>
      <w:r>
        <w:rPr/>
        <w:t>países</w:t>
      </w:r>
      <w:r>
        <w:rPr>
          <w:spacing w:val="-13"/>
        </w:rPr>
        <w:t> </w:t>
      </w:r>
      <w:r>
        <w:rPr/>
        <w:t>o</w:t>
      </w:r>
      <w:r>
        <w:rPr>
          <w:spacing w:val="-16"/>
        </w:rPr>
        <w:t> </w:t>
      </w:r>
      <w:r>
        <w:rPr/>
        <w:t>individuos.</w:t>
      </w:r>
      <w:r>
        <w:rPr>
          <w:spacing w:val="-12"/>
        </w:rPr>
        <w:t> </w:t>
      </w:r>
      <w:r>
        <w:rPr/>
        <w:t>Este</w:t>
      </w:r>
      <w:r>
        <w:rPr>
          <w:spacing w:val="-16"/>
        </w:rPr>
        <w:t> </w:t>
      </w:r>
      <w:r>
        <w:rPr/>
        <w:t>último elemento</w:t>
      </w:r>
      <w:r>
        <w:rPr>
          <w:spacing w:val="-16"/>
        </w:rPr>
        <w:t> </w:t>
      </w:r>
      <w:r>
        <w:rPr/>
        <w:t>incluye</w:t>
      </w:r>
      <w:r>
        <w:rPr>
          <w:spacing w:val="-16"/>
        </w:rPr>
        <w:t> </w:t>
      </w:r>
      <w:r>
        <w:rPr/>
        <w:t>una</w:t>
      </w:r>
      <w:r>
        <w:rPr>
          <w:spacing w:val="-16"/>
        </w:rPr>
        <w:t> </w:t>
      </w:r>
      <w:r>
        <w:rPr/>
        <w:t>novedad</w:t>
      </w:r>
      <w:r>
        <w:rPr>
          <w:spacing w:val="-16"/>
        </w:rPr>
        <w:t> </w:t>
      </w:r>
      <w:r>
        <w:rPr/>
        <w:t>en</w:t>
      </w:r>
      <w:r>
        <w:rPr>
          <w:spacing w:val="-16"/>
        </w:rPr>
        <w:t> </w:t>
      </w:r>
      <w:r>
        <w:rPr/>
        <w:t>el</w:t>
      </w:r>
      <w:r>
        <w:rPr>
          <w:spacing w:val="-14"/>
        </w:rPr>
        <w:t> </w:t>
      </w:r>
      <w:r>
        <w:rPr/>
        <w:t>sentido</w:t>
      </w:r>
      <w:r>
        <w:rPr>
          <w:spacing w:val="-16"/>
        </w:rPr>
        <w:t> </w:t>
      </w:r>
      <w:r>
        <w:rPr/>
        <w:t>de</w:t>
      </w:r>
      <w:r>
        <w:rPr>
          <w:spacing w:val="-16"/>
        </w:rPr>
        <w:t> </w:t>
      </w:r>
      <w:r>
        <w:rPr/>
        <w:t>que</w:t>
      </w:r>
      <w:r>
        <w:rPr>
          <w:spacing w:val="-16"/>
        </w:rPr>
        <w:t> </w:t>
      </w:r>
      <w:r>
        <w:rPr/>
        <w:t>se</w:t>
      </w:r>
      <w:r>
        <w:rPr>
          <w:spacing w:val="-16"/>
        </w:rPr>
        <w:t> </w:t>
      </w:r>
      <w:r>
        <w:rPr/>
        <w:t>identifica</w:t>
      </w:r>
      <w:r>
        <w:rPr>
          <w:spacing w:val="-16"/>
        </w:rPr>
        <w:t> </w:t>
      </w:r>
      <w:r>
        <w:rPr/>
        <w:t>como</w:t>
      </w:r>
      <w:r>
        <w:rPr>
          <w:spacing w:val="-12"/>
        </w:rPr>
        <w:t> </w:t>
      </w:r>
      <w:r>
        <w:rPr/>
        <w:t>potencial</w:t>
      </w:r>
      <w:r>
        <w:rPr>
          <w:spacing w:val="-14"/>
        </w:rPr>
        <w:t> </w:t>
      </w:r>
      <w:r>
        <w:rPr/>
        <w:t>acreedor la posibilidad de un sujeto individual. En el caso de las definiciones usadas por el </w:t>
      </w:r>
      <w:r>
        <w:rPr>
          <w:spacing w:val="-2"/>
        </w:rPr>
        <w:t>CDE </w:t>
      </w:r>
      <w:r>
        <w:rPr/>
        <w:t>se puede decir que se está conceptualizando la Deuda Ecológica como sinónimo de pasivo ambiental en tanto se incluye como elemento de exigibilidad la violación de derechos individuales.</w:t>
      </w:r>
    </w:p>
    <w:p>
      <w:pPr>
        <w:pStyle w:val="BodyText"/>
        <w:spacing w:line="360" w:lineRule="auto" w:before="202"/>
        <w:ind w:left="180" w:right="113"/>
        <w:jc w:val="both"/>
      </w:pPr>
      <w:r>
        <w:rPr/>
        <w:t>El mismo Villalba (2008) admite que se encuentra en la literatura una tensión constante entre la amplitud de un enfoque y su utilidad. Pretende ser holístico para subrayar la interdependencia entre la economía y el medio ambiente. Sin embargo, debe reconocerse la necesidad de estandarizar y operativizar conceptos y mediciones para convertir la Deuda Ecológica en una herramienta útil para procesos de reparación, indemnización y paralización de nuevos impactos.</w:t>
      </w:r>
    </w:p>
    <w:p>
      <w:pPr>
        <w:pStyle w:val="BodyText"/>
        <w:spacing w:line="360" w:lineRule="auto" w:before="201"/>
        <w:ind w:left="180" w:right="116"/>
        <w:jc w:val="both"/>
      </w:pPr>
      <w:r>
        <w:rPr/>
        <w:t>Comenta el autor los retos de refinar la definición en función del tipo de daño ecológico, la escala espacial del daño, el tipo de ecosistemas, el tipo de servicios que prestan, la escala de tiempo, etc. Asimismo, sugiere la necesidad de un elemento de cuantificación o priorización cualitativa con el fin de poder precisar un estándar de referencia y la definición de justicia o derechos equitativos sobre el uso de los bienes y servicios ecosistémicos. Le interesa también el reto de la precisa identificación de actores que no deben ser necesariamente países (como lo contemplan la mayoría de las definiciones) sino que podrían ser otro tipo de comunidades político-administrativas, colectividades, actores individuales, o empresas privadas (Villalba, 2008).</w:t>
      </w:r>
    </w:p>
    <w:p>
      <w:pPr>
        <w:spacing w:after="0" w:line="360" w:lineRule="auto"/>
        <w:jc w:val="both"/>
        <w:sectPr>
          <w:pgSz w:w="12240" w:h="15840"/>
          <w:pgMar w:header="0" w:footer="1330" w:top="1500" w:bottom="1580" w:left="1260" w:right="1320"/>
        </w:sectPr>
      </w:pPr>
    </w:p>
    <w:p>
      <w:pPr>
        <w:pStyle w:val="BodyText"/>
        <w:rPr>
          <w:sz w:val="20"/>
        </w:rPr>
      </w:pPr>
    </w:p>
    <w:p>
      <w:pPr>
        <w:pStyle w:val="BodyText"/>
        <w:rPr>
          <w:sz w:val="20"/>
        </w:rPr>
      </w:pPr>
    </w:p>
    <w:p>
      <w:pPr>
        <w:pStyle w:val="BodyText"/>
        <w:spacing w:before="5"/>
        <w:rPr>
          <w:sz w:val="10"/>
        </w:rPr>
      </w:pPr>
    </w:p>
    <w:p>
      <w:pPr>
        <w:pStyle w:val="BodyText"/>
        <w:ind w:left="1976"/>
        <w:rPr>
          <w:sz w:val="20"/>
        </w:rPr>
      </w:pPr>
      <w:r>
        <w:rPr>
          <w:sz w:val="20"/>
        </w:rPr>
        <w:drawing>
          <wp:inline distT="0" distB="0" distL="0" distR="0">
            <wp:extent cx="3664430" cy="2164079"/>
            <wp:effectExtent l="0" t="0" r="0" b="0"/>
            <wp:docPr id="49" name="image50.jpeg"/>
            <wp:cNvGraphicFramePr>
              <a:graphicFrameLocks noChangeAspect="1"/>
            </wp:cNvGraphicFramePr>
            <a:graphic>
              <a:graphicData uri="http://schemas.openxmlformats.org/drawingml/2006/picture">
                <pic:pic>
                  <pic:nvPicPr>
                    <pic:cNvPr id="50" name="image50.jpeg"/>
                    <pic:cNvPicPr/>
                  </pic:nvPicPr>
                  <pic:blipFill>
                    <a:blip r:embed="rId67" cstate="print"/>
                    <a:stretch>
                      <a:fillRect/>
                    </a:stretch>
                  </pic:blipFill>
                  <pic:spPr>
                    <a:xfrm>
                      <a:off x="0" y="0"/>
                      <a:ext cx="3664430" cy="2164079"/>
                    </a:xfrm>
                    <a:prstGeom prst="rect">
                      <a:avLst/>
                    </a:prstGeom>
                  </pic:spPr>
                </pic:pic>
              </a:graphicData>
            </a:graphic>
          </wp:inline>
        </w:drawing>
      </w:r>
      <w:r>
        <w:rPr>
          <w:sz w:val="20"/>
        </w:rPr>
      </w:r>
    </w:p>
    <w:p>
      <w:pPr>
        <w:pStyle w:val="BodyText"/>
        <w:spacing w:before="6"/>
        <w:rPr>
          <w:sz w:val="29"/>
        </w:rPr>
      </w:pPr>
    </w:p>
    <w:p>
      <w:pPr>
        <w:spacing w:line="345" w:lineRule="auto" w:before="94"/>
        <w:ind w:left="3413" w:right="808" w:hanging="2597"/>
        <w:jc w:val="left"/>
        <w:rPr>
          <w:i/>
          <w:sz w:val="20"/>
        </w:rPr>
      </w:pPr>
      <w:r>
        <w:rPr>
          <w:i/>
          <w:sz w:val="20"/>
        </w:rPr>
        <w:t>Figura 20- Síntesis de los elementos reconocidos en la literatura que constituyen la Deuda </w:t>
      </w:r>
      <w:r>
        <w:rPr>
          <w:i/>
          <w:sz w:val="20"/>
        </w:rPr>
        <w:t>Fuente: Aguilar González (2013)</w:t>
      </w:r>
    </w:p>
    <w:p>
      <w:pPr>
        <w:pStyle w:val="BodyText"/>
        <w:spacing w:before="9"/>
        <w:rPr>
          <w:i/>
          <w:sz w:val="18"/>
        </w:rPr>
      </w:pPr>
    </w:p>
    <w:p>
      <w:pPr>
        <w:pStyle w:val="BodyText"/>
        <w:spacing w:line="360" w:lineRule="auto"/>
        <w:ind w:left="180" w:right="117"/>
        <w:jc w:val="both"/>
      </w:pPr>
      <w:r>
        <w:rPr/>
        <w:t>Una</w:t>
      </w:r>
      <w:r>
        <w:rPr>
          <w:spacing w:val="-12"/>
        </w:rPr>
        <w:t> </w:t>
      </w:r>
      <w:r>
        <w:rPr/>
        <w:t>síntesis</w:t>
      </w:r>
      <w:r>
        <w:rPr>
          <w:spacing w:val="-6"/>
        </w:rPr>
        <w:t> </w:t>
      </w:r>
      <w:r>
        <w:rPr/>
        <w:t>de</w:t>
      </w:r>
      <w:r>
        <w:rPr>
          <w:spacing w:val="-11"/>
        </w:rPr>
        <w:t> </w:t>
      </w:r>
      <w:r>
        <w:rPr/>
        <w:t>lo</w:t>
      </w:r>
      <w:r>
        <w:rPr>
          <w:spacing w:val="-12"/>
        </w:rPr>
        <w:t> </w:t>
      </w:r>
      <w:r>
        <w:rPr/>
        <w:t>expuesto</w:t>
      </w:r>
      <w:r>
        <w:rPr>
          <w:spacing w:val="-11"/>
        </w:rPr>
        <w:t> </w:t>
      </w:r>
      <w:r>
        <w:rPr/>
        <w:t>hasta</w:t>
      </w:r>
      <w:r>
        <w:rPr>
          <w:spacing w:val="-12"/>
        </w:rPr>
        <w:t> </w:t>
      </w:r>
      <w:r>
        <w:rPr/>
        <w:t>aquí</w:t>
      </w:r>
      <w:r>
        <w:rPr>
          <w:spacing w:val="-8"/>
        </w:rPr>
        <w:t> </w:t>
      </w:r>
      <w:r>
        <w:rPr/>
        <w:t>reconoce</w:t>
      </w:r>
      <w:r>
        <w:rPr>
          <w:spacing w:val="-12"/>
        </w:rPr>
        <w:t> </w:t>
      </w:r>
      <w:r>
        <w:rPr/>
        <w:t>que</w:t>
      </w:r>
      <w:r>
        <w:rPr>
          <w:spacing w:val="-11"/>
        </w:rPr>
        <w:t> </w:t>
      </w:r>
      <w:r>
        <w:rPr/>
        <w:t>la</w:t>
      </w:r>
      <w:r>
        <w:rPr>
          <w:spacing w:val="-8"/>
        </w:rPr>
        <w:t> </w:t>
      </w:r>
      <w:r>
        <w:rPr/>
        <w:t>definición</w:t>
      </w:r>
      <w:r>
        <w:rPr>
          <w:spacing w:val="-11"/>
        </w:rPr>
        <w:t> </w:t>
      </w:r>
      <w:r>
        <w:rPr/>
        <w:t>de</w:t>
      </w:r>
      <w:r>
        <w:rPr>
          <w:spacing w:val="-8"/>
        </w:rPr>
        <w:t> </w:t>
      </w:r>
      <w:r>
        <w:rPr/>
        <w:t>la</w:t>
      </w:r>
      <w:r>
        <w:rPr>
          <w:spacing w:val="-6"/>
        </w:rPr>
        <w:t> </w:t>
      </w:r>
      <w:r>
        <w:rPr/>
        <w:t>Deuda</w:t>
      </w:r>
      <w:r>
        <w:rPr>
          <w:spacing w:val="-11"/>
        </w:rPr>
        <w:t> </w:t>
      </w:r>
      <w:r>
        <w:rPr/>
        <w:t>Ecológica debe comprender cuatro tipos de componentes conforme lo presenta la Figura 20. En primer lugar, las partes acreedoras y deudoras. Seguido, incluye una violación de derechos, daño o pasivo ambiental (lo que podríamos llamar el hecho causante) ocasionados por un sujeto institucional corporativo o individual. En tercer lugar, elementos que determinan la exigibilidad ética y que partirán de una realidad concreta analizada por la Ecología Política dentro de su objeto de estudio: los conflictos socio- ecológicos y la injusta distribución de los costos y beneficios del desarrollo y la conservación que llevan a ese conflicto. La comprobación cualitativa o cuantitativa de esa inequidad justifica una acción social o institucional. Se le podría llamar a este elemento evaluación de “justicia distributiva”. En cuarto lugar, se sugieren componentes de exigibilidad compensatoria que podrían llegar a medir el valor monetario del daño biofísico o las preferencias sociales/comunales frente al daño inequitativamente infringido y debidamente comprobado. Estas permiten materializar la acción compensatoria que puede ser de índole pecuniaria o tener expresiones sociales como las</w:t>
      </w:r>
      <w:r>
        <w:rPr>
          <w:spacing w:val="-6"/>
        </w:rPr>
        <w:t> </w:t>
      </w:r>
      <w:r>
        <w:rPr/>
        <w:t>sanciones</w:t>
      </w:r>
      <w:r>
        <w:rPr>
          <w:spacing w:val="-6"/>
        </w:rPr>
        <w:t> </w:t>
      </w:r>
      <w:r>
        <w:rPr/>
        <w:t>penales</w:t>
      </w:r>
      <w:r>
        <w:rPr>
          <w:spacing w:val="-5"/>
        </w:rPr>
        <w:t> </w:t>
      </w:r>
      <w:r>
        <w:rPr/>
        <w:t>u</w:t>
      </w:r>
      <w:r>
        <w:rPr>
          <w:spacing w:val="-8"/>
        </w:rPr>
        <w:t> </w:t>
      </w:r>
      <w:r>
        <w:rPr/>
        <w:t>otras</w:t>
      </w:r>
      <w:r>
        <w:rPr>
          <w:spacing w:val="-6"/>
        </w:rPr>
        <w:t> </w:t>
      </w:r>
      <w:r>
        <w:rPr/>
        <w:t>formas.</w:t>
      </w:r>
      <w:r>
        <w:rPr>
          <w:spacing w:val="-5"/>
        </w:rPr>
        <w:t> </w:t>
      </w:r>
      <w:r>
        <w:rPr/>
        <w:t>Se</w:t>
      </w:r>
      <w:r>
        <w:rPr>
          <w:spacing w:val="-7"/>
        </w:rPr>
        <w:t> </w:t>
      </w:r>
      <w:r>
        <w:rPr/>
        <w:t>presume</w:t>
      </w:r>
      <w:r>
        <w:rPr>
          <w:spacing w:val="-8"/>
        </w:rPr>
        <w:t> </w:t>
      </w:r>
      <w:r>
        <w:rPr/>
        <w:t>acá</w:t>
      </w:r>
      <w:r>
        <w:rPr>
          <w:spacing w:val="-8"/>
        </w:rPr>
        <w:t> </w:t>
      </w:r>
      <w:r>
        <w:rPr/>
        <w:t>que</w:t>
      </w:r>
      <w:r>
        <w:rPr>
          <w:spacing w:val="-8"/>
        </w:rPr>
        <w:t> </w:t>
      </w:r>
      <w:r>
        <w:rPr/>
        <w:t>estas</w:t>
      </w:r>
      <w:r>
        <w:rPr>
          <w:spacing w:val="-5"/>
        </w:rPr>
        <w:t> </w:t>
      </w:r>
      <w:r>
        <w:rPr/>
        <w:t>acciones</w:t>
      </w:r>
      <w:r>
        <w:rPr>
          <w:spacing w:val="-6"/>
        </w:rPr>
        <w:t> </w:t>
      </w:r>
      <w:r>
        <w:rPr/>
        <w:t>desembocan en procesos dentro del Estado de Derecho, presunción que, en virtud de las volátiles condiciones</w:t>
      </w:r>
      <w:r>
        <w:rPr>
          <w:spacing w:val="-6"/>
        </w:rPr>
        <w:t> </w:t>
      </w:r>
      <w:r>
        <w:rPr/>
        <w:t>sociales</w:t>
      </w:r>
      <w:r>
        <w:rPr>
          <w:spacing w:val="-6"/>
        </w:rPr>
        <w:t> </w:t>
      </w:r>
      <w:r>
        <w:rPr/>
        <w:t>que</w:t>
      </w:r>
      <w:r>
        <w:rPr>
          <w:spacing w:val="-8"/>
        </w:rPr>
        <w:t> </w:t>
      </w:r>
      <w:r>
        <w:rPr/>
        <w:t>podría</w:t>
      </w:r>
      <w:r>
        <w:rPr>
          <w:spacing w:val="-8"/>
        </w:rPr>
        <w:t> </w:t>
      </w:r>
      <w:r>
        <w:rPr/>
        <w:t>generar</w:t>
      </w:r>
      <w:r>
        <w:rPr>
          <w:spacing w:val="-5"/>
        </w:rPr>
        <w:t> </w:t>
      </w:r>
      <w:r>
        <w:rPr/>
        <w:t>un</w:t>
      </w:r>
      <w:r>
        <w:rPr>
          <w:spacing w:val="-8"/>
        </w:rPr>
        <w:t> </w:t>
      </w:r>
      <w:r>
        <w:rPr/>
        <w:t>conflicto</w:t>
      </w:r>
      <w:r>
        <w:rPr>
          <w:spacing w:val="-4"/>
        </w:rPr>
        <w:t> </w:t>
      </w:r>
      <w:r>
        <w:rPr/>
        <w:t>de</w:t>
      </w:r>
      <w:r>
        <w:rPr>
          <w:spacing w:val="-8"/>
        </w:rPr>
        <w:t> </w:t>
      </w:r>
      <w:r>
        <w:rPr/>
        <w:t>este</w:t>
      </w:r>
      <w:r>
        <w:rPr>
          <w:spacing w:val="-7"/>
        </w:rPr>
        <w:t> </w:t>
      </w:r>
      <w:r>
        <w:rPr/>
        <w:t>tipo,</w:t>
      </w:r>
      <w:r>
        <w:rPr>
          <w:spacing w:val="-5"/>
        </w:rPr>
        <w:t> </w:t>
      </w:r>
      <w:r>
        <w:rPr/>
        <w:t>no</w:t>
      </w:r>
      <w:r>
        <w:rPr>
          <w:spacing w:val="-4"/>
        </w:rPr>
        <w:t> </w:t>
      </w:r>
      <w:r>
        <w:rPr/>
        <w:t>es</w:t>
      </w:r>
      <w:r>
        <w:rPr>
          <w:spacing w:val="-6"/>
        </w:rPr>
        <w:t> </w:t>
      </w:r>
      <w:r>
        <w:rPr/>
        <w:t>necesariamente</w:t>
      </w:r>
    </w:p>
    <w:p>
      <w:pPr>
        <w:spacing w:after="0" w:line="360" w:lineRule="auto"/>
        <w:jc w:val="both"/>
        <w:sectPr>
          <w:pgSz w:w="12240" w:h="15840"/>
          <w:pgMar w:header="0" w:footer="1330" w:top="1500" w:bottom="1580" w:left="1260" w:right="1320"/>
        </w:sectPr>
      </w:pPr>
    </w:p>
    <w:p>
      <w:pPr>
        <w:pStyle w:val="BodyText"/>
        <w:spacing w:line="362" w:lineRule="auto" w:before="107"/>
        <w:ind w:left="180" w:right="117"/>
        <w:jc w:val="both"/>
      </w:pPr>
      <w:r>
        <w:rPr/>
        <w:t>el único escenario posible. Para efectos conceptuales se puede llamar a este elemento “evaluación compensatoria” (Aguilar González, 2013).</w:t>
      </w:r>
    </w:p>
    <w:p>
      <w:pPr>
        <w:pStyle w:val="BodyText"/>
        <w:spacing w:line="360" w:lineRule="auto" w:before="195"/>
        <w:ind w:left="180" w:right="117"/>
        <w:jc w:val="both"/>
      </w:pPr>
      <w:r>
        <w:rPr/>
        <w:t>Este trabajo favorece una definición menos específica de la Deuda Ecológica que englobe una mayor cantidad de casos manteniendo los elementos arriba expuestos. Ahora bien, la motivación de esa preferencia nace en la consideración de elementos de Ecología Política que parecen importantes para tomar en cuenta.</w:t>
      </w:r>
    </w:p>
    <w:p>
      <w:pPr>
        <w:pStyle w:val="BodyText"/>
        <w:spacing w:line="360" w:lineRule="auto" w:before="200"/>
        <w:ind w:left="180" w:right="115"/>
        <w:jc w:val="both"/>
      </w:pPr>
      <w:r>
        <w:rPr/>
        <w:t>La confrontación conceptual entre la Deuda Ecológica y la deuda externa es indiscutiblemente el punto de partida del concepto. Sin embargo, limitar el objeto de análisis a los resultados del comercio ecológicamente desigual y de </w:t>
      </w:r>
      <w:r>
        <w:rPr>
          <w:spacing w:val="2"/>
        </w:rPr>
        <w:t>los </w:t>
      </w:r>
      <w:r>
        <w:rPr/>
        <w:t>impactos de la deuda externa al igual que la subjetividad a los estados nación o a las empresas trae consigo la desventaja teórica de dejar fuera elementos como las conexiones entre la deuda</w:t>
      </w:r>
      <w:r>
        <w:rPr>
          <w:spacing w:val="-12"/>
        </w:rPr>
        <w:t> </w:t>
      </w:r>
      <w:r>
        <w:rPr/>
        <w:t>externa</w:t>
      </w:r>
      <w:r>
        <w:rPr>
          <w:spacing w:val="-12"/>
        </w:rPr>
        <w:t> </w:t>
      </w:r>
      <w:r>
        <w:rPr/>
        <w:t>y</w:t>
      </w:r>
      <w:r>
        <w:rPr>
          <w:spacing w:val="-14"/>
        </w:rPr>
        <w:t> </w:t>
      </w:r>
      <w:r>
        <w:rPr/>
        <w:t>la</w:t>
      </w:r>
      <w:r>
        <w:rPr>
          <w:spacing w:val="-12"/>
        </w:rPr>
        <w:t> </w:t>
      </w:r>
      <w:r>
        <w:rPr/>
        <w:t>deuda</w:t>
      </w:r>
      <w:r>
        <w:rPr>
          <w:spacing w:val="-12"/>
        </w:rPr>
        <w:t> </w:t>
      </w:r>
      <w:r>
        <w:rPr/>
        <w:t>interna.</w:t>
      </w:r>
      <w:r>
        <w:rPr>
          <w:spacing w:val="-9"/>
        </w:rPr>
        <w:t> </w:t>
      </w:r>
      <w:r>
        <w:rPr/>
        <w:t>Ésta</w:t>
      </w:r>
      <w:r>
        <w:rPr>
          <w:spacing w:val="-8"/>
        </w:rPr>
        <w:t> </w:t>
      </w:r>
      <w:r>
        <w:rPr/>
        <w:t>es</w:t>
      </w:r>
      <w:r>
        <w:rPr>
          <w:spacing w:val="-10"/>
        </w:rPr>
        <w:t> </w:t>
      </w:r>
      <w:r>
        <w:rPr/>
        <w:t>contraída</w:t>
      </w:r>
      <w:r>
        <w:rPr>
          <w:spacing w:val="-12"/>
        </w:rPr>
        <w:t> </w:t>
      </w:r>
      <w:r>
        <w:rPr/>
        <w:t>muchas</w:t>
      </w:r>
      <w:r>
        <w:rPr>
          <w:spacing w:val="-10"/>
        </w:rPr>
        <w:t> </w:t>
      </w:r>
      <w:r>
        <w:rPr/>
        <w:t>veces</w:t>
      </w:r>
      <w:r>
        <w:rPr>
          <w:spacing w:val="-10"/>
        </w:rPr>
        <w:t> </w:t>
      </w:r>
      <w:r>
        <w:rPr/>
        <w:t>por</w:t>
      </w:r>
      <w:r>
        <w:rPr>
          <w:spacing w:val="-5"/>
        </w:rPr>
        <w:t> </w:t>
      </w:r>
      <w:r>
        <w:rPr/>
        <w:t>los</w:t>
      </w:r>
      <w:r>
        <w:rPr>
          <w:spacing w:val="-10"/>
        </w:rPr>
        <w:t> </w:t>
      </w:r>
      <w:r>
        <w:rPr/>
        <w:t>gobiernos</w:t>
      </w:r>
      <w:r>
        <w:rPr>
          <w:spacing w:val="-10"/>
        </w:rPr>
        <w:t> </w:t>
      </w:r>
      <w:r>
        <w:rPr/>
        <w:t>con el</w:t>
      </w:r>
      <w:r>
        <w:rPr>
          <w:spacing w:val="-21"/>
        </w:rPr>
        <w:t> </w:t>
      </w:r>
      <w:r>
        <w:rPr/>
        <w:t>fin</w:t>
      </w:r>
      <w:r>
        <w:rPr>
          <w:spacing w:val="-21"/>
        </w:rPr>
        <w:t> </w:t>
      </w:r>
      <w:r>
        <w:rPr/>
        <w:t>de</w:t>
      </w:r>
      <w:r>
        <w:rPr>
          <w:spacing w:val="-17"/>
        </w:rPr>
        <w:t> </w:t>
      </w:r>
      <w:r>
        <w:rPr/>
        <w:t>mantener</w:t>
      </w:r>
      <w:r>
        <w:rPr>
          <w:spacing w:val="-19"/>
        </w:rPr>
        <w:t> </w:t>
      </w:r>
      <w:r>
        <w:rPr/>
        <w:t>regímenes</w:t>
      </w:r>
      <w:r>
        <w:rPr>
          <w:spacing w:val="-20"/>
        </w:rPr>
        <w:t> </w:t>
      </w:r>
      <w:r>
        <w:rPr/>
        <w:t>de</w:t>
      </w:r>
      <w:r>
        <w:rPr>
          <w:spacing w:val="-21"/>
        </w:rPr>
        <w:t> </w:t>
      </w:r>
      <w:r>
        <w:rPr/>
        <w:t>privilegio</w:t>
      </w:r>
      <w:r>
        <w:rPr>
          <w:spacing w:val="-21"/>
        </w:rPr>
        <w:t> </w:t>
      </w:r>
      <w:r>
        <w:rPr/>
        <w:t>para</w:t>
      </w:r>
      <w:r>
        <w:rPr>
          <w:spacing w:val="-21"/>
        </w:rPr>
        <w:t> </w:t>
      </w:r>
      <w:r>
        <w:rPr/>
        <w:t>algunos</w:t>
      </w:r>
      <w:r>
        <w:rPr>
          <w:spacing w:val="-19"/>
        </w:rPr>
        <w:t> </w:t>
      </w:r>
      <w:r>
        <w:rPr/>
        <w:t>sectores</w:t>
      </w:r>
      <w:r>
        <w:rPr>
          <w:spacing w:val="-19"/>
        </w:rPr>
        <w:t> </w:t>
      </w:r>
      <w:r>
        <w:rPr/>
        <w:t>económicos</w:t>
      </w:r>
      <w:r>
        <w:rPr>
          <w:spacing w:val="-19"/>
        </w:rPr>
        <w:t> </w:t>
      </w:r>
      <w:r>
        <w:rPr/>
        <w:t>(incluyendo la inversión extranjera). Asimismo, no contempla los efectos socio-ambientales de otras formas de encadenamientos entre grupos dominantes nacionales y extranjeros como la coinversión</w:t>
      </w:r>
      <w:r>
        <w:rPr>
          <w:spacing w:val="-2"/>
        </w:rPr>
        <w:t> </w:t>
      </w:r>
      <w:r>
        <w:rPr/>
        <w:t>y</w:t>
      </w:r>
      <w:r>
        <w:rPr>
          <w:spacing w:val="-8"/>
        </w:rPr>
        <w:t> </w:t>
      </w:r>
      <w:r>
        <w:rPr/>
        <w:t>los</w:t>
      </w:r>
      <w:r>
        <w:rPr>
          <w:spacing w:val="-3"/>
        </w:rPr>
        <w:t> </w:t>
      </w:r>
      <w:r>
        <w:rPr/>
        <w:t>tráficos</w:t>
      </w:r>
      <w:r>
        <w:rPr>
          <w:spacing w:val="-3"/>
        </w:rPr>
        <w:t> </w:t>
      </w:r>
      <w:r>
        <w:rPr/>
        <w:t>de</w:t>
      </w:r>
      <w:r>
        <w:rPr>
          <w:spacing w:val="-5"/>
        </w:rPr>
        <w:t> </w:t>
      </w:r>
      <w:r>
        <w:rPr/>
        <w:t>influencias.</w:t>
      </w:r>
      <w:r>
        <w:rPr>
          <w:spacing w:val="-3"/>
        </w:rPr>
        <w:t> </w:t>
      </w:r>
      <w:r>
        <w:rPr/>
        <w:t>En</w:t>
      </w:r>
      <w:r>
        <w:rPr>
          <w:spacing w:val="-5"/>
        </w:rPr>
        <w:t> </w:t>
      </w:r>
      <w:r>
        <w:rPr/>
        <w:t>ellos</w:t>
      </w:r>
      <w:r>
        <w:rPr>
          <w:spacing w:val="-3"/>
        </w:rPr>
        <w:t> </w:t>
      </w:r>
      <w:r>
        <w:rPr/>
        <w:t>los</w:t>
      </w:r>
      <w:r>
        <w:rPr>
          <w:spacing w:val="-3"/>
        </w:rPr>
        <w:t> </w:t>
      </w:r>
      <w:r>
        <w:rPr/>
        <w:t>actores</w:t>
      </w:r>
      <w:r>
        <w:rPr>
          <w:spacing w:val="-3"/>
        </w:rPr>
        <w:t> </w:t>
      </w:r>
      <w:r>
        <w:rPr/>
        <w:t>no</w:t>
      </w:r>
      <w:r>
        <w:rPr>
          <w:spacing w:val="-5"/>
        </w:rPr>
        <w:t> </w:t>
      </w:r>
      <w:r>
        <w:rPr/>
        <w:t>se</w:t>
      </w:r>
      <w:r>
        <w:rPr>
          <w:spacing w:val="-5"/>
        </w:rPr>
        <w:t> </w:t>
      </w:r>
      <w:r>
        <w:rPr/>
        <w:t>presentarán</w:t>
      </w:r>
      <w:r>
        <w:rPr>
          <w:spacing w:val="-5"/>
        </w:rPr>
        <w:t> </w:t>
      </w:r>
      <w:r>
        <w:rPr/>
        <w:t>en</w:t>
      </w:r>
      <w:r>
        <w:rPr>
          <w:spacing w:val="-5"/>
        </w:rPr>
        <w:t> </w:t>
      </w:r>
      <w:r>
        <w:rPr/>
        <w:t>forma de nación. Asimismo, no se incluyen las consecuencias socio-ambientales de los contextos sociales, institucionales, financieros, etc. que se han creado con el fin de mantener o consolidar las inequidades que justifican la exigibilidad de la Deuda Ecológica. Este es el caso de los programas ajuste estructural, de austeridad y otros de índole</w:t>
      </w:r>
      <w:r>
        <w:rPr>
          <w:spacing w:val="-5"/>
        </w:rPr>
        <w:t> </w:t>
      </w:r>
      <w:r>
        <w:rPr/>
        <w:t>interna</w:t>
      </w:r>
      <w:r>
        <w:rPr>
          <w:spacing w:val="-5"/>
        </w:rPr>
        <w:t> </w:t>
      </w:r>
      <w:r>
        <w:rPr/>
        <w:t>como</w:t>
      </w:r>
      <w:r>
        <w:rPr>
          <w:spacing w:val="-5"/>
        </w:rPr>
        <w:t> </w:t>
      </w:r>
      <w:r>
        <w:rPr/>
        <w:t>los</w:t>
      </w:r>
      <w:r>
        <w:rPr>
          <w:spacing w:val="-3"/>
        </w:rPr>
        <w:t> </w:t>
      </w:r>
      <w:r>
        <w:rPr/>
        <w:t>mecanismos</w:t>
      </w:r>
      <w:r>
        <w:rPr>
          <w:spacing w:val="-3"/>
        </w:rPr>
        <w:t> </w:t>
      </w:r>
      <w:r>
        <w:rPr/>
        <w:t>de</w:t>
      </w:r>
      <w:r>
        <w:rPr>
          <w:spacing w:val="-5"/>
        </w:rPr>
        <w:t> </w:t>
      </w:r>
      <w:r>
        <w:rPr/>
        <w:t>definición</w:t>
      </w:r>
      <w:r>
        <w:rPr>
          <w:spacing w:val="-4"/>
        </w:rPr>
        <w:t> </w:t>
      </w:r>
      <w:r>
        <w:rPr/>
        <w:t>de</w:t>
      </w:r>
      <w:r>
        <w:rPr>
          <w:spacing w:val="-5"/>
        </w:rPr>
        <w:t> </w:t>
      </w:r>
      <w:r>
        <w:rPr/>
        <w:t>política</w:t>
      </w:r>
      <w:r>
        <w:rPr>
          <w:spacing w:val="-5"/>
        </w:rPr>
        <w:t> </w:t>
      </w:r>
      <w:r>
        <w:rPr/>
        <w:t>monetaria</w:t>
      </w:r>
      <w:r>
        <w:rPr>
          <w:spacing w:val="-5"/>
        </w:rPr>
        <w:t> </w:t>
      </w:r>
      <w:r>
        <w:rPr/>
        <w:t>y</w:t>
      </w:r>
      <w:r>
        <w:rPr>
          <w:spacing w:val="-8"/>
        </w:rPr>
        <w:t> </w:t>
      </w:r>
      <w:r>
        <w:rPr/>
        <w:t>fiscal</w:t>
      </w:r>
      <w:r>
        <w:rPr>
          <w:spacing w:val="-4"/>
        </w:rPr>
        <w:t> </w:t>
      </w:r>
      <w:r>
        <w:rPr/>
        <w:t>surgidos en los últimos 30 años en los países latinoamericanos. Es indiscutible que por sí éstos generan frecuentemente grandes impactos (Aguilar González, 2013).</w:t>
      </w:r>
    </w:p>
    <w:p>
      <w:pPr>
        <w:pStyle w:val="BodyText"/>
        <w:spacing w:line="360" w:lineRule="auto" w:before="205"/>
        <w:ind w:left="180" w:right="117"/>
        <w:jc w:val="both"/>
      </w:pPr>
      <w:r>
        <w:rPr/>
        <w:t>Este estudio considera que buena parte de las desigualdades en la distribución de los costos y beneficios de la conservación y el desarrollo que viven las sociedades latinoamericanas tiene una causalidad directa o indirecta con uno o varios de estos factores (Figura 21). Este marco es más comprensivo de la relación entre</w:t>
      </w:r>
    </w:p>
    <w:p>
      <w:pPr>
        <w:spacing w:after="0" w:line="360" w:lineRule="auto"/>
        <w:jc w:val="both"/>
        <w:sectPr>
          <w:pgSz w:w="12240" w:h="15840"/>
          <w:pgMar w:header="0" w:footer="1330" w:top="1500" w:bottom="1580" w:left="1260" w:right="1320"/>
        </w:sectPr>
      </w:pPr>
    </w:p>
    <w:p>
      <w:pPr>
        <w:pStyle w:val="BodyText"/>
        <w:spacing w:line="362" w:lineRule="auto" w:before="107"/>
        <w:ind w:left="180" w:right="123"/>
        <w:jc w:val="both"/>
      </w:pPr>
      <w:r>
        <w:rPr/>
        <w:t>neocolonialismo, sobrexplotación, catástrofes ecológicas y empobrecimiento de las poblaciones (Fernández Buey, 2002).</w:t>
      </w:r>
    </w:p>
    <w:p>
      <w:pPr>
        <w:pStyle w:val="BodyText"/>
        <w:spacing w:before="7"/>
        <w:rPr>
          <w:sz w:val="14"/>
        </w:rPr>
      </w:pPr>
      <w:r>
        <w:rPr/>
        <w:drawing>
          <wp:anchor distT="0" distB="0" distL="0" distR="0" allowOverlap="1" layoutInCell="1" locked="0" behindDoc="0" simplePos="0" relativeHeight="54">
            <wp:simplePos x="0" y="0"/>
            <wp:positionH relativeFrom="page">
              <wp:posOffset>1247596</wp:posOffset>
            </wp:positionH>
            <wp:positionV relativeFrom="paragraph">
              <wp:posOffset>131794</wp:posOffset>
            </wp:positionV>
            <wp:extent cx="5187354" cy="5034343"/>
            <wp:effectExtent l="0" t="0" r="0" b="0"/>
            <wp:wrapTopAndBottom/>
            <wp:docPr id="51" name="image51.jpeg"/>
            <wp:cNvGraphicFramePr>
              <a:graphicFrameLocks noChangeAspect="1"/>
            </wp:cNvGraphicFramePr>
            <a:graphic>
              <a:graphicData uri="http://schemas.openxmlformats.org/drawingml/2006/picture">
                <pic:pic>
                  <pic:nvPicPr>
                    <pic:cNvPr id="52" name="image51.jpeg"/>
                    <pic:cNvPicPr/>
                  </pic:nvPicPr>
                  <pic:blipFill>
                    <a:blip r:embed="rId68" cstate="print"/>
                    <a:stretch>
                      <a:fillRect/>
                    </a:stretch>
                  </pic:blipFill>
                  <pic:spPr>
                    <a:xfrm>
                      <a:off x="0" y="0"/>
                      <a:ext cx="5187354" cy="5034343"/>
                    </a:xfrm>
                    <a:prstGeom prst="rect">
                      <a:avLst/>
                    </a:prstGeom>
                  </pic:spPr>
                </pic:pic>
              </a:graphicData>
            </a:graphic>
          </wp:anchor>
        </w:drawing>
      </w:r>
    </w:p>
    <w:p>
      <w:pPr>
        <w:pStyle w:val="BodyText"/>
        <w:spacing w:before="5"/>
        <w:rPr>
          <w:sz w:val="27"/>
        </w:rPr>
      </w:pPr>
    </w:p>
    <w:p>
      <w:pPr>
        <w:spacing w:line="237" w:lineRule="auto" w:before="0"/>
        <w:ind w:left="200" w:right="112" w:firstLine="0"/>
        <w:jc w:val="center"/>
        <w:rPr>
          <w:i/>
          <w:sz w:val="20"/>
        </w:rPr>
      </w:pPr>
      <w:r>
        <w:rPr>
          <w:i/>
          <w:sz w:val="20"/>
        </w:rPr>
        <w:t>Figura 21- Expansión del Objeto Conceptual de la Deuda Ecológica en Razón de la Exigibilidad </w:t>
      </w:r>
      <w:r>
        <w:rPr>
          <w:i/>
          <w:sz w:val="20"/>
        </w:rPr>
        <w:t>Relacionada a las Inequidades Atribuibles al Neocolonialismo.</w:t>
      </w:r>
    </w:p>
    <w:p>
      <w:pPr>
        <w:spacing w:before="67"/>
        <w:ind w:left="165" w:right="112" w:firstLine="0"/>
        <w:jc w:val="center"/>
        <w:rPr>
          <w:i/>
          <w:sz w:val="20"/>
        </w:rPr>
      </w:pPr>
      <w:r>
        <w:rPr>
          <w:i/>
          <w:sz w:val="20"/>
        </w:rPr>
        <w:t>Fuente: Aguilar González (2013)</w:t>
      </w:r>
    </w:p>
    <w:p>
      <w:pPr>
        <w:pStyle w:val="BodyText"/>
        <w:spacing w:before="10"/>
        <w:rPr>
          <w:i/>
          <w:sz w:val="27"/>
        </w:rPr>
      </w:pPr>
    </w:p>
    <w:p>
      <w:pPr>
        <w:pStyle w:val="BodyText"/>
        <w:spacing w:line="360" w:lineRule="auto"/>
        <w:ind w:left="180" w:right="116"/>
        <w:jc w:val="both"/>
      </w:pPr>
      <w:r>
        <w:rPr/>
        <w:t>En la construcción de los elementos de exigibilidad de la Deuda Ecológica la</w:t>
      </w:r>
      <w:r>
        <w:rPr>
          <w:spacing w:val="-39"/>
        </w:rPr>
        <w:t> </w:t>
      </w:r>
      <w:r>
        <w:rPr/>
        <w:t>ampliación del concepto incluyendo actores individuales obliga a considerar una gama mucho más amplia de elementos de exigibilidad. Se amplían las justificantes de la acción social o institucional ante las inequidades determinadas (Figura 22).</w:t>
      </w:r>
    </w:p>
    <w:p>
      <w:pPr>
        <w:spacing w:after="0" w:line="360" w:lineRule="auto"/>
        <w:jc w:val="both"/>
        <w:sectPr>
          <w:pgSz w:w="12240" w:h="15840"/>
          <w:pgMar w:header="0" w:footer="1330" w:top="1500" w:bottom="1580" w:left="1260" w:right="1320"/>
        </w:sectPr>
      </w:pPr>
    </w:p>
    <w:p>
      <w:pPr>
        <w:pStyle w:val="BodyText"/>
        <w:spacing w:before="7" w:after="1"/>
        <w:rPr>
          <w:sz w:val="16"/>
        </w:rPr>
      </w:pPr>
    </w:p>
    <w:p>
      <w:pPr>
        <w:pStyle w:val="BodyText"/>
        <w:ind w:left="449"/>
        <w:rPr>
          <w:sz w:val="20"/>
        </w:rPr>
      </w:pPr>
      <w:r>
        <w:rPr>
          <w:sz w:val="20"/>
        </w:rPr>
        <w:drawing>
          <wp:inline distT="0" distB="0" distL="0" distR="0">
            <wp:extent cx="5626935" cy="5401246"/>
            <wp:effectExtent l="0" t="0" r="0" b="0"/>
            <wp:docPr id="53" name="image52.jpeg"/>
            <wp:cNvGraphicFramePr>
              <a:graphicFrameLocks noChangeAspect="1"/>
            </wp:cNvGraphicFramePr>
            <a:graphic>
              <a:graphicData uri="http://schemas.openxmlformats.org/drawingml/2006/picture">
                <pic:pic>
                  <pic:nvPicPr>
                    <pic:cNvPr id="54" name="image52.jpeg"/>
                    <pic:cNvPicPr/>
                  </pic:nvPicPr>
                  <pic:blipFill>
                    <a:blip r:embed="rId69" cstate="print"/>
                    <a:stretch>
                      <a:fillRect/>
                    </a:stretch>
                  </pic:blipFill>
                  <pic:spPr>
                    <a:xfrm>
                      <a:off x="0" y="0"/>
                      <a:ext cx="5626935" cy="5401246"/>
                    </a:xfrm>
                    <a:prstGeom prst="rect">
                      <a:avLst/>
                    </a:prstGeom>
                  </pic:spPr>
                </pic:pic>
              </a:graphicData>
            </a:graphic>
          </wp:inline>
        </w:drawing>
      </w:r>
      <w:r>
        <w:rPr>
          <w:sz w:val="20"/>
        </w:rPr>
      </w:r>
    </w:p>
    <w:p>
      <w:pPr>
        <w:spacing w:before="93"/>
        <w:ind w:left="90" w:right="112" w:firstLine="0"/>
        <w:jc w:val="center"/>
        <w:rPr>
          <w:i/>
          <w:sz w:val="20"/>
        </w:rPr>
      </w:pPr>
      <w:r>
        <w:rPr>
          <w:i/>
          <w:sz w:val="20"/>
        </w:rPr>
        <w:t>Figura 22- Inequidades que Pueden Sustentar la Exigibilidad en un Concepto Amplio de Deuda Ecológica.</w:t>
      </w:r>
    </w:p>
    <w:p>
      <w:pPr>
        <w:spacing w:before="94"/>
        <w:ind w:left="166" w:right="112" w:firstLine="0"/>
        <w:jc w:val="center"/>
        <w:rPr>
          <w:i/>
          <w:sz w:val="20"/>
        </w:rPr>
      </w:pPr>
      <w:r>
        <w:rPr>
          <w:i/>
          <w:sz w:val="20"/>
        </w:rPr>
        <w:t>Fuente: Aguilar González (2013).</w:t>
      </w:r>
    </w:p>
    <w:p>
      <w:pPr>
        <w:pStyle w:val="BodyText"/>
        <w:spacing w:before="10"/>
        <w:rPr>
          <w:i/>
          <w:sz w:val="27"/>
        </w:rPr>
      </w:pPr>
    </w:p>
    <w:p>
      <w:pPr>
        <w:pStyle w:val="BodyText"/>
        <w:spacing w:line="360" w:lineRule="auto"/>
        <w:ind w:left="180" w:right="114"/>
        <w:jc w:val="both"/>
      </w:pPr>
      <w:r>
        <w:rPr/>
        <w:t>Es</w:t>
      </w:r>
      <w:r>
        <w:rPr>
          <w:spacing w:val="-8"/>
        </w:rPr>
        <w:t> </w:t>
      </w:r>
      <w:r>
        <w:rPr/>
        <w:t>decir,</w:t>
      </w:r>
      <w:r>
        <w:rPr>
          <w:spacing w:val="-6"/>
        </w:rPr>
        <w:t> </w:t>
      </w:r>
      <w:r>
        <w:rPr/>
        <w:t>se</w:t>
      </w:r>
      <w:r>
        <w:rPr>
          <w:spacing w:val="-9"/>
        </w:rPr>
        <w:t> </w:t>
      </w:r>
      <w:r>
        <w:rPr/>
        <w:t>propone</w:t>
      </w:r>
      <w:r>
        <w:rPr>
          <w:spacing w:val="-8"/>
        </w:rPr>
        <w:t> </w:t>
      </w:r>
      <w:r>
        <w:rPr/>
        <w:t>que</w:t>
      </w:r>
      <w:r>
        <w:rPr>
          <w:spacing w:val="-9"/>
        </w:rPr>
        <w:t> </w:t>
      </w:r>
      <w:r>
        <w:rPr/>
        <w:t>en</w:t>
      </w:r>
      <w:r>
        <w:rPr>
          <w:spacing w:val="-10"/>
        </w:rPr>
        <w:t> </w:t>
      </w:r>
      <w:r>
        <w:rPr/>
        <w:t>todas</w:t>
      </w:r>
      <w:r>
        <w:rPr>
          <w:spacing w:val="-7"/>
        </w:rPr>
        <w:t> </w:t>
      </w:r>
      <w:r>
        <w:rPr/>
        <w:t>las</w:t>
      </w:r>
      <w:r>
        <w:rPr>
          <w:spacing w:val="-3"/>
        </w:rPr>
        <w:t> </w:t>
      </w:r>
      <w:r>
        <w:rPr/>
        <w:t>situaciones</w:t>
      </w:r>
      <w:r>
        <w:rPr>
          <w:spacing w:val="-8"/>
        </w:rPr>
        <w:t> </w:t>
      </w:r>
      <w:r>
        <w:rPr/>
        <w:t>de</w:t>
      </w:r>
      <w:r>
        <w:rPr>
          <w:spacing w:val="-9"/>
        </w:rPr>
        <w:t> </w:t>
      </w:r>
      <w:r>
        <w:rPr/>
        <w:t>injusticia</w:t>
      </w:r>
      <w:r>
        <w:rPr>
          <w:spacing w:val="-9"/>
        </w:rPr>
        <w:t> </w:t>
      </w:r>
      <w:r>
        <w:rPr/>
        <w:t>ambiental</w:t>
      </w:r>
      <w:r>
        <w:rPr>
          <w:spacing w:val="-8"/>
        </w:rPr>
        <w:t> </w:t>
      </w:r>
      <w:r>
        <w:rPr/>
        <w:t>que</w:t>
      </w:r>
      <w:r>
        <w:rPr>
          <w:spacing w:val="-5"/>
        </w:rPr>
        <w:t> </w:t>
      </w:r>
      <w:r>
        <w:rPr/>
        <w:t>se</w:t>
      </w:r>
      <w:r>
        <w:rPr>
          <w:spacing w:val="-9"/>
        </w:rPr>
        <w:t> </w:t>
      </w:r>
      <w:r>
        <w:rPr/>
        <w:t>originan en las condiciones estructurales de injusticia general de la sociedad como producto del modelo de desarrollo, se configura una Deuda Ecológica dada la inequidad que desemboca en la capacidad de sobre-ocupación y sobre-uso del Espacio Ambiental por parte de algunos estados, empresas o actores sociales. El elemento de exigibilidad se encuentra en el hecho de que en las constituciones políticas hoy día y en las declaraciones internacionales que las informan, el derecho a un ambiente sano</w:t>
      </w:r>
      <w:r>
        <w:rPr>
          <w:spacing w:val="40"/>
        </w:rPr>
        <w:t> </w:t>
      </w:r>
      <w:r>
        <w:rPr/>
        <w:t>y</w:t>
      </w:r>
    </w:p>
    <w:p>
      <w:pPr>
        <w:spacing w:after="0" w:line="360" w:lineRule="auto"/>
        <w:jc w:val="both"/>
        <w:sectPr>
          <w:pgSz w:w="12240" w:h="15840"/>
          <w:pgMar w:header="0" w:footer="1330" w:top="1500" w:bottom="1580" w:left="1260" w:right="1320"/>
        </w:sectPr>
      </w:pPr>
    </w:p>
    <w:p>
      <w:pPr>
        <w:pStyle w:val="BodyText"/>
        <w:spacing w:line="360" w:lineRule="auto" w:before="107"/>
        <w:ind w:left="180" w:right="119"/>
        <w:jc w:val="both"/>
        <w:rPr>
          <w:sz w:val="16"/>
        </w:rPr>
      </w:pPr>
      <w:r>
        <w:rPr/>
        <w:t>equilibrado</w:t>
      </w:r>
      <w:r>
        <w:rPr>
          <w:spacing w:val="-8"/>
        </w:rPr>
        <w:t> </w:t>
      </w:r>
      <w:r>
        <w:rPr/>
        <w:t>se</w:t>
      </w:r>
      <w:r>
        <w:rPr>
          <w:spacing w:val="-7"/>
        </w:rPr>
        <w:t> </w:t>
      </w:r>
      <w:r>
        <w:rPr/>
        <w:t>une</w:t>
      </w:r>
      <w:r>
        <w:rPr>
          <w:spacing w:val="-4"/>
        </w:rPr>
        <w:t> </w:t>
      </w:r>
      <w:r>
        <w:rPr/>
        <w:t>a</w:t>
      </w:r>
      <w:r>
        <w:rPr>
          <w:spacing w:val="-7"/>
        </w:rPr>
        <w:t> </w:t>
      </w:r>
      <w:r>
        <w:rPr/>
        <w:t>la</w:t>
      </w:r>
      <w:r>
        <w:rPr>
          <w:spacing w:val="-3"/>
        </w:rPr>
        <w:t> </w:t>
      </w:r>
      <w:r>
        <w:rPr/>
        <w:t>equidad</w:t>
      </w:r>
      <w:r>
        <w:rPr>
          <w:spacing w:val="-8"/>
        </w:rPr>
        <w:t> </w:t>
      </w:r>
      <w:r>
        <w:rPr/>
        <w:t>indisolublemente.</w:t>
      </w:r>
      <w:r>
        <w:rPr>
          <w:spacing w:val="-4"/>
        </w:rPr>
        <w:t> </w:t>
      </w:r>
      <w:r>
        <w:rPr/>
        <w:t>La</w:t>
      </w:r>
      <w:r>
        <w:rPr>
          <w:spacing w:val="-7"/>
        </w:rPr>
        <w:t> </w:t>
      </w:r>
      <w:r>
        <w:rPr/>
        <w:t>justicia</w:t>
      </w:r>
      <w:r>
        <w:rPr>
          <w:spacing w:val="-8"/>
        </w:rPr>
        <w:t> </w:t>
      </w:r>
      <w:r>
        <w:rPr/>
        <w:t>social</w:t>
      </w:r>
      <w:r>
        <w:rPr>
          <w:spacing w:val="-6"/>
        </w:rPr>
        <w:t> </w:t>
      </w:r>
      <w:r>
        <w:rPr/>
        <w:t>se</w:t>
      </w:r>
      <w:r>
        <w:rPr>
          <w:spacing w:val="-4"/>
        </w:rPr>
        <w:t> </w:t>
      </w:r>
      <w:r>
        <w:rPr/>
        <w:t>une</w:t>
      </w:r>
      <w:r>
        <w:rPr>
          <w:spacing w:val="-3"/>
        </w:rPr>
        <w:t> </w:t>
      </w:r>
      <w:r>
        <w:rPr/>
        <w:t>al</w:t>
      </w:r>
      <w:r>
        <w:rPr>
          <w:spacing w:val="-4"/>
        </w:rPr>
        <w:t> </w:t>
      </w:r>
      <w:r>
        <w:rPr/>
        <w:t>derecho</w:t>
      </w:r>
      <w:r>
        <w:rPr>
          <w:spacing w:val="-7"/>
        </w:rPr>
        <w:t> </w:t>
      </w:r>
      <w:r>
        <w:rPr/>
        <w:t>de un ambiente sano y equilibrado como lo establece expresamente el artículo 50 de la Constitución de Costa Rica: “El Estado procurará el mayor bienestar a todos los habitantes</w:t>
      </w:r>
      <w:r>
        <w:rPr>
          <w:spacing w:val="-7"/>
        </w:rPr>
        <w:t> </w:t>
      </w:r>
      <w:r>
        <w:rPr/>
        <w:t>del</w:t>
      </w:r>
      <w:r>
        <w:rPr>
          <w:spacing w:val="-8"/>
        </w:rPr>
        <w:t> </w:t>
      </w:r>
      <w:r>
        <w:rPr/>
        <w:t>país,</w:t>
      </w:r>
      <w:r>
        <w:rPr>
          <w:spacing w:val="-6"/>
        </w:rPr>
        <w:t> </w:t>
      </w:r>
      <w:r>
        <w:rPr/>
        <w:t>organizando</w:t>
      </w:r>
      <w:r>
        <w:rPr>
          <w:spacing w:val="-9"/>
        </w:rPr>
        <w:t> </w:t>
      </w:r>
      <w:r>
        <w:rPr/>
        <w:t>y</w:t>
      </w:r>
      <w:r>
        <w:rPr>
          <w:spacing w:val="-10"/>
        </w:rPr>
        <w:t> </w:t>
      </w:r>
      <w:r>
        <w:rPr/>
        <w:t>estimulando</w:t>
      </w:r>
      <w:r>
        <w:rPr>
          <w:spacing w:val="-9"/>
        </w:rPr>
        <w:t> </w:t>
      </w:r>
      <w:r>
        <w:rPr/>
        <w:t>la</w:t>
      </w:r>
      <w:r>
        <w:rPr>
          <w:spacing w:val="-9"/>
        </w:rPr>
        <w:t> </w:t>
      </w:r>
      <w:r>
        <w:rPr/>
        <w:t>producción</w:t>
      </w:r>
      <w:r>
        <w:rPr>
          <w:spacing w:val="-5"/>
        </w:rPr>
        <w:t> </w:t>
      </w:r>
      <w:r>
        <w:rPr/>
        <w:t>y</w:t>
      </w:r>
      <w:r>
        <w:rPr>
          <w:spacing w:val="-10"/>
        </w:rPr>
        <w:t> </w:t>
      </w:r>
      <w:r>
        <w:rPr/>
        <w:t>el</w:t>
      </w:r>
      <w:r>
        <w:rPr>
          <w:spacing w:val="-8"/>
        </w:rPr>
        <w:t> </w:t>
      </w:r>
      <w:r>
        <w:rPr/>
        <w:t>más</w:t>
      </w:r>
      <w:r>
        <w:rPr>
          <w:spacing w:val="-7"/>
        </w:rPr>
        <w:t> </w:t>
      </w:r>
      <w:r>
        <w:rPr/>
        <w:t>adecuado</w:t>
      </w:r>
      <w:r>
        <w:rPr>
          <w:spacing w:val="-9"/>
        </w:rPr>
        <w:t> </w:t>
      </w:r>
      <w:r>
        <w:rPr/>
        <w:t>reparto de la riqueza. Toda persona tiene derecho a un ambiente sano y ecológicamente equilibrado. Por ello, está legitimada para denunciar los actos que infrinjan ese derecho y para reclamar la reparación del daño causado. El Estado garantizará, defenderá y preservará ese derecho. La ley determinará las responsabilidades y las sanciones correspondientes·”</w:t>
      </w:r>
      <w:r>
        <w:rPr>
          <w:position w:val="8"/>
          <w:sz w:val="16"/>
        </w:rPr>
        <w:t>18</w:t>
      </w:r>
    </w:p>
    <w:p>
      <w:pPr>
        <w:spacing w:line="360" w:lineRule="auto" w:before="199"/>
        <w:ind w:left="180" w:right="119" w:firstLine="0"/>
        <w:jc w:val="both"/>
        <w:rPr>
          <w:i/>
          <w:sz w:val="24"/>
        </w:rPr>
      </w:pPr>
      <w:r>
        <w:rPr>
          <w:sz w:val="24"/>
        </w:rPr>
        <w:t>De acuerdo con las consideraciones anteriores se propone utilizar una definición amplia de la Deuda Ecológica. Así, en este trabajo se define como </w:t>
      </w:r>
      <w:r>
        <w:rPr>
          <w:i/>
          <w:sz w:val="24"/>
        </w:rPr>
        <w:t>la existencia de situaciones </w:t>
      </w:r>
      <w:r>
        <w:rPr>
          <w:i/>
          <w:sz w:val="24"/>
        </w:rPr>
        <w:t>determinadas por asimetrías de poder en las cuales un grupo de individuos, colectivos sociales o políticos, que comparten alguna característica común (vgr. género, clase social, raza, cultura, subdesarrollo, etc.) sufren desproporcionadamente por la injusta distribución de los costos y beneficios de la conservación y el desarrollo (vgr. las consecuencias de los daños ambientales la violación de sus derechos o la provisión/extracción de bienes o servicios ambientales) sin justa compensación social pudiendo esta darse en forma pecuniaria, por aplicación de penas u en otra forma </w:t>
      </w:r>
      <w:r>
        <w:rPr>
          <w:sz w:val="24"/>
        </w:rPr>
        <w:t>(Aguilar González, 2013)</w:t>
      </w:r>
      <w:r>
        <w:rPr>
          <w:i/>
          <w:sz w:val="24"/>
        </w:rPr>
        <w:t>.</w:t>
      </w:r>
    </w:p>
    <w:p>
      <w:pPr>
        <w:pStyle w:val="BodyText"/>
        <w:spacing w:line="360" w:lineRule="auto" w:before="201"/>
        <w:ind w:left="180" w:right="112"/>
        <w:jc w:val="both"/>
      </w:pPr>
      <w:r>
        <w:rPr/>
        <w:t>La semántica del término deuda es cuestionada por aquellos que dicen que implica una sujeción a terminología que tiene que ver con contratos comerciales o privados. Ya Martínez-Alier ha apuntado que esta apreciación es inexacta pues en muchos casos las deudas provienen de actos del Estado (Martínez-Alier, 2011).</w:t>
      </w:r>
    </w:p>
    <w:p>
      <w:pPr>
        <w:pStyle w:val="BodyText"/>
        <w:spacing w:line="360" w:lineRule="auto" w:before="200"/>
        <w:ind w:left="180" w:right="118"/>
        <w:jc w:val="both"/>
      </w:pPr>
      <w:r>
        <w:rPr/>
        <w:t>A ello se le agrega aquí que las deudas pueden provenir de la violación de derechos en tanto implican una penalidad. De allí proviene toda la doctrina de la compensación monetaria por el daño ambiental que pueda afectar a públicos y privados. En esta línea, las</w:t>
      </w:r>
      <w:r>
        <w:rPr>
          <w:spacing w:val="-3"/>
        </w:rPr>
        <w:t> </w:t>
      </w:r>
      <w:r>
        <w:rPr/>
        <w:t>objeciones</w:t>
      </w:r>
      <w:r>
        <w:rPr>
          <w:spacing w:val="-3"/>
        </w:rPr>
        <w:t> </w:t>
      </w:r>
      <w:r>
        <w:rPr/>
        <w:t>que</w:t>
      </w:r>
      <w:r>
        <w:rPr>
          <w:spacing w:val="-5"/>
        </w:rPr>
        <w:t> </w:t>
      </w:r>
      <w:r>
        <w:rPr/>
        <w:t>se</w:t>
      </w:r>
      <w:r>
        <w:rPr>
          <w:spacing w:val="-5"/>
        </w:rPr>
        <w:t> </w:t>
      </w:r>
      <w:r>
        <w:rPr/>
        <w:t>hagan</w:t>
      </w:r>
      <w:r>
        <w:rPr>
          <w:spacing w:val="-5"/>
        </w:rPr>
        <w:t> </w:t>
      </w:r>
      <w:r>
        <w:rPr/>
        <w:t>a</w:t>
      </w:r>
      <w:r>
        <w:rPr>
          <w:spacing w:val="-4"/>
        </w:rPr>
        <w:t> </w:t>
      </w:r>
      <w:r>
        <w:rPr/>
        <w:t>la</w:t>
      </w:r>
      <w:r>
        <w:rPr>
          <w:spacing w:val="-5"/>
        </w:rPr>
        <w:t> </w:t>
      </w:r>
      <w:r>
        <w:rPr/>
        <w:t>utilización</w:t>
      </w:r>
      <w:r>
        <w:rPr>
          <w:spacing w:val="-5"/>
        </w:rPr>
        <w:t> </w:t>
      </w:r>
      <w:r>
        <w:rPr/>
        <w:t>del</w:t>
      </w:r>
      <w:r>
        <w:rPr>
          <w:spacing w:val="-5"/>
        </w:rPr>
        <w:t> </w:t>
      </w:r>
      <w:r>
        <w:rPr/>
        <w:t>lenguaje</w:t>
      </w:r>
      <w:r>
        <w:rPr>
          <w:spacing w:val="-4"/>
        </w:rPr>
        <w:t> </w:t>
      </w:r>
      <w:r>
        <w:rPr/>
        <w:t>crematístico</w:t>
      </w:r>
      <w:r>
        <w:rPr>
          <w:spacing w:val="-5"/>
        </w:rPr>
        <w:t> </w:t>
      </w:r>
      <w:r>
        <w:rPr/>
        <w:t>se</w:t>
      </w:r>
      <w:r>
        <w:rPr>
          <w:spacing w:val="-2"/>
        </w:rPr>
        <w:t> </w:t>
      </w:r>
      <w:r>
        <w:rPr/>
        <w:t>encuentran</w:t>
      </w:r>
      <w:r>
        <w:rPr>
          <w:spacing w:val="-5"/>
        </w:rPr>
        <w:t> </w:t>
      </w:r>
      <w:r>
        <w:rPr/>
        <w:t>con</w:t>
      </w:r>
    </w:p>
    <w:p>
      <w:pPr>
        <w:pStyle w:val="BodyText"/>
        <w:rPr>
          <w:sz w:val="20"/>
        </w:rPr>
      </w:pPr>
    </w:p>
    <w:p>
      <w:pPr>
        <w:pStyle w:val="BodyText"/>
        <w:spacing w:before="11"/>
        <w:rPr>
          <w:sz w:val="19"/>
        </w:rPr>
      </w:pPr>
      <w:r>
        <w:rPr/>
        <w:pict>
          <v:rect style="position:absolute;margin-left:72.025002pt;margin-top:13.42535pt;width:144.050pt;height:.60004pt;mso-position-horizontal-relative:page;mso-position-vertical-relative:paragraph;z-index:-15700480;mso-wrap-distance-left:0;mso-wrap-distance-right:0" filled="true" fillcolor="#000000" stroked="false">
            <v:fill type="solid"/>
            <w10:wrap type="topAndBottom"/>
          </v:rect>
        </w:pict>
      </w:r>
    </w:p>
    <w:p>
      <w:pPr>
        <w:spacing w:before="71"/>
        <w:ind w:left="180" w:right="0" w:firstLine="0"/>
        <w:jc w:val="left"/>
        <w:rPr>
          <w:sz w:val="20"/>
        </w:rPr>
      </w:pPr>
      <w:r>
        <w:rPr>
          <w:sz w:val="20"/>
          <w:vertAlign w:val="superscript"/>
        </w:rPr>
        <w:t>18</w:t>
      </w:r>
      <w:r>
        <w:rPr>
          <w:sz w:val="20"/>
          <w:vertAlign w:val="baseline"/>
        </w:rPr>
        <w:t> Constitución Política de Costa Rica, Artículo 50.</w:t>
      </w:r>
    </w:p>
    <w:p>
      <w:pPr>
        <w:spacing w:after="0"/>
        <w:jc w:val="left"/>
        <w:rPr>
          <w:sz w:val="20"/>
        </w:rPr>
        <w:sectPr>
          <w:pgSz w:w="12240" w:h="15840"/>
          <w:pgMar w:header="0" w:footer="1330" w:top="1500" w:bottom="1520" w:left="1260" w:right="1320"/>
        </w:sectPr>
      </w:pPr>
    </w:p>
    <w:p>
      <w:pPr>
        <w:pStyle w:val="BodyText"/>
        <w:spacing w:line="360" w:lineRule="auto" w:before="107"/>
        <w:ind w:left="180" w:right="114"/>
        <w:jc w:val="both"/>
      </w:pPr>
      <w:r>
        <w:rPr/>
        <w:t>la realidad de que, dentro del sistema capitalista, los métodos de represión jurídica incluyen este tipo de sanciones no sólo como una compensación, sino como un castigo pecuniario y un ejemplo para la sociedad que comprende con claridad ese lenguaje.</w:t>
      </w:r>
      <w:r>
        <w:rPr>
          <w:spacing w:val="-40"/>
        </w:rPr>
        <w:t> </w:t>
      </w:r>
      <w:r>
        <w:rPr/>
        <w:t>Sin embargo, la deuda puede provenir de una violación de derechos que todavía no tienen un</w:t>
      </w:r>
      <w:r>
        <w:rPr>
          <w:spacing w:val="-9"/>
        </w:rPr>
        <w:t> </w:t>
      </w:r>
      <w:r>
        <w:rPr/>
        <w:t>reconocimiento</w:t>
      </w:r>
      <w:r>
        <w:rPr>
          <w:spacing w:val="-6"/>
        </w:rPr>
        <w:t> </w:t>
      </w:r>
      <w:r>
        <w:rPr/>
        <w:t>como</w:t>
      </w:r>
      <w:r>
        <w:rPr>
          <w:spacing w:val="-8"/>
        </w:rPr>
        <w:t> </w:t>
      </w:r>
      <w:r>
        <w:rPr/>
        <w:t>es</w:t>
      </w:r>
      <w:r>
        <w:rPr>
          <w:spacing w:val="-6"/>
        </w:rPr>
        <w:t> </w:t>
      </w:r>
      <w:r>
        <w:rPr/>
        <w:t>el</w:t>
      </w:r>
      <w:r>
        <w:rPr>
          <w:spacing w:val="-8"/>
        </w:rPr>
        <w:t> </w:t>
      </w:r>
      <w:r>
        <w:rPr/>
        <w:t>caso</w:t>
      </w:r>
      <w:r>
        <w:rPr>
          <w:spacing w:val="-8"/>
        </w:rPr>
        <w:t> </w:t>
      </w:r>
      <w:r>
        <w:rPr/>
        <w:t>de</w:t>
      </w:r>
      <w:r>
        <w:rPr>
          <w:spacing w:val="-2"/>
        </w:rPr>
        <w:t> </w:t>
      </w:r>
      <w:r>
        <w:rPr/>
        <w:t>muchas</w:t>
      </w:r>
      <w:r>
        <w:rPr>
          <w:spacing w:val="-6"/>
        </w:rPr>
        <w:t> </w:t>
      </w:r>
      <w:r>
        <w:rPr/>
        <w:t>de</w:t>
      </w:r>
      <w:r>
        <w:rPr>
          <w:spacing w:val="-5"/>
        </w:rPr>
        <w:t> </w:t>
      </w:r>
      <w:r>
        <w:rPr/>
        <w:t>las</w:t>
      </w:r>
      <w:r>
        <w:rPr>
          <w:spacing w:val="-6"/>
        </w:rPr>
        <w:t> </w:t>
      </w:r>
      <w:r>
        <w:rPr/>
        <w:t>situaciones</w:t>
      </w:r>
      <w:r>
        <w:rPr>
          <w:spacing w:val="-6"/>
        </w:rPr>
        <w:t> </w:t>
      </w:r>
      <w:r>
        <w:rPr/>
        <w:t>de</w:t>
      </w:r>
      <w:r>
        <w:rPr>
          <w:spacing w:val="-5"/>
        </w:rPr>
        <w:t> </w:t>
      </w:r>
      <w:r>
        <w:rPr/>
        <w:t>injusticia</w:t>
      </w:r>
      <w:r>
        <w:rPr>
          <w:spacing w:val="-8"/>
        </w:rPr>
        <w:t> </w:t>
      </w:r>
      <w:r>
        <w:rPr/>
        <w:t>ambiental que sustentan los CED hoy día. El trabajo de hacerlos visibles se asume en esta investigación para el caso de la</w:t>
      </w:r>
      <w:r>
        <w:rPr>
          <w:spacing w:val="-7"/>
        </w:rPr>
        <w:t> </w:t>
      </w:r>
      <w:r>
        <w:rPr/>
        <w:t>ZPLC.</w:t>
      </w:r>
    </w:p>
    <w:p>
      <w:pPr>
        <w:pStyle w:val="BodyText"/>
        <w:spacing w:line="360" w:lineRule="auto" w:before="203"/>
        <w:ind w:left="180" w:right="116"/>
        <w:jc w:val="both"/>
      </w:pPr>
      <w:r>
        <w:rPr/>
        <w:t>Se exploran aquí entonces dos conexiones entre la Ecología Política y la Economía Ecológica</w:t>
      </w:r>
      <w:r>
        <w:rPr>
          <w:spacing w:val="-16"/>
        </w:rPr>
        <w:t> </w:t>
      </w:r>
      <w:r>
        <w:rPr/>
        <w:t>en</w:t>
      </w:r>
      <w:r>
        <w:rPr>
          <w:spacing w:val="-17"/>
        </w:rPr>
        <w:t> </w:t>
      </w:r>
      <w:r>
        <w:rPr/>
        <w:t>los</w:t>
      </w:r>
      <w:r>
        <w:rPr>
          <w:spacing w:val="-14"/>
        </w:rPr>
        <w:t> </w:t>
      </w:r>
      <w:r>
        <w:rPr/>
        <w:t>espacios</w:t>
      </w:r>
      <w:r>
        <w:rPr>
          <w:spacing w:val="-15"/>
        </w:rPr>
        <w:t> </w:t>
      </w:r>
      <w:r>
        <w:rPr/>
        <w:t>de</w:t>
      </w:r>
      <w:r>
        <w:rPr>
          <w:spacing w:val="-16"/>
        </w:rPr>
        <w:t> </w:t>
      </w:r>
      <w:r>
        <w:rPr/>
        <w:t>conflictividad</w:t>
      </w:r>
      <w:r>
        <w:rPr>
          <w:spacing w:val="-14"/>
        </w:rPr>
        <w:t> </w:t>
      </w:r>
      <w:r>
        <w:rPr/>
        <w:t>de</w:t>
      </w:r>
      <w:r>
        <w:rPr>
          <w:spacing w:val="-16"/>
        </w:rPr>
        <w:t> </w:t>
      </w:r>
      <w:r>
        <w:rPr/>
        <w:t>la</w:t>
      </w:r>
      <w:r>
        <w:rPr>
          <w:spacing w:val="-17"/>
        </w:rPr>
        <w:t> </w:t>
      </w:r>
      <w:r>
        <w:rPr/>
        <w:t>Deuda</w:t>
      </w:r>
      <w:r>
        <w:rPr>
          <w:spacing w:val="-16"/>
        </w:rPr>
        <w:t> </w:t>
      </w:r>
      <w:r>
        <w:rPr/>
        <w:t>Ecológica:</w:t>
      </w:r>
      <w:r>
        <w:rPr>
          <w:spacing w:val="-14"/>
        </w:rPr>
        <w:t> </w:t>
      </w:r>
      <w:r>
        <w:rPr/>
        <w:t>1-</w:t>
      </w:r>
      <w:r>
        <w:rPr>
          <w:spacing w:val="-15"/>
        </w:rPr>
        <w:t> </w:t>
      </w:r>
      <w:r>
        <w:rPr/>
        <w:t>Como</w:t>
      </w:r>
      <w:r>
        <w:rPr>
          <w:spacing w:val="-16"/>
        </w:rPr>
        <w:t> </w:t>
      </w:r>
      <w:r>
        <w:rPr/>
        <w:t>se</w:t>
      </w:r>
      <w:r>
        <w:rPr>
          <w:spacing w:val="-17"/>
        </w:rPr>
        <w:t> </w:t>
      </w:r>
      <w:r>
        <w:rPr/>
        <w:t>dijo</w:t>
      </w:r>
      <w:r>
        <w:rPr>
          <w:spacing w:val="-16"/>
        </w:rPr>
        <w:t> </w:t>
      </w:r>
      <w:r>
        <w:rPr/>
        <w:t>antes, los conflictos se expresan frecuentemente en discrepancias dentro de una escala de valoración (vgr. una disputa por compensación monetaria por una Deuda Ecológica o pasivo</w:t>
      </w:r>
      <w:r>
        <w:rPr>
          <w:spacing w:val="-8"/>
        </w:rPr>
        <w:t> </w:t>
      </w:r>
      <w:r>
        <w:rPr/>
        <w:t>ambiental);</w:t>
      </w:r>
      <w:r>
        <w:rPr>
          <w:spacing w:val="-4"/>
        </w:rPr>
        <w:t> </w:t>
      </w:r>
      <w:r>
        <w:rPr/>
        <w:t>2-</w:t>
      </w:r>
      <w:r>
        <w:rPr>
          <w:spacing w:val="-6"/>
        </w:rPr>
        <w:t> </w:t>
      </w:r>
      <w:r>
        <w:rPr/>
        <w:t>Cuando</w:t>
      </w:r>
      <w:r>
        <w:rPr>
          <w:spacing w:val="-4"/>
        </w:rPr>
        <w:t> </w:t>
      </w:r>
      <w:r>
        <w:rPr/>
        <w:t>el</w:t>
      </w:r>
      <w:r>
        <w:rPr>
          <w:spacing w:val="-6"/>
        </w:rPr>
        <w:t> </w:t>
      </w:r>
      <w:r>
        <w:rPr/>
        <w:t>estudio</w:t>
      </w:r>
      <w:r>
        <w:rPr>
          <w:spacing w:val="-8"/>
        </w:rPr>
        <w:t> </w:t>
      </w:r>
      <w:r>
        <w:rPr/>
        <w:t>de</w:t>
      </w:r>
      <w:r>
        <w:rPr>
          <w:spacing w:val="-7"/>
        </w:rPr>
        <w:t> </w:t>
      </w:r>
      <w:r>
        <w:rPr/>
        <w:t>los</w:t>
      </w:r>
      <w:r>
        <w:rPr>
          <w:spacing w:val="-5"/>
        </w:rPr>
        <w:t> </w:t>
      </w:r>
      <w:r>
        <w:rPr/>
        <w:t>conflictos</w:t>
      </w:r>
      <w:r>
        <w:rPr>
          <w:spacing w:val="-2"/>
        </w:rPr>
        <w:t> </w:t>
      </w:r>
      <w:r>
        <w:rPr/>
        <w:t>lleva</w:t>
      </w:r>
      <w:r>
        <w:rPr>
          <w:spacing w:val="-8"/>
        </w:rPr>
        <w:t> </w:t>
      </w:r>
      <w:r>
        <w:rPr/>
        <w:t>a</w:t>
      </w:r>
      <w:r>
        <w:rPr>
          <w:spacing w:val="-7"/>
        </w:rPr>
        <w:t> </w:t>
      </w:r>
      <w:r>
        <w:rPr/>
        <w:t>un</w:t>
      </w:r>
      <w:r>
        <w:rPr>
          <w:spacing w:val="-7"/>
        </w:rPr>
        <w:t> </w:t>
      </w:r>
      <w:r>
        <w:rPr/>
        <w:t>choque</w:t>
      </w:r>
      <w:r>
        <w:rPr>
          <w:spacing w:val="-8"/>
        </w:rPr>
        <w:t> </w:t>
      </w:r>
      <w:r>
        <w:rPr/>
        <w:t>entre</w:t>
      </w:r>
      <w:r>
        <w:rPr>
          <w:spacing w:val="-7"/>
        </w:rPr>
        <w:t> </w:t>
      </w:r>
      <w:r>
        <w:rPr/>
        <w:t>valores inconmensurables</w:t>
      </w:r>
      <w:r>
        <w:rPr>
          <w:spacing w:val="-15"/>
        </w:rPr>
        <w:t> </w:t>
      </w:r>
      <w:r>
        <w:rPr/>
        <w:t>la</w:t>
      </w:r>
      <w:r>
        <w:rPr>
          <w:spacing w:val="-14"/>
        </w:rPr>
        <w:t> </w:t>
      </w:r>
      <w:r>
        <w:rPr/>
        <w:t>Ecología</w:t>
      </w:r>
      <w:r>
        <w:rPr>
          <w:spacing w:val="-16"/>
        </w:rPr>
        <w:t> </w:t>
      </w:r>
      <w:r>
        <w:rPr/>
        <w:t>Política</w:t>
      </w:r>
      <w:r>
        <w:rPr>
          <w:spacing w:val="-12"/>
        </w:rPr>
        <w:t> </w:t>
      </w:r>
      <w:r>
        <w:rPr/>
        <w:t>ayuda</w:t>
      </w:r>
      <w:r>
        <w:rPr>
          <w:spacing w:val="-12"/>
        </w:rPr>
        <w:t> </w:t>
      </w:r>
      <w:r>
        <w:rPr/>
        <w:t>a</w:t>
      </w:r>
      <w:r>
        <w:rPr>
          <w:spacing w:val="-17"/>
        </w:rPr>
        <w:t> </w:t>
      </w:r>
      <w:r>
        <w:rPr/>
        <w:t>desarrollar</w:t>
      </w:r>
      <w:r>
        <w:rPr>
          <w:spacing w:val="-14"/>
        </w:rPr>
        <w:t> </w:t>
      </w:r>
      <w:r>
        <w:rPr/>
        <w:t>una</w:t>
      </w:r>
      <w:r>
        <w:rPr>
          <w:spacing w:val="-14"/>
        </w:rPr>
        <w:t> </w:t>
      </w:r>
      <w:r>
        <w:rPr/>
        <w:t>Economía</w:t>
      </w:r>
      <w:r>
        <w:rPr>
          <w:spacing w:val="-16"/>
        </w:rPr>
        <w:t> </w:t>
      </w:r>
      <w:r>
        <w:rPr/>
        <w:t>Ecológica</w:t>
      </w:r>
      <w:r>
        <w:rPr>
          <w:spacing w:val="-15"/>
        </w:rPr>
        <w:t> </w:t>
      </w:r>
      <w:r>
        <w:rPr/>
        <w:t>cuya contabilidad no es solamente llevada en términos monetarios, pero también en</w:t>
      </w:r>
      <w:r>
        <w:rPr>
          <w:spacing w:val="-44"/>
        </w:rPr>
        <w:t> </w:t>
      </w:r>
      <w:r>
        <w:rPr/>
        <w:t>términos sociales/culturales y físicos, poniendo la pluralidad del valor como el centro de su análisis. De allí que la contabilización de la deuda que se realiza incluye también un componente biofísico (de Huella Ecológica) y adelanta el seguimiento mediante un proceso multicriterial que permitiría la expresión de criterios culturales/cualitativos partiendo de los hallazgos del taller de presentación de resultados realizado con los actores sociales de la zona en estudio.</w:t>
      </w:r>
    </w:p>
    <w:p>
      <w:pPr>
        <w:pStyle w:val="Heading2"/>
        <w:numPr>
          <w:ilvl w:val="0"/>
          <w:numId w:val="2"/>
        </w:numPr>
        <w:tabs>
          <w:tab w:pos="901" w:val="left" w:leader="none"/>
        </w:tabs>
        <w:spacing w:line="240" w:lineRule="auto" w:before="196" w:after="0"/>
        <w:ind w:left="900" w:right="0" w:hanging="721"/>
        <w:jc w:val="both"/>
      </w:pPr>
      <w:bookmarkStart w:name="_bookmark27" w:id="36"/>
      <w:bookmarkEnd w:id="36"/>
      <w:r>
        <w:rPr>
          <w:b w:val="0"/>
        </w:rPr>
      </w:r>
      <w:bookmarkStart w:name="_bookmark27" w:id="37"/>
      <w:bookmarkEnd w:id="37"/>
      <w:r>
        <w:rPr/>
        <w:t>M</w:t>
      </w:r>
      <w:r>
        <w:rPr/>
        <w:t>etodología</w:t>
      </w:r>
    </w:p>
    <w:p>
      <w:pPr>
        <w:pStyle w:val="BodyText"/>
        <w:spacing w:line="360" w:lineRule="auto" w:before="204"/>
        <w:ind w:left="180" w:right="109"/>
        <w:jc w:val="both"/>
      </w:pPr>
      <w:r>
        <w:rPr/>
        <w:t>La metodología seleccionada para cumplir los objetivos ha incluido los siguientes componentes: 1) La utilización de la reformulación del concepto de Deuda Ecológica planteada</w:t>
      </w:r>
      <w:r>
        <w:rPr>
          <w:spacing w:val="-9"/>
        </w:rPr>
        <w:t> </w:t>
      </w:r>
      <w:r>
        <w:rPr/>
        <w:t>adaptada</w:t>
      </w:r>
      <w:r>
        <w:rPr>
          <w:spacing w:val="-7"/>
        </w:rPr>
        <w:t> </w:t>
      </w:r>
      <w:r>
        <w:rPr/>
        <w:t>a</w:t>
      </w:r>
      <w:r>
        <w:rPr>
          <w:spacing w:val="-8"/>
        </w:rPr>
        <w:t> </w:t>
      </w:r>
      <w:r>
        <w:rPr/>
        <w:t>los</w:t>
      </w:r>
      <w:r>
        <w:rPr>
          <w:spacing w:val="-7"/>
        </w:rPr>
        <w:t> </w:t>
      </w:r>
      <w:r>
        <w:rPr/>
        <w:t>objetivos</w:t>
      </w:r>
      <w:r>
        <w:rPr>
          <w:spacing w:val="-7"/>
        </w:rPr>
        <w:t> </w:t>
      </w:r>
      <w:r>
        <w:rPr/>
        <w:t>de</w:t>
      </w:r>
      <w:r>
        <w:rPr>
          <w:spacing w:val="-4"/>
        </w:rPr>
        <w:t> </w:t>
      </w:r>
      <w:r>
        <w:rPr/>
        <w:t>la</w:t>
      </w:r>
      <w:r>
        <w:rPr>
          <w:spacing w:val="-9"/>
        </w:rPr>
        <w:t> </w:t>
      </w:r>
      <w:r>
        <w:rPr/>
        <w:t>investigación</w:t>
      </w:r>
      <w:r>
        <w:rPr>
          <w:spacing w:val="-8"/>
        </w:rPr>
        <w:t> </w:t>
      </w:r>
      <w:r>
        <w:rPr/>
        <w:t>desde</w:t>
      </w:r>
      <w:r>
        <w:rPr>
          <w:spacing w:val="-9"/>
        </w:rPr>
        <w:t> </w:t>
      </w:r>
      <w:r>
        <w:rPr/>
        <w:t>la</w:t>
      </w:r>
      <w:r>
        <w:rPr>
          <w:spacing w:val="-6"/>
        </w:rPr>
        <w:t> </w:t>
      </w:r>
      <w:r>
        <w:rPr/>
        <w:t>Economía</w:t>
      </w:r>
      <w:r>
        <w:rPr>
          <w:spacing w:val="-8"/>
        </w:rPr>
        <w:t> </w:t>
      </w:r>
      <w:r>
        <w:rPr/>
        <w:t>Ecológica</w:t>
      </w:r>
      <w:r>
        <w:rPr>
          <w:spacing w:val="-3"/>
        </w:rPr>
        <w:t> </w:t>
      </w:r>
      <w:r>
        <w:rPr/>
        <w:t>y</w:t>
      </w:r>
      <w:r>
        <w:rPr>
          <w:spacing w:val="-10"/>
        </w:rPr>
        <w:t> </w:t>
      </w:r>
      <w:r>
        <w:rPr/>
        <w:t>la Ecología</w:t>
      </w:r>
      <w:r>
        <w:rPr>
          <w:spacing w:val="-12"/>
        </w:rPr>
        <w:t> </w:t>
      </w:r>
      <w:r>
        <w:rPr/>
        <w:t>Política</w:t>
      </w:r>
      <w:r>
        <w:rPr>
          <w:spacing w:val="-10"/>
        </w:rPr>
        <w:t> </w:t>
      </w:r>
      <w:r>
        <w:rPr/>
        <w:t>y</w:t>
      </w:r>
      <w:r>
        <w:rPr>
          <w:spacing w:val="-14"/>
        </w:rPr>
        <w:t> </w:t>
      </w:r>
      <w:r>
        <w:rPr/>
        <w:t>aplicada</w:t>
      </w:r>
      <w:r>
        <w:rPr>
          <w:spacing w:val="-12"/>
        </w:rPr>
        <w:t> </w:t>
      </w:r>
      <w:r>
        <w:rPr/>
        <w:t>a</w:t>
      </w:r>
      <w:r>
        <w:rPr>
          <w:spacing w:val="-12"/>
        </w:rPr>
        <w:t> </w:t>
      </w:r>
      <w:r>
        <w:rPr/>
        <w:t>la</w:t>
      </w:r>
      <w:r>
        <w:rPr>
          <w:spacing w:val="-12"/>
        </w:rPr>
        <w:t> </w:t>
      </w:r>
      <w:r>
        <w:rPr/>
        <w:t>ZPLC;</w:t>
      </w:r>
      <w:r>
        <w:rPr>
          <w:spacing w:val="-9"/>
        </w:rPr>
        <w:t> </w:t>
      </w:r>
      <w:r>
        <w:rPr/>
        <w:t>2)</w:t>
      </w:r>
      <w:r>
        <w:rPr>
          <w:spacing w:val="-10"/>
        </w:rPr>
        <w:t> </w:t>
      </w:r>
      <w:r>
        <w:rPr/>
        <w:t>La</w:t>
      </w:r>
      <w:r>
        <w:rPr>
          <w:spacing w:val="-12"/>
        </w:rPr>
        <w:t> </w:t>
      </w:r>
      <w:r>
        <w:rPr/>
        <w:t>medición</w:t>
      </w:r>
      <w:r>
        <w:rPr>
          <w:spacing w:val="-12"/>
        </w:rPr>
        <w:t> </w:t>
      </w:r>
      <w:r>
        <w:rPr/>
        <w:t>de</w:t>
      </w:r>
      <w:r>
        <w:rPr>
          <w:spacing w:val="-12"/>
        </w:rPr>
        <w:t> </w:t>
      </w:r>
      <w:r>
        <w:rPr/>
        <w:t>la</w:t>
      </w:r>
      <w:r>
        <w:rPr>
          <w:spacing w:val="-10"/>
        </w:rPr>
        <w:t> </w:t>
      </w:r>
      <w:r>
        <w:rPr/>
        <w:t>Deuda</w:t>
      </w:r>
      <w:r>
        <w:rPr>
          <w:spacing w:val="-12"/>
        </w:rPr>
        <w:t> </w:t>
      </w:r>
      <w:r>
        <w:rPr/>
        <w:t>Ecológica</w:t>
      </w:r>
      <w:r>
        <w:rPr>
          <w:spacing w:val="-7"/>
        </w:rPr>
        <w:t> </w:t>
      </w:r>
      <w:r>
        <w:rPr/>
        <w:t>en</w:t>
      </w:r>
      <w:r>
        <w:rPr>
          <w:spacing w:val="-12"/>
        </w:rPr>
        <w:t> </w:t>
      </w:r>
      <w:r>
        <w:rPr/>
        <w:t>la</w:t>
      </w:r>
      <w:r>
        <w:rPr>
          <w:spacing w:val="-12"/>
        </w:rPr>
        <w:t> </w:t>
      </w:r>
      <w:r>
        <w:rPr/>
        <w:t>ZPLC desde dos perspectivas: a) Una perspectiva biofísica, a través de la medición comparativa de la Huella Ecológica promedio de las comunidades, b) La medición de la Deuda Ecológica desde un lenguaje de valoración monetario enfocándose especialmente en el servicio no compensado del servicio de vista para bienes raíces;</w:t>
      </w:r>
      <w:r>
        <w:rPr>
          <w:spacing w:val="-11"/>
        </w:rPr>
        <w:t> </w:t>
      </w:r>
      <w:r>
        <w:rPr/>
        <w:t>3)</w:t>
      </w:r>
    </w:p>
    <w:p>
      <w:pPr>
        <w:spacing w:after="0" w:line="360" w:lineRule="auto"/>
        <w:jc w:val="both"/>
        <w:sectPr>
          <w:pgSz w:w="12240" w:h="15840"/>
          <w:pgMar w:header="0" w:footer="1330" w:top="1500" w:bottom="1580" w:left="1260" w:right="1320"/>
        </w:sectPr>
      </w:pPr>
    </w:p>
    <w:p>
      <w:pPr>
        <w:pStyle w:val="BodyText"/>
        <w:spacing w:line="360" w:lineRule="auto" w:before="107"/>
        <w:ind w:left="180" w:right="113"/>
        <w:jc w:val="both"/>
      </w:pPr>
      <w:r>
        <w:rPr/>
        <w:t>El diseño de un análisis de múltiples criterios a partir de los resultados de un taller participativo</w:t>
      </w:r>
      <w:r>
        <w:rPr>
          <w:spacing w:val="-17"/>
        </w:rPr>
        <w:t> </w:t>
      </w:r>
      <w:r>
        <w:rPr/>
        <w:t>de</w:t>
      </w:r>
      <w:r>
        <w:rPr>
          <w:spacing w:val="-16"/>
        </w:rPr>
        <w:t> </w:t>
      </w:r>
      <w:r>
        <w:rPr/>
        <w:t>presentación</w:t>
      </w:r>
      <w:r>
        <w:rPr>
          <w:spacing w:val="-16"/>
        </w:rPr>
        <w:t> </w:t>
      </w:r>
      <w:r>
        <w:rPr/>
        <w:t>de</w:t>
      </w:r>
      <w:r>
        <w:rPr>
          <w:spacing w:val="-17"/>
        </w:rPr>
        <w:t> </w:t>
      </w:r>
      <w:r>
        <w:rPr/>
        <w:t>los</w:t>
      </w:r>
      <w:r>
        <w:rPr>
          <w:spacing w:val="-14"/>
        </w:rPr>
        <w:t> </w:t>
      </w:r>
      <w:r>
        <w:rPr/>
        <w:t>resultados</w:t>
      </w:r>
      <w:r>
        <w:rPr>
          <w:spacing w:val="-14"/>
        </w:rPr>
        <w:t> </w:t>
      </w:r>
      <w:r>
        <w:rPr/>
        <w:t>con</w:t>
      </w:r>
      <w:r>
        <w:rPr>
          <w:spacing w:val="-17"/>
        </w:rPr>
        <w:t> </w:t>
      </w:r>
      <w:r>
        <w:rPr/>
        <w:t>actores</w:t>
      </w:r>
      <w:r>
        <w:rPr>
          <w:spacing w:val="-14"/>
        </w:rPr>
        <w:t> </w:t>
      </w:r>
      <w:r>
        <w:rPr/>
        <w:t>de</w:t>
      </w:r>
      <w:r>
        <w:rPr>
          <w:spacing w:val="-16"/>
        </w:rPr>
        <w:t> </w:t>
      </w:r>
      <w:r>
        <w:rPr/>
        <w:t>la</w:t>
      </w:r>
      <w:r>
        <w:rPr>
          <w:spacing w:val="-17"/>
        </w:rPr>
        <w:t> </w:t>
      </w:r>
      <w:r>
        <w:rPr/>
        <w:t>ZPLC</w:t>
      </w:r>
      <w:r>
        <w:rPr>
          <w:spacing w:val="-10"/>
        </w:rPr>
        <w:t> </w:t>
      </w:r>
      <w:r>
        <w:rPr>
          <w:rFonts w:ascii="Carlito" w:hAnsi="Carlito"/>
          <w:sz w:val="28"/>
        </w:rPr>
        <w:t>para</w:t>
      </w:r>
      <w:r>
        <w:rPr>
          <w:rFonts w:ascii="Carlito" w:hAnsi="Carlito"/>
          <w:spacing w:val="-17"/>
          <w:sz w:val="28"/>
        </w:rPr>
        <w:t> </w:t>
      </w:r>
      <w:r>
        <w:rPr>
          <w:rFonts w:ascii="Carlito" w:hAnsi="Carlito"/>
          <w:sz w:val="28"/>
        </w:rPr>
        <w:t>su</w:t>
      </w:r>
      <w:r>
        <w:rPr>
          <w:rFonts w:ascii="Carlito" w:hAnsi="Carlito"/>
          <w:spacing w:val="-14"/>
          <w:sz w:val="28"/>
        </w:rPr>
        <w:t> </w:t>
      </w:r>
      <w:r>
        <w:rPr>
          <w:rFonts w:ascii="Carlito" w:hAnsi="Carlito"/>
          <w:sz w:val="28"/>
        </w:rPr>
        <w:t>potencial uso posterior</w:t>
      </w:r>
      <w:r>
        <w:rPr/>
        <w:t>.</w:t>
      </w:r>
    </w:p>
    <w:p>
      <w:pPr>
        <w:pStyle w:val="Heading2"/>
        <w:numPr>
          <w:ilvl w:val="0"/>
          <w:numId w:val="6"/>
        </w:numPr>
        <w:tabs>
          <w:tab w:pos="901" w:val="left" w:leader="none"/>
        </w:tabs>
        <w:spacing w:line="240" w:lineRule="auto" w:before="237" w:after="0"/>
        <w:ind w:left="900" w:right="0" w:hanging="721"/>
        <w:jc w:val="both"/>
      </w:pPr>
      <w:bookmarkStart w:name="_bookmark28" w:id="38"/>
      <w:bookmarkEnd w:id="38"/>
      <w:r>
        <w:rPr>
          <w:b w:val="0"/>
        </w:rPr>
      </w:r>
      <w:bookmarkStart w:name="_bookmark28" w:id="39"/>
      <w:bookmarkEnd w:id="39"/>
      <w:r>
        <w:rPr/>
        <w:t>M</w:t>
      </w:r>
      <w:r>
        <w:rPr/>
        <w:t>odelo de Análisis del Concepto de Deuda Ecológica</w:t>
      </w:r>
      <w:r>
        <w:rPr>
          <w:spacing w:val="-2"/>
        </w:rPr>
        <w:t> </w:t>
      </w:r>
      <w:r>
        <w:rPr/>
        <w:t>Utilizado.</w:t>
      </w:r>
    </w:p>
    <w:p>
      <w:pPr>
        <w:pStyle w:val="BodyText"/>
        <w:spacing w:before="11"/>
        <w:rPr>
          <w:b/>
          <w:sz w:val="29"/>
        </w:rPr>
      </w:pPr>
    </w:p>
    <w:p>
      <w:pPr>
        <w:pStyle w:val="BodyText"/>
        <w:spacing w:line="360" w:lineRule="auto"/>
        <w:ind w:left="180" w:right="115"/>
        <w:jc w:val="both"/>
      </w:pPr>
      <w:r>
        <w:rPr/>
        <w:t>Con</w:t>
      </w:r>
      <w:r>
        <w:rPr>
          <w:spacing w:val="-5"/>
        </w:rPr>
        <w:t> </w:t>
      </w:r>
      <w:r>
        <w:rPr/>
        <w:t>base</w:t>
      </w:r>
      <w:r>
        <w:rPr>
          <w:spacing w:val="-5"/>
        </w:rPr>
        <w:t> </w:t>
      </w:r>
      <w:r>
        <w:rPr/>
        <w:t>en</w:t>
      </w:r>
      <w:r>
        <w:rPr>
          <w:spacing w:val="-5"/>
        </w:rPr>
        <w:t> </w:t>
      </w:r>
      <w:r>
        <w:rPr/>
        <w:t>el</w:t>
      </w:r>
      <w:r>
        <w:rPr>
          <w:spacing w:val="-4"/>
        </w:rPr>
        <w:t> </w:t>
      </w:r>
      <w:r>
        <w:rPr/>
        <w:t>ordenamiento</w:t>
      </w:r>
      <w:r>
        <w:rPr>
          <w:spacing w:val="-5"/>
        </w:rPr>
        <w:t> </w:t>
      </w:r>
      <w:r>
        <w:rPr/>
        <w:t>teórico</w:t>
      </w:r>
      <w:r>
        <w:rPr>
          <w:spacing w:val="-1"/>
        </w:rPr>
        <w:t> </w:t>
      </w:r>
      <w:r>
        <w:rPr/>
        <w:t>que</w:t>
      </w:r>
      <w:r>
        <w:rPr>
          <w:spacing w:val="-5"/>
        </w:rPr>
        <w:t> </w:t>
      </w:r>
      <w:r>
        <w:rPr/>
        <w:t>plantea</w:t>
      </w:r>
      <w:r>
        <w:rPr>
          <w:spacing w:val="-4"/>
        </w:rPr>
        <w:t> </w:t>
      </w:r>
      <w:r>
        <w:rPr/>
        <w:t>la</w:t>
      </w:r>
      <w:r>
        <w:rPr>
          <w:spacing w:val="-5"/>
        </w:rPr>
        <w:t> </w:t>
      </w:r>
      <w:r>
        <w:rPr/>
        <w:t>anterior</w:t>
      </w:r>
      <w:r>
        <w:rPr>
          <w:spacing w:val="-3"/>
        </w:rPr>
        <w:t> </w:t>
      </w:r>
      <w:r>
        <w:rPr/>
        <w:t>introducción</w:t>
      </w:r>
      <w:r>
        <w:rPr>
          <w:spacing w:val="-5"/>
        </w:rPr>
        <w:t> </w:t>
      </w:r>
      <w:r>
        <w:rPr/>
        <w:t>conceptual,</w:t>
      </w:r>
      <w:r>
        <w:rPr>
          <w:spacing w:val="-2"/>
        </w:rPr>
        <w:t> </w:t>
      </w:r>
      <w:r>
        <w:rPr/>
        <w:t>se puede hacer un análisis de los CED</w:t>
      </w:r>
      <w:r>
        <w:rPr>
          <w:position w:val="8"/>
          <w:sz w:val="16"/>
        </w:rPr>
        <w:t>19 </w:t>
      </w:r>
      <w:r>
        <w:rPr/>
        <w:t>desde una perspectiva de Deuda Ecológica. Así se hizo en Aguilar González (2013) para ordenar alguna de la información que se encuentra en la literatura para 17 CED con Deuda Ecológica documentados en la literatura</w:t>
      </w:r>
      <w:r>
        <w:rPr>
          <w:spacing w:val="-17"/>
        </w:rPr>
        <w:t> </w:t>
      </w:r>
      <w:r>
        <w:rPr/>
        <w:t>en</w:t>
      </w:r>
      <w:r>
        <w:rPr>
          <w:spacing w:val="-20"/>
        </w:rPr>
        <w:t> </w:t>
      </w:r>
      <w:r>
        <w:rPr/>
        <w:t>América</w:t>
      </w:r>
      <w:r>
        <w:rPr>
          <w:spacing w:val="-17"/>
        </w:rPr>
        <w:t> </w:t>
      </w:r>
      <w:r>
        <w:rPr/>
        <w:t>Latina,</w:t>
      </w:r>
      <w:r>
        <w:rPr>
          <w:spacing w:val="-18"/>
        </w:rPr>
        <w:t> </w:t>
      </w:r>
      <w:r>
        <w:rPr/>
        <w:t>según</w:t>
      </w:r>
      <w:r>
        <w:rPr>
          <w:spacing w:val="-17"/>
        </w:rPr>
        <w:t> </w:t>
      </w:r>
      <w:r>
        <w:rPr/>
        <w:t>el</w:t>
      </w:r>
      <w:r>
        <w:rPr>
          <w:spacing w:val="-17"/>
        </w:rPr>
        <w:t> </w:t>
      </w:r>
      <w:r>
        <w:rPr/>
        <w:t>Colectivo</w:t>
      </w:r>
      <w:r>
        <w:rPr>
          <w:spacing w:val="-20"/>
        </w:rPr>
        <w:t> </w:t>
      </w:r>
      <w:r>
        <w:rPr/>
        <w:t>de</w:t>
      </w:r>
      <w:r>
        <w:rPr>
          <w:spacing w:val="-17"/>
        </w:rPr>
        <w:t> </w:t>
      </w:r>
      <w:r>
        <w:rPr/>
        <w:t>difusión</w:t>
      </w:r>
      <w:r>
        <w:rPr>
          <w:spacing w:val="-16"/>
        </w:rPr>
        <w:t> </w:t>
      </w:r>
      <w:r>
        <w:rPr/>
        <w:t>de</w:t>
      </w:r>
      <w:r>
        <w:rPr>
          <w:spacing w:val="-21"/>
        </w:rPr>
        <w:t> </w:t>
      </w:r>
      <w:r>
        <w:rPr/>
        <w:t>la</w:t>
      </w:r>
      <w:r>
        <w:rPr>
          <w:spacing w:val="-18"/>
        </w:rPr>
        <w:t> </w:t>
      </w:r>
      <w:r>
        <w:rPr/>
        <w:t>Deuda</w:t>
      </w:r>
      <w:r>
        <w:rPr>
          <w:spacing w:val="-20"/>
        </w:rPr>
        <w:t> </w:t>
      </w:r>
      <w:r>
        <w:rPr/>
        <w:t>Ecológica</w:t>
      </w:r>
      <w:r>
        <w:rPr>
          <w:spacing w:val="-20"/>
        </w:rPr>
        <w:t> </w:t>
      </w:r>
      <w:r>
        <w:rPr/>
        <w:t>(2003), Pengue (2008) y Villalba</w:t>
      </w:r>
      <w:r>
        <w:rPr>
          <w:spacing w:val="-2"/>
        </w:rPr>
        <w:t> </w:t>
      </w:r>
      <w:r>
        <w:rPr/>
        <w:t>(2008).</w:t>
      </w:r>
    </w:p>
    <w:p>
      <w:pPr>
        <w:pStyle w:val="BodyText"/>
        <w:spacing w:line="360" w:lineRule="auto" w:before="196"/>
        <w:ind w:left="180" w:right="116"/>
        <w:jc w:val="both"/>
      </w:pPr>
      <w:r>
        <w:rPr/>
        <w:t>Esta</w:t>
      </w:r>
      <w:r>
        <w:rPr>
          <w:spacing w:val="-18"/>
        </w:rPr>
        <w:t> </w:t>
      </w:r>
      <w:r>
        <w:rPr/>
        <w:t>deconstrucción,</w:t>
      </w:r>
      <w:r>
        <w:rPr>
          <w:spacing w:val="-16"/>
        </w:rPr>
        <w:t> </w:t>
      </w:r>
      <w:r>
        <w:rPr/>
        <w:t>conforme</w:t>
      </w:r>
      <w:r>
        <w:rPr>
          <w:spacing w:val="-17"/>
        </w:rPr>
        <w:t> </w:t>
      </w:r>
      <w:r>
        <w:rPr/>
        <w:t>lo</w:t>
      </w:r>
      <w:r>
        <w:rPr>
          <w:spacing w:val="-16"/>
        </w:rPr>
        <w:t> </w:t>
      </w:r>
      <w:r>
        <w:rPr/>
        <w:t>ejemplifica</w:t>
      </w:r>
      <w:r>
        <w:rPr>
          <w:spacing w:val="-17"/>
        </w:rPr>
        <w:t> </w:t>
      </w:r>
      <w:r>
        <w:rPr/>
        <w:t>el</w:t>
      </w:r>
      <w:r>
        <w:rPr>
          <w:spacing w:val="-17"/>
        </w:rPr>
        <w:t> </w:t>
      </w:r>
      <w:r>
        <w:rPr/>
        <w:t>Cuadro</w:t>
      </w:r>
      <w:r>
        <w:rPr>
          <w:spacing w:val="-17"/>
        </w:rPr>
        <w:t> </w:t>
      </w:r>
      <w:r>
        <w:rPr/>
        <w:t>7,</w:t>
      </w:r>
      <w:r>
        <w:rPr>
          <w:spacing w:val="-15"/>
        </w:rPr>
        <w:t> </w:t>
      </w:r>
      <w:r>
        <w:rPr/>
        <w:t>permite</w:t>
      </w:r>
      <w:r>
        <w:rPr>
          <w:spacing w:val="-17"/>
        </w:rPr>
        <w:t> </w:t>
      </w:r>
      <w:r>
        <w:rPr/>
        <w:t>una</w:t>
      </w:r>
      <w:r>
        <w:rPr>
          <w:spacing w:val="-18"/>
        </w:rPr>
        <w:t> </w:t>
      </w:r>
      <w:r>
        <w:rPr/>
        <w:t>visión</w:t>
      </w:r>
      <w:r>
        <w:rPr>
          <w:spacing w:val="-18"/>
        </w:rPr>
        <w:t> </w:t>
      </w:r>
      <w:r>
        <w:rPr/>
        <w:t>comparativa del</w:t>
      </w:r>
      <w:r>
        <w:rPr>
          <w:spacing w:val="-13"/>
        </w:rPr>
        <w:t> </w:t>
      </w:r>
      <w:r>
        <w:rPr/>
        <w:t>contexto</w:t>
      </w:r>
      <w:r>
        <w:rPr>
          <w:spacing w:val="-14"/>
        </w:rPr>
        <w:t> </w:t>
      </w:r>
      <w:r>
        <w:rPr/>
        <w:t>geográfico,</w:t>
      </w:r>
      <w:r>
        <w:rPr>
          <w:spacing w:val="-11"/>
        </w:rPr>
        <w:t> </w:t>
      </w:r>
      <w:r>
        <w:rPr/>
        <w:t>los</w:t>
      </w:r>
      <w:r>
        <w:rPr>
          <w:spacing w:val="-12"/>
        </w:rPr>
        <w:t> </w:t>
      </w:r>
      <w:r>
        <w:rPr/>
        <w:t>actores</w:t>
      </w:r>
      <w:r>
        <w:rPr>
          <w:spacing w:val="-12"/>
        </w:rPr>
        <w:t> </w:t>
      </w:r>
      <w:r>
        <w:rPr/>
        <w:t>involucrados,</w:t>
      </w:r>
      <w:r>
        <w:rPr>
          <w:spacing w:val="-11"/>
        </w:rPr>
        <w:t> </w:t>
      </w:r>
      <w:r>
        <w:rPr/>
        <w:t>el</w:t>
      </w:r>
      <w:r>
        <w:rPr>
          <w:spacing w:val="-13"/>
        </w:rPr>
        <w:t> </w:t>
      </w:r>
      <w:r>
        <w:rPr/>
        <w:t>tipo</w:t>
      </w:r>
      <w:r>
        <w:rPr>
          <w:spacing w:val="-14"/>
        </w:rPr>
        <w:t> </w:t>
      </w:r>
      <w:r>
        <w:rPr/>
        <w:t>de</w:t>
      </w:r>
      <w:r>
        <w:rPr>
          <w:spacing w:val="-14"/>
        </w:rPr>
        <w:t> </w:t>
      </w:r>
      <w:r>
        <w:rPr/>
        <w:t>hecho</w:t>
      </w:r>
      <w:r>
        <w:rPr>
          <w:spacing w:val="-14"/>
        </w:rPr>
        <w:t> </w:t>
      </w:r>
      <w:r>
        <w:rPr/>
        <w:t>causante,</w:t>
      </w:r>
      <w:r>
        <w:rPr>
          <w:spacing w:val="-11"/>
        </w:rPr>
        <w:t> </w:t>
      </w:r>
      <w:r>
        <w:rPr/>
        <w:t>una</w:t>
      </w:r>
      <w:r>
        <w:rPr>
          <w:spacing w:val="-14"/>
        </w:rPr>
        <w:t> </w:t>
      </w:r>
      <w:r>
        <w:rPr/>
        <w:t>síntesis de las evaluaciones de justicia distributiva que caracterizan la injusticia ambiental, la posible evaluación compensatoria monetaria (que en algunos casos no es medible en términos crematísticos) y la fuente. También permite detectar tendencias y una comprensión sistematizada del CED. Asimismo, en forma resumida, permite el análisis de</w:t>
      </w:r>
      <w:r>
        <w:rPr>
          <w:spacing w:val="-17"/>
        </w:rPr>
        <w:t> </w:t>
      </w:r>
      <w:r>
        <w:rPr/>
        <w:t>Ecología</w:t>
      </w:r>
      <w:r>
        <w:rPr>
          <w:spacing w:val="-17"/>
        </w:rPr>
        <w:t> </w:t>
      </w:r>
      <w:r>
        <w:rPr/>
        <w:t>Política</w:t>
      </w:r>
      <w:r>
        <w:rPr>
          <w:spacing w:val="-15"/>
        </w:rPr>
        <w:t> </w:t>
      </w:r>
      <w:r>
        <w:rPr/>
        <w:t>estadística</w:t>
      </w:r>
      <w:r>
        <w:rPr>
          <w:spacing w:val="-17"/>
        </w:rPr>
        <w:t> </w:t>
      </w:r>
      <w:r>
        <w:rPr/>
        <w:t>con</w:t>
      </w:r>
      <w:r>
        <w:rPr>
          <w:spacing w:val="-17"/>
        </w:rPr>
        <w:t> </w:t>
      </w:r>
      <w:r>
        <w:rPr/>
        <w:t>la</w:t>
      </w:r>
      <w:r>
        <w:rPr>
          <w:spacing w:val="-16"/>
        </w:rPr>
        <w:t> </w:t>
      </w:r>
      <w:r>
        <w:rPr/>
        <w:t>debida</w:t>
      </w:r>
      <w:r>
        <w:rPr>
          <w:spacing w:val="-17"/>
        </w:rPr>
        <w:t> </w:t>
      </w:r>
      <w:r>
        <w:rPr/>
        <w:t>codificación</w:t>
      </w:r>
      <w:r>
        <w:rPr>
          <w:spacing w:val="-17"/>
        </w:rPr>
        <w:t> </w:t>
      </w:r>
      <w:r>
        <w:rPr/>
        <w:t>al</w:t>
      </w:r>
      <w:r>
        <w:rPr>
          <w:spacing w:val="-13"/>
        </w:rPr>
        <w:t> </w:t>
      </w:r>
      <w:r>
        <w:rPr/>
        <w:t>igual</w:t>
      </w:r>
      <w:r>
        <w:rPr>
          <w:spacing w:val="-16"/>
        </w:rPr>
        <w:t> </w:t>
      </w:r>
      <w:r>
        <w:rPr/>
        <w:t>que</w:t>
      </w:r>
      <w:r>
        <w:rPr>
          <w:spacing w:val="-17"/>
        </w:rPr>
        <w:t> </w:t>
      </w:r>
      <w:r>
        <w:rPr/>
        <w:t>otras</w:t>
      </w:r>
      <w:r>
        <w:rPr>
          <w:spacing w:val="-15"/>
        </w:rPr>
        <w:t> </w:t>
      </w:r>
      <w:r>
        <w:rPr/>
        <w:t>herramientas que se desarrollan en la actualidad (como el EJAtlas) (EJOLT, 2015; Temper, et al., 2015).</w:t>
      </w:r>
      <w:r>
        <w:rPr>
          <w:spacing w:val="-15"/>
        </w:rPr>
        <w:t> </w:t>
      </w:r>
      <w:r>
        <w:rPr/>
        <w:t>Esta</w:t>
      </w:r>
      <w:r>
        <w:rPr>
          <w:spacing w:val="-18"/>
        </w:rPr>
        <w:t> </w:t>
      </w:r>
      <w:r>
        <w:rPr/>
        <w:t>investigación</w:t>
      </w:r>
      <w:r>
        <w:rPr>
          <w:spacing w:val="-17"/>
        </w:rPr>
        <w:t> </w:t>
      </w:r>
      <w:r>
        <w:rPr/>
        <w:t>adopta</w:t>
      </w:r>
      <w:r>
        <w:rPr>
          <w:spacing w:val="-18"/>
        </w:rPr>
        <w:t> </w:t>
      </w:r>
      <w:r>
        <w:rPr/>
        <w:t>la</w:t>
      </w:r>
      <w:r>
        <w:rPr>
          <w:spacing w:val="-17"/>
        </w:rPr>
        <w:t> </w:t>
      </w:r>
      <w:r>
        <w:rPr/>
        <w:t>definición</w:t>
      </w:r>
      <w:r>
        <w:rPr>
          <w:spacing w:val="-17"/>
        </w:rPr>
        <w:t> </w:t>
      </w:r>
      <w:r>
        <w:rPr/>
        <w:t>de</w:t>
      </w:r>
      <w:r>
        <w:rPr>
          <w:spacing w:val="-14"/>
        </w:rPr>
        <w:t> </w:t>
      </w:r>
      <w:r>
        <w:rPr/>
        <w:t>Deuda</w:t>
      </w:r>
      <w:r>
        <w:rPr>
          <w:spacing w:val="-18"/>
        </w:rPr>
        <w:t> </w:t>
      </w:r>
      <w:r>
        <w:rPr/>
        <w:t>Ecológica</w:t>
      </w:r>
      <w:r>
        <w:rPr>
          <w:spacing w:val="-16"/>
        </w:rPr>
        <w:t> </w:t>
      </w:r>
      <w:r>
        <w:rPr/>
        <w:t>arriba</w:t>
      </w:r>
      <w:r>
        <w:rPr>
          <w:spacing w:val="-18"/>
        </w:rPr>
        <w:t> </w:t>
      </w:r>
      <w:r>
        <w:rPr/>
        <w:t>esbozada</w:t>
      </w:r>
      <w:r>
        <w:rPr>
          <w:spacing w:val="-17"/>
        </w:rPr>
        <w:t> </w:t>
      </w:r>
      <w:r>
        <w:rPr/>
        <w:t>y</w:t>
      </w:r>
      <w:r>
        <w:rPr>
          <w:spacing w:val="-19"/>
        </w:rPr>
        <w:t> </w:t>
      </w:r>
      <w:r>
        <w:rPr/>
        <w:t>este modelo para sintetizar y sistematizar el CED de la ZPLC conforme se presentará en la sección de</w:t>
      </w:r>
      <w:r>
        <w:rPr>
          <w:spacing w:val="-3"/>
        </w:rPr>
        <w:t> </w:t>
      </w:r>
      <w:r>
        <w:rPr/>
        <w:t>resultados.</w:t>
      </w:r>
    </w:p>
    <w:p>
      <w:pPr>
        <w:pStyle w:val="BodyText"/>
        <w:spacing w:line="360" w:lineRule="auto" w:before="199"/>
        <w:ind w:left="180" w:right="114"/>
        <w:jc w:val="both"/>
      </w:pPr>
      <w:r>
        <w:rPr/>
        <w:t>Se parte de que existen al menos dos grupos de actores. Uno es el grupo deudor que utiliza el Espacio Ambiental desproporcionadamente o sin retribuir esa utilización justamente.</w:t>
      </w:r>
    </w:p>
    <w:p>
      <w:pPr>
        <w:pStyle w:val="BodyText"/>
        <w:rPr>
          <w:sz w:val="20"/>
        </w:rPr>
      </w:pPr>
    </w:p>
    <w:p>
      <w:pPr>
        <w:pStyle w:val="BodyText"/>
        <w:rPr>
          <w:sz w:val="20"/>
        </w:rPr>
      </w:pPr>
    </w:p>
    <w:p>
      <w:pPr>
        <w:pStyle w:val="BodyText"/>
        <w:spacing w:before="1"/>
        <w:rPr>
          <w:sz w:val="10"/>
        </w:rPr>
      </w:pPr>
      <w:r>
        <w:rPr/>
        <w:pict>
          <v:rect style="position:absolute;margin-left:72.025002pt;margin-top:7.798897pt;width:144.050pt;height:.599980pt;mso-position-horizontal-relative:page;mso-position-vertical-relative:paragraph;z-index:-15699968;mso-wrap-distance-left:0;mso-wrap-distance-right:0" filled="true" fillcolor="#000000" stroked="false">
            <v:fill type="solid"/>
            <w10:wrap type="topAndBottom"/>
          </v:rect>
        </w:pict>
      </w:r>
    </w:p>
    <w:p>
      <w:pPr>
        <w:spacing w:before="71"/>
        <w:ind w:left="180" w:right="120" w:firstLine="0"/>
        <w:jc w:val="both"/>
        <w:rPr>
          <w:sz w:val="20"/>
        </w:rPr>
      </w:pPr>
      <w:r>
        <w:rPr>
          <w:sz w:val="20"/>
          <w:vertAlign w:val="superscript"/>
        </w:rPr>
        <w:t>19</w:t>
      </w:r>
      <w:r>
        <w:rPr>
          <w:sz w:val="20"/>
          <w:vertAlign w:val="baseline"/>
        </w:rPr>
        <w:t> Conforme se dijo antes (en pp. 2) se definen como las luchas sobre los efectos de la contaminación u otros sacrificios que se hacen para extraer recursos, que se originan en las inequidades de la distribución del Espacio Ambiental, en el poder, la titularidad, el uso, y los ingresos económicos por parte de actores sociales en la prevalencia de los lenguajes de valoración monetarios sobre otros lenguajes.</w:t>
      </w:r>
    </w:p>
    <w:p>
      <w:pPr>
        <w:spacing w:after="0"/>
        <w:jc w:val="both"/>
        <w:rPr>
          <w:sz w:val="20"/>
        </w:rPr>
        <w:sectPr>
          <w:pgSz w:w="12240" w:h="15840"/>
          <w:pgMar w:header="0" w:footer="1330" w:top="1500" w:bottom="1520" w:left="1260" w:right="1320"/>
        </w:sectPr>
      </w:pPr>
    </w:p>
    <w:p>
      <w:pPr>
        <w:pStyle w:val="BodyText"/>
        <w:spacing w:before="4"/>
        <w:rPr>
          <w:sz w:val="11"/>
        </w:rPr>
      </w:pPr>
    </w:p>
    <w:p>
      <w:pPr>
        <w:spacing w:before="94"/>
        <w:ind w:left="1465" w:right="1359" w:firstLine="0"/>
        <w:jc w:val="center"/>
        <w:rPr>
          <w:i/>
          <w:sz w:val="20"/>
        </w:rPr>
      </w:pPr>
      <w:r>
        <w:rPr>
          <w:i/>
          <w:sz w:val="20"/>
        </w:rPr>
        <w:t>Cuadro 7- Deconstrucción de Algunos de los CED de Deuda Ecológica en América Latina que Documenta la Literatura.</w:t>
      </w:r>
    </w:p>
    <w:p>
      <w:pPr>
        <w:spacing w:before="10"/>
        <w:ind w:left="1063" w:right="1359" w:firstLine="0"/>
        <w:jc w:val="center"/>
        <w:rPr>
          <w:i/>
          <w:sz w:val="20"/>
        </w:rPr>
      </w:pPr>
      <w:r>
        <w:rPr>
          <w:i/>
          <w:sz w:val="20"/>
        </w:rPr>
        <w:t>Fuente: Extraído de Aguilar González (2013).</w:t>
      </w:r>
    </w:p>
    <w:p>
      <w:pPr>
        <w:pStyle w:val="BodyText"/>
        <w:spacing w:before="10"/>
        <w:rPr>
          <w:i/>
          <w:sz w:val="27"/>
        </w:rPr>
      </w:pPr>
      <w:r>
        <w:rPr/>
        <w:drawing>
          <wp:anchor distT="0" distB="0" distL="0" distR="0" allowOverlap="1" layoutInCell="1" locked="0" behindDoc="0" simplePos="0" relativeHeight="57">
            <wp:simplePos x="0" y="0"/>
            <wp:positionH relativeFrom="page">
              <wp:posOffset>914400</wp:posOffset>
            </wp:positionH>
            <wp:positionV relativeFrom="paragraph">
              <wp:posOffset>228314</wp:posOffset>
            </wp:positionV>
            <wp:extent cx="8308410" cy="5039106"/>
            <wp:effectExtent l="0" t="0" r="0" b="0"/>
            <wp:wrapTopAndBottom/>
            <wp:docPr id="55" name="image53.jpeg"/>
            <wp:cNvGraphicFramePr>
              <a:graphicFrameLocks noChangeAspect="1"/>
            </wp:cNvGraphicFramePr>
            <a:graphic>
              <a:graphicData uri="http://schemas.openxmlformats.org/drawingml/2006/picture">
                <pic:pic>
                  <pic:nvPicPr>
                    <pic:cNvPr id="56" name="image53.jpeg"/>
                    <pic:cNvPicPr/>
                  </pic:nvPicPr>
                  <pic:blipFill>
                    <a:blip r:embed="rId71" cstate="print"/>
                    <a:stretch>
                      <a:fillRect/>
                    </a:stretch>
                  </pic:blipFill>
                  <pic:spPr>
                    <a:xfrm>
                      <a:off x="0" y="0"/>
                      <a:ext cx="8308410" cy="5039106"/>
                    </a:xfrm>
                    <a:prstGeom prst="rect">
                      <a:avLst/>
                    </a:prstGeom>
                  </pic:spPr>
                </pic:pic>
              </a:graphicData>
            </a:graphic>
          </wp:anchor>
        </w:drawing>
      </w:r>
    </w:p>
    <w:p>
      <w:pPr>
        <w:spacing w:after="0"/>
        <w:rPr>
          <w:sz w:val="27"/>
        </w:rPr>
        <w:sectPr>
          <w:footerReference w:type="default" r:id="rId70"/>
          <w:pgSz w:w="15840" w:h="12240" w:orient="landscape"/>
          <w:pgMar w:footer="1398" w:header="0" w:top="1140" w:bottom="1580" w:left="1340" w:right="1040"/>
        </w:sectPr>
      </w:pPr>
    </w:p>
    <w:p>
      <w:pPr>
        <w:pStyle w:val="BodyText"/>
        <w:spacing w:line="360" w:lineRule="auto" w:before="75"/>
        <w:ind w:left="100" w:right="104"/>
        <w:jc w:val="both"/>
      </w:pPr>
      <w:r>
        <w:rPr/>
        <w:t>Para</w:t>
      </w:r>
      <w:r>
        <w:rPr>
          <w:spacing w:val="-8"/>
        </w:rPr>
        <w:t> </w:t>
      </w:r>
      <w:r>
        <w:rPr/>
        <w:t>el</w:t>
      </w:r>
      <w:r>
        <w:rPr>
          <w:spacing w:val="-7"/>
        </w:rPr>
        <w:t> </w:t>
      </w:r>
      <w:r>
        <w:rPr/>
        <w:t>caso</w:t>
      </w:r>
      <w:r>
        <w:rPr>
          <w:spacing w:val="-7"/>
        </w:rPr>
        <w:t> </w:t>
      </w:r>
      <w:r>
        <w:rPr/>
        <w:t>de</w:t>
      </w:r>
      <w:r>
        <w:rPr>
          <w:spacing w:val="-8"/>
        </w:rPr>
        <w:t> </w:t>
      </w:r>
      <w:r>
        <w:rPr/>
        <w:t>la</w:t>
      </w:r>
      <w:r>
        <w:rPr>
          <w:spacing w:val="-7"/>
        </w:rPr>
        <w:t> </w:t>
      </w:r>
      <w:r>
        <w:rPr/>
        <w:t>ZPLC</w:t>
      </w:r>
      <w:r>
        <w:rPr>
          <w:spacing w:val="-7"/>
        </w:rPr>
        <w:t> </w:t>
      </w:r>
      <w:r>
        <w:rPr/>
        <w:t>se</w:t>
      </w:r>
      <w:r>
        <w:rPr>
          <w:spacing w:val="-7"/>
        </w:rPr>
        <w:t> </w:t>
      </w:r>
      <w:r>
        <w:rPr/>
        <w:t>considera</w:t>
      </w:r>
      <w:r>
        <w:rPr>
          <w:spacing w:val="-8"/>
        </w:rPr>
        <w:t> </w:t>
      </w:r>
      <w:r>
        <w:rPr/>
        <w:t>inicialmente</w:t>
      </w:r>
      <w:r>
        <w:rPr>
          <w:spacing w:val="-8"/>
        </w:rPr>
        <w:t> </w:t>
      </w:r>
      <w:r>
        <w:rPr/>
        <w:t>que</w:t>
      </w:r>
      <w:r>
        <w:rPr>
          <w:spacing w:val="-7"/>
        </w:rPr>
        <w:t> </w:t>
      </w:r>
      <w:r>
        <w:rPr/>
        <w:t>ese</w:t>
      </w:r>
      <w:r>
        <w:rPr>
          <w:spacing w:val="-8"/>
        </w:rPr>
        <w:t> </w:t>
      </w:r>
      <w:r>
        <w:rPr/>
        <w:t>grupo</w:t>
      </w:r>
      <w:r>
        <w:rPr>
          <w:spacing w:val="-7"/>
        </w:rPr>
        <w:t> </w:t>
      </w:r>
      <w:r>
        <w:rPr/>
        <w:t>está</w:t>
      </w:r>
      <w:r>
        <w:rPr>
          <w:spacing w:val="-8"/>
        </w:rPr>
        <w:t> </w:t>
      </w:r>
      <w:r>
        <w:rPr/>
        <w:t>compuesto</w:t>
      </w:r>
      <w:r>
        <w:rPr>
          <w:spacing w:val="-7"/>
        </w:rPr>
        <w:t> </w:t>
      </w:r>
      <w:r>
        <w:rPr/>
        <w:t>por los propietarios de bienes inmuebles localizados en las cercanías de la misma que dependen y disfrutan de los servicios ecosistémicos que provee el área protegida. Éstos disfrutan sin retribución monetaria del servicio de vista que brinda la ZP lo cual les</w:t>
      </w:r>
      <w:r>
        <w:rPr>
          <w:spacing w:val="-6"/>
        </w:rPr>
        <w:t> </w:t>
      </w:r>
      <w:r>
        <w:rPr/>
        <w:t>ayuda</w:t>
      </w:r>
      <w:r>
        <w:rPr>
          <w:spacing w:val="-6"/>
        </w:rPr>
        <w:t> </w:t>
      </w:r>
      <w:r>
        <w:rPr/>
        <w:t>a</w:t>
      </w:r>
      <w:r>
        <w:rPr>
          <w:spacing w:val="-3"/>
        </w:rPr>
        <w:t> </w:t>
      </w:r>
      <w:r>
        <w:rPr/>
        <w:t>mejorar</w:t>
      </w:r>
      <w:r>
        <w:rPr>
          <w:spacing w:val="-6"/>
        </w:rPr>
        <w:t> </w:t>
      </w:r>
      <w:r>
        <w:rPr/>
        <w:t>su</w:t>
      </w:r>
      <w:r>
        <w:rPr>
          <w:spacing w:val="-7"/>
        </w:rPr>
        <w:t> </w:t>
      </w:r>
      <w:r>
        <w:rPr/>
        <w:t>calidad</w:t>
      </w:r>
      <w:r>
        <w:rPr>
          <w:spacing w:val="-5"/>
        </w:rPr>
        <w:t> </w:t>
      </w:r>
      <w:r>
        <w:rPr/>
        <w:t>de</w:t>
      </w:r>
      <w:r>
        <w:rPr>
          <w:spacing w:val="-8"/>
        </w:rPr>
        <w:t> </w:t>
      </w:r>
      <w:r>
        <w:rPr/>
        <w:t>vida</w:t>
      </w:r>
      <w:r>
        <w:rPr>
          <w:spacing w:val="-3"/>
        </w:rPr>
        <w:t> </w:t>
      </w:r>
      <w:r>
        <w:rPr/>
        <w:t>en</w:t>
      </w:r>
      <w:r>
        <w:rPr>
          <w:spacing w:val="-7"/>
        </w:rPr>
        <w:t> </w:t>
      </w:r>
      <w:r>
        <w:rPr/>
        <w:t>diversas</w:t>
      </w:r>
      <w:r>
        <w:rPr>
          <w:spacing w:val="-6"/>
        </w:rPr>
        <w:t> </w:t>
      </w:r>
      <w:r>
        <w:rPr/>
        <w:t>formas.</w:t>
      </w:r>
      <w:r>
        <w:rPr>
          <w:spacing w:val="-4"/>
        </w:rPr>
        <w:t> </w:t>
      </w:r>
      <w:r>
        <w:rPr/>
        <w:t>Por</w:t>
      </w:r>
      <w:r>
        <w:rPr>
          <w:spacing w:val="-5"/>
        </w:rPr>
        <w:t> </w:t>
      </w:r>
      <w:r>
        <w:rPr/>
        <w:t>otra</w:t>
      </w:r>
      <w:r>
        <w:rPr>
          <w:spacing w:val="-7"/>
        </w:rPr>
        <w:t> </w:t>
      </w:r>
      <w:r>
        <w:rPr/>
        <w:t>parte,</w:t>
      </w:r>
      <w:r>
        <w:rPr>
          <w:spacing w:val="-5"/>
        </w:rPr>
        <w:t> </w:t>
      </w:r>
      <w:r>
        <w:rPr/>
        <w:t>se</w:t>
      </w:r>
      <w:r>
        <w:rPr>
          <w:spacing w:val="-3"/>
        </w:rPr>
        <w:t> </w:t>
      </w:r>
      <w:r>
        <w:rPr/>
        <w:t>parte</w:t>
      </w:r>
      <w:r>
        <w:rPr>
          <w:spacing w:val="-6"/>
        </w:rPr>
        <w:t> </w:t>
      </w:r>
      <w:r>
        <w:rPr/>
        <w:t>de que los acreedores son los propietarios dentro o en los bordes de la ZPLC que mediante el cumplimiento con las previsiones del ordenamiento territorial y de la ley contribuyen con la provisión de esos servicios, entre ellos el servicio de vista. En el caso de la ZPLC, de acuerdo con su plan de manejo, la zona comprende en su casi totalidad terrenos privados, con la existencia de predios de diversas extensiones. Sin embargo, la mejor fuente de datos que es su Plan de Manejo brinda información muy desactualizada y escueta. Detalla </w:t>
      </w:r>
      <w:r>
        <w:rPr>
          <w:spacing w:val="3"/>
        </w:rPr>
        <w:t>que </w:t>
      </w:r>
      <w:r>
        <w:rPr/>
        <w:t>al 23 de noviembre de 1999, existían un total de 928 propiedades registradas, con áreas desde muy pequeñas (escasos 100 m2) hasta</w:t>
      </w:r>
      <w:r>
        <w:rPr>
          <w:spacing w:val="-16"/>
        </w:rPr>
        <w:t> </w:t>
      </w:r>
      <w:r>
        <w:rPr/>
        <w:t>fincas</w:t>
      </w:r>
      <w:r>
        <w:rPr>
          <w:spacing w:val="-14"/>
        </w:rPr>
        <w:t> </w:t>
      </w:r>
      <w:r>
        <w:rPr/>
        <w:t>del</w:t>
      </w:r>
      <w:r>
        <w:rPr>
          <w:spacing w:val="-15"/>
        </w:rPr>
        <w:t> </w:t>
      </w:r>
      <w:r>
        <w:rPr/>
        <w:t>orden</w:t>
      </w:r>
      <w:r>
        <w:rPr>
          <w:spacing w:val="-16"/>
        </w:rPr>
        <w:t> </w:t>
      </w:r>
      <w:r>
        <w:rPr/>
        <w:t>de</w:t>
      </w:r>
      <w:r>
        <w:rPr>
          <w:spacing w:val="-15"/>
        </w:rPr>
        <w:t> </w:t>
      </w:r>
      <w:r>
        <w:rPr/>
        <w:t>60,</w:t>
      </w:r>
      <w:r>
        <w:rPr>
          <w:spacing w:val="-13"/>
        </w:rPr>
        <w:t> </w:t>
      </w:r>
      <w:r>
        <w:rPr/>
        <w:t>80,</w:t>
      </w:r>
      <w:r>
        <w:rPr>
          <w:spacing w:val="-13"/>
        </w:rPr>
        <w:t> </w:t>
      </w:r>
      <w:r>
        <w:rPr/>
        <w:t>100</w:t>
      </w:r>
      <w:r>
        <w:rPr>
          <w:spacing w:val="-16"/>
        </w:rPr>
        <w:t> </w:t>
      </w:r>
      <w:r>
        <w:rPr/>
        <w:t>has</w:t>
      </w:r>
      <w:r>
        <w:rPr>
          <w:spacing w:val="-14"/>
        </w:rPr>
        <w:t> </w:t>
      </w:r>
      <w:r>
        <w:rPr/>
        <w:t>y</w:t>
      </w:r>
      <w:r>
        <w:rPr>
          <w:spacing w:val="-17"/>
        </w:rPr>
        <w:t> </w:t>
      </w:r>
      <w:r>
        <w:rPr/>
        <w:t>más,</w:t>
      </w:r>
      <w:r>
        <w:rPr>
          <w:spacing w:val="-13"/>
        </w:rPr>
        <w:t> </w:t>
      </w:r>
      <w:r>
        <w:rPr/>
        <w:t>según</w:t>
      </w:r>
      <w:r>
        <w:rPr>
          <w:spacing w:val="-16"/>
        </w:rPr>
        <w:t> </w:t>
      </w:r>
      <w:r>
        <w:rPr/>
        <w:t>datos</w:t>
      </w:r>
      <w:r>
        <w:rPr>
          <w:spacing w:val="-14"/>
        </w:rPr>
        <w:t> </w:t>
      </w:r>
      <w:r>
        <w:rPr/>
        <w:t>de</w:t>
      </w:r>
      <w:r>
        <w:rPr>
          <w:spacing w:val="-15"/>
        </w:rPr>
        <w:t> </w:t>
      </w:r>
      <w:r>
        <w:rPr/>
        <w:t>la</w:t>
      </w:r>
      <w:r>
        <w:rPr>
          <w:spacing w:val="-16"/>
        </w:rPr>
        <w:t> </w:t>
      </w:r>
      <w:r>
        <w:rPr/>
        <w:t>Oficina</w:t>
      </w:r>
      <w:r>
        <w:rPr>
          <w:spacing w:val="-16"/>
        </w:rPr>
        <w:t> </w:t>
      </w:r>
      <w:r>
        <w:rPr/>
        <w:t>de</w:t>
      </w:r>
      <w:r>
        <w:rPr>
          <w:spacing w:val="-16"/>
        </w:rPr>
        <w:t> </w:t>
      </w:r>
      <w:r>
        <w:rPr/>
        <w:t>Atención al Usuario del MINAE (Comisión Interinstitucional para la Zona Protectora Cerros de La Carpintera,</w:t>
      </w:r>
      <w:r>
        <w:rPr>
          <w:spacing w:val="-1"/>
        </w:rPr>
        <w:t> </w:t>
      </w:r>
      <w:r>
        <w:rPr/>
        <w:t>2012).</w:t>
      </w:r>
    </w:p>
    <w:p>
      <w:pPr>
        <w:pStyle w:val="BodyText"/>
        <w:spacing w:line="360" w:lineRule="auto" w:before="202"/>
        <w:ind w:left="100" w:right="103"/>
        <w:jc w:val="both"/>
      </w:pPr>
      <w:r>
        <w:rPr/>
        <w:t>Para ilustrar mejor esta situación, se incluye la Figura 23 en la que se observa un mapa</w:t>
      </w:r>
      <w:r>
        <w:rPr>
          <w:spacing w:val="-11"/>
        </w:rPr>
        <w:t> </w:t>
      </w:r>
      <w:r>
        <w:rPr/>
        <w:t>parcial</w:t>
      </w:r>
      <w:r>
        <w:rPr>
          <w:spacing w:val="-10"/>
        </w:rPr>
        <w:t> </w:t>
      </w:r>
      <w:r>
        <w:rPr/>
        <w:t>de</w:t>
      </w:r>
      <w:r>
        <w:rPr>
          <w:spacing w:val="-15"/>
        </w:rPr>
        <w:t> </w:t>
      </w:r>
      <w:r>
        <w:rPr/>
        <w:t>tenencia</w:t>
      </w:r>
      <w:r>
        <w:rPr>
          <w:spacing w:val="-15"/>
        </w:rPr>
        <w:t> </w:t>
      </w:r>
      <w:r>
        <w:rPr/>
        <w:t>de</w:t>
      </w:r>
      <w:r>
        <w:rPr>
          <w:spacing w:val="-14"/>
        </w:rPr>
        <w:t> </w:t>
      </w:r>
      <w:r>
        <w:rPr/>
        <w:t>la</w:t>
      </w:r>
      <w:r>
        <w:rPr>
          <w:spacing w:val="-15"/>
        </w:rPr>
        <w:t> </w:t>
      </w:r>
      <w:r>
        <w:rPr/>
        <w:t>tierra</w:t>
      </w:r>
      <w:r>
        <w:rPr>
          <w:spacing w:val="-11"/>
        </w:rPr>
        <w:t> </w:t>
      </w:r>
      <w:r>
        <w:rPr/>
        <w:t>de</w:t>
      </w:r>
      <w:r>
        <w:rPr>
          <w:spacing w:val="-15"/>
        </w:rPr>
        <w:t> </w:t>
      </w:r>
      <w:r>
        <w:rPr/>
        <w:t>la</w:t>
      </w:r>
      <w:r>
        <w:rPr>
          <w:spacing w:val="-10"/>
        </w:rPr>
        <w:t> </w:t>
      </w:r>
      <w:r>
        <w:rPr/>
        <w:t>zona</w:t>
      </w:r>
      <w:r>
        <w:rPr>
          <w:spacing w:val="-11"/>
        </w:rPr>
        <w:t> </w:t>
      </w:r>
      <w:r>
        <w:rPr/>
        <w:t>al</w:t>
      </w:r>
      <w:r>
        <w:rPr>
          <w:spacing w:val="-10"/>
        </w:rPr>
        <w:t> </w:t>
      </w:r>
      <w:r>
        <w:rPr/>
        <w:t>año</w:t>
      </w:r>
      <w:r>
        <w:rPr>
          <w:spacing w:val="-15"/>
        </w:rPr>
        <w:t> </w:t>
      </w:r>
      <w:r>
        <w:rPr/>
        <w:t>2004</w:t>
      </w:r>
      <w:r>
        <w:rPr>
          <w:spacing w:val="-11"/>
        </w:rPr>
        <w:t> </w:t>
      </w:r>
      <w:r>
        <w:rPr/>
        <w:t>elaborada</w:t>
      </w:r>
      <w:r>
        <w:rPr>
          <w:spacing w:val="-11"/>
        </w:rPr>
        <w:t> </w:t>
      </w:r>
      <w:r>
        <w:rPr/>
        <w:t>para</w:t>
      </w:r>
      <w:r>
        <w:rPr>
          <w:spacing w:val="-10"/>
        </w:rPr>
        <w:t> </w:t>
      </w:r>
      <w:r>
        <w:rPr/>
        <w:t>el</w:t>
      </w:r>
      <w:r>
        <w:rPr>
          <w:spacing w:val="-14"/>
        </w:rPr>
        <w:t> </w:t>
      </w:r>
      <w:r>
        <w:rPr/>
        <w:t>proceso de desarrollo del Plan de Manejo (Asociación Movimiento Cívico del Cantón de la Unión, 2004). En la misma se ven algunas de las grandes propiedades del área. A comparación se ha sobrepuesto la ubicación y tamaño aproximado de las comunidades</w:t>
      </w:r>
      <w:r>
        <w:rPr>
          <w:spacing w:val="-6"/>
        </w:rPr>
        <w:t> </w:t>
      </w:r>
      <w:r>
        <w:rPr/>
        <w:t>de</w:t>
      </w:r>
      <w:r>
        <w:rPr>
          <w:spacing w:val="-7"/>
        </w:rPr>
        <w:t> </w:t>
      </w:r>
      <w:r>
        <w:rPr/>
        <w:t>Linda</w:t>
      </w:r>
      <w:r>
        <w:rPr>
          <w:spacing w:val="-7"/>
        </w:rPr>
        <w:t> </w:t>
      </w:r>
      <w:r>
        <w:rPr/>
        <w:t>Vista</w:t>
      </w:r>
      <w:r>
        <w:rPr>
          <w:spacing w:val="-3"/>
        </w:rPr>
        <w:t> </w:t>
      </w:r>
      <w:r>
        <w:rPr/>
        <w:t>y</w:t>
      </w:r>
      <w:r>
        <w:rPr>
          <w:spacing w:val="-5"/>
        </w:rPr>
        <w:t> </w:t>
      </w:r>
      <w:r>
        <w:rPr/>
        <w:t>Barrio</w:t>
      </w:r>
      <w:r>
        <w:rPr>
          <w:spacing w:val="-3"/>
        </w:rPr>
        <w:t> </w:t>
      </w:r>
      <w:r>
        <w:rPr/>
        <w:t>Los</w:t>
      </w:r>
      <w:r>
        <w:rPr>
          <w:spacing w:val="-6"/>
        </w:rPr>
        <w:t> </w:t>
      </w:r>
      <w:r>
        <w:rPr/>
        <w:t>Ángeles.</w:t>
      </w:r>
      <w:r>
        <w:rPr>
          <w:spacing w:val="-4"/>
        </w:rPr>
        <w:t> </w:t>
      </w:r>
      <w:r>
        <w:rPr/>
        <w:t>Linda</w:t>
      </w:r>
      <w:r>
        <w:rPr>
          <w:spacing w:val="-3"/>
        </w:rPr>
        <w:t> </w:t>
      </w:r>
      <w:r>
        <w:rPr/>
        <w:t>Vista</w:t>
      </w:r>
      <w:r>
        <w:rPr>
          <w:spacing w:val="-1"/>
        </w:rPr>
        <w:t> </w:t>
      </w:r>
      <w:r>
        <w:rPr/>
        <w:t>incluye</w:t>
      </w:r>
      <w:r>
        <w:rPr>
          <w:spacing w:val="-7"/>
        </w:rPr>
        <w:t> </w:t>
      </w:r>
      <w:r>
        <w:rPr/>
        <w:t>1120</w:t>
      </w:r>
      <w:r>
        <w:rPr>
          <w:spacing w:val="-4"/>
        </w:rPr>
        <w:t> </w:t>
      </w:r>
      <w:r>
        <w:rPr/>
        <w:t>familias</w:t>
      </w:r>
      <w:r>
        <w:rPr>
          <w:spacing w:val="-1"/>
        </w:rPr>
        <w:t> </w:t>
      </w:r>
      <w:r>
        <w:rPr/>
        <w:t>y Barrio</w:t>
      </w:r>
      <w:r>
        <w:rPr>
          <w:spacing w:val="-8"/>
        </w:rPr>
        <w:t> </w:t>
      </w:r>
      <w:r>
        <w:rPr/>
        <w:t>Los</w:t>
      </w:r>
      <w:r>
        <w:rPr>
          <w:spacing w:val="-5"/>
        </w:rPr>
        <w:t> </w:t>
      </w:r>
      <w:r>
        <w:rPr/>
        <w:t>Ángeles</w:t>
      </w:r>
      <w:r>
        <w:rPr>
          <w:spacing w:val="-2"/>
        </w:rPr>
        <w:t> </w:t>
      </w:r>
      <w:r>
        <w:rPr/>
        <w:t>166</w:t>
      </w:r>
      <w:r>
        <w:rPr>
          <w:spacing w:val="-7"/>
        </w:rPr>
        <w:t> </w:t>
      </w:r>
      <w:r>
        <w:rPr/>
        <w:t>familias.</w:t>
      </w:r>
      <w:r>
        <w:rPr>
          <w:spacing w:val="-5"/>
        </w:rPr>
        <w:t> </w:t>
      </w:r>
      <w:r>
        <w:rPr/>
        <w:t>En</w:t>
      </w:r>
      <w:r>
        <w:rPr>
          <w:spacing w:val="-7"/>
        </w:rPr>
        <w:t> </w:t>
      </w:r>
      <w:r>
        <w:rPr/>
        <w:t>su</w:t>
      </w:r>
      <w:r>
        <w:rPr>
          <w:spacing w:val="-7"/>
        </w:rPr>
        <w:t> </w:t>
      </w:r>
      <w:r>
        <w:rPr/>
        <w:t>gran</w:t>
      </w:r>
      <w:r>
        <w:rPr>
          <w:spacing w:val="-4"/>
        </w:rPr>
        <w:t> </w:t>
      </w:r>
      <w:r>
        <w:rPr/>
        <w:t>mayoría</w:t>
      </w:r>
      <w:r>
        <w:rPr>
          <w:spacing w:val="-7"/>
        </w:rPr>
        <w:t> </w:t>
      </w:r>
      <w:r>
        <w:rPr/>
        <w:t>las</w:t>
      </w:r>
      <w:r>
        <w:rPr>
          <w:spacing w:val="-5"/>
        </w:rPr>
        <w:t> </w:t>
      </w:r>
      <w:r>
        <w:rPr/>
        <w:t>propiedades</w:t>
      </w:r>
      <w:r>
        <w:rPr>
          <w:spacing w:val="-6"/>
        </w:rPr>
        <w:t> </w:t>
      </w:r>
      <w:r>
        <w:rPr/>
        <w:t>de</w:t>
      </w:r>
      <w:r>
        <w:rPr>
          <w:spacing w:val="-3"/>
        </w:rPr>
        <w:t> </w:t>
      </w:r>
      <w:r>
        <w:rPr/>
        <w:t>gran</w:t>
      </w:r>
      <w:r>
        <w:rPr>
          <w:spacing w:val="-8"/>
        </w:rPr>
        <w:t> </w:t>
      </w:r>
      <w:r>
        <w:rPr/>
        <w:t>tamaño son de propietarios que no habitan en la</w:t>
      </w:r>
      <w:r>
        <w:rPr>
          <w:spacing w:val="-6"/>
        </w:rPr>
        <w:t> </w:t>
      </w:r>
      <w:r>
        <w:rPr/>
        <w:t>zona.</w:t>
      </w:r>
    </w:p>
    <w:p>
      <w:pPr>
        <w:pStyle w:val="BodyText"/>
        <w:spacing w:line="360" w:lineRule="auto" w:before="201"/>
        <w:ind w:left="100" w:right="108"/>
        <w:jc w:val="both"/>
      </w:pPr>
      <w:r>
        <w:rPr/>
        <w:t>En la descripción introductoria se han adelantado algunas características de la evaluación de justicia ambiental que justifican la evaluación compensatoria que se desarrolla acá. Estas serán sintetizadas en el cuadro de caracterización que se desarrollará</w:t>
      </w:r>
      <w:r>
        <w:rPr>
          <w:spacing w:val="-10"/>
        </w:rPr>
        <w:t> </w:t>
      </w:r>
      <w:r>
        <w:rPr/>
        <w:t>en</w:t>
      </w:r>
      <w:r>
        <w:rPr>
          <w:spacing w:val="-10"/>
        </w:rPr>
        <w:t> </w:t>
      </w:r>
      <w:r>
        <w:rPr/>
        <w:t>la</w:t>
      </w:r>
      <w:r>
        <w:rPr>
          <w:spacing w:val="-10"/>
        </w:rPr>
        <w:t> </w:t>
      </w:r>
      <w:r>
        <w:rPr/>
        <w:t>sección</w:t>
      </w:r>
      <w:r>
        <w:rPr>
          <w:spacing w:val="-9"/>
        </w:rPr>
        <w:t> </w:t>
      </w:r>
      <w:r>
        <w:rPr/>
        <w:t>de</w:t>
      </w:r>
      <w:r>
        <w:rPr>
          <w:spacing w:val="-10"/>
        </w:rPr>
        <w:t> </w:t>
      </w:r>
      <w:r>
        <w:rPr/>
        <w:t>resultados.</w:t>
      </w:r>
      <w:r>
        <w:rPr>
          <w:spacing w:val="-5"/>
        </w:rPr>
        <w:t> </w:t>
      </w:r>
      <w:r>
        <w:rPr/>
        <w:t>Se</w:t>
      </w:r>
      <w:r>
        <w:rPr>
          <w:spacing w:val="-10"/>
        </w:rPr>
        <w:t> </w:t>
      </w:r>
      <w:r>
        <w:rPr/>
        <w:t>sintetizarán</w:t>
      </w:r>
      <w:r>
        <w:rPr>
          <w:spacing w:val="-9"/>
        </w:rPr>
        <w:t> </w:t>
      </w:r>
      <w:r>
        <w:rPr/>
        <w:t>allí</w:t>
      </w:r>
      <w:r>
        <w:rPr>
          <w:spacing w:val="-7"/>
        </w:rPr>
        <w:t> </w:t>
      </w:r>
      <w:r>
        <w:rPr/>
        <w:t>también</w:t>
      </w:r>
      <w:r>
        <w:rPr>
          <w:spacing w:val="-10"/>
        </w:rPr>
        <w:t> </w:t>
      </w:r>
      <w:r>
        <w:rPr/>
        <w:t>las</w:t>
      </w:r>
      <w:r>
        <w:rPr>
          <w:spacing w:val="-8"/>
        </w:rPr>
        <w:t> </w:t>
      </w:r>
      <w:r>
        <w:rPr/>
        <w:t>asimetrías</w:t>
      </w:r>
      <w:r>
        <w:rPr>
          <w:spacing w:val="-8"/>
        </w:rPr>
        <w:t> </w:t>
      </w:r>
      <w:r>
        <w:rPr/>
        <w:t>de poder que se han</w:t>
      </w:r>
      <w:r>
        <w:rPr>
          <w:spacing w:val="-3"/>
        </w:rPr>
        <w:t> </w:t>
      </w:r>
      <w:r>
        <w:rPr/>
        <w:t>detectado.</w:t>
      </w:r>
    </w:p>
    <w:p>
      <w:pPr>
        <w:pStyle w:val="BodyText"/>
        <w:rPr>
          <w:sz w:val="20"/>
        </w:rPr>
      </w:pPr>
    </w:p>
    <w:p>
      <w:pPr>
        <w:pStyle w:val="BodyText"/>
        <w:rPr>
          <w:sz w:val="20"/>
        </w:rPr>
      </w:pPr>
    </w:p>
    <w:p>
      <w:pPr>
        <w:pStyle w:val="BodyText"/>
        <w:spacing w:before="11"/>
        <w:rPr>
          <w:sz w:val="16"/>
        </w:rPr>
      </w:pPr>
    </w:p>
    <w:p>
      <w:pPr>
        <w:pStyle w:val="BodyText"/>
        <w:spacing w:before="92"/>
        <w:ind w:right="106"/>
        <w:jc w:val="right"/>
      </w:pPr>
      <w:r>
        <w:rPr>
          <w:w w:val="95"/>
        </w:rPr>
        <w:t>75</w:t>
      </w:r>
    </w:p>
    <w:p>
      <w:pPr>
        <w:spacing w:after="0"/>
        <w:jc w:val="right"/>
        <w:sectPr>
          <w:footerReference w:type="default" r:id="rId72"/>
          <w:pgSz w:w="12240" w:h="15840"/>
          <w:pgMar w:footer="0" w:header="0" w:top="1340" w:bottom="280" w:left="1600" w:right="1360"/>
        </w:sectPr>
      </w:pPr>
    </w:p>
    <w:p>
      <w:pPr>
        <w:pStyle w:val="BodyText"/>
        <w:rPr>
          <w:sz w:val="20"/>
        </w:rPr>
      </w:pPr>
    </w:p>
    <w:p>
      <w:pPr>
        <w:pStyle w:val="BodyText"/>
        <w:spacing w:before="9"/>
        <w:rPr>
          <w:sz w:val="28"/>
        </w:rPr>
      </w:pPr>
    </w:p>
    <w:p>
      <w:pPr>
        <w:pStyle w:val="BodyText"/>
        <w:ind w:left="117"/>
        <w:rPr>
          <w:sz w:val="20"/>
        </w:rPr>
      </w:pPr>
      <w:r>
        <w:rPr>
          <w:sz w:val="20"/>
        </w:rPr>
        <w:drawing>
          <wp:inline distT="0" distB="0" distL="0" distR="0">
            <wp:extent cx="7844887" cy="5193792"/>
            <wp:effectExtent l="0" t="0" r="0" b="0"/>
            <wp:docPr id="57" name="image54.jpeg"/>
            <wp:cNvGraphicFramePr>
              <a:graphicFrameLocks noChangeAspect="1"/>
            </wp:cNvGraphicFramePr>
            <a:graphic>
              <a:graphicData uri="http://schemas.openxmlformats.org/drawingml/2006/picture">
                <pic:pic>
                  <pic:nvPicPr>
                    <pic:cNvPr id="58" name="image54.jpeg"/>
                    <pic:cNvPicPr/>
                  </pic:nvPicPr>
                  <pic:blipFill>
                    <a:blip r:embed="rId74" cstate="print"/>
                    <a:stretch>
                      <a:fillRect/>
                    </a:stretch>
                  </pic:blipFill>
                  <pic:spPr>
                    <a:xfrm>
                      <a:off x="0" y="0"/>
                      <a:ext cx="7844887" cy="5193792"/>
                    </a:xfrm>
                    <a:prstGeom prst="rect">
                      <a:avLst/>
                    </a:prstGeom>
                  </pic:spPr>
                </pic:pic>
              </a:graphicData>
            </a:graphic>
          </wp:inline>
        </w:drawing>
      </w:r>
      <w:r>
        <w:rPr>
          <w:sz w:val="20"/>
        </w:rPr>
      </w:r>
    </w:p>
    <w:p>
      <w:pPr>
        <w:pStyle w:val="BodyText"/>
        <w:spacing w:before="5"/>
        <w:rPr>
          <w:sz w:val="10"/>
        </w:rPr>
      </w:pPr>
    </w:p>
    <w:p>
      <w:pPr>
        <w:tabs>
          <w:tab w:pos="1816" w:val="left" w:leader="none"/>
        </w:tabs>
        <w:spacing w:before="90"/>
        <w:ind w:left="0" w:right="2750" w:firstLine="0"/>
        <w:jc w:val="center"/>
        <w:rPr>
          <w:i/>
          <w:sz w:val="20"/>
        </w:rPr>
      </w:pPr>
      <w:r>
        <w:rPr>
          <w:i/>
          <w:position w:val="2"/>
          <w:sz w:val="20"/>
        </w:rPr>
        <w:t>.</w:t>
        <w:tab/>
      </w:r>
      <w:r>
        <w:rPr>
          <w:i/>
          <w:sz w:val="20"/>
        </w:rPr>
        <w:t>Figura 23 - Ilustración Parcial de las Diferencias en la Tenencia de la Tierra dentro de la</w:t>
      </w:r>
      <w:r>
        <w:rPr>
          <w:i/>
          <w:spacing w:val="-24"/>
          <w:sz w:val="20"/>
        </w:rPr>
        <w:t> </w:t>
      </w:r>
      <w:r>
        <w:rPr>
          <w:i/>
          <w:sz w:val="20"/>
        </w:rPr>
        <w:t>ZPLC.</w:t>
      </w:r>
    </w:p>
    <w:p>
      <w:pPr>
        <w:spacing w:before="98"/>
        <w:ind w:left="2764" w:right="2750" w:firstLine="0"/>
        <w:jc w:val="center"/>
        <w:rPr>
          <w:i/>
          <w:sz w:val="20"/>
        </w:rPr>
      </w:pPr>
      <w:r>
        <w:rPr>
          <w:i/>
          <w:sz w:val="20"/>
        </w:rPr>
        <w:t>Fuente: Modificado de: Movimiento Cívico del cantón de la Unión (2004).</w:t>
      </w:r>
    </w:p>
    <w:p>
      <w:pPr>
        <w:pStyle w:val="BodyText"/>
        <w:spacing w:before="2"/>
        <w:rPr>
          <w:i/>
          <w:sz w:val="18"/>
        </w:rPr>
      </w:pPr>
    </w:p>
    <w:p>
      <w:pPr>
        <w:pStyle w:val="BodyText"/>
        <w:spacing w:before="92"/>
        <w:ind w:right="98"/>
        <w:jc w:val="right"/>
      </w:pPr>
      <w:r>
        <w:rPr>
          <w:w w:val="95"/>
        </w:rPr>
        <w:t>76</w:t>
      </w:r>
    </w:p>
    <w:p>
      <w:pPr>
        <w:spacing w:after="0"/>
        <w:jc w:val="right"/>
        <w:sectPr>
          <w:footerReference w:type="default" r:id="rId73"/>
          <w:pgSz w:w="15840" w:h="12240" w:orient="landscape"/>
          <w:pgMar w:footer="0" w:header="0" w:top="1140" w:bottom="280" w:left="1300" w:right="1320"/>
        </w:sectPr>
      </w:pPr>
    </w:p>
    <w:p>
      <w:pPr>
        <w:pStyle w:val="Heading2"/>
        <w:numPr>
          <w:ilvl w:val="0"/>
          <w:numId w:val="6"/>
        </w:numPr>
        <w:tabs>
          <w:tab w:pos="941" w:val="left" w:leader="none"/>
        </w:tabs>
        <w:spacing w:line="362" w:lineRule="auto" w:before="71" w:after="0"/>
        <w:ind w:left="220" w:right="648" w:firstLine="0"/>
        <w:jc w:val="both"/>
      </w:pPr>
      <w:bookmarkStart w:name="_bookmark29" w:id="40"/>
      <w:bookmarkEnd w:id="40"/>
      <w:r>
        <w:rPr>
          <w:b w:val="0"/>
        </w:rPr>
      </w:r>
      <w:bookmarkStart w:name="_bookmark29" w:id="41"/>
      <w:bookmarkEnd w:id="41"/>
      <w:r>
        <w:rPr/>
        <w:t>L</w:t>
      </w:r>
      <w:r>
        <w:rPr/>
        <w:t>a Deuda Ecológica en la Zona Protectora La Carpintera Medida por la Huella Ecológica Comunitaria.</w:t>
      </w:r>
    </w:p>
    <w:p>
      <w:pPr>
        <w:pStyle w:val="BodyText"/>
        <w:spacing w:line="360" w:lineRule="auto" w:before="199"/>
        <w:ind w:left="220" w:right="645"/>
        <w:jc w:val="both"/>
      </w:pPr>
      <w:r>
        <w:rPr/>
        <w:t>Las</w:t>
      </w:r>
      <w:r>
        <w:rPr>
          <w:spacing w:val="-4"/>
        </w:rPr>
        <w:t> </w:t>
      </w:r>
      <w:r>
        <w:rPr/>
        <w:t>aplicaciones</w:t>
      </w:r>
      <w:r>
        <w:rPr>
          <w:spacing w:val="-3"/>
        </w:rPr>
        <w:t> </w:t>
      </w:r>
      <w:r>
        <w:rPr/>
        <w:t>de</w:t>
      </w:r>
      <w:r>
        <w:rPr>
          <w:spacing w:val="-5"/>
        </w:rPr>
        <w:t> </w:t>
      </w:r>
      <w:r>
        <w:rPr/>
        <w:t>la</w:t>
      </w:r>
      <w:r>
        <w:rPr>
          <w:spacing w:val="-3"/>
        </w:rPr>
        <w:t> </w:t>
      </w:r>
      <w:r>
        <w:rPr/>
        <w:t>Huella</w:t>
      </w:r>
      <w:r>
        <w:rPr>
          <w:spacing w:val="-5"/>
        </w:rPr>
        <w:t> </w:t>
      </w:r>
      <w:r>
        <w:rPr/>
        <w:t>Ecológica</w:t>
      </w:r>
      <w:r>
        <w:rPr>
          <w:spacing w:val="-4"/>
        </w:rPr>
        <w:t> </w:t>
      </w:r>
      <w:r>
        <w:rPr/>
        <w:t>en</w:t>
      </w:r>
      <w:r>
        <w:rPr>
          <w:spacing w:val="-5"/>
        </w:rPr>
        <w:t> </w:t>
      </w:r>
      <w:r>
        <w:rPr/>
        <w:t>Costa</w:t>
      </w:r>
      <w:r>
        <w:rPr>
          <w:spacing w:val="-5"/>
        </w:rPr>
        <w:t> </w:t>
      </w:r>
      <w:r>
        <w:rPr/>
        <w:t>Rica</w:t>
      </w:r>
      <w:r>
        <w:rPr>
          <w:spacing w:val="-4"/>
        </w:rPr>
        <w:t> </w:t>
      </w:r>
      <w:r>
        <w:rPr/>
        <w:t>se</w:t>
      </w:r>
      <w:r>
        <w:rPr>
          <w:spacing w:val="-6"/>
        </w:rPr>
        <w:t> </w:t>
      </w:r>
      <w:r>
        <w:rPr/>
        <w:t>han</w:t>
      </w:r>
      <w:r>
        <w:rPr>
          <w:spacing w:val="-5"/>
        </w:rPr>
        <w:t> </w:t>
      </w:r>
      <w:r>
        <w:rPr/>
        <w:t>dado</w:t>
      </w:r>
      <w:r>
        <w:rPr>
          <w:spacing w:val="-5"/>
        </w:rPr>
        <w:t> </w:t>
      </w:r>
      <w:r>
        <w:rPr/>
        <w:t>sobre</w:t>
      </w:r>
      <w:r>
        <w:rPr>
          <w:spacing w:val="-5"/>
        </w:rPr>
        <w:t> </w:t>
      </w:r>
      <w:r>
        <w:rPr/>
        <w:t>todo</w:t>
      </w:r>
      <w:r>
        <w:rPr>
          <w:spacing w:val="-5"/>
        </w:rPr>
        <w:t> </w:t>
      </w:r>
      <w:r>
        <w:rPr/>
        <w:t>desde la perspectiva de exponer la falta de sostenibilidad del modelo de desarrollo del país desde la perspectiva biofísica sin enfocarse en las implicaciones de equidad (van Vuuren,</w:t>
      </w:r>
      <w:r>
        <w:rPr>
          <w:spacing w:val="-6"/>
        </w:rPr>
        <w:t> </w:t>
      </w:r>
      <w:r>
        <w:rPr/>
        <w:t>et</w:t>
      </w:r>
      <w:r>
        <w:rPr>
          <w:spacing w:val="-6"/>
        </w:rPr>
        <w:t> </w:t>
      </w:r>
      <w:r>
        <w:rPr/>
        <w:t>al.,</w:t>
      </w:r>
      <w:r>
        <w:rPr>
          <w:spacing w:val="-5"/>
        </w:rPr>
        <w:t> </w:t>
      </w:r>
      <w:r>
        <w:rPr/>
        <w:t>1999;</w:t>
      </w:r>
      <w:r>
        <w:rPr>
          <w:spacing w:val="-6"/>
        </w:rPr>
        <w:t> </w:t>
      </w:r>
      <w:r>
        <w:rPr/>
        <w:t>Brown,</w:t>
      </w:r>
      <w:r>
        <w:rPr>
          <w:spacing w:val="-6"/>
        </w:rPr>
        <w:t> </w:t>
      </w:r>
      <w:r>
        <w:rPr/>
        <w:t>et</w:t>
      </w:r>
      <w:r>
        <w:rPr>
          <w:spacing w:val="-5"/>
        </w:rPr>
        <w:t> </w:t>
      </w:r>
      <w:r>
        <w:rPr/>
        <w:t>al.,</w:t>
      </w:r>
      <w:r>
        <w:rPr>
          <w:spacing w:val="-6"/>
        </w:rPr>
        <w:t> </w:t>
      </w:r>
      <w:r>
        <w:rPr/>
        <w:t>2000).</w:t>
      </w:r>
      <w:r>
        <w:rPr>
          <w:spacing w:val="-5"/>
        </w:rPr>
        <w:t> </w:t>
      </w:r>
      <w:r>
        <w:rPr/>
        <w:t>Los</w:t>
      </w:r>
      <w:r>
        <w:rPr>
          <w:spacing w:val="-7"/>
        </w:rPr>
        <w:t> </w:t>
      </w:r>
      <w:r>
        <w:rPr/>
        <w:t>trabajos</w:t>
      </w:r>
      <w:r>
        <w:rPr>
          <w:spacing w:val="-7"/>
        </w:rPr>
        <w:t> </w:t>
      </w:r>
      <w:r>
        <w:rPr/>
        <w:t>se</w:t>
      </w:r>
      <w:r>
        <w:rPr>
          <w:spacing w:val="-8"/>
        </w:rPr>
        <w:t> </w:t>
      </w:r>
      <w:r>
        <w:rPr/>
        <w:t>han</w:t>
      </w:r>
      <w:r>
        <w:rPr>
          <w:spacing w:val="-8"/>
        </w:rPr>
        <w:t> </w:t>
      </w:r>
      <w:r>
        <w:rPr/>
        <w:t>desarrollado</w:t>
      </w:r>
      <w:r>
        <w:rPr>
          <w:spacing w:val="-9"/>
        </w:rPr>
        <w:t> </w:t>
      </w:r>
      <w:r>
        <w:rPr/>
        <w:t>sobre</w:t>
      </w:r>
      <w:r>
        <w:rPr>
          <w:spacing w:val="-8"/>
        </w:rPr>
        <w:t> </w:t>
      </w:r>
      <w:r>
        <w:rPr/>
        <w:t>todo desde instancias académicas, destacándose en su uso el Programa del Estado de la Nación del Consejo Nacional de</w:t>
      </w:r>
      <w:r>
        <w:rPr>
          <w:spacing w:val="-6"/>
        </w:rPr>
        <w:t> </w:t>
      </w:r>
      <w:r>
        <w:rPr/>
        <w:t>Rectores.</w:t>
      </w:r>
    </w:p>
    <w:p>
      <w:pPr>
        <w:pStyle w:val="BodyText"/>
        <w:spacing w:line="360" w:lineRule="auto" w:before="201"/>
        <w:ind w:left="220" w:right="647"/>
        <w:jc w:val="both"/>
      </w:pPr>
      <w:r>
        <w:rPr/>
        <w:t>El Informe del Estado de la Nación, en su capítulo </w:t>
      </w:r>
      <w:r>
        <w:rPr>
          <w:spacing w:val="2"/>
        </w:rPr>
        <w:t>4, </w:t>
      </w:r>
      <w:r>
        <w:rPr/>
        <w:t>llamado Armonía con la Naturaleza, reportó la Huella Ecológica costarricense con una metodología adaptada desde el año 2002 hasta el 2015. Posteriormente este indicador no se ha reportado. La</w:t>
      </w:r>
      <w:r>
        <w:rPr>
          <w:spacing w:val="-11"/>
        </w:rPr>
        <w:t> </w:t>
      </w:r>
      <w:r>
        <w:rPr/>
        <w:t>tendencia</w:t>
      </w:r>
      <w:r>
        <w:rPr>
          <w:spacing w:val="-9"/>
        </w:rPr>
        <w:t> </w:t>
      </w:r>
      <w:r>
        <w:rPr/>
        <w:t>que</w:t>
      </w:r>
      <w:r>
        <w:rPr>
          <w:spacing w:val="-11"/>
        </w:rPr>
        <w:t> </w:t>
      </w:r>
      <w:r>
        <w:rPr/>
        <w:t>detecta</w:t>
      </w:r>
      <w:r>
        <w:rPr>
          <w:spacing w:val="-11"/>
        </w:rPr>
        <w:t> </w:t>
      </w:r>
      <w:r>
        <w:rPr/>
        <w:t>el</w:t>
      </w:r>
      <w:r>
        <w:rPr>
          <w:spacing w:val="-9"/>
        </w:rPr>
        <w:t> </w:t>
      </w:r>
      <w:r>
        <w:rPr/>
        <w:t>reporte</w:t>
      </w:r>
      <w:r>
        <w:rPr>
          <w:spacing w:val="-11"/>
        </w:rPr>
        <w:t> </w:t>
      </w:r>
      <w:r>
        <w:rPr/>
        <w:t>poco</w:t>
      </w:r>
      <w:r>
        <w:rPr>
          <w:spacing w:val="-11"/>
        </w:rPr>
        <w:t> </w:t>
      </w:r>
      <w:r>
        <w:rPr/>
        <w:t>a</w:t>
      </w:r>
      <w:r>
        <w:rPr>
          <w:spacing w:val="-11"/>
        </w:rPr>
        <w:t> </w:t>
      </w:r>
      <w:r>
        <w:rPr/>
        <w:t>poco</w:t>
      </w:r>
      <w:r>
        <w:rPr>
          <w:spacing w:val="-10"/>
        </w:rPr>
        <w:t> </w:t>
      </w:r>
      <w:r>
        <w:rPr/>
        <w:t>va</w:t>
      </w:r>
      <w:r>
        <w:rPr>
          <w:spacing w:val="-11"/>
        </w:rPr>
        <w:t> </w:t>
      </w:r>
      <w:r>
        <w:rPr/>
        <w:t>mostrando</w:t>
      </w:r>
      <w:r>
        <w:rPr>
          <w:spacing w:val="-11"/>
        </w:rPr>
        <w:t> </w:t>
      </w:r>
      <w:r>
        <w:rPr/>
        <w:t>la</w:t>
      </w:r>
      <w:r>
        <w:rPr>
          <w:spacing w:val="-11"/>
        </w:rPr>
        <w:t> </w:t>
      </w:r>
      <w:r>
        <w:rPr/>
        <w:t>evolución</w:t>
      </w:r>
      <w:r>
        <w:rPr>
          <w:spacing w:val="-10"/>
        </w:rPr>
        <w:t> </w:t>
      </w:r>
      <w:r>
        <w:rPr/>
        <w:t>de</w:t>
      </w:r>
      <w:r>
        <w:rPr>
          <w:spacing w:val="-11"/>
        </w:rPr>
        <w:t> </w:t>
      </w:r>
      <w:r>
        <w:rPr/>
        <w:t>un</w:t>
      </w:r>
      <w:r>
        <w:rPr>
          <w:spacing w:val="-11"/>
        </w:rPr>
        <w:t> </w:t>
      </w:r>
      <w:r>
        <w:rPr/>
        <w:t>país que supera su</w:t>
      </w:r>
      <w:r>
        <w:rPr>
          <w:spacing w:val="-4"/>
        </w:rPr>
        <w:t> </w:t>
      </w:r>
      <w:r>
        <w:rPr/>
        <w:t>biocapacidad.</w:t>
      </w:r>
    </w:p>
    <w:p>
      <w:pPr>
        <w:pStyle w:val="BodyText"/>
        <w:spacing w:line="360" w:lineRule="auto" w:before="203"/>
        <w:ind w:left="220" w:right="642"/>
        <w:jc w:val="both"/>
      </w:pPr>
      <w:r>
        <w:rPr/>
        <w:t>Según</w:t>
      </w:r>
      <w:r>
        <w:rPr>
          <w:spacing w:val="-9"/>
        </w:rPr>
        <w:t> </w:t>
      </w:r>
      <w:r>
        <w:rPr/>
        <w:t>el</w:t>
      </w:r>
      <w:r>
        <w:rPr>
          <w:spacing w:val="-5"/>
        </w:rPr>
        <w:t> </w:t>
      </w:r>
      <w:r>
        <w:rPr/>
        <w:t>XXI</w:t>
      </w:r>
      <w:r>
        <w:rPr>
          <w:spacing w:val="-9"/>
        </w:rPr>
        <w:t> </w:t>
      </w:r>
      <w:r>
        <w:rPr/>
        <w:t>reporte,</w:t>
      </w:r>
      <w:r>
        <w:rPr>
          <w:spacing w:val="-6"/>
        </w:rPr>
        <w:t> </w:t>
      </w:r>
      <w:r>
        <w:rPr/>
        <w:t>el</w:t>
      </w:r>
      <w:r>
        <w:rPr>
          <w:spacing w:val="-7"/>
        </w:rPr>
        <w:t> </w:t>
      </w:r>
      <w:r>
        <w:rPr/>
        <w:t>déficit</w:t>
      </w:r>
      <w:r>
        <w:rPr>
          <w:spacing w:val="-6"/>
        </w:rPr>
        <w:t> </w:t>
      </w:r>
      <w:r>
        <w:rPr/>
        <w:t>ecológico</w:t>
      </w:r>
      <w:r>
        <w:rPr>
          <w:spacing w:val="-8"/>
        </w:rPr>
        <w:t> </w:t>
      </w:r>
      <w:r>
        <w:rPr/>
        <w:t>del</w:t>
      </w:r>
      <w:r>
        <w:rPr>
          <w:spacing w:val="-8"/>
        </w:rPr>
        <w:t> </w:t>
      </w:r>
      <w:r>
        <w:rPr/>
        <w:t>país</w:t>
      </w:r>
      <w:r>
        <w:rPr>
          <w:spacing w:val="-6"/>
        </w:rPr>
        <w:t> </w:t>
      </w:r>
      <w:r>
        <w:rPr/>
        <w:t>en</w:t>
      </w:r>
      <w:r>
        <w:rPr>
          <w:spacing w:val="-9"/>
        </w:rPr>
        <w:t> </w:t>
      </w:r>
      <w:r>
        <w:rPr/>
        <w:t>el</w:t>
      </w:r>
      <w:r>
        <w:rPr>
          <w:spacing w:val="-7"/>
        </w:rPr>
        <w:t> </w:t>
      </w:r>
      <w:r>
        <w:rPr/>
        <w:t>2014</w:t>
      </w:r>
      <w:r>
        <w:rPr>
          <w:spacing w:val="-8"/>
        </w:rPr>
        <w:t> </w:t>
      </w:r>
      <w:r>
        <w:rPr/>
        <w:t>era</w:t>
      </w:r>
      <w:r>
        <w:rPr>
          <w:spacing w:val="-9"/>
        </w:rPr>
        <w:t> </w:t>
      </w:r>
      <w:r>
        <w:rPr/>
        <w:t>de</w:t>
      </w:r>
      <w:r>
        <w:rPr>
          <w:spacing w:val="-8"/>
        </w:rPr>
        <w:t> </w:t>
      </w:r>
      <w:r>
        <w:rPr/>
        <w:t>un</w:t>
      </w:r>
      <w:r>
        <w:rPr>
          <w:spacing w:val="-9"/>
        </w:rPr>
        <w:t> </w:t>
      </w:r>
      <w:r>
        <w:rPr/>
        <w:t>8%</w:t>
      </w:r>
      <w:r>
        <w:rPr>
          <w:spacing w:val="-8"/>
        </w:rPr>
        <w:t> </w:t>
      </w:r>
      <w:r>
        <w:rPr/>
        <w:t>por</w:t>
      </w:r>
      <w:r>
        <w:rPr>
          <w:spacing w:val="-7"/>
        </w:rPr>
        <w:t> </w:t>
      </w:r>
      <w:r>
        <w:rPr/>
        <w:t>encima de su biocapacidad, tendencia que se mantiene desde año 2013 y que experimenta un</w:t>
      </w:r>
      <w:r>
        <w:rPr>
          <w:spacing w:val="-11"/>
        </w:rPr>
        <w:t> </w:t>
      </w:r>
      <w:r>
        <w:rPr/>
        <w:t>crecimiento</w:t>
      </w:r>
      <w:r>
        <w:rPr>
          <w:spacing w:val="-8"/>
        </w:rPr>
        <w:t> </w:t>
      </w:r>
      <w:r>
        <w:rPr/>
        <w:t>desde</w:t>
      </w:r>
      <w:r>
        <w:rPr>
          <w:spacing w:val="-11"/>
        </w:rPr>
        <w:t> </w:t>
      </w:r>
      <w:r>
        <w:rPr/>
        <w:t>el</w:t>
      </w:r>
      <w:r>
        <w:rPr>
          <w:spacing w:val="-10"/>
        </w:rPr>
        <w:t> </w:t>
      </w:r>
      <w:r>
        <w:rPr/>
        <w:t>año</w:t>
      </w:r>
      <w:r>
        <w:rPr>
          <w:spacing w:val="-11"/>
        </w:rPr>
        <w:t> </w:t>
      </w:r>
      <w:r>
        <w:rPr/>
        <w:t>2002.</w:t>
      </w:r>
      <w:r>
        <w:rPr>
          <w:spacing w:val="-8"/>
        </w:rPr>
        <w:t> </w:t>
      </w:r>
      <w:r>
        <w:rPr/>
        <w:t>La</w:t>
      </w:r>
      <w:r>
        <w:rPr>
          <w:spacing w:val="-7"/>
        </w:rPr>
        <w:t> </w:t>
      </w:r>
      <w:r>
        <w:rPr/>
        <w:t>biocapacidad</w:t>
      </w:r>
      <w:r>
        <w:rPr>
          <w:spacing w:val="-11"/>
        </w:rPr>
        <w:t> </w:t>
      </w:r>
      <w:r>
        <w:rPr/>
        <w:t>se</w:t>
      </w:r>
      <w:r>
        <w:rPr>
          <w:spacing w:val="-11"/>
        </w:rPr>
        <w:t> </w:t>
      </w:r>
      <w:r>
        <w:rPr/>
        <w:t>ha</w:t>
      </w:r>
      <w:r>
        <w:rPr>
          <w:spacing w:val="-11"/>
        </w:rPr>
        <w:t> </w:t>
      </w:r>
      <w:r>
        <w:rPr/>
        <w:t>venido</w:t>
      </w:r>
      <w:r>
        <w:rPr>
          <w:spacing w:val="-11"/>
        </w:rPr>
        <w:t> </w:t>
      </w:r>
      <w:r>
        <w:rPr/>
        <w:t>reduciendo</w:t>
      </w:r>
      <w:r>
        <w:rPr>
          <w:spacing w:val="-7"/>
        </w:rPr>
        <w:t> </w:t>
      </w:r>
      <w:r>
        <w:rPr/>
        <w:t>de</w:t>
      </w:r>
      <w:r>
        <w:rPr>
          <w:spacing w:val="-11"/>
        </w:rPr>
        <w:t> </w:t>
      </w:r>
      <w:r>
        <w:rPr/>
        <w:t>modo significativo,</w:t>
      </w:r>
      <w:r>
        <w:rPr>
          <w:spacing w:val="-7"/>
        </w:rPr>
        <w:t> </w:t>
      </w:r>
      <w:r>
        <w:rPr/>
        <w:t>fundamentalmente</w:t>
      </w:r>
      <w:r>
        <w:rPr>
          <w:spacing w:val="-6"/>
        </w:rPr>
        <w:t> </w:t>
      </w:r>
      <w:r>
        <w:rPr/>
        <w:t>por</w:t>
      </w:r>
      <w:r>
        <w:rPr>
          <w:spacing w:val="-7"/>
        </w:rPr>
        <w:t> </w:t>
      </w:r>
      <w:r>
        <w:rPr/>
        <w:t>el</w:t>
      </w:r>
      <w:r>
        <w:rPr>
          <w:spacing w:val="-6"/>
        </w:rPr>
        <w:t> </w:t>
      </w:r>
      <w:r>
        <w:rPr/>
        <w:t>crecimiento</w:t>
      </w:r>
      <w:r>
        <w:rPr>
          <w:spacing w:val="-9"/>
        </w:rPr>
        <w:t> </w:t>
      </w:r>
      <w:r>
        <w:rPr/>
        <w:t>de</w:t>
      </w:r>
      <w:r>
        <w:rPr>
          <w:spacing w:val="-10"/>
        </w:rPr>
        <w:t> </w:t>
      </w:r>
      <w:r>
        <w:rPr/>
        <w:t>la</w:t>
      </w:r>
      <w:r>
        <w:rPr>
          <w:spacing w:val="-9"/>
        </w:rPr>
        <w:t> </w:t>
      </w:r>
      <w:r>
        <w:rPr/>
        <w:t>población</w:t>
      </w:r>
      <w:r>
        <w:rPr>
          <w:spacing w:val="-10"/>
        </w:rPr>
        <w:t> </w:t>
      </w:r>
      <w:r>
        <w:rPr/>
        <w:t>que</w:t>
      </w:r>
      <w:r>
        <w:rPr>
          <w:spacing w:val="-9"/>
        </w:rPr>
        <w:t> </w:t>
      </w:r>
      <w:r>
        <w:rPr/>
        <w:t>demanda</w:t>
      </w:r>
      <w:r>
        <w:rPr>
          <w:spacing w:val="-9"/>
        </w:rPr>
        <w:t> </w:t>
      </w:r>
      <w:r>
        <w:rPr/>
        <w:t>esos recursos y por su agotamiento debido a las actividades sociales. Si bien la Huella Ecológica aumenta a un ritmo en apariencia </w:t>
      </w:r>
      <w:r>
        <w:rPr>
          <w:spacing w:val="-2"/>
        </w:rPr>
        <w:t>más </w:t>
      </w:r>
      <w:r>
        <w:rPr/>
        <w:t>lento que otras naciones, la combinación de ambas tendencias hizo que a inicios de los años noventa la relación pasara</w:t>
      </w:r>
      <w:r>
        <w:rPr>
          <w:spacing w:val="-9"/>
        </w:rPr>
        <w:t> </w:t>
      </w:r>
      <w:r>
        <w:rPr/>
        <w:t>a</w:t>
      </w:r>
      <w:r>
        <w:rPr>
          <w:spacing w:val="-9"/>
        </w:rPr>
        <w:t> </w:t>
      </w:r>
      <w:r>
        <w:rPr/>
        <w:t>ser</w:t>
      </w:r>
      <w:r>
        <w:rPr>
          <w:spacing w:val="-8"/>
        </w:rPr>
        <w:t> </w:t>
      </w:r>
      <w:r>
        <w:rPr/>
        <w:t>de</w:t>
      </w:r>
      <w:r>
        <w:rPr>
          <w:spacing w:val="-9"/>
        </w:rPr>
        <w:t> </w:t>
      </w:r>
      <w:r>
        <w:rPr/>
        <w:t>déficit</w:t>
      </w:r>
      <w:r>
        <w:rPr>
          <w:spacing w:val="-6"/>
        </w:rPr>
        <w:t> </w:t>
      </w:r>
      <w:r>
        <w:rPr/>
        <w:t>ecológico</w:t>
      </w:r>
      <w:r>
        <w:rPr>
          <w:spacing w:val="-9"/>
        </w:rPr>
        <w:t> </w:t>
      </w:r>
      <w:r>
        <w:rPr/>
        <w:t>o</w:t>
      </w:r>
      <w:r>
        <w:rPr>
          <w:spacing w:val="-9"/>
        </w:rPr>
        <w:t> </w:t>
      </w:r>
      <w:r>
        <w:rPr/>
        <w:t>sobregiro.</w:t>
      </w:r>
      <w:r>
        <w:rPr>
          <w:spacing w:val="-4"/>
        </w:rPr>
        <w:t> </w:t>
      </w:r>
      <w:r>
        <w:rPr/>
        <w:t>Estas</w:t>
      </w:r>
      <w:r>
        <w:rPr>
          <w:spacing w:val="-7"/>
        </w:rPr>
        <w:t> </w:t>
      </w:r>
      <w:r>
        <w:rPr/>
        <w:t>aseveraciones</w:t>
      </w:r>
      <w:r>
        <w:rPr>
          <w:spacing w:val="-7"/>
        </w:rPr>
        <w:t> </w:t>
      </w:r>
      <w:r>
        <w:rPr/>
        <w:t>se</w:t>
      </w:r>
      <w:r>
        <w:rPr>
          <w:spacing w:val="-9"/>
        </w:rPr>
        <w:t> </w:t>
      </w:r>
      <w:r>
        <w:rPr/>
        <w:t>hacen</w:t>
      </w:r>
      <w:r>
        <w:rPr>
          <w:spacing w:val="-3"/>
        </w:rPr>
        <w:t> </w:t>
      </w:r>
      <w:r>
        <w:rPr/>
        <w:t>con</w:t>
      </w:r>
      <w:r>
        <w:rPr>
          <w:spacing w:val="-9"/>
        </w:rPr>
        <w:t> </w:t>
      </w:r>
      <w:r>
        <w:rPr/>
        <w:t>base en datos del 2011 que eran reportados por la Red Global y sus propios</w:t>
      </w:r>
      <w:r>
        <w:rPr>
          <w:spacing w:val="-24"/>
        </w:rPr>
        <w:t> </w:t>
      </w:r>
      <w:r>
        <w:rPr/>
        <w:t>cálculos.</w:t>
      </w:r>
    </w:p>
    <w:p>
      <w:pPr>
        <w:pStyle w:val="BodyText"/>
        <w:spacing w:line="360" w:lineRule="auto" w:before="199"/>
        <w:ind w:left="220" w:right="650"/>
        <w:jc w:val="both"/>
      </w:pPr>
      <w:r>
        <w:rPr/>
        <w:t>Se desconocen las razones por las cuales los reportes han dejado de presentar el índice.</w:t>
      </w:r>
      <w:r>
        <w:rPr>
          <w:spacing w:val="-7"/>
        </w:rPr>
        <w:t> </w:t>
      </w:r>
      <w:r>
        <w:rPr/>
        <w:t>Lo</w:t>
      </w:r>
      <w:r>
        <w:rPr>
          <w:spacing w:val="-9"/>
        </w:rPr>
        <w:t> </w:t>
      </w:r>
      <w:r>
        <w:rPr/>
        <w:t>cierto</w:t>
      </w:r>
      <w:r>
        <w:rPr>
          <w:spacing w:val="-9"/>
        </w:rPr>
        <w:t> </w:t>
      </w:r>
      <w:r>
        <w:rPr/>
        <w:t>es</w:t>
      </w:r>
      <w:r>
        <w:rPr>
          <w:spacing w:val="-7"/>
        </w:rPr>
        <w:t> </w:t>
      </w:r>
      <w:r>
        <w:rPr/>
        <w:t>que</w:t>
      </w:r>
      <w:r>
        <w:rPr>
          <w:spacing w:val="-9"/>
        </w:rPr>
        <w:t> </w:t>
      </w:r>
      <w:r>
        <w:rPr/>
        <w:t>las</w:t>
      </w:r>
      <w:r>
        <w:rPr>
          <w:spacing w:val="-7"/>
        </w:rPr>
        <w:t> </w:t>
      </w:r>
      <w:r>
        <w:rPr/>
        <w:t>cifras</w:t>
      </w:r>
      <w:r>
        <w:rPr>
          <w:spacing w:val="-7"/>
        </w:rPr>
        <w:t> </w:t>
      </w:r>
      <w:r>
        <w:rPr/>
        <w:t>han</w:t>
      </w:r>
      <w:r>
        <w:rPr>
          <w:spacing w:val="-5"/>
        </w:rPr>
        <w:t> </w:t>
      </w:r>
      <w:r>
        <w:rPr/>
        <w:t>sido</w:t>
      </w:r>
      <w:r>
        <w:rPr>
          <w:spacing w:val="-9"/>
        </w:rPr>
        <w:t> </w:t>
      </w:r>
      <w:r>
        <w:rPr/>
        <w:t>actualizadas</w:t>
      </w:r>
      <w:r>
        <w:rPr>
          <w:spacing w:val="-7"/>
        </w:rPr>
        <w:t> </w:t>
      </w:r>
      <w:r>
        <w:rPr/>
        <w:t>desde</w:t>
      </w:r>
      <w:r>
        <w:rPr>
          <w:spacing w:val="-9"/>
        </w:rPr>
        <w:t> </w:t>
      </w:r>
      <w:r>
        <w:rPr/>
        <w:t>entonces</w:t>
      </w:r>
      <w:r>
        <w:rPr>
          <w:spacing w:val="-7"/>
        </w:rPr>
        <w:t> </w:t>
      </w:r>
      <w:r>
        <w:rPr/>
        <w:t>hasta</w:t>
      </w:r>
      <w:r>
        <w:rPr>
          <w:spacing w:val="-9"/>
        </w:rPr>
        <w:t> </w:t>
      </w:r>
      <w:r>
        <w:rPr/>
        <w:t>el</w:t>
      </w:r>
      <w:r>
        <w:rPr>
          <w:spacing w:val="-8"/>
        </w:rPr>
        <w:t> </w:t>
      </w:r>
      <w:r>
        <w:rPr/>
        <w:t>2013 mostrando una agravación de la situación que se describía (Figura</w:t>
      </w:r>
      <w:r>
        <w:rPr>
          <w:spacing w:val="-16"/>
        </w:rPr>
        <w:t> </w:t>
      </w:r>
      <w:r>
        <w:rPr/>
        <w:t>24).</w:t>
      </w:r>
    </w:p>
    <w:p>
      <w:pPr>
        <w:spacing w:after="0" w:line="360" w:lineRule="auto"/>
        <w:jc w:val="both"/>
        <w:sectPr>
          <w:footerReference w:type="default" r:id="rId75"/>
          <w:pgSz w:w="12240" w:h="15840"/>
          <w:pgMar w:footer="1062" w:header="0" w:top="1380" w:bottom="1260" w:left="1480" w:right="820"/>
          <w:pgNumType w:start="77"/>
        </w:sectPr>
      </w:pPr>
    </w:p>
    <w:p>
      <w:pPr>
        <w:pStyle w:val="BodyText"/>
        <w:rPr>
          <w:sz w:val="20"/>
        </w:rPr>
      </w:pPr>
      <w:r>
        <w:rPr/>
        <w:pict>
          <v:shape style="position:absolute;margin-left:98.679993pt;margin-top:140.405548pt;width:12pt;height:126.45pt;mso-position-horizontal-relative:page;mso-position-vertical-relative:page;z-index:15764480" type="#_x0000_t202" filled="false" stroked="false">
            <v:textbox inset="0,0,0,0" style="layout-flow:vertical;mso-layout-flow-alt:bottom-to-top">
              <w:txbxContent>
                <w:p>
                  <w:pPr>
                    <w:spacing w:line="224" w:lineRule="exact" w:before="0"/>
                    <w:ind w:left="20" w:right="0" w:firstLine="0"/>
                    <w:jc w:val="left"/>
                    <w:rPr>
                      <w:rFonts w:ascii="Carlito" w:hAnsi="Carlito"/>
                      <w:b/>
                      <w:sz w:val="20"/>
                    </w:rPr>
                  </w:pPr>
                  <w:r>
                    <w:rPr>
                      <w:rFonts w:ascii="Carlito" w:hAnsi="Carlito"/>
                      <w:b/>
                      <w:sz w:val="20"/>
                    </w:rPr>
                    <w:t>Hectáreas Globales per Cápita</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94"/>
        <w:ind w:left="241" w:right="663" w:firstLine="0"/>
        <w:jc w:val="center"/>
        <w:rPr>
          <w:i/>
          <w:sz w:val="20"/>
        </w:rPr>
      </w:pPr>
      <w:r>
        <w:rPr/>
        <w:pict>
          <v:group style="position:absolute;margin-left:84.675003pt;margin-top:-342.545135pt;width:454.35pt;height:329.5pt;mso-position-horizontal-relative:page;mso-position-vertical-relative:paragraph;z-index:15763968" coordorigin="1694,-6851" coordsize="9087,6590">
            <v:shape style="position:absolute;left:2513;top:-5929;width:8040;height:3476" coordorigin="2513,-5928" coordsize="8040,3476" path="m2513,-2452l10553,-2452m2513,-3148l10553,-3148m2513,-3844l10553,-3844m2513,-4540l10553,-4540m2513,-5232l10553,-5232m2513,-5928l10553,-5928e" filled="false" stroked="true" strokeweight=".75pt" strokecolor="#d9d9d9">
              <v:path arrowok="t"/>
              <v:stroke dashstyle="solid"/>
            </v:shape>
            <v:shape style="position:absolute;left:2631;top:-5941;width:7804;height:3117" coordorigin="2632,-5941" coordsize="7804,3117" path="m2632,-5941l2868,-4812,3104,-4612,3340,-4340,3576,-4168,3812,-4048,4052,-3880,4288,-3816,4524,-3760,4760,-3580,4996,-3432,5232,-3408,5468,-3344,5704,-3308,5940,-3252,6180,-3208,6416,-3160,6652,-3124,6888,-3080,7124,-3060,7360,-3000,7596,-2984,7832,-2924,8072,-2920,8308,-2916,8544,-2900,8780,-2896,9016,-2888,9252,-2860,9488,-2852,9724,-2856,9960,-2844,10200,-2836,10435,-2824e" filled="false" stroked="true" strokeweight="2.25pt" strokecolor="#5b9bd4">
              <v:path arrowok="t"/>
              <v:stroke dashstyle="solid"/>
            </v:shape>
            <v:shape style="position:absolute;left:2631;top:-3937;width:7804;height:715" coordorigin="2632,-3937" coordsize="7804,715" path="m2632,-3222l2868,-3328,3104,-3528,3340,-3552,3576,-3636,3812,-3668,4052,-3368,4288,-3304,4524,-3312,4760,-3232,4996,-3304,5232,-3284,5468,-3244,5704,-3568,5940,-3472,6180,-3592,6416,-3500,6652,-3937,6888,-3584,7124,-3544,7360,-3496,7596,-3536,7832,-3444,8072,-3368,8308,-3364,8544,-3280,8780,-3520,9016,-3656,9252,-3612,9488,-3244,9724,-3436,9960,-3468,10200,-3520,10435,-3484e" filled="false" stroked="true" strokeweight="2.25pt" strokecolor="#ec7c30">
              <v:path arrowok="t"/>
              <v:stroke dashstyle="solid"/>
            </v:shape>
            <v:shape style="position:absolute;left:2513;top:-6624;width:8040;height:4865" coordorigin="2513,-6623" coordsize="8040,4865" path="m2513,-6623l10553,-6623m2513,-1759l10553,-1759e" filled="false" stroked="true" strokeweight=".75pt" strokecolor="#d9d9d9">
              <v:path arrowok="t"/>
              <v:stroke dashstyle="solid"/>
            </v:shape>
            <v:line style="position:absolute" from="3730,-557" to="4114,-557" stroked="true" strokeweight="2.25pt" strokecolor="#5b9bd4">
              <v:stroke dashstyle="solid"/>
            </v:line>
            <v:line style="position:absolute" from="6368,-557" to="6752,-557" stroked="true" strokeweight="2.25pt" strokecolor="#ec7c30">
              <v:stroke dashstyle="solid"/>
            </v:line>
            <v:rect style="position:absolute;left:1701;top:-6844;width:9072;height:6575" filled="false" stroked="true" strokeweight=".75pt" strokecolor="#d9d9d9">
              <v:stroke dashstyle="solid"/>
            </v:rect>
            <v:shape style="position:absolute;left:2256;top:-6706;width:112;height:180" type="#_x0000_t202" filled="false" stroked="false">
              <v:textbox inset="0,0,0,0">
                <w:txbxContent>
                  <w:p>
                    <w:pPr>
                      <w:spacing w:line="180" w:lineRule="exact" w:before="0"/>
                      <w:ind w:left="0" w:right="0" w:firstLine="0"/>
                      <w:jc w:val="left"/>
                      <w:rPr>
                        <w:rFonts w:ascii="Carlito"/>
                        <w:b/>
                        <w:sz w:val="18"/>
                      </w:rPr>
                    </w:pPr>
                    <w:r>
                      <w:rPr>
                        <w:rFonts w:ascii="Carlito"/>
                        <w:b/>
                        <w:sz w:val="18"/>
                      </w:rPr>
                      <w:t>7</w:t>
                    </w:r>
                  </w:p>
                </w:txbxContent>
              </v:textbox>
              <w10:wrap type="none"/>
            </v:shape>
            <v:shape style="position:absolute;left:2256;top:-6011;width:112;height:180" type="#_x0000_t202" filled="false" stroked="false">
              <v:textbox inset="0,0,0,0">
                <w:txbxContent>
                  <w:p>
                    <w:pPr>
                      <w:spacing w:line="180" w:lineRule="exact" w:before="0"/>
                      <w:ind w:left="0" w:right="0" w:firstLine="0"/>
                      <w:jc w:val="left"/>
                      <w:rPr>
                        <w:rFonts w:ascii="Carlito"/>
                        <w:b/>
                        <w:sz w:val="18"/>
                      </w:rPr>
                    </w:pPr>
                    <w:r>
                      <w:rPr>
                        <w:rFonts w:ascii="Carlito"/>
                        <w:b/>
                        <w:sz w:val="18"/>
                      </w:rPr>
                      <w:t>6</w:t>
                    </w:r>
                  </w:p>
                </w:txbxContent>
              </v:textbox>
              <w10:wrap type="none"/>
            </v:shape>
            <v:shape style="position:absolute;left:2256;top:-5316;width:112;height:180" type="#_x0000_t202" filled="false" stroked="false">
              <v:textbox inset="0,0,0,0">
                <w:txbxContent>
                  <w:p>
                    <w:pPr>
                      <w:spacing w:line="180" w:lineRule="exact" w:before="0"/>
                      <w:ind w:left="0" w:right="0" w:firstLine="0"/>
                      <w:jc w:val="left"/>
                      <w:rPr>
                        <w:rFonts w:ascii="Carlito"/>
                        <w:b/>
                        <w:sz w:val="18"/>
                      </w:rPr>
                    </w:pPr>
                    <w:r>
                      <w:rPr>
                        <w:rFonts w:ascii="Carlito"/>
                        <w:b/>
                        <w:sz w:val="18"/>
                      </w:rPr>
                      <w:t>5</w:t>
                    </w:r>
                  </w:p>
                </w:txbxContent>
              </v:textbox>
              <w10:wrap type="none"/>
            </v:shape>
            <v:shape style="position:absolute;left:2256;top:-4621;width:112;height:180" type="#_x0000_t202" filled="false" stroked="false">
              <v:textbox inset="0,0,0,0">
                <w:txbxContent>
                  <w:p>
                    <w:pPr>
                      <w:spacing w:line="180" w:lineRule="exact" w:before="0"/>
                      <w:ind w:left="0" w:right="0" w:firstLine="0"/>
                      <w:jc w:val="left"/>
                      <w:rPr>
                        <w:rFonts w:ascii="Carlito"/>
                        <w:b/>
                        <w:sz w:val="18"/>
                      </w:rPr>
                    </w:pPr>
                    <w:r>
                      <w:rPr>
                        <w:rFonts w:ascii="Carlito"/>
                        <w:b/>
                        <w:sz w:val="18"/>
                      </w:rPr>
                      <w:t>4</w:t>
                    </w:r>
                  </w:p>
                </w:txbxContent>
              </v:textbox>
              <w10:wrap type="none"/>
            </v:shape>
            <v:shape style="position:absolute;left:2256;top:-3926;width:112;height:180" type="#_x0000_t202" filled="false" stroked="false">
              <v:textbox inset="0,0,0,0">
                <w:txbxContent>
                  <w:p>
                    <w:pPr>
                      <w:spacing w:line="180" w:lineRule="exact" w:before="0"/>
                      <w:ind w:left="0" w:right="0" w:firstLine="0"/>
                      <w:jc w:val="left"/>
                      <w:rPr>
                        <w:rFonts w:ascii="Carlito"/>
                        <w:b/>
                        <w:sz w:val="18"/>
                      </w:rPr>
                    </w:pPr>
                    <w:r>
                      <w:rPr>
                        <w:rFonts w:ascii="Carlito"/>
                        <w:b/>
                        <w:sz w:val="18"/>
                      </w:rPr>
                      <w:t>3</w:t>
                    </w:r>
                  </w:p>
                </w:txbxContent>
              </v:textbox>
              <w10:wrap type="none"/>
            </v:shape>
            <v:shape style="position:absolute;left:2256;top:-3231;width:112;height:180" type="#_x0000_t202" filled="false" stroked="false">
              <v:textbox inset="0,0,0,0">
                <w:txbxContent>
                  <w:p>
                    <w:pPr>
                      <w:spacing w:line="180" w:lineRule="exact" w:before="0"/>
                      <w:ind w:left="0" w:right="0" w:firstLine="0"/>
                      <w:jc w:val="left"/>
                      <w:rPr>
                        <w:rFonts w:ascii="Carlito"/>
                        <w:b/>
                        <w:sz w:val="18"/>
                      </w:rPr>
                    </w:pPr>
                    <w:r>
                      <w:rPr>
                        <w:rFonts w:ascii="Carlito"/>
                        <w:b/>
                        <w:sz w:val="18"/>
                      </w:rPr>
                      <w:t>2</w:t>
                    </w:r>
                  </w:p>
                </w:txbxContent>
              </v:textbox>
              <w10:wrap type="none"/>
            </v:shape>
            <v:shape style="position:absolute;left:2256;top:-2536;width:112;height:180" type="#_x0000_t202" filled="false" stroked="false">
              <v:textbox inset="0,0,0,0">
                <w:txbxContent>
                  <w:p>
                    <w:pPr>
                      <w:spacing w:line="180" w:lineRule="exact" w:before="0"/>
                      <w:ind w:left="0" w:right="0" w:firstLine="0"/>
                      <w:jc w:val="left"/>
                      <w:rPr>
                        <w:rFonts w:ascii="Carlito"/>
                        <w:b/>
                        <w:sz w:val="18"/>
                      </w:rPr>
                    </w:pPr>
                    <w:r>
                      <w:rPr>
                        <w:rFonts w:ascii="Carlito"/>
                        <w:b/>
                        <w:sz w:val="18"/>
                      </w:rPr>
                      <w:t>1</w:t>
                    </w:r>
                  </w:p>
                </w:txbxContent>
              </v:textbox>
              <w10:wrap type="none"/>
            </v:shape>
            <v:shape style="position:absolute;left:2256;top:-1841;width:112;height:180" type="#_x0000_t202" filled="false" stroked="false">
              <v:textbox inset="0,0,0,0">
                <w:txbxContent>
                  <w:p>
                    <w:pPr>
                      <w:spacing w:line="180" w:lineRule="exact" w:before="0"/>
                      <w:ind w:left="0" w:right="0" w:firstLine="0"/>
                      <w:jc w:val="left"/>
                      <w:rPr>
                        <w:rFonts w:ascii="Carlito"/>
                        <w:b/>
                        <w:sz w:val="18"/>
                      </w:rPr>
                    </w:pPr>
                    <w:r>
                      <w:rPr>
                        <w:rFonts w:ascii="Carlito"/>
                        <w:b/>
                        <w:sz w:val="18"/>
                      </w:rPr>
                      <w:t>0</w:t>
                    </w:r>
                  </w:p>
                </w:txbxContent>
              </v:textbox>
              <w10:wrap type="none"/>
            </v:shape>
            <v:shape style="position:absolute;left:6366;top:-1177;width:356;height:200" type="#_x0000_t202" filled="false" stroked="false">
              <v:textbox inset="0,0,0,0">
                <w:txbxContent>
                  <w:p>
                    <w:pPr>
                      <w:spacing w:line="200" w:lineRule="exact" w:before="0"/>
                      <w:ind w:left="0" w:right="0" w:firstLine="0"/>
                      <w:jc w:val="left"/>
                      <w:rPr>
                        <w:rFonts w:ascii="Carlito" w:hAnsi="Carlito"/>
                        <w:b/>
                        <w:sz w:val="20"/>
                      </w:rPr>
                    </w:pPr>
                    <w:r>
                      <w:rPr>
                        <w:rFonts w:ascii="Carlito" w:hAnsi="Carlito"/>
                        <w:b/>
                        <w:sz w:val="20"/>
                      </w:rPr>
                      <w:t>Año</w:t>
                    </w:r>
                  </w:p>
                </w:txbxContent>
              </v:textbox>
              <w10:wrap type="none"/>
            </v:shape>
            <v:shape style="position:absolute;left:4155;top:-638;width:1856;height:180" type="#_x0000_t202" filled="false" stroked="false">
              <v:textbox inset="0,0,0,0">
                <w:txbxContent>
                  <w:p>
                    <w:pPr>
                      <w:spacing w:line="180" w:lineRule="exact" w:before="0"/>
                      <w:ind w:left="0" w:right="0" w:firstLine="0"/>
                      <w:jc w:val="left"/>
                      <w:rPr>
                        <w:rFonts w:ascii="Carlito" w:hAnsi="Carlito"/>
                        <w:b/>
                        <w:sz w:val="18"/>
                      </w:rPr>
                    </w:pPr>
                    <w:r>
                      <w:rPr>
                        <w:rFonts w:ascii="Carlito" w:hAnsi="Carlito"/>
                        <w:b/>
                        <w:sz w:val="18"/>
                      </w:rPr>
                      <w:t>Bio-capacidad per cápita</w:t>
                    </w:r>
                  </w:p>
                </w:txbxContent>
              </v:textbox>
              <w10:wrap type="none"/>
            </v:shape>
            <v:shape style="position:absolute;left:6794;top:-638;width:2049;height:180" type="#_x0000_t202" filled="false" stroked="false">
              <v:textbox inset="0,0,0,0">
                <w:txbxContent>
                  <w:p>
                    <w:pPr>
                      <w:spacing w:line="180" w:lineRule="exact" w:before="0"/>
                      <w:ind w:left="0" w:right="0" w:firstLine="0"/>
                      <w:jc w:val="left"/>
                      <w:rPr>
                        <w:rFonts w:ascii="Carlito" w:hAnsi="Carlito"/>
                        <w:b/>
                        <w:sz w:val="18"/>
                      </w:rPr>
                    </w:pPr>
                    <w:r>
                      <w:rPr>
                        <w:rFonts w:ascii="Carlito" w:hAnsi="Carlito"/>
                        <w:b/>
                        <w:sz w:val="18"/>
                      </w:rPr>
                      <w:t>Huella Ecológica per Cápita</w:t>
                    </w:r>
                  </w:p>
                </w:txbxContent>
              </v:textbox>
              <w10:wrap type="none"/>
            </v:shape>
            <w10:wrap type="none"/>
          </v:group>
        </w:pict>
      </w:r>
      <w:r>
        <w:rPr/>
        <w:pict>
          <v:shape style="position:absolute;margin-left:126.979996pt;margin-top:-83.085968pt;width:401.3pt;height:20.2pt;mso-position-horizontal-relative:page;mso-position-vertical-relative:paragraph;z-index:15764992" type="#_x0000_t202" filled="false" stroked="false">
            <v:textbox inset="0,0,0,0" style="layout-flow:vertical;mso-layout-flow-alt:bottom-to-top">
              <w:txbxContent>
                <w:p>
                  <w:pPr>
                    <w:spacing w:line="203" w:lineRule="exact" w:before="0"/>
                    <w:ind w:left="20" w:right="0" w:firstLine="0"/>
                    <w:jc w:val="left"/>
                    <w:rPr>
                      <w:rFonts w:ascii="Carlito"/>
                      <w:b/>
                      <w:sz w:val="18"/>
                    </w:rPr>
                  </w:pPr>
                  <w:r>
                    <w:rPr>
                      <w:rFonts w:ascii="Carlito"/>
                      <w:b/>
                      <w:sz w:val="18"/>
                    </w:rPr>
                    <w:t>1961</w:t>
                  </w:r>
                </w:p>
                <w:p>
                  <w:pPr>
                    <w:spacing w:before="16"/>
                    <w:ind w:left="20" w:right="0" w:firstLine="0"/>
                    <w:jc w:val="left"/>
                    <w:rPr>
                      <w:rFonts w:ascii="Carlito"/>
                      <w:b/>
                      <w:sz w:val="18"/>
                    </w:rPr>
                  </w:pPr>
                  <w:r>
                    <w:rPr>
                      <w:rFonts w:ascii="Carlito"/>
                      <w:b/>
                      <w:sz w:val="18"/>
                    </w:rPr>
                    <w:t>1969</w:t>
                  </w:r>
                </w:p>
                <w:p>
                  <w:pPr>
                    <w:spacing w:before="17"/>
                    <w:ind w:left="20" w:right="0" w:firstLine="0"/>
                    <w:jc w:val="left"/>
                    <w:rPr>
                      <w:rFonts w:ascii="Carlito"/>
                      <w:b/>
                      <w:sz w:val="18"/>
                    </w:rPr>
                  </w:pPr>
                  <w:r>
                    <w:rPr>
                      <w:rFonts w:ascii="Carlito"/>
                      <w:b/>
                      <w:sz w:val="18"/>
                    </w:rPr>
                    <w:t>1971</w:t>
                  </w:r>
                </w:p>
                <w:p>
                  <w:pPr>
                    <w:spacing w:before="17"/>
                    <w:ind w:left="20" w:right="0" w:firstLine="0"/>
                    <w:jc w:val="left"/>
                    <w:rPr>
                      <w:rFonts w:ascii="Carlito"/>
                      <w:b/>
                      <w:sz w:val="18"/>
                    </w:rPr>
                  </w:pPr>
                  <w:r>
                    <w:rPr>
                      <w:rFonts w:ascii="Carlito"/>
                      <w:b/>
                      <w:sz w:val="18"/>
                    </w:rPr>
                    <w:t>1974</w:t>
                  </w:r>
                </w:p>
                <w:p>
                  <w:pPr>
                    <w:spacing w:before="17"/>
                    <w:ind w:left="20" w:right="0" w:firstLine="0"/>
                    <w:jc w:val="left"/>
                    <w:rPr>
                      <w:rFonts w:ascii="Carlito"/>
                      <w:b/>
                      <w:sz w:val="18"/>
                    </w:rPr>
                  </w:pPr>
                  <w:r>
                    <w:rPr>
                      <w:rFonts w:ascii="Carlito"/>
                      <w:b/>
                      <w:sz w:val="18"/>
                    </w:rPr>
                    <w:t>1977</w:t>
                  </w:r>
                </w:p>
                <w:p>
                  <w:pPr>
                    <w:spacing w:before="16"/>
                    <w:ind w:left="20" w:right="0" w:firstLine="0"/>
                    <w:jc w:val="left"/>
                    <w:rPr>
                      <w:rFonts w:ascii="Carlito"/>
                      <w:b/>
                      <w:sz w:val="18"/>
                    </w:rPr>
                  </w:pPr>
                  <w:r>
                    <w:rPr>
                      <w:rFonts w:ascii="Carlito"/>
                      <w:b/>
                      <w:sz w:val="18"/>
                    </w:rPr>
                    <w:t>1979</w:t>
                  </w:r>
                </w:p>
                <w:p>
                  <w:pPr>
                    <w:spacing w:before="17"/>
                    <w:ind w:left="20" w:right="0" w:firstLine="0"/>
                    <w:jc w:val="left"/>
                    <w:rPr>
                      <w:rFonts w:ascii="Carlito"/>
                      <w:b/>
                      <w:sz w:val="18"/>
                    </w:rPr>
                  </w:pPr>
                  <w:r>
                    <w:rPr>
                      <w:rFonts w:ascii="Carlito"/>
                      <w:b/>
                      <w:sz w:val="18"/>
                    </w:rPr>
                    <w:t>1981</w:t>
                  </w:r>
                </w:p>
                <w:p>
                  <w:pPr>
                    <w:spacing w:before="18"/>
                    <w:ind w:left="20" w:right="0" w:firstLine="0"/>
                    <w:jc w:val="left"/>
                    <w:rPr>
                      <w:rFonts w:ascii="Carlito"/>
                      <w:b/>
                      <w:sz w:val="18"/>
                    </w:rPr>
                  </w:pPr>
                  <w:r>
                    <w:rPr>
                      <w:rFonts w:ascii="Carlito"/>
                      <w:b/>
                      <w:sz w:val="18"/>
                    </w:rPr>
                    <w:t>1982</w:t>
                  </w:r>
                </w:p>
                <w:p>
                  <w:pPr>
                    <w:spacing w:before="16"/>
                    <w:ind w:left="20" w:right="0" w:firstLine="0"/>
                    <w:jc w:val="left"/>
                    <w:rPr>
                      <w:rFonts w:ascii="Carlito"/>
                      <w:b/>
                      <w:sz w:val="18"/>
                    </w:rPr>
                  </w:pPr>
                  <w:r>
                    <w:rPr>
                      <w:rFonts w:ascii="Carlito"/>
                      <w:b/>
                      <w:sz w:val="18"/>
                    </w:rPr>
                    <w:t>1983</w:t>
                  </w:r>
                </w:p>
                <w:p>
                  <w:pPr>
                    <w:spacing w:before="17"/>
                    <w:ind w:left="20" w:right="0" w:firstLine="0"/>
                    <w:jc w:val="left"/>
                    <w:rPr>
                      <w:rFonts w:ascii="Carlito"/>
                      <w:b/>
                      <w:sz w:val="18"/>
                    </w:rPr>
                  </w:pPr>
                  <w:r>
                    <w:rPr>
                      <w:rFonts w:ascii="Carlito"/>
                      <w:b/>
                      <w:sz w:val="18"/>
                    </w:rPr>
                    <w:t>1986</w:t>
                  </w:r>
                </w:p>
                <w:p>
                  <w:pPr>
                    <w:spacing w:before="17"/>
                    <w:ind w:left="20" w:right="0" w:firstLine="0"/>
                    <w:jc w:val="left"/>
                    <w:rPr>
                      <w:rFonts w:ascii="Carlito"/>
                      <w:b/>
                      <w:sz w:val="18"/>
                    </w:rPr>
                  </w:pPr>
                  <w:r>
                    <w:rPr>
                      <w:rFonts w:ascii="Carlito"/>
                      <w:b/>
                      <w:sz w:val="18"/>
                    </w:rPr>
                    <w:t>1989</w:t>
                  </w:r>
                </w:p>
                <w:p>
                  <w:pPr>
                    <w:spacing w:before="17"/>
                    <w:ind w:left="20" w:right="0" w:firstLine="0"/>
                    <w:jc w:val="left"/>
                    <w:rPr>
                      <w:rFonts w:ascii="Carlito"/>
                      <w:b/>
                      <w:sz w:val="18"/>
                    </w:rPr>
                  </w:pPr>
                  <w:r>
                    <w:rPr>
                      <w:rFonts w:ascii="Carlito"/>
                      <w:b/>
                      <w:sz w:val="18"/>
                    </w:rPr>
                    <w:t>1990</w:t>
                  </w:r>
                </w:p>
                <w:p>
                  <w:pPr>
                    <w:spacing w:before="16"/>
                    <w:ind w:left="20" w:right="0" w:firstLine="0"/>
                    <w:jc w:val="left"/>
                    <w:rPr>
                      <w:rFonts w:ascii="Carlito"/>
                      <w:b/>
                      <w:sz w:val="18"/>
                    </w:rPr>
                  </w:pPr>
                  <w:r>
                    <w:rPr>
                      <w:rFonts w:ascii="Carlito"/>
                      <w:b/>
                      <w:sz w:val="18"/>
                    </w:rPr>
                    <w:t>1991</w:t>
                  </w:r>
                </w:p>
                <w:p>
                  <w:pPr>
                    <w:spacing w:before="17"/>
                    <w:ind w:left="20" w:right="0" w:firstLine="0"/>
                    <w:jc w:val="left"/>
                    <w:rPr>
                      <w:rFonts w:ascii="Carlito"/>
                      <w:b/>
                      <w:sz w:val="18"/>
                    </w:rPr>
                  </w:pPr>
                  <w:r>
                    <w:rPr>
                      <w:rFonts w:ascii="Carlito"/>
                      <w:b/>
                      <w:sz w:val="18"/>
                    </w:rPr>
                    <w:t>1992</w:t>
                  </w:r>
                </w:p>
                <w:p>
                  <w:pPr>
                    <w:spacing w:before="17"/>
                    <w:ind w:left="20" w:right="0" w:firstLine="0"/>
                    <w:jc w:val="left"/>
                    <w:rPr>
                      <w:rFonts w:ascii="Carlito"/>
                      <w:b/>
                      <w:sz w:val="18"/>
                    </w:rPr>
                  </w:pPr>
                  <w:r>
                    <w:rPr>
                      <w:rFonts w:ascii="Carlito"/>
                      <w:b/>
                      <w:sz w:val="18"/>
                    </w:rPr>
                    <w:t>1993</w:t>
                  </w:r>
                </w:p>
                <w:p>
                  <w:pPr>
                    <w:spacing w:before="17"/>
                    <w:ind w:left="20" w:right="0" w:firstLine="0"/>
                    <w:jc w:val="left"/>
                    <w:rPr>
                      <w:rFonts w:ascii="Carlito"/>
                      <w:b/>
                      <w:sz w:val="18"/>
                    </w:rPr>
                  </w:pPr>
                  <w:r>
                    <w:rPr>
                      <w:rFonts w:ascii="Carlito"/>
                      <w:b/>
                      <w:sz w:val="18"/>
                    </w:rPr>
                    <w:t>1994</w:t>
                  </w:r>
                </w:p>
                <w:p>
                  <w:pPr>
                    <w:spacing w:before="16"/>
                    <w:ind w:left="20" w:right="0" w:firstLine="0"/>
                    <w:jc w:val="left"/>
                    <w:rPr>
                      <w:rFonts w:ascii="Carlito"/>
                      <w:b/>
                      <w:sz w:val="18"/>
                    </w:rPr>
                  </w:pPr>
                  <w:r>
                    <w:rPr>
                      <w:rFonts w:ascii="Carlito"/>
                      <w:b/>
                      <w:sz w:val="18"/>
                    </w:rPr>
                    <w:t>1995</w:t>
                  </w:r>
                </w:p>
                <w:p>
                  <w:pPr>
                    <w:spacing w:before="17"/>
                    <w:ind w:left="20" w:right="0" w:firstLine="0"/>
                    <w:jc w:val="left"/>
                    <w:rPr>
                      <w:rFonts w:ascii="Carlito"/>
                      <w:b/>
                      <w:sz w:val="18"/>
                    </w:rPr>
                  </w:pPr>
                  <w:r>
                    <w:rPr>
                      <w:rFonts w:ascii="Carlito"/>
                      <w:b/>
                      <w:sz w:val="18"/>
                    </w:rPr>
                    <w:t>1996</w:t>
                  </w:r>
                </w:p>
                <w:p>
                  <w:pPr>
                    <w:spacing w:before="17"/>
                    <w:ind w:left="20" w:right="0" w:firstLine="0"/>
                    <w:jc w:val="left"/>
                    <w:rPr>
                      <w:rFonts w:ascii="Carlito"/>
                      <w:b/>
                      <w:sz w:val="18"/>
                    </w:rPr>
                  </w:pPr>
                  <w:r>
                    <w:rPr>
                      <w:rFonts w:ascii="Carlito"/>
                      <w:b/>
                      <w:sz w:val="18"/>
                    </w:rPr>
                    <w:t>1997</w:t>
                  </w:r>
                </w:p>
                <w:p>
                  <w:pPr>
                    <w:spacing w:before="17"/>
                    <w:ind w:left="20" w:right="0" w:firstLine="0"/>
                    <w:jc w:val="left"/>
                    <w:rPr>
                      <w:rFonts w:ascii="Carlito"/>
                      <w:b/>
                      <w:sz w:val="18"/>
                    </w:rPr>
                  </w:pPr>
                  <w:r>
                    <w:rPr>
                      <w:rFonts w:ascii="Carlito"/>
                      <w:b/>
                      <w:sz w:val="18"/>
                    </w:rPr>
                    <w:t>1998</w:t>
                  </w:r>
                </w:p>
                <w:p>
                  <w:pPr>
                    <w:spacing w:before="17"/>
                    <w:ind w:left="20" w:right="0" w:firstLine="0"/>
                    <w:jc w:val="left"/>
                    <w:rPr>
                      <w:rFonts w:ascii="Carlito"/>
                      <w:b/>
                      <w:sz w:val="18"/>
                    </w:rPr>
                  </w:pPr>
                  <w:r>
                    <w:rPr>
                      <w:rFonts w:ascii="Carlito"/>
                      <w:b/>
                      <w:sz w:val="18"/>
                    </w:rPr>
                    <w:t>2000</w:t>
                  </w:r>
                </w:p>
                <w:p>
                  <w:pPr>
                    <w:spacing w:before="17"/>
                    <w:ind w:left="20" w:right="0" w:firstLine="0"/>
                    <w:jc w:val="left"/>
                    <w:rPr>
                      <w:rFonts w:ascii="Carlito"/>
                      <w:b/>
                      <w:sz w:val="18"/>
                    </w:rPr>
                  </w:pPr>
                  <w:r>
                    <w:rPr>
                      <w:rFonts w:ascii="Carlito"/>
                      <w:b/>
                      <w:sz w:val="18"/>
                    </w:rPr>
                    <w:t>2001</w:t>
                  </w:r>
                </w:p>
                <w:p>
                  <w:pPr>
                    <w:spacing w:before="17"/>
                    <w:ind w:left="20" w:right="0" w:firstLine="0"/>
                    <w:jc w:val="left"/>
                    <w:rPr>
                      <w:rFonts w:ascii="Carlito"/>
                      <w:b/>
                      <w:sz w:val="18"/>
                    </w:rPr>
                  </w:pPr>
                  <w:r>
                    <w:rPr>
                      <w:rFonts w:ascii="Carlito"/>
                      <w:b/>
                      <w:sz w:val="18"/>
                    </w:rPr>
                    <w:t>2002</w:t>
                  </w:r>
                </w:p>
                <w:p>
                  <w:pPr>
                    <w:spacing w:before="16"/>
                    <w:ind w:left="20" w:right="0" w:firstLine="0"/>
                    <w:jc w:val="left"/>
                    <w:rPr>
                      <w:rFonts w:ascii="Carlito"/>
                      <w:b/>
                      <w:sz w:val="18"/>
                    </w:rPr>
                  </w:pPr>
                  <w:r>
                    <w:rPr>
                      <w:rFonts w:ascii="Carlito"/>
                      <w:b/>
                      <w:sz w:val="18"/>
                    </w:rPr>
                    <w:t>2003</w:t>
                  </w:r>
                </w:p>
                <w:p>
                  <w:pPr>
                    <w:spacing w:before="17"/>
                    <w:ind w:left="20" w:right="0" w:firstLine="0"/>
                    <w:jc w:val="left"/>
                    <w:rPr>
                      <w:rFonts w:ascii="Carlito"/>
                      <w:b/>
                      <w:sz w:val="18"/>
                    </w:rPr>
                  </w:pPr>
                  <w:r>
                    <w:rPr>
                      <w:rFonts w:ascii="Carlito"/>
                      <w:b/>
                      <w:sz w:val="18"/>
                    </w:rPr>
                    <w:t>2004</w:t>
                  </w:r>
                </w:p>
                <w:p>
                  <w:pPr>
                    <w:spacing w:before="17"/>
                    <w:ind w:left="20" w:right="0" w:firstLine="0"/>
                    <w:jc w:val="left"/>
                    <w:rPr>
                      <w:rFonts w:ascii="Carlito"/>
                      <w:b/>
                      <w:sz w:val="18"/>
                    </w:rPr>
                  </w:pPr>
                  <w:r>
                    <w:rPr>
                      <w:rFonts w:ascii="Carlito"/>
                      <w:b/>
                      <w:sz w:val="18"/>
                    </w:rPr>
                    <w:t>2005</w:t>
                  </w:r>
                </w:p>
                <w:p>
                  <w:pPr>
                    <w:spacing w:before="17"/>
                    <w:ind w:left="20" w:right="0" w:firstLine="0"/>
                    <w:jc w:val="left"/>
                    <w:rPr>
                      <w:rFonts w:ascii="Carlito"/>
                      <w:b/>
                      <w:sz w:val="18"/>
                    </w:rPr>
                  </w:pPr>
                  <w:r>
                    <w:rPr>
                      <w:rFonts w:ascii="Carlito"/>
                      <w:b/>
                      <w:sz w:val="18"/>
                    </w:rPr>
                    <w:t>2006</w:t>
                  </w:r>
                </w:p>
                <w:p>
                  <w:pPr>
                    <w:spacing w:before="16"/>
                    <w:ind w:left="20" w:right="0" w:firstLine="0"/>
                    <w:jc w:val="left"/>
                    <w:rPr>
                      <w:rFonts w:ascii="Carlito"/>
                      <w:b/>
                      <w:sz w:val="18"/>
                    </w:rPr>
                  </w:pPr>
                  <w:r>
                    <w:rPr>
                      <w:rFonts w:ascii="Carlito"/>
                      <w:b/>
                      <w:sz w:val="18"/>
                    </w:rPr>
                    <w:t>2007</w:t>
                  </w:r>
                </w:p>
                <w:p>
                  <w:pPr>
                    <w:spacing w:before="17"/>
                    <w:ind w:left="20" w:right="0" w:firstLine="0"/>
                    <w:jc w:val="left"/>
                    <w:rPr>
                      <w:rFonts w:ascii="Carlito"/>
                      <w:b/>
                      <w:sz w:val="18"/>
                    </w:rPr>
                  </w:pPr>
                  <w:r>
                    <w:rPr>
                      <w:rFonts w:ascii="Carlito"/>
                      <w:b/>
                      <w:sz w:val="18"/>
                    </w:rPr>
                    <w:t>2008</w:t>
                  </w:r>
                </w:p>
                <w:p>
                  <w:pPr>
                    <w:spacing w:before="17"/>
                    <w:ind w:left="20" w:right="0" w:firstLine="0"/>
                    <w:jc w:val="left"/>
                    <w:rPr>
                      <w:rFonts w:ascii="Carlito"/>
                      <w:b/>
                      <w:sz w:val="18"/>
                    </w:rPr>
                  </w:pPr>
                  <w:r>
                    <w:rPr>
                      <w:rFonts w:ascii="Carlito"/>
                      <w:b/>
                      <w:sz w:val="18"/>
                    </w:rPr>
                    <w:t>2009</w:t>
                  </w:r>
                </w:p>
                <w:p>
                  <w:pPr>
                    <w:spacing w:before="17"/>
                    <w:ind w:left="20" w:right="0" w:firstLine="0"/>
                    <w:jc w:val="left"/>
                    <w:rPr>
                      <w:rFonts w:ascii="Carlito"/>
                      <w:b/>
                      <w:sz w:val="18"/>
                    </w:rPr>
                  </w:pPr>
                  <w:r>
                    <w:rPr>
                      <w:rFonts w:ascii="Carlito"/>
                      <w:b/>
                      <w:sz w:val="18"/>
                    </w:rPr>
                    <w:t>2010</w:t>
                  </w:r>
                </w:p>
                <w:p>
                  <w:pPr>
                    <w:spacing w:before="17"/>
                    <w:ind w:left="20" w:right="0" w:firstLine="0"/>
                    <w:jc w:val="left"/>
                    <w:rPr>
                      <w:rFonts w:ascii="Carlito"/>
                      <w:b/>
                      <w:sz w:val="18"/>
                    </w:rPr>
                  </w:pPr>
                  <w:r>
                    <w:rPr>
                      <w:rFonts w:ascii="Carlito"/>
                      <w:b/>
                      <w:sz w:val="18"/>
                    </w:rPr>
                    <w:t>2011</w:t>
                  </w:r>
                </w:p>
                <w:p>
                  <w:pPr>
                    <w:spacing w:before="16"/>
                    <w:ind w:left="20" w:right="0" w:firstLine="0"/>
                    <w:jc w:val="left"/>
                    <w:rPr>
                      <w:rFonts w:ascii="Carlito"/>
                      <w:b/>
                      <w:sz w:val="18"/>
                    </w:rPr>
                  </w:pPr>
                  <w:r>
                    <w:rPr>
                      <w:rFonts w:ascii="Carlito"/>
                      <w:b/>
                      <w:sz w:val="18"/>
                    </w:rPr>
                    <w:t>2012</w:t>
                  </w:r>
                </w:p>
                <w:p>
                  <w:pPr>
                    <w:spacing w:before="17"/>
                    <w:ind w:left="20" w:right="0" w:firstLine="0"/>
                    <w:jc w:val="left"/>
                    <w:rPr>
                      <w:rFonts w:ascii="Carlito"/>
                      <w:b/>
                      <w:sz w:val="18"/>
                    </w:rPr>
                  </w:pPr>
                  <w:r>
                    <w:rPr>
                      <w:rFonts w:ascii="Carlito"/>
                      <w:b/>
                      <w:sz w:val="18"/>
                    </w:rPr>
                    <w:t>2013</w:t>
                  </w:r>
                </w:p>
              </w:txbxContent>
            </v:textbox>
            <w10:wrap type="none"/>
          </v:shape>
        </w:pict>
      </w:r>
      <w:bookmarkStart w:name="_bookmark30" w:id="42"/>
      <w:bookmarkEnd w:id="42"/>
      <w:r>
        <w:rPr/>
      </w:r>
      <w:r>
        <w:rPr>
          <w:i/>
          <w:sz w:val="20"/>
        </w:rPr>
        <w:t>Figura 24 – Huella Ecológica y Bio-Capacidad per Cápita de Costa Rica (1961-2013).</w:t>
      </w:r>
    </w:p>
    <w:p>
      <w:pPr>
        <w:spacing w:before="0"/>
        <w:ind w:left="236" w:right="663" w:firstLine="0"/>
        <w:jc w:val="center"/>
        <w:rPr>
          <w:sz w:val="24"/>
        </w:rPr>
      </w:pPr>
      <w:r>
        <w:rPr>
          <w:i/>
          <w:sz w:val="20"/>
        </w:rPr>
        <w:t>Fuente: Elaboración Propia con Datos de la Red Mundial de la Huella Ecológica</w:t>
      </w:r>
      <w:r>
        <w:rPr>
          <w:sz w:val="24"/>
        </w:rPr>
        <w:t>.</w:t>
      </w:r>
    </w:p>
    <w:p>
      <w:pPr>
        <w:pStyle w:val="BodyText"/>
        <w:spacing w:before="7"/>
        <w:rPr>
          <w:sz w:val="29"/>
        </w:rPr>
      </w:pPr>
    </w:p>
    <w:p>
      <w:pPr>
        <w:pStyle w:val="BodyText"/>
        <w:spacing w:line="360" w:lineRule="auto"/>
        <w:ind w:left="220" w:right="650"/>
        <w:jc w:val="both"/>
      </w:pPr>
      <w:r>
        <w:rPr/>
        <w:t>Si se observa la relación de la huella promedio actual del país con su biocapacidad, el</w:t>
      </w:r>
      <w:r>
        <w:rPr>
          <w:spacing w:val="-15"/>
        </w:rPr>
        <w:t> </w:t>
      </w:r>
      <w:r>
        <w:rPr/>
        <w:t>porcentaje</w:t>
      </w:r>
      <w:r>
        <w:rPr>
          <w:spacing w:val="-15"/>
        </w:rPr>
        <w:t> </w:t>
      </w:r>
      <w:r>
        <w:rPr/>
        <w:t>de</w:t>
      </w:r>
      <w:r>
        <w:rPr>
          <w:spacing w:val="-15"/>
        </w:rPr>
        <w:t> </w:t>
      </w:r>
      <w:r>
        <w:rPr/>
        <w:t>sobregiro</w:t>
      </w:r>
      <w:r>
        <w:rPr>
          <w:spacing w:val="-15"/>
        </w:rPr>
        <w:t> </w:t>
      </w:r>
      <w:r>
        <w:rPr/>
        <w:t>alcanzaría</w:t>
      </w:r>
      <w:r>
        <w:rPr>
          <w:spacing w:val="-9"/>
        </w:rPr>
        <w:t> </w:t>
      </w:r>
      <w:r>
        <w:rPr/>
        <w:t>niveles</w:t>
      </w:r>
      <w:r>
        <w:rPr>
          <w:spacing w:val="-13"/>
        </w:rPr>
        <w:t> </w:t>
      </w:r>
      <w:r>
        <w:rPr/>
        <w:t>que</w:t>
      </w:r>
      <w:r>
        <w:rPr>
          <w:spacing w:val="-15"/>
        </w:rPr>
        <w:t> </w:t>
      </w:r>
      <w:r>
        <w:rPr/>
        <w:t>se</w:t>
      </w:r>
      <w:r>
        <w:rPr>
          <w:spacing w:val="-12"/>
        </w:rPr>
        <w:t> </w:t>
      </w:r>
      <w:r>
        <w:rPr/>
        <w:t>acercan</w:t>
      </w:r>
      <w:r>
        <w:rPr>
          <w:spacing w:val="-11"/>
        </w:rPr>
        <w:t> </w:t>
      </w:r>
      <w:r>
        <w:rPr>
          <w:spacing w:val="-2"/>
        </w:rPr>
        <w:t>más</w:t>
      </w:r>
      <w:r>
        <w:rPr>
          <w:spacing w:val="-9"/>
        </w:rPr>
        <w:t> </w:t>
      </w:r>
      <w:r>
        <w:rPr/>
        <w:t>al</w:t>
      </w:r>
      <w:r>
        <w:rPr>
          <w:spacing w:val="-15"/>
        </w:rPr>
        <w:t> </w:t>
      </w:r>
      <w:r>
        <w:rPr/>
        <w:t>60%</w:t>
      </w:r>
      <w:r>
        <w:rPr>
          <w:spacing w:val="-11"/>
        </w:rPr>
        <w:t> </w:t>
      </w:r>
      <w:r>
        <w:rPr/>
        <w:t>de</w:t>
      </w:r>
      <w:r>
        <w:rPr>
          <w:spacing w:val="-11"/>
        </w:rPr>
        <w:t> </w:t>
      </w:r>
      <w:r>
        <w:rPr/>
        <w:t>la</w:t>
      </w:r>
      <w:r>
        <w:rPr>
          <w:spacing w:val="-12"/>
        </w:rPr>
        <w:t> </w:t>
      </w:r>
      <w:r>
        <w:rPr/>
        <w:t>misma. Si</w:t>
      </w:r>
      <w:r>
        <w:rPr>
          <w:spacing w:val="-5"/>
        </w:rPr>
        <w:t> </w:t>
      </w:r>
      <w:r>
        <w:rPr/>
        <w:t>bien</w:t>
      </w:r>
      <w:r>
        <w:rPr>
          <w:spacing w:val="-4"/>
        </w:rPr>
        <w:t> </w:t>
      </w:r>
      <w:r>
        <w:rPr/>
        <w:t>en</w:t>
      </w:r>
      <w:r>
        <w:rPr>
          <w:spacing w:val="-4"/>
        </w:rPr>
        <w:t> </w:t>
      </w:r>
      <w:r>
        <w:rPr/>
        <w:t>términos</w:t>
      </w:r>
      <w:r>
        <w:rPr>
          <w:spacing w:val="-2"/>
        </w:rPr>
        <w:t> </w:t>
      </w:r>
      <w:r>
        <w:rPr/>
        <w:t>relativos</w:t>
      </w:r>
      <w:r>
        <w:rPr>
          <w:spacing w:val="-2"/>
        </w:rPr>
        <w:t> </w:t>
      </w:r>
      <w:r>
        <w:rPr/>
        <w:t>ello</w:t>
      </w:r>
      <w:r>
        <w:rPr>
          <w:spacing w:val="-4"/>
        </w:rPr>
        <w:t> </w:t>
      </w:r>
      <w:r>
        <w:rPr/>
        <w:t>no</w:t>
      </w:r>
      <w:r>
        <w:rPr>
          <w:spacing w:val="-4"/>
        </w:rPr>
        <w:t> </w:t>
      </w:r>
      <w:r>
        <w:rPr/>
        <w:t>es</w:t>
      </w:r>
      <w:r>
        <w:rPr>
          <w:spacing w:val="-2"/>
        </w:rPr>
        <w:t> </w:t>
      </w:r>
      <w:r>
        <w:rPr/>
        <w:t>tan</w:t>
      </w:r>
      <w:r>
        <w:rPr>
          <w:spacing w:val="-4"/>
        </w:rPr>
        <w:t> </w:t>
      </w:r>
      <w:r>
        <w:rPr/>
        <w:t>grave</w:t>
      </w:r>
      <w:r>
        <w:rPr>
          <w:spacing w:val="-4"/>
        </w:rPr>
        <w:t> </w:t>
      </w:r>
      <w:r>
        <w:rPr/>
        <w:t>como</w:t>
      </w:r>
      <w:r>
        <w:rPr>
          <w:spacing w:val="-5"/>
        </w:rPr>
        <w:t> </w:t>
      </w:r>
      <w:r>
        <w:rPr/>
        <w:t>el</w:t>
      </w:r>
      <w:r>
        <w:rPr>
          <w:spacing w:val="-4"/>
        </w:rPr>
        <w:t> </w:t>
      </w:r>
      <w:r>
        <w:rPr/>
        <w:t>caso</w:t>
      </w:r>
      <w:r>
        <w:rPr>
          <w:spacing w:val="-4"/>
        </w:rPr>
        <w:t> </w:t>
      </w:r>
      <w:r>
        <w:rPr/>
        <w:t>de</w:t>
      </w:r>
      <w:r>
        <w:rPr>
          <w:spacing w:val="-4"/>
        </w:rPr>
        <w:t> </w:t>
      </w:r>
      <w:r>
        <w:rPr/>
        <w:t>otras</w:t>
      </w:r>
      <w:r>
        <w:rPr>
          <w:spacing w:val="-2"/>
        </w:rPr>
        <w:t> </w:t>
      </w:r>
      <w:r>
        <w:rPr/>
        <w:t>naciones</w:t>
      </w:r>
      <w:r>
        <w:rPr>
          <w:spacing w:val="-2"/>
        </w:rPr>
        <w:t> </w:t>
      </w:r>
      <w:r>
        <w:rPr/>
        <w:t>que documentan los registros mundiales, sí indica un nivel importante de sobregiro en perjuicio de las futuras</w:t>
      </w:r>
      <w:r>
        <w:rPr>
          <w:spacing w:val="-2"/>
        </w:rPr>
        <w:t> </w:t>
      </w:r>
      <w:r>
        <w:rPr/>
        <w:t>generaciones.</w:t>
      </w:r>
    </w:p>
    <w:p>
      <w:pPr>
        <w:pStyle w:val="BodyText"/>
        <w:spacing w:line="360" w:lineRule="auto" w:before="199"/>
        <w:ind w:left="220" w:right="642"/>
        <w:jc w:val="both"/>
      </w:pPr>
      <w:r>
        <w:rPr/>
        <w:t>En esta investigación se hace una medición comparativa de la Huella Ecológica comunitaria.</w:t>
      </w:r>
      <w:r>
        <w:rPr>
          <w:spacing w:val="-11"/>
        </w:rPr>
        <w:t> </w:t>
      </w:r>
      <w:r>
        <w:rPr/>
        <w:t>Se</w:t>
      </w:r>
      <w:r>
        <w:rPr>
          <w:spacing w:val="-13"/>
        </w:rPr>
        <w:t> </w:t>
      </w:r>
      <w:r>
        <w:rPr/>
        <w:t>comparan</w:t>
      </w:r>
      <w:r>
        <w:rPr>
          <w:spacing w:val="-14"/>
        </w:rPr>
        <w:t> </w:t>
      </w:r>
      <w:r>
        <w:rPr/>
        <w:t>esas</w:t>
      </w:r>
      <w:r>
        <w:rPr>
          <w:spacing w:val="-11"/>
        </w:rPr>
        <w:t> </w:t>
      </w:r>
      <w:r>
        <w:rPr/>
        <w:t>mediciones</w:t>
      </w:r>
      <w:r>
        <w:rPr>
          <w:spacing w:val="-11"/>
        </w:rPr>
        <w:t> </w:t>
      </w:r>
      <w:r>
        <w:rPr/>
        <w:t>con</w:t>
      </w:r>
      <w:r>
        <w:rPr>
          <w:spacing w:val="-13"/>
        </w:rPr>
        <w:t> </w:t>
      </w:r>
      <w:r>
        <w:rPr/>
        <w:t>los</w:t>
      </w:r>
      <w:r>
        <w:rPr>
          <w:spacing w:val="-12"/>
        </w:rPr>
        <w:t> </w:t>
      </w:r>
      <w:r>
        <w:rPr/>
        <w:t>valores</w:t>
      </w:r>
      <w:r>
        <w:rPr>
          <w:spacing w:val="-12"/>
        </w:rPr>
        <w:t> </w:t>
      </w:r>
      <w:r>
        <w:rPr/>
        <w:t>por</w:t>
      </w:r>
      <w:r>
        <w:rPr>
          <w:spacing w:val="-11"/>
        </w:rPr>
        <w:t> </w:t>
      </w:r>
      <w:r>
        <w:rPr/>
        <w:t>metro</w:t>
      </w:r>
      <w:r>
        <w:rPr>
          <w:spacing w:val="-13"/>
        </w:rPr>
        <w:t> </w:t>
      </w:r>
      <w:r>
        <w:rPr/>
        <w:t>cuadrado</w:t>
      </w:r>
      <w:r>
        <w:rPr>
          <w:spacing w:val="-14"/>
        </w:rPr>
        <w:t> </w:t>
      </w:r>
      <w:r>
        <w:rPr/>
        <w:t>de</w:t>
      </w:r>
      <w:r>
        <w:rPr>
          <w:spacing w:val="-13"/>
        </w:rPr>
        <w:t> </w:t>
      </w:r>
      <w:r>
        <w:rPr/>
        <w:t>las propiedades</w:t>
      </w:r>
      <w:r>
        <w:rPr>
          <w:spacing w:val="-11"/>
        </w:rPr>
        <w:t> </w:t>
      </w:r>
      <w:r>
        <w:rPr/>
        <w:t>de</w:t>
      </w:r>
      <w:r>
        <w:rPr>
          <w:spacing w:val="-16"/>
        </w:rPr>
        <w:t> </w:t>
      </w:r>
      <w:r>
        <w:rPr/>
        <w:t>deudores</w:t>
      </w:r>
      <w:r>
        <w:rPr>
          <w:spacing w:val="-11"/>
        </w:rPr>
        <w:t> </w:t>
      </w:r>
      <w:r>
        <w:rPr/>
        <w:t>y</w:t>
      </w:r>
      <w:r>
        <w:rPr>
          <w:spacing w:val="-19"/>
        </w:rPr>
        <w:t> </w:t>
      </w:r>
      <w:r>
        <w:rPr/>
        <w:t>acreedores</w:t>
      </w:r>
      <w:r>
        <w:rPr>
          <w:spacing w:val="-13"/>
        </w:rPr>
        <w:t> </w:t>
      </w:r>
      <w:r>
        <w:rPr/>
        <w:t>en</w:t>
      </w:r>
      <w:r>
        <w:rPr>
          <w:spacing w:val="-16"/>
        </w:rPr>
        <w:t> </w:t>
      </w:r>
      <w:r>
        <w:rPr/>
        <w:t>dólares</w:t>
      </w:r>
      <w:r>
        <w:rPr>
          <w:spacing w:val="-11"/>
        </w:rPr>
        <w:t> </w:t>
      </w:r>
      <w:r>
        <w:rPr/>
        <w:t>estadounidenses</w:t>
      </w:r>
      <w:r>
        <w:rPr>
          <w:spacing w:val="-15"/>
        </w:rPr>
        <w:t> </w:t>
      </w:r>
      <w:r>
        <w:rPr/>
        <w:t>según</w:t>
      </w:r>
      <w:r>
        <w:rPr>
          <w:spacing w:val="-17"/>
        </w:rPr>
        <w:t> </w:t>
      </w:r>
      <w:r>
        <w:rPr/>
        <w:t>los</w:t>
      </w:r>
      <w:r>
        <w:rPr>
          <w:spacing w:val="-14"/>
        </w:rPr>
        <w:t> </w:t>
      </w:r>
      <w:r>
        <w:rPr/>
        <w:t>valores fiscales estimados por el Ministerio de Hacienda de Costa Rica con el fin de poder comparar el reconocimiento social de la afluencia económica y el impacto ambiental de las esas comunidades de conformidad con sus niveles de consumo. Se</w:t>
      </w:r>
      <w:r>
        <w:rPr>
          <w:spacing w:val="48"/>
        </w:rPr>
        <w:t> </w:t>
      </w:r>
      <w:r>
        <w:rPr/>
        <w:t>introduce</w:t>
      </w:r>
    </w:p>
    <w:p>
      <w:pPr>
        <w:spacing w:after="0" w:line="360" w:lineRule="auto"/>
        <w:jc w:val="both"/>
        <w:sectPr>
          <w:pgSz w:w="12240" w:h="15840"/>
          <w:pgMar w:header="0" w:footer="1062" w:top="1400" w:bottom="1260" w:left="1480" w:right="820"/>
        </w:sectPr>
      </w:pPr>
    </w:p>
    <w:p>
      <w:pPr>
        <w:pStyle w:val="BodyText"/>
        <w:spacing w:line="357" w:lineRule="auto" w:before="75"/>
        <w:ind w:left="220" w:right="655"/>
        <w:jc w:val="both"/>
      </w:pPr>
      <w:r>
        <w:rPr/>
        <w:t>de esta forma un eje de equidad o justicia ambiental que es novedoso a nivel de las aplicaciones del concepto en el país</w:t>
      </w:r>
      <w:r>
        <w:rPr>
          <w:position w:val="8"/>
          <w:sz w:val="16"/>
        </w:rPr>
        <w:t>20</w:t>
      </w:r>
      <w:r>
        <w:rPr/>
        <w:t>.</w:t>
      </w:r>
    </w:p>
    <w:p>
      <w:pPr>
        <w:pStyle w:val="BodyText"/>
        <w:tabs>
          <w:tab w:pos="2195" w:val="left" w:leader="none"/>
          <w:tab w:pos="4187" w:val="left" w:leader="none"/>
          <w:tab w:pos="6919" w:val="left" w:leader="none"/>
          <w:tab w:pos="9027" w:val="left" w:leader="none"/>
        </w:tabs>
        <w:spacing w:line="360" w:lineRule="auto" w:before="201"/>
        <w:ind w:left="220" w:right="643"/>
        <w:jc w:val="both"/>
      </w:pPr>
      <w:r>
        <w:rPr/>
        <w:t>Las comunidades fueron muestreadas mediante un cuestionario que combinó elementos de un cuestionario usado por la ONG estadounidense “Redefining Progress”</w:t>
      </w:r>
      <w:r>
        <w:rPr>
          <w:spacing w:val="-15"/>
        </w:rPr>
        <w:t> </w:t>
      </w:r>
      <w:r>
        <w:rPr/>
        <w:t>(RP)</w:t>
      </w:r>
      <w:r>
        <w:rPr>
          <w:spacing w:val="39"/>
        </w:rPr>
        <w:t> </w:t>
      </w:r>
      <w:r>
        <w:rPr/>
        <w:t>y</w:t>
      </w:r>
      <w:r>
        <w:rPr>
          <w:spacing w:val="-18"/>
        </w:rPr>
        <w:t> </w:t>
      </w:r>
      <w:r>
        <w:rPr/>
        <w:t>de</w:t>
      </w:r>
      <w:r>
        <w:rPr>
          <w:spacing w:val="-16"/>
        </w:rPr>
        <w:t> </w:t>
      </w:r>
      <w:r>
        <w:rPr/>
        <w:t>la</w:t>
      </w:r>
      <w:r>
        <w:rPr>
          <w:spacing w:val="-16"/>
        </w:rPr>
        <w:t> </w:t>
      </w:r>
      <w:r>
        <w:rPr/>
        <w:t>calculadora</w:t>
      </w:r>
      <w:r>
        <w:rPr>
          <w:spacing w:val="-16"/>
        </w:rPr>
        <w:t> </w:t>
      </w:r>
      <w:r>
        <w:rPr/>
        <w:t>de</w:t>
      </w:r>
      <w:r>
        <w:rPr>
          <w:spacing w:val="-14"/>
        </w:rPr>
        <w:t> </w:t>
      </w:r>
      <w:r>
        <w:rPr/>
        <w:t>Huella</w:t>
      </w:r>
      <w:r>
        <w:rPr>
          <w:spacing w:val="-16"/>
        </w:rPr>
        <w:t> </w:t>
      </w:r>
      <w:r>
        <w:rPr/>
        <w:t>Ecológica</w:t>
      </w:r>
      <w:r>
        <w:rPr>
          <w:spacing w:val="-15"/>
        </w:rPr>
        <w:t> </w:t>
      </w:r>
      <w:r>
        <w:rPr/>
        <w:t>que</w:t>
      </w:r>
      <w:r>
        <w:rPr>
          <w:spacing w:val="-16"/>
        </w:rPr>
        <w:t> </w:t>
      </w:r>
      <w:r>
        <w:rPr/>
        <w:t>se</w:t>
      </w:r>
      <w:r>
        <w:rPr>
          <w:spacing w:val="-16"/>
        </w:rPr>
        <w:t> </w:t>
      </w:r>
      <w:r>
        <w:rPr/>
        <w:t>encuentra</w:t>
      </w:r>
      <w:r>
        <w:rPr>
          <w:spacing w:val="-16"/>
        </w:rPr>
        <w:t> </w:t>
      </w:r>
      <w:r>
        <w:rPr/>
        <w:t>en</w:t>
      </w:r>
      <w:r>
        <w:rPr>
          <w:spacing w:val="-16"/>
        </w:rPr>
        <w:t> </w:t>
      </w:r>
      <w:r>
        <w:rPr/>
        <w:t>la</w:t>
      </w:r>
      <w:r>
        <w:rPr>
          <w:spacing w:val="-16"/>
        </w:rPr>
        <w:t> </w:t>
      </w:r>
      <w:r>
        <w:rPr/>
        <w:t>“Global Footprint</w:t>
        <w:tab/>
        <w:t>Network”</w:t>
        <w:tab/>
        <w:t>(GFN)</w:t>
        <w:tab/>
        <w:t>disponible</w:t>
        <w:tab/>
      </w:r>
      <w:r>
        <w:rPr>
          <w:spacing w:val="-9"/>
        </w:rPr>
        <w:t>en </w:t>
      </w:r>
      <w:hyperlink r:id="rId76">
        <w:r>
          <w:rPr>
            <w:color w:val="0000FF"/>
            <w:u w:val="single" w:color="0000FF"/>
          </w:rPr>
          <w:t>http://www.footprintnetwork.org/en/index.php/GFN/page/calculators</w:t>
        </w:r>
      </w:hyperlink>
      <w:r>
        <w:rPr>
          <w:color w:val="0000FF"/>
          <w:u w:val="single" w:color="0000FF"/>
        </w:rPr>
        <w:t>/</w:t>
      </w:r>
      <w:r>
        <w:rPr>
          <w:color w:val="0000FF"/>
        </w:rPr>
        <w:t> </w:t>
      </w:r>
      <w:r>
        <w:rPr/>
        <w:t>adaptados para los patrones de consumo costarricenses (Anexo 1). Este cuestionario fue aplicado casa por casa, mediante una entrevista a la persona que contestase el llamado a la puerta. Se computaron por separado los resultados tanto de los elementos del cuestionario de RP como de la calculadora de la GFN. Los resultados de ambas mediciones fueron promediados para cada hogar encuestado determinándose así la Huella Ecológica per cápita promedio por comunidad </w:t>
      </w:r>
      <w:r>
        <w:rPr>
          <w:spacing w:val="-3"/>
        </w:rPr>
        <w:t>y, </w:t>
      </w:r>
      <w:r>
        <w:rPr/>
        <w:t>finalmente, un promedio por categoría de</w:t>
      </w:r>
      <w:r>
        <w:rPr>
          <w:spacing w:val="-3"/>
        </w:rPr>
        <w:t> </w:t>
      </w:r>
      <w:r>
        <w:rPr/>
        <w:t>comunidades.</w:t>
      </w:r>
    </w:p>
    <w:p>
      <w:pPr>
        <w:pStyle w:val="BodyText"/>
        <w:spacing w:line="360" w:lineRule="auto" w:before="202"/>
        <w:ind w:left="220" w:right="642"/>
        <w:jc w:val="both"/>
      </w:pPr>
      <w:r>
        <w:rPr/>
        <w:t>Las muestras se diseñaron partiendo de la definición presentada de comunidades acreedoras y deudoras. Es decir, se seleccionaron comunidades “deudoras” que se caracterizan por recibir beneficios de servicios ecosistémicos no compensados que afectan positivamente su calidad de vida sin tener que cargar proporcionalmente con costos adicionales de la conservación de los mismos. En este caso, conforme se ha desarrollado, se trata del servicio de vista, por lo que las comunidades seleccionadas luego de una simulación de cuencas de vista mediante Google Earth y una visita de verificación, son comunidades que se encuentran fuera de la zona protectora que disfrutan de ese servicio y que se benefician evidentemente del mismo en su calidad de vida. Las comunidades “acreedoras” se seleccionan partiendo de que soportan desproporcionadamente de las cargas de la conservación y de que ello les ha prevenido</w:t>
      </w:r>
      <w:r>
        <w:rPr>
          <w:spacing w:val="-17"/>
        </w:rPr>
        <w:t> </w:t>
      </w:r>
      <w:r>
        <w:rPr/>
        <w:t>“desarrollarse”</w:t>
      </w:r>
      <w:r>
        <w:rPr>
          <w:spacing w:val="-15"/>
        </w:rPr>
        <w:t> </w:t>
      </w:r>
      <w:r>
        <w:rPr/>
        <w:t>en</w:t>
      </w:r>
      <w:r>
        <w:rPr>
          <w:spacing w:val="-17"/>
        </w:rPr>
        <w:t> </w:t>
      </w:r>
      <w:r>
        <w:rPr/>
        <w:t>su</w:t>
      </w:r>
      <w:r>
        <w:rPr>
          <w:spacing w:val="-17"/>
        </w:rPr>
        <w:t> </w:t>
      </w:r>
      <w:r>
        <w:rPr/>
        <w:t>calidad</w:t>
      </w:r>
      <w:r>
        <w:rPr>
          <w:spacing w:val="-17"/>
        </w:rPr>
        <w:t> </w:t>
      </w:r>
      <w:r>
        <w:rPr/>
        <w:t>de</w:t>
      </w:r>
      <w:r>
        <w:rPr>
          <w:spacing w:val="-16"/>
        </w:rPr>
        <w:t> </w:t>
      </w:r>
      <w:r>
        <w:rPr/>
        <w:t>vida</w:t>
      </w:r>
      <w:r>
        <w:rPr>
          <w:spacing w:val="-17"/>
        </w:rPr>
        <w:t> </w:t>
      </w:r>
      <w:r>
        <w:rPr/>
        <w:t>en</w:t>
      </w:r>
      <w:r>
        <w:rPr>
          <w:spacing w:val="-17"/>
        </w:rPr>
        <w:t> </w:t>
      </w:r>
      <w:r>
        <w:rPr/>
        <w:t>una</w:t>
      </w:r>
      <w:r>
        <w:rPr>
          <w:spacing w:val="-17"/>
        </w:rPr>
        <w:t> </w:t>
      </w:r>
      <w:r>
        <w:rPr/>
        <w:t>forma</w:t>
      </w:r>
      <w:r>
        <w:rPr>
          <w:spacing w:val="-17"/>
        </w:rPr>
        <w:t> </w:t>
      </w:r>
      <w:r>
        <w:rPr/>
        <w:t>convencional</w:t>
      </w:r>
      <w:r>
        <w:rPr>
          <w:spacing w:val="-15"/>
        </w:rPr>
        <w:t> </w:t>
      </w:r>
      <w:r>
        <w:rPr/>
        <w:t>dadas</w:t>
      </w:r>
      <w:r>
        <w:rPr>
          <w:spacing w:val="-15"/>
        </w:rPr>
        <w:t> </w:t>
      </w:r>
      <w:r>
        <w:rPr/>
        <w:t>esas limitaciones.</w:t>
      </w:r>
      <w:r>
        <w:rPr>
          <w:spacing w:val="-12"/>
        </w:rPr>
        <w:t> </w:t>
      </w:r>
      <w:r>
        <w:rPr/>
        <w:t>En</w:t>
      </w:r>
      <w:r>
        <w:rPr>
          <w:spacing w:val="-15"/>
        </w:rPr>
        <w:t> </w:t>
      </w:r>
      <w:r>
        <w:rPr/>
        <w:t>el</w:t>
      </w:r>
      <w:r>
        <w:rPr>
          <w:spacing w:val="-13"/>
        </w:rPr>
        <w:t> </w:t>
      </w:r>
      <w:r>
        <w:rPr/>
        <w:t>caso</w:t>
      </w:r>
      <w:r>
        <w:rPr>
          <w:spacing w:val="-11"/>
        </w:rPr>
        <w:t> </w:t>
      </w:r>
      <w:r>
        <w:rPr/>
        <w:t>de</w:t>
      </w:r>
      <w:r>
        <w:rPr>
          <w:spacing w:val="-14"/>
        </w:rPr>
        <w:t> </w:t>
      </w:r>
      <w:r>
        <w:rPr/>
        <w:t>la</w:t>
      </w:r>
      <w:r>
        <w:rPr>
          <w:spacing w:val="-15"/>
        </w:rPr>
        <w:t> </w:t>
      </w:r>
      <w:r>
        <w:rPr/>
        <w:t>ZPLC</w:t>
      </w:r>
      <w:r>
        <w:rPr>
          <w:spacing w:val="-13"/>
        </w:rPr>
        <w:t> </w:t>
      </w:r>
      <w:r>
        <w:rPr/>
        <w:t>conforme</w:t>
      </w:r>
      <w:r>
        <w:rPr>
          <w:spacing w:val="-14"/>
        </w:rPr>
        <w:t> </w:t>
      </w:r>
      <w:r>
        <w:rPr/>
        <w:t>se</w:t>
      </w:r>
      <w:r>
        <w:rPr>
          <w:spacing w:val="-10"/>
        </w:rPr>
        <w:t> </w:t>
      </w:r>
      <w:r>
        <w:rPr/>
        <w:t>desarrolló</w:t>
      </w:r>
      <w:r>
        <w:rPr>
          <w:spacing w:val="-15"/>
        </w:rPr>
        <w:t> </w:t>
      </w:r>
      <w:r>
        <w:rPr/>
        <w:t>arriba,</w:t>
      </w:r>
      <w:r>
        <w:rPr>
          <w:spacing w:val="-11"/>
        </w:rPr>
        <w:t> </w:t>
      </w:r>
      <w:r>
        <w:rPr/>
        <w:t>ello</w:t>
      </w:r>
      <w:r>
        <w:rPr>
          <w:spacing w:val="-15"/>
        </w:rPr>
        <w:t> </w:t>
      </w:r>
      <w:r>
        <w:rPr/>
        <w:t>se</w:t>
      </w:r>
      <w:r>
        <w:rPr>
          <w:spacing w:val="-14"/>
        </w:rPr>
        <w:t> </w:t>
      </w:r>
      <w:r>
        <w:rPr/>
        <w:t>combina</w:t>
      </w:r>
      <w:r>
        <w:rPr>
          <w:spacing w:val="-15"/>
        </w:rPr>
        <w:t> </w:t>
      </w:r>
      <w:r>
        <w:rPr/>
        <w:t>con</w:t>
      </w:r>
    </w:p>
    <w:p>
      <w:pPr>
        <w:pStyle w:val="BodyText"/>
        <w:rPr>
          <w:sz w:val="20"/>
        </w:rPr>
      </w:pPr>
    </w:p>
    <w:p>
      <w:pPr>
        <w:pStyle w:val="BodyText"/>
        <w:rPr>
          <w:sz w:val="20"/>
        </w:rPr>
      </w:pPr>
    </w:p>
    <w:p>
      <w:pPr>
        <w:pStyle w:val="BodyText"/>
        <w:rPr>
          <w:sz w:val="20"/>
        </w:rPr>
      </w:pPr>
    </w:p>
    <w:p>
      <w:pPr>
        <w:pStyle w:val="BodyText"/>
        <w:spacing w:before="1"/>
        <w:rPr>
          <w:sz w:val="11"/>
        </w:rPr>
      </w:pPr>
      <w:r>
        <w:rPr/>
        <w:pict>
          <v:rect style="position:absolute;margin-left:85.025002pt;margin-top:8.353340pt;width:144.050pt;height:.599980pt;mso-position-horizontal-relative:page;mso-position-vertical-relative:paragraph;z-index:-15691776;mso-wrap-distance-left:0;mso-wrap-distance-right:0" filled="true" fillcolor="#000000" stroked="false">
            <v:fill type="solid"/>
            <w10:wrap type="topAndBottom"/>
          </v:rect>
        </w:pict>
      </w:r>
    </w:p>
    <w:p>
      <w:pPr>
        <w:spacing w:before="71"/>
        <w:ind w:left="220" w:right="713" w:firstLine="0"/>
        <w:jc w:val="left"/>
        <w:rPr>
          <w:sz w:val="20"/>
        </w:rPr>
      </w:pPr>
      <w:r>
        <w:rPr>
          <w:sz w:val="20"/>
          <w:vertAlign w:val="superscript"/>
        </w:rPr>
        <w:t>20</w:t>
      </w:r>
      <w:r>
        <w:rPr>
          <w:sz w:val="20"/>
          <w:vertAlign w:val="baseline"/>
        </w:rPr>
        <w:t> Se refiere aquí a los conceptos de equidad y de justicia ambiental que se desarrollaron en la introducción de esta investigación.</w:t>
      </w:r>
    </w:p>
    <w:p>
      <w:pPr>
        <w:spacing w:after="0"/>
        <w:jc w:val="left"/>
        <w:rPr>
          <w:sz w:val="20"/>
        </w:rPr>
        <w:sectPr>
          <w:pgSz w:w="12240" w:h="15840"/>
          <w:pgMar w:header="0" w:footer="1062" w:top="1340" w:bottom="1260" w:left="1480" w:right="820"/>
        </w:sectPr>
      </w:pPr>
    </w:p>
    <w:p>
      <w:pPr>
        <w:pStyle w:val="BodyText"/>
        <w:spacing w:line="362" w:lineRule="auto" w:before="75"/>
        <w:ind w:left="220" w:right="646"/>
        <w:jc w:val="both"/>
      </w:pPr>
      <w:r>
        <w:rPr/>
        <w:t>una historia de injusticia ambiental. Todas están dentro o en el límite del área protegida.</w:t>
      </w:r>
    </w:p>
    <w:p>
      <w:pPr>
        <w:pStyle w:val="BodyText"/>
        <w:spacing w:line="360" w:lineRule="auto" w:before="195"/>
        <w:ind w:left="220" w:right="646"/>
        <w:jc w:val="both"/>
      </w:pPr>
      <w:r>
        <w:rPr/>
        <w:t>La Figura 25 muestra la ubicación aproximada de los grupos de comunidades. Los números que identifican la ubicación de cada comunidad corresponden con la numeración que se presenta en el Cuadro 8. El mismo presenta la lista de comunidades incluidas en cada categoría y las fechas en que se tomaron las muestras.</w:t>
      </w:r>
    </w:p>
    <w:p>
      <w:pPr>
        <w:pStyle w:val="BodyText"/>
        <w:spacing w:before="6"/>
        <w:rPr>
          <w:sz w:val="11"/>
        </w:rPr>
      </w:pPr>
      <w:r>
        <w:rPr/>
        <w:drawing>
          <wp:anchor distT="0" distB="0" distL="0" distR="0" allowOverlap="1" layoutInCell="1" locked="0" behindDoc="0" simplePos="0" relativeHeight="73">
            <wp:simplePos x="0" y="0"/>
            <wp:positionH relativeFrom="page">
              <wp:posOffset>1118235</wp:posOffset>
            </wp:positionH>
            <wp:positionV relativeFrom="paragraph">
              <wp:posOffset>109046</wp:posOffset>
            </wp:positionV>
            <wp:extent cx="5825670" cy="4162996"/>
            <wp:effectExtent l="0" t="0" r="0" b="0"/>
            <wp:wrapTopAndBottom/>
            <wp:docPr id="59" name="image55.jpeg"/>
            <wp:cNvGraphicFramePr>
              <a:graphicFrameLocks noChangeAspect="1"/>
            </wp:cNvGraphicFramePr>
            <a:graphic>
              <a:graphicData uri="http://schemas.openxmlformats.org/drawingml/2006/picture">
                <pic:pic>
                  <pic:nvPicPr>
                    <pic:cNvPr id="60" name="image55.jpeg"/>
                    <pic:cNvPicPr/>
                  </pic:nvPicPr>
                  <pic:blipFill>
                    <a:blip r:embed="rId77" cstate="print"/>
                    <a:stretch>
                      <a:fillRect/>
                    </a:stretch>
                  </pic:blipFill>
                  <pic:spPr>
                    <a:xfrm>
                      <a:off x="0" y="0"/>
                      <a:ext cx="5825670" cy="4162996"/>
                    </a:xfrm>
                    <a:prstGeom prst="rect">
                      <a:avLst/>
                    </a:prstGeom>
                  </pic:spPr>
                </pic:pic>
              </a:graphicData>
            </a:graphic>
          </wp:anchor>
        </w:drawing>
      </w:r>
    </w:p>
    <w:p>
      <w:pPr>
        <w:pStyle w:val="BodyText"/>
        <w:spacing w:before="2"/>
        <w:rPr>
          <w:sz w:val="25"/>
        </w:rPr>
      </w:pPr>
    </w:p>
    <w:p>
      <w:pPr>
        <w:spacing w:before="0"/>
        <w:ind w:left="3193" w:right="713" w:hanging="2569"/>
        <w:jc w:val="left"/>
        <w:rPr>
          <w:i/>
          <w:sz w:val="20"/>
        </w:rPr>
      </w:pPr>
      <w:r>
        <w:rPr>
          <w:i/>
          <w:sz w:val="20"/>
        </w:rPr>
        <w:t>Figura 25 - Mapa Presentando la Definición Inicial de Comunidades Incluidas en las Muestras de </w:t>
      </w:r>
      <w:r>
        <w:rPr>
          <w:i/>
          <w:sz w:val="20"/>
        </w:rPr>
        <w:t>Comunidades Deudoras y Acreedoras.</w:t>
      </w:r>
    </w:p>
    <w:p>
      <w:pPr>
        <w:spacing w:before="56"/>
        <w:ind w:left="220" w:right="0" w:firstLine="0"/>
        <w:jc w:val="both"/>
        <w:rPr>
          <w:i/>
          <w:sz w:val="20"/>
        </w:rPr>
      </w:pPr>
      <w:r>
        <w:rPr>
          <w:i/>
          <w:sz w:val="20"/>
        </w:rPr>
        <w:t>Fuente: Elaboración propia con base en mapa de Comisión Interinstitucional para la ZPLC (2012).</w:t>
      </w:r>
    </w:p>
    <w:p>
      <w:pPr>
        <w:spacing w:after="0"/>
        <w:jc w:val="both"/>
        <w:rPr>
          <w:sz w:val="20"/>
        </w:rPr>
        <w:sectPr>
          <w:pgSz w:w="12240" w:h="15840"/>
          <w:pgMar w:header="0" w:footer="1062" w:top="1340" w:bottom="1260" w:left="1480" w:right="820"/>
        </w:sectPr>
      </w:pPr>
    </w:p>
    <w:p>
      <w:pPr>
        <w:pStyle w:val="BodyText"/>
        <w:spacing w:before="9"/>
        <w:rPr>
          <w:i/>
          <w:sz w:val="21"/>
        </w:rPr>
      </w:pPr>
    </w:p>
    <w:p>
      <w:pPr>
        <w:spacing w:before="94"/>
        <w:ind w:left="237" w:right="663" w:firstLine="0"/>
        <w:jc w:val="center"/>
        <w:rPr>
          <w:i/>
          <w:sz w:val="20"/>
        </w:rPr>
      </w:pPr>
      <w:bookmarkStart w:name="_bookmark31" w:id="43"/>
      <w:bookmarkEnd w:id="43"/>
      <w:r>
        <w:rPr/>
      </w:r>
      <w:r>
        <w:rPr>
          <w:i/>
          <w:sz w:val="20"/>
        </w:rPr>
        <w:t>Cuadro 8- Lista de Comunidades que Conforman las Muestras de Deudoras y Acreedoras y Fechas </w:t>
      </w:r>
      <w:r>
        <w:rPr>
          <w:i/>
          <w:sz w:val="20"/>
        </w:rPr>
        <w:t>de Toma de Muestras.</w:t>
      </w:r>
    </w:p>
    <w:p>
      <w:pPr>
        <w:spacing w:before="0"/>
        <w:ind w:left="237" w:right="663" w:firstLine="0"/>
        <w:jc w:val="center"/>
        <w:rPr>
          <w:i/>
          <w:sz w:val="20"/>
        </w:rPr>
      </w:pPr>
      <w:r>
        <w:rPr>
          <w:i/>
          <w:sz w:val="20"/>
        </w:rPr>
        <w:t>Fuente: Elaboración Propia.</w:t>
      </w:r>
    </w:p>
    <w:p>
      <w:pPr>
        <w:pStyle w:val="BodyText"/>
        <w:spacing w:before="7"/>
        <w:rPr>
          <w:i/>
          <w:sz w:val="27"/>
        </w:rPr>
      </w:pPr>
    </w:p>
    <w:tbl>
      <w:tblPr>
        <w:tblW w:w="0" w:type="auto"/>
        <w:jc w:val="left"/>
        <w:tblInd w:w="23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452"/>
        <w:gridCol w:w="2037"/>
        <w:gridCol w:w="2036"/>
        <w:gridCol w:w="528"/>
        <w:gridCol w:w="2005"/>
        <w:gridCol w:w="2009"/>
      </w:tblGrid>
      <w:tr>
        <w:trPr>
          <w:trHeight w:val="622" w:hRule="atLeast"/>
        </w:trPr>
        <w:tc>
          <w:tcPr>
            <w:tcW w:w="452" w:type="dxa"/>
            <w:tcBorders>
              <w:bottom w:val="single" w:sz="12" w:space="0" w:color="666666"/>
            </w:tcBorders>
          </w:tcPr>
          <w:p>
            <w:pPr>
              <w:pStyle w:val="TableParagraph"/>
              <w:spacing w:line="201" w:lineRule="exact" w:before="0"/>
              <w:ind w:left="65" w:right="114"/>
              <w:jc w:val="center"/>
              <w:rPr>
                <w:b/>
                <w:sz w:val="18"/>
              </w:rPr>
            </w:pPr>
            <w:r>
              <w:rPr>
                <w:b/>
                <w:sz w:val="18"/>
              </w:rPr>
              <w:t>N.</w:t>
            </w:r>
          </w:p>
        </w:tc>
        <w:tc>
          <w:tcPr>
            <w:tcW w:w="2037" w:type="dxa"/>
            <w:tcBorders>
              <w:bottom w:val="single" w:sz="12" w:space="0" w:color="666666"/>
            </w:tcBorders>
          </w:tcPr>
          <w:p>
            <w:pPr>
              <w:pStyle w:val="TableParagraph"/>
              <w:spacing w:line="201" w:lineRule="exact" w:before="0"/>
              <w:ind w:left="107"/>
              <w:jc w:val="left"/>
              <w:rPr>
                <w:b/>
                <w:sz w:val="18"/>
              </w:rPr>
            </w:pPr>
            <w:r>
              <w:rPr>
                <w:b/>
                <w:sz w:val="18"/>
              </w:rPr>
              <w:t>Comunidades</w:t>
            </w:r>
          </w:p>
          <w:p>
            <w:pPr>
              <w:pStyle w:val="TableParagraph"/>
              <w:spacing w:line="240" w:lineRule="auto" w:before="105"/>
              <w:ind w:left="107"/>
              <w:jc w:val="left"/>
              <w:rPr>
                <w:b/>
                <w:sz w:val="18"/>
              </w:rPr>
            </w:pPr>
            <w:r>
              <w:rPr>
                <w:b/>
                <w:sz w:val="18"/>
              </w:rPr>
              <w:t>Deudoras</w:t>
            </w:r>
          </w:p>
        </w:tc>
        <w:tc>
          <w:tcPr>
            <w:tcW w:w="2036" w:type="dxa"/>
            <w:tcBorders>
              <w:bottom w:val="single" w:sz="12" w:space="0" w:color="666666"/>
            </w:tcBorders>
          </w:tcPr>
          <w:p>
            <w:pPr>
              <w:pStyle w:val="TableParagraph"/>
              <w:spacing w:line="201" w:lineRule="exact" w:before="0"/>
              <w:ind w:right="99"/>
              <w:rPr>
                <w:b/>
                <w:sz w:val="18"/>
              </w:rPr>
            </w:pPr>
            <w:r>
              <w:rPr>
                <w:b/>
                <w:sz w:val="18"/>
              </w:rPr>
              <w:t>Fecha de Muestreo</w:t>
            </w:r>
          </w:p>
        </w:tc>
        <w:tc>
          <w:tcPr>
            <w:tcW w:w="528" w:type="dxa"/>
            <w:tcBorders>
              <w:bottom w:val="single" w:sz="12" w:space="0" w:color="666666"/>
            </w:tcBorders>
          </w:tcPr>
          <w:p>
            <w:pPr>
              <w:pStyle w:val="TableParagraph"/>
              <w:spacing w:line="201" w:lineRule="exact" w:before="0"/>
              <w:ind w:left="107"/>
              <w:jc w:val="left"/>
              <w:rPr>
                <w:b/>
                <w:sz w:val="18"/>
              </w:rPr>
            </w:pPr>
            <w:r>
              <w:rPr>
                <w:b/>
                <w:sz w:val="18"/>
              </w:rPr>
              <w:t>N.</w:t>
            </w:r>
          </w:p>
        </w:tc>
        <w:tc>
          <w:tcPr>
            <w:tcW w:w="2005" w:type="dxa"/>
            <w:tcBorders>
              <w:bottom w:val="single" w:sz="12" w:space="0" w:color="666666"/>
            </w:tcBorders>
          </w:tcPr>
          <w:p>
            <w:pPr>
              <w:pStyle w:val="TableParagraph"/>
              <w:spacing w:line="201" w:lineRule="exact" w:before="0"/>
              <w:ind w:left="107"/>
              <w:jc w:val="left"/>
              <w:rPr>
                <w:b/>
                <w:sz w:val="18"/>
              </w:rPr>
            </w:pPr>
            <w:r>
              <w:rPr>
                <w:b/>
                <w:sz w:val="18"/>
              </w:rPr>
              <w:t>Comunidades</w:t>
            </w:r>
          </w:p>
          <w:p>
            <w:pPr>
              <w:pStyle w:val="TableParagraph"/>
              <w:spacing w:line="240" w:lineRule="auto" w:before="105"/>
              <w:ind w:left="107"/>
              <w:jc w:val="left"/>
              <w:rPr>
                <w:b/>
                <w:sz w:val="18"/>
              </w:rPr>
            </w:pPr>
            <w:r>
              <w:rPr>
                <w:b/>
                <w:sz w:val="18"/>
              </w:rPr>
              <w:t>Acreedoras</w:t>
            </w:r>
          </w:p>
        </w:tc>
        <w:tc>
          <w:tcPr>
            <w:tcW w:w="2009" w:type="dxa"/>
            <w:tcBorders>
              <w:bottom w:val="single" w:sz="12" w:space="0" w:color="666666"/>
            </w:tcBorders>
          </w:tcPr>
          <w:p>
            <w:pPr>
              <w:pStyle w:val="TableParagraph"/>
              <w:spacing w:line="201" w:lineRule="exact" w:before="0"/>
              <w:ind w:right="96"/>
              <w:rPr>
                <w:b/>
                <w:sz w:val="18"/>
              </w:rPr>
            </w:pPr>
            <w:r>
              <w:rPr>
                <w:b/>
                <w:sz w:val="18"/>
              </w:rPr>
              <w:t>Fecha de Muestreo</w:t>
            </w:r>
          </w:p>
        </w:tc>
      </w:tr>
      <w:tr>
        <w:trPr>
          <w:trHeight w:val="618" w:hRule="atLeast"/>
        </w:trPr>
        <w:tc>
          <w:tcPr>
            <w:tcW w:w="452" w:type="dxa"/>
            <w:tcBorders>
              <w:top w:val="single" w:sz="12" w:space="0" w:color="666666"/>
            </w:tcBorders>
            <w:shd w:val="clear" w:color="auto" w:fill="CCCCCC"/>
          </w:tcPr>
          <w:p>
            <w:pPr>
              <w:pStyle w:val="TableParagraph"/>
              <w:spacing w:line="201" w:lineRule="exact" w:before="0"/>
              <w:ind w:right="125"/>
              <w:jc w:val="center"/>
              <w:rPr>
                <w:b/>
                <w:sz w:val="18"/>
              </w:rPr>
            </w:pPr>
            <w:r>
              <w:rPr>
                <w:b/>
                <w:w w:val="99"/>
                <w:sz w:val="18"/>
              </w:rPr>
              <w:t>1</w:t>
            </w:r>
          </w:p>
        </w:tc>
        <w:tc>
          <w:tcPr>
            <w:tcW w:w="2037" w:type="dxa"/>
            <w:tcBorders>
              <w:top w:val="single" w:sz="12" w:space="0" w:color="666666"/>
            </w:tcBorders>
            <w:shd w:val="clear" w:color="auto" w:fill="CCCCCC"/>
          </w:tcPr>
          <w:p>
            <w:pPr>
              <w:pStyle w:val="TableParagraph"/>
              <w:spacing w:line="205" w:lineRule="exact" w:before="0"/>
              <w:ind w:left="107"/>
              <w:jc w:val="left"/>
              <w:rPr>
                <w:sz w:val="18"/>
              </w:rPr>
            </w:pPr>
            <w:r>
              <w:rPr>
                <w:sz w:val="18"/>
              </w:rPr>
              <w:t>La Lía, Lomas del Sol,</w:t>
            </w:r>
          </w:p>
          <w:p>
            <w:pPr>
              <w:pStyle w:val="TableParagraph"/>
              <w:spacing w:line="240" w:lineRule="auto" w:before="105"/>
              <w:ind w:left="107"/>
              <w:jc w:val="left"/>
              <w:rPr>
                <w:sz w:val="18"/>
              </w:rPr>
            </w:pPr>
            <w:r>
              <w:rPr>
                <w:sz w:val="18"/>
              </w:rPr>
              <w:t>Ayarco</w:t>
            </w:r>
          </w:p>
        </w:tc>
        <w:tc>
          <w:tcPr>
            <w:tcW w:w="2036" w:type="dxa"/>
            <w:tcBorders>
              <w:top w:val="single" w:sz="12" w:space="0" w:color="666666"/>
            </w:tcBorders>
            <w:shd w:val="clear" w:color="auto" w:fill="CCCCCC"/>
          </w:tcPr>
          <w:p>
            <w:pPr>
              <w:pStyle w:val="TableParagraph"/>
              <w:spacing w:line="205" w:lineRule="exact" w:before="0"/>
              <w:ind w:right="92"/>
              <w:rPr>
                <w:sz w:val="18"/>
              </w:rPr>
            </w:pPr>
            <w:r>
              <w:rPr>
                <w:sz w:val="18"/>
              </w:rPr>
              <w:t>26/03/2011</w:t>
            </w:r>
          </w:p>
        </w:tc>
        <w:tc>
          <w:tcPr>
            <w:tcW w:w="528" w:type="dxa"/>
            <w:tcBorders>
              <w:top w:val="single" w:sz="12" w:space="0" w:color="666666"/>
            </w:tcBorders>
            <w:shd w:val="clear" w:color="auto" w:fill="CCCCCC"/>
          </w:tcPr>
          <w:p>
            <w:pPr>
              <w:pStyle w:val="TableParagraph"/>
              <w:spacing w:line="201" w:lineRule="exact" w:before="0"/>
              <w:ind w:left="107"/>
              <w:jc w:val="left"/>
              <w:rPr>
                <w:b/>
                <w:sz w:val="18"/>
              </w:rPr>
            </w:pPr>
            <w:r>
              <w:rPr>
                <w:b/>
                <w:w w:val="99"/>
                <w:sz w:val="18"/>
              </w:rPr>
              <w:t>1</w:t>
            </w:r>
          </w:p>
        </w:tc>
        <w:tc>
          <w:tcPr>
            <w:tcW w:w="2005" w:type="dxa"/>
            <w:tcBorders>
              <w:top w:val="single" w:sz="12" w:space="0" w:color="666666"/>
            </w:tcBorders>
            <w:shd w:val="clear" w:color="auto" w:fill="CCCCCC"/>
          </w:tcPr>
          <w:p>
            <w:pPr>
              <w:pStyle w:val="TableParagraph"/>
              <w:spacing w:line="205" w:lineRule="exact" w:before="0"/>
              <w:ind w:left="107"/>
              <w:jc w:val="left"/>
              <w:rPr>
                <w:sz w:val="18"/>
              </w:rPr>
            </w:pPr>
            <w:r>
              <w:rPr>
                <w:sz w:val="18"/>
              </w:rPr>
              <w:t>IMAS-Sta Teresita-</w:t>
            </w:r>
          </w:p>
          <w:p>
            <w:pPr>
              <w:pStyle w:val="TableParagraph"/>
              <w:spacing w:line="240" w:lineRule="auto" w:before="105"/>
              <w:ind w:left="107"/>
              <w:jc w:val="left"/>
              <w:rPr>
                <w:sz w:val="18"/>
              </w:rPr>
            </w:pPr>
            <w:r>
              <w:rPr>
                <w:sz w:val="18"/>
              </w:rPr>
              <w:t>Tirrases</w:t>
            </w:r>
          </w:p>
        </w:tc>
        <w:tc>
          <w:tcPr>
            <w:tcW w:w="2009" w:type="dxa"/>
            <w:tcBorders>
              <w:top w:val="single" w:sz="12" w:space="0" w:color="666666"/>
            </w:tcBorders>
            <w:shd w:val="clear" w:color="auto" w:fill="CCCCCC"/>
          </w:tcPr>
          <w:p>
            <w:pPr>
              <w:pStyle w:val="TableParagraph"/>
              <w:spacing w:line="205" w:lineRule="exact" w:before="0"/>
              <w:ind w:right="89"/>
              <w:rPr>
                <w:sz w:val="18"/>
              </w:rPr>
            </w:pPr>
            <w:r>
              <w:rPr>
                <w:sz w:val="18"/>
              </w:rPr>
              <w:t>10/12/2011</w:t>
            </w:r>
          </w:p>
        </w:tc>
      </w:tr>
      <w:tr>
        <w:trPr>
          <w:trHeight w:val="314" w:hRule="atLeast"/>
        </w:trPr>
        <w:tc>
          <w:tcPr>
            <w:tcW w:w="452" w:type="dxa"/>
          </w:tcPr>
          <w:p>
            <w:pPr>
              <w:pStyle w:val="TableParagraph"/>
              <w:spacing w:line="205" w:lineRule="exact" w:before="0"/>
              <w:ind w:right="125"/>
              <w:jc w:val="center"/>
              <w:rPr>
                <w:b/>
                <w:sz w:val="18"/>
              </w:rPr>
            </w:pPr>
            <w:r>
              <w:rPr>
                <w:b/>
                <w:w w:val="99"/>
                <w:sz w:val="18"/>
              </w:rPr>
              <w:t>2</w:t>
            </w:r>
          </w:p>
        </w:tc>
        <w:tc>
          <w:tcPr>
            <w:tcW w:w="2037" w:type="dxa"/>
          </w:tcPr>
          <w:p>
            <w:pPr>
              <w:pStyle w:val="TableParagraph"/>
              <w:spacing w:line="240" w:lineRule="auto" w:before="2"/>
              <w:ind w:left="107"/>
              <w:jc w:val="left"/>
              <w:rPr>
                <w:sz w:val="18"/>
              </w:rPr>
            </w:pPr>
            <w:r>
              <w:rPr>
                <w:sz w:val="18"/>
              </w:rPr>
              <w:t>Pinares</w:t>
            </w:r>
          </w:p>
        </w:tc>
        <w:tc>
          <w:tcPr>
            <w:tcW w:w="2036" w:type="dxa"/>
          </w:tcPr>
          <w:p>
            <w:pPr>
              <w:pStyle w:val="TableParagraph"/>
              <w:spacing w:line="240" w:lineRule="auto" w:before="2"/>
              <w:ind w:right="92"/>
              <w:rPr>
                <w:sz w:val="18"/>
              </w:rPr>
            </w:pPr>
            <w:r>
              <w:rPr>
                <w:sz w:val="18"/>
              </w:rPr>
              <w:t>07/12/2010</w:t>
            </w:r>
          </w:p>
        </w:tc>
        <w:tc>
          <w:tcPr>
            <w:tcW w:w="528" w:type="dxa"/>
          </w:tcPr>
          <w:p>
            <w:pPr>
              <w:pStyle w:val="TableParagraph"/>
              <w:spacing w:line="240" w:lineRule="auto" w:before="0"/>
              <w:jc w:val="left"/>
              <w:rPr>
                <w:rFonts w:ascii="Times New Roman"/>
                <w:sz w:val="20"/>
              </w:rPr>
            </w:pPr>
          </w:p>
        </w:tc>
        <w:tc>
          <w:tcPr>
            <w:tcW w:w="2005" w:type="dxa"/>
          </w:tcPr>
          <w:p>
            <w:pPr>
              <w:pStyle w:val="TableParagraph"/>
              <w:spacing w:line="240" w:lineRule="auto" w:before="0"/>
              <w:jc w:val="left"/>
              <w:rPr>
                <w:rFonts w:ascii="Times New Roman"/>
                <w:sz w:val="20"/>
              </w:rPr>
            </w:pPr>
          </w:p>
        </w:tc>
        <w:tc>
          <w:tcPr>
            <w:tcW w:w="2009" w:type="dxa"/>
          </w:tcPr>
          <w:p>
            <w:pPr>
              <w:pStyle w:val="TableParagraph"/>
              <w:spacing w:line="240" w:lineRule="auto" w:before="2"/>
              <w:ind w:right="89"/>
              <w:rPr>
                <w:sz w:val="18"/>
              </w:rPr>
            </w:pPr>
            <w:r>
              <w:rPr>
                <w:sz w:val="18"/>
              </w:rPr>
              <w:t>21/01/2012</w:t>
            </w:r>
          </w:p>
        </w:tc>
      </w:tr>
      <w:tr>
        <w:trPr>
          <w:trHeight w:val="310" w:hRule="atLeast"/>
        </w:trPr>
        <w:tc>
          <w:tcPr>
            <w:tcW w:w="452" w:type="dxa"/>
            <w:shd w:val="clear" w:color="auto" w:fill="CCCCCC"/>
          </w:tcPr>
          <w:p>
            <w:pPr>
              <w:pStyle w:val="TableParagraph"/>
              <w:spacing w:line="201" w:lineRule="exact" w:before="0"/>
              <w:ind w:right="125"/>
              <w:jc w:val="center"/>
              <w:rPr>
                <w:b/>
                <w:sz w:val="18"/>
              </w:rPr>
            </w:pPr>
            <w:r>
              <w:rPr>
                <w:b/>
                <w:w w:val="99"/>
                <w:sz w:val="18"/>
              </w:rPr>
              <w:t>3</w:t>
            </w:r>
          </w:p>
        </w:tc>
        <w:tc>
          <w:tcPr>
            <w:tcW w:w="2037" w:type="dxa"/>
            <w:shd w:val="clear" w:color="auto" w:fill="CCCCCC"/>
          </w:tcPr>
          <w:p>
            <w:pPr>
              <w:pStyle w:val="TableParagraph"/>
              <w:spacing w:line="205" w:lineRule="exact" w:before="0"/>
              <w:ind w:left="107"/>
              <w:jc w:val="left"/>
              <w:rPr>
                <w:sz w:val="18"/>
              </w:rPr>
            </w:pPr>
            <w:r>
              <w:rPr>
                <w:sz w:val="18"/>
              </w:rPr>
              <w:t>Freses</w:t>
            </w:r>
          </w:p>
        </w:tc>
        <w:tc>
          <w:tcPr>
            <w:tcW w:w="2036" w:type="dxa"/>
            <w:shd w:val="clear" w:color="auto" w:fill="CCCCCC"/>
          </w:tcPr>
          <w:p>
            <w:pPr>
              <w:pStyle w:val="TableParagraph"/>
              <w:spacing w:line="205" w:lineRule="exact" w:before="0"/>
              <w:ind w:right="92"/>
              <w:rPr>
                <w:sz w:val="18"/>
              </w:rPr>
            </w:pPr>
            <w:r>
              <w:rPr>
                <w:sz w:val="18"/>
              </w:rPr>
              <w:t>02/07/2011</w:t>
            </w:r>
          </w:p>
        </w:tc>
        <w:tc>
          <w:tcPr>
            <w:tcW w:w="528" w:type="dxa"/>
            <w:shd w:val="clear" w:color="auto" w:fill="CCCCCC"/>
          </w:tcPr>
          <w:p>
            <w:pPr>
              <w:pStyle w:val="TableParagraph"/>
              <w:spacing w:line="240" w:lineRule="auto" w:before="0"/>
              <w:jc w:val="left"/>
              <w:rPr>
                <w:rFonts w:ascii="Times New Roman"/>
                <w:sz w:val="20"/>
              </w:rPr>
            </w:pPr>
          </w:p>
        </w:tc>
        <w:tc>
          <w:tcPr>
            <w:tcW w:w="2005" w:type="dxa"/>
            <w:shd w:val="clear" w:color="auto" w:fill="CCCCCC"/>
          </w:tcPr>
          <w:p>
            <w:pPr>
              <w:pStyle w:val="TableParagraph"/>
              <w:spacing w:line="240" w:lineRule="auto" w:before="0"/>
              <w:jc w:val="left"/>
              <w:rPr>
                <w:rFonts w:ascii="Times New Roman"/>
                <w:sz w:val="20"/>
              </w:rPr>
            </w:pPr>
          </w:p>
        </w:tc>
        <w:tc>
          <w:tcPr>
            <w:tcW w:w="2009" w:type="dxa"/>
            <w:shd w:val="clear" w:color="auto" w:fill="CCCCCC"/>
          </w:tcPr>
          <w:p>
            <w:pPr>
              <w:pStyle w:val="TableParagraph"/>
              <w:spacing w:line="205" w:lineRule="exact" w:before="0"/>
              <w:ind w:right="89"/>
              <w:rPr>
                <w:sz w:val="18"/>
              </w:rPr>
            </w:pPr>
            <w:r>
              <w:rPr>
                <w:sz w:val="18"/>
              </w:rPr>
              <w:t>28/04/2012</w:t>
            </w:r>
          </w:p>
        </w:tc>
      </w:tr>
      <w:tr>
        <w:trPr>
          <w:trHeight w:val="310" w:hRule="atLeast"/>
        </w:trPr>
        <w:tc>
          <w:tcPr>
            <w:tcW w:w="452" w:type="dxa"/>
          </w:tcPr>
          <w:p>
            <w:pPr>
              <w:pStyle w:val="TableParagraph"/>
              <w:spacing w:line="201" w:lineRule="exact" w:before="0"/>
              <w:ind w:right="125"/>
              <w:jc w:val="center"/>
              <w:rPr>
                <w:b/>
                <w:sz w:val="18"/>
              </w:rPr>
            </w:pPr>
            <w:r>
              <w:rPr>
                <w:b/>
                <w:w w:val="99"/>
                <w:sz w:val="18"/>
              </w:rPr>
              <w:t>4</w:t>
            </w:r>
          </w:p>
        </w:tc>
        <w:tc>
          <w:tcPr>
            <w:tcW w:w="2037" w:type="dxa"/>
          </w:tcPr>
          <w:p>
            <w:pPr>
              <w:pStyle w:val="TableParagraph"/>
              <w:spacing w:line="205" w:lineRule="exact" w:before="0"/>
              <w:ind w:left="107"/>
              <w:jc w:val="left"/>
              <w:rPr>
                <w:sz w:val="18"/>
              </w:rPr>
            </w:pPr>
            <w:r>
              <w:rPr>
                <w:sz w:val="18"/>
              </w:rPr>
              <w:t>Patarrá</w:t>
            </w:r>
          </w:p>
        </w:tc>
        <w:tc>
          <w:tcPr>
            <w:tcW w:w="2036" w:type="dxa"/>
          </w:tcPr>
          <w:p>
            <w:pPr>
              <w:pStyle w:val="TableParagraph"/>
              <w:spacing w:line="205" w:lineRule="exact" w:before="0"/>
              <w:ind w:right="92"/>
              <w:rPr>
                <w:sz w:val="18"/>
              </w:rPr>
            </w:pPr>
            <w:r>
              <w:rPr>
                <w:sz w:val="18"/>
              </w:rPr>
              <w:t>02/07/2011</w:t>
            </w:r>
          </w:p>
        </w:tc>
        <w:tc>
          <w:tcPr>
            <w:tcW w:w="528" w:type="dxa"/>
          </w:tcPr>
          <w:p>
            <w:pPr>
              <w:pStyle w:val="TableParagraph"/>
              <w:spacing w:line="201" w:lineRule="exact" w:before="0"/>
              <w:ind w:left="107"/>
              <w:jc w:val="left"/>
              <w:rPr>
                <w:b/>
                <w:sz w:val="18"/>
              </w:rPr>
            </w:pPr>
            <w:r>
              <w:rPr>
                <w:b/>
                <w:w w:val="99"/>
                <w:sz w:val="18"/>
              </w:rPr>
              <w:t>2</w:t>
            </w:r>
          </w:p>
        </w:tc>
        <w:tc>
          <w:tcPr>
            <w:tcW w:w="2005" w:type="dxa"/>
          </w:tcPr>
          <w:p>
            <w:pPr>
              <w:pStyle w:val="TableParagraph"/>
              <w:spacing w:line="205" w:lineRule="exact" w:before="0"/>
              <w:ind w:left="107"/>
              <w:jc w:val="left"/>
              <w:rPr>
                <w:sz w:val="18"/>
              </w:rPr>
            </w:pPr>
            <w:r>
              <w:rPr>
                <w:sz w:val="18"/>
              </w:rPr>
              <w:t>Linda Vista</w:t>
            </w:r>
          </w:p>
        </w:tc>
        <w:tc>
          <w:tcPr>
            <w:tcW w:w="2009" w:type="dxa"/>
          </w:tcPr>
          <w:p>
            <w:pPr>
              <w:pStyle w:val="TableParagraph"/>
              <w:spacing w:line="205" w:lineRule="exact" w:before="0"/>
              <w:ind w:right="89"/>
              <w:rPr>
                <w:sz w:val="18"/>
              </w:rPr>
            </w:pPr>
            <w:r>
              <w:rPr>
                <w:sz w:val="18"/>
              </w:rPr>
              <w:t>04/12/2010</w:t>
            </w:r>
          </w:p>
        </w:tc>
      </w:tr>
      <w:tr>
        <w:trPr>
          <w:trHeight w:val="622" w:hRule="atLeast"/>
        </w:trPr>
        <w:tc>
          <w:tcPr>
            <w:tcW w:w="452" w:type="dxa"/>
            <w:shd w:val="clear" w:color="auto" w:fill="CCCCCC"/>
          </w:tcPr>
          <w:p>
            <w:pPr>
              <w:pStyle w:val="TableParagraph"/>
              <w:spacing w:line="202" w:lineRule="exact" w:before="0"/>
              <w:ind w:right="125"/>
              <w:jc w:val="center"/>
              <w:rPr>
                <w:b/>
                <w:sz w:val="18"/>
              </w:rPr>
            </w:pPr>
            <w:r>
              <w:rPr>
                <w:b/>
                <w:w w:val="99"/>
                <w:sz w:val="18"/>
              </w:rPr>
              <w:t>5</w:t>
            </w:r>
          </w:p>
        </w:tc>
        <w:tc>
          <w:tcPr>
            <w:tcW w:w="2037" w:type="dxa"/>
            <w:shd w:val="clear" w:color="auto" w:fill="CCCCCC"/>
          </w:tcPr>
          <w:p>
            <w:pPr>
              <w:pStyle w:val="TableParagraph"/>
              <w:spacing w:line="206" w:lineRule="exact" w:before="0"/>
              <w:ind w:left="107"/>
              <w:jc w:val="left"/>
              <w:rPr>
                <w:sz w:val="18"/>
              </w:rPr>
            </w:pPr>
            <w:r>
              <w:rPr>
                <w:sz w:val="18"/>
              </w:rPr>
              <w:t>Los Guayabos</w:t>
            </w:r>
          </w:p>
        </w:tc>
        <w:tc>
          <w:tcPr>
            <w:tcW w:w="2036" w:type="dxa"/>
            <w:shd w:val="clear" w:color="auto" w:fill="CCCCCC"/>
          </w:tcPr>
          <w:p>
            <w:pPr>
              <w:pStyle w:val="TableParagraph"/>
              <w:spacing w:line="206" w:lineRule="exact" w:before="0"/>
              <w:ind w:right="92"/>
              <w:rPr>
                <w:sz w:val="18"/>
              </w:rPr>
            </w:pPr>
            <w:r>
              <w:rPr>
                <w:sz w:val="18"/>
              </w:rPr>
              <w:t>27/08/2011</w:t>
            </w:r>
          </w:p>
        </w:tc>
        <w:tc>
          <w:tcPr>
            <w:tcW w:w="528" w:type="dxa"/>
            <w:shd w:val="clear" w:color="auto" w:fill="CCCCCC"/>
          </w:tcPr>
          <w:p>
            <w:pPr>
              <w:pStyle w:val="TableParagraph"/>
              <w:spacing w:line="202" w:lineRule="exact" w:before="0"/>
              <w:ind w:left="107"/>
              <w:jc w:val="left"/>
              <w:rPr>
                <w:b/>
                <w:sz w:val="18"/>
              </w:rPr>
            </w:pPr>
            <w:r>
              <w:rPr>
                <w:b/>
                <w:w w:val="99"/>
                <w:sz w:val="18"/>
              </w:rPr>
              <w:t>3</w:t>
            </w:r>
          </w:p>
        </w:tc>
        <w:tc>
          <w:tcPr>
            <w:tcW w:w="2005" w:type="dxa"/>
            <w:shd w:val="clear" w:color="auto" w:fill="CCCCCC"/>
          </w:tcPr>
          <w:p>
            <w:pPr>
              <w:pStyle w:val="TableParagraph"/>
              <w:spacing w:line="206" w:lineRule="exact" w:before="0"/>
              <w:ind w:left="107"/>
              <w:jc w:val="left"/>
              <w:rPr>
                <w:sz w:val="18"/>
              </w:rPr>
            </w:pPr>
            <w:r>
              <w:rPr>
                <w:sz w:val="18"/>
              </w:rPr>
              <w:t>B Los Angeles de</w:t>
            </w:r>
          </w:p>
          <w:p>
            <w:pPr>
              <w:pStyle w:val="TableParagraph"/>
              <w:spacing w:line="240" w:lineRule="auto" w:before="105"/>
              <w:ind w:left="107"/>
              <w:jc w:val="left"/>
              <w:rPr>
                <w:sz w:val="18"/>
              </w:rPr>
            </w:pPr>
            <w:r>
              <w:rPr>
                <w:sz w:val="18"/>
              </w:rPr>
              <w:t>Patarrá</w:t>
            </w:r>
          </w:p>
        </w:tc>
        <w:tc>
          <w:tcPr>
            <w:tcW w:w="2009" w:type="dxa"/>
            <w:shd w:val="clear" w:color="auto" w:fill="CCCCCC"/>
          </w:tcPr>
          <w:p>
            <w:pPr>
              <w:pStyle w:val="TableParagraph"/>
              <w:spacing w:line="206" w:lineRule="exact" w:before="0"/>
              <w:ind w:right="89"/>
              <w:rPr>
                <w:sz w:val="18"/>
              </w:rPr>
            </w:pPr>
            <w:r>
              <w:rPr>
                <w:sz w:val="18"/>
              </w:rPr>
              <w:t>27/08/2011</w:t>
            </w:r>
          </w:p>
        </w:tc>
      </w:tr>
      <w:tr>
        <w:trPr>
          <w:trHeight w:val="617" w:hRule="atLeast"/>
        </w:trPr>
        <w:tc>
          <w:tcPr>
            <w:tcW w:w="452" w:type="dxa"/>
          </w:tcPr>
          <w:p>
            <w:pPr>
              <w:pStyle w:val="TableParagraph"/>
              <w:spacing w:line="201" w:lineRule="exact" w:before="0"/>
              <w:ind w:right="125"/>
              <w:jc w:val="center"/>
              <w:rPr>
                <w:b/>
                <w:sz w:val="18"/>
              </w:rPr>
            </w:pPr>
            <w:r>
              <w:rPr>
                <w:b/>
                <w:w w:val="99"/>
                <w:sz w:val="18"/>
              </w:rPr>
              <w:t>6</w:t>
            </w:r>
          </w:p>
        </w:tc>
        <w:tc>
          <w:tcPr>
            <w:tcW w:w="2037" w:type="dxa"/>
          </w:tcPr>
          <w:p>
            <w:pPr>
              <w:pStyle w:val="TableParagraph"/>
              <w:spacing w:line="205" w:lineRule="exact" w:before="0"/>
              <w:ind w:left="107"/>
              <w:jc w:val="left"/>
              <w:rPr>
                <w:sz w:val="18"/>
              </w:rPr>
            </w:pPr>
            <w:r>
              <w:rPr>
                <w:sz w:val="18"/>
              </w:rPr>
              <w:t>Ayarco Sur</w:t>
            </w:r>
          </w:p>
        </w:tc>
        <w:tc>
          <w:tcPr>
            <w:tcW w:w="2036" w:type="dxa"/>
          </w:tcPr>
          <w:p>
            <w:pPr>
              <w:pStyle w:val="TableParagraph"/>
              <w:spacing w:line="205" w:lineRule="exact" w:before="0"/>
              <w:ind w:right="92"/>
              <w:rPr>
                <w:sz w:val="18"/>
              </w:rPr>
            </w:pPr>
            <w:r>
              <w:rPr>
                <w:sz w:val="18"/>
              </w:rPr>
              <w:t>24/09/2011</w:t>
            </w:r>
          </w:p>
        </w:tc>
        <w:tc>
          <w:tcPr>
            <w:tcW w:w="528" w:type="dxa"/>
          </w:tcPr>
          <w:p>
            <w:pPr>
              <w:pStyle w:val="TableParagraph"/>
              <w:spacing w:line="201" w:lineRule="exact" w:before="0"/>
              <w:ind w:left="107"/>
              <w:jc w:val="left"/>
              <w:rPr>
                <w:b/>
                <w:sz w:val="18"/>
              </w:rPr>
            </w:pPr>
            <w:r>
              <w:rPr>
                <w:b/>
                <w:w w:val="99"/>
                <w:sz w:val="18"/>
              </w:rPr>
              <w:t>4</w:t>
            </w:r>
          </w:p>
        </w:tc>
        <w:tc>
          <w:tcPr>
            <w:tcW w:w="2005" w:type="dxa"/>
          </w:tcPr>
          <w:p>
            <w:pPr>
              <w:pStyle w:val="TableParagraph"/>
              <w:spacing w:line="205" w:lineRule="exact" w:before="0"/>
              <w:ind w:left="107"/>
              <w:jc w:val="left"/>
              <w:rPr>
                <w:sz w:val="18"/>
              </w:rPr>
            </w:pPr>
            <w:r>
              <w:rPr>
                <w:sz w:val="18"/>
              </w:rPr>
              <w:t>Quebrada Honda-</w:t>
            </w:r>
          </w:p>
          <w:p>
            <w:pPr>
              <w:pStyle w:val="TableParagraph"/>
              <w:spacing w:line="240" w:lineRule="auto" w:before="105"/>
              <w:ind w:left="107"/>
              <w:jc w:val="left"/>
              <w:rPr>
                <w:sz w:val="18"/>
              </w:rPr>
            </w:pPr>
            <w:r>
              <w:rPr>
                <w:sz w:val="18"/>
              </w:rPr>
              <w:t>Quintas</w:t>
            </w:r>
          </w:p>
        </w:tc>
        <w:tc>
          <w:tcPr>
            <w:tcW w:w="2009" w:type="dxa"/>
          </w:tcPr>
          <w:p>
            <w:pPr>
              <w:pStyle w:val="TableParagraph"/>
              <w:spacing w:line="205" w:lineRule="exact" w:before="0"/>
              <w:ind w:right="89"/>
              <w:rPr>
                <w:sz w:val="18"/>
              </w:rPr>
            </w:pPr>
            <w:r>
              <w:rPr>
                <w:sz w:val="18"/>
              </w:rPr>
              <w:t>07/02/2011</w:t>
            </w:r>
          </w:p>
        </w:tc>
      </w:tr>
      <w:tr>
        <w:trPr>
          <w:trHeight w:val="310" w:hRule="atLeast"/>
        </w:trPr>
        <w:tc>
          <w:tcPr>
            <w:tcW w:w="452" w:type="dxa"/>
            <w:shd w:val="clear" w:color="auto" w:fill="CCCCCC"/>
          </w:tcPr>
          <w:p>
            <w:pPr>
              <w:pStyle w:val="TableParagraph"/>
              <w:spacing w:line="205" w:lineRule="exact" w:before="0"/>
              <w:ind w:right="125"/>
              <w:jc w:val="center"/>
              <w:rPr>
                <w:b/>
                <w:sz w:val="18"/>
              </w:rPr>
            </w:pPr>
            <w:r>
              <w:rPr>
                <w:b/>
                <w:w w:val="99"/>
                <w:sz w:val="18"/>
              </w:rPr>
              <w:t>7</w:t>
            </w:r>
          </w:p>
        </w:tc>
        <w:tc>
          <w:tcPr>
            <w:tcW w:w="2037" w:type="dxa"/>
            <w:shd w:val="clear" w:color="auto" w:fill="CCCCCC"/>
          </w:tcPr>
          <w:p>
            <w:pPr>
              <w:pStyle w:val="TableParagraph"/>
              <w:spacing w:line="240" w:lineRule="auto" w:before="2"/>
              <w:ind w:left="107"/>
              <w:jc w:val="left"/>
              <w:rPr>
                <w:sz w:val="18"/>
              </w:rPr>
            </w:pPr>
            <w:r>
              <w:rPr>
                <w:sz w:val="18"/>
              </w:rPr>
              <w:t>Villa Sofía</w:t>
            </w:r>
          </w:p>
        </w:tc>
        <w:tc>
          <w:tcPr>
            <w:tcW w:w="2036" w:type="dxa"/>
            <w:shd w:val="clear" w:color="auto" w:fill="CCCCCC"/>
          </w:tcPr>
          <w:p>
            <w:pPr>
              <w:pStyle w:val="TableParagraph"/>
              <w:spacing w:line="240" w:lineRule="auto" w:before="2"/>
              <w:ind w:right="92"/>
              <w:rPr>
                <w:sz w:val="18"/>
              </w:rPr>
            </w:pPr>
            <w:r>
              <w:rPr>
                <w:sz w:val="18"/>
              </w:rPr>
              <w:t>27/08/2011</w:t>
            </w:r>
          </w:p>
        </w:tc>
        <w:tc>
          <w:tcPr>
            <w:tcW w:w="528" w:type="dxa"/>
            <w:shd w:val="clear" w:color="auto" w:fill="CCCCCC"/>
          </w:tcPr>
          <w:p>
            <w:pPr>
              <w:pStyle w:val="TableParagraph"/>
              <w:spacing w:line="240" w:lineRule="auto" w:before="0"/>
              <w:jc w:val="left"/>
              <w:rPr>
                <w:rFonts w:ascii="Times New Roman"/>
                <w:sz w:val="20"/>
              </w:rPr>
            </w:pPr>
          </w:p>
        </w:tc>
        <w:tc>
          <w:tcPr>
            <w:tcW w:w="2005" w:type="dxa"/>
            <w:shd w:val="clear" w:color="auto" w:fill="CCCCCC"/>
          </w:tcPr>
          <w:p>
            <w:pPr>
              <w:pStyle w:val="TableParagraph"/>
              <w:spacing w:line="240" w:lineRule="auto" w:before="0"/>
              <w:jc w:val="left"/>
              <w:rPr>
                <w:rFonts w:ascii="Times New Roman"/>
                <w:sz w:val="20"/>
              </w:rPr>
            </w:pPr>
          </w:p>
        </w:tc>
        <w:tc>
          <w:tcPr>
            <w:tcW w:w="2009" w:type="dxa"/>
            <w:shd w:val="clear" w:color="auto" w:fill="CCCCCC"/>
          </w:tcPr>
          <w:p>
            <w:pPr>
              <w:pStyle w:val="TableParagraph"/>
              <w:spacing w:line="240" w:lineRule="auto" w:before="2"/>
              <w:ind w:right="89"/>
              <w:rPr>
                <w:sz w:val="18"/>
              </w:rPr>
            </w:pPr>
            <w:r>
              <w:rPr>
                <w:sz w:val="18"/>
              </w:rPr>
              <w:t>27/08/2011</w:t>
            </w:r>
          </w:p>
        </w:tc>
      </w:tr>
      <w:tr>
        <w:trPr>
          <w:trHeight w:val="314" w:hRule="atLeast"/>
        </w:trPr>
        <w:tc>
          <w:tcPr>
            <w:tcW w:w="452" w:type="dxa"/>
          </w:tcPr>
          <w:p>
            <w:pPr>
              <w:pStyle w:val="TableParagraph"/>
              <w:spacing w:line="205" w:lineRule="exact" w:before="0"/>
              <w:ind w:right="125"/>
              <w:jc w:val="center"/>
              <w:rPr>
                <w:b/>
                <w:sz w:val="18"/>
              </w:rPr>
            </w:pPr>
            <w:r>
              <w:rPr>
                <w:b/>
                <w:w w:val="99"/>
                <w:sz w:val="18"/>
              </w:rPr>
              <w:t>8</w:t>
            </w:r>
          </w:p>
        </w:tc>
        <w:tc>
          <w:tcPr>
            <w:tcW w:w="2037" w:type="dxa"/>
          </w:tcPr>
          <w:p>
            <w:pPr>
              <w:pStyle w:val="TableParagraph"/>
              <w:spacing w:line="240" w:lineRule="auto" w:before="2"/>
              <w:ind w:left="107"/>
              <w:jc w:val="left"/>
              <w:rPr>
                <w:sz w:val="18"/>
              </w:rPr>
            </w:pPr>
            <w:r>
              <w:rPr>
                <w:sz w:val="18"/>
              </w:rPr>
              <w:t>Altamonte</w:t>
            </w:r>
          </w:p>
        </w:tc>
        <w:tc>
          <w:tcPr>
            <w:tcW w:w="2036" w:type="dxa"/>
          </w:tcPr>
          <w:p>
            <w:pPr>
              <w:pStyle w:val="TableParagraph"/>
              <w:spacing w:line="240" w:lineRule="auto" w:before="2"/>
              <w:ind w:right="92"/>
              <w:rPr>
                <w:sz w:val="18"/>
              </w:rPr>
            </w:pPr>
            <w:r>
              <w:rPr>
                <w:sz w:val="18"/>
              </w:rPr>
              <w:t>27/08/2011</w:t>
            </w:r>
          </w:p>
        </w:tc>
        <w:tc>
          <w:tcPr>
            <w:tcW w:w="528" w:type="dxa"/>
          </w:tcPr>
          <w:p>
            <w:pPr>
              <w:pStyle w:val="TableParagraph"/>
              <w:spacing w:line="205" w:lineRule="exact" w:before="0"/>
              <w:ind w:left="107"/>
              <w:jc w:val="left"/>
              <w:rPr>
                <w:b/>
                <w:sz w:val="18"/>
              </w:rPr>
            </w:pPr>
            <w:r>
              <w:rPr>
                <w:b/>
                <w:w w:val="99"/>
                <w:sz w:val="18"/>
              </w:rPr>
              <w:t>5</w:t>
            </w:r>
          </w:p>
        </w:tc>
        <w:tc>
          <w:tcPr>
            <w:tcW w:w="2005" w:type="dxa"/>
          </w:tcPr>
          <w:p>
            <w:pPr>
              <w:pStyle w:val="TableParagraph"/>
              <w:spacing w:line="240" w:lineRule="auto" w:before="2"/>
              <w:ind w:left="107"/>
              <w:jc w:val="left"/>
              <w:rPr>
                <w:sz w:val="18"/>
              </w:rPr>
            </w:pPr>
            <w:r>
              <w:rPr>
                <w:sz w:val="18"/>
              </w:rPr>
              <w:t>San Diego</w:t>
            </w:r>
          </w:p>
        </w:tc>
        <w:tc>
          <w:tcPr>
            <w:tcW w:w="2009" w:type="dxa"/>
          </w:tcPr>
          <w:p>
            <w:pPr>
              <w:pStyle w:val="TableParagraph"/>
              <w:spacing w:line="240" w:lineRule="auto" w:before="2"/>
              <w:ind w:right="89"/>
              <w:rPr>
                <w:sz w:val="18"/>
              </w:rPr>
            </w:pPr>
            <w:r>
              <w:rPr>
                <w:sz w:val="18"/>
              </w:rPr>
              <w:t>08/05/2012</w:t>
            </w:r>
          </w:p>
        </w:tc>
      </w:tr>
      <w:tr>
        <w:trPr>
          <w:trHeight w:val="310" w:hRule="atLeast"/>
        </w:trPr>
        <w:tc>
          <w:tcPr>
            <w:tcW w:w="452" w:type="dxa"/>
            <w:shd w:val="clear" w:color="auto" w:fill="CCCCCC"/>
          </w:tcPr>
          <w:p>
            <w:pPr>
              <w:pStyle w:val="TableParagraph"/>
              <w:spacing w:line="201" w:lineRule="exact" w:before="0"/>
              <w:ind w:right="125"/>
              <w:jc w:val="center"/>
              <w:rPr>
                <w:b/>
                <w:sz w:val="18"/>
              </w:rPr>
            </w:pPr>
            <w:r>
              <w:rPr>
                <w:b/>
                <w:w w:val="99"/>
                <w:sz w:val="18"/>
              </w:rPr>
              <w:t>9</w:t>
            </w:r>
          </w:p>
        </w:tc>
        <w:tc>
          <w:tcPr>
            <w:tcW w:w="2037" w:type="dxa"/>
            <w:shd w:val="clear" w:color="auto" w:fill="CCCCCC"/>
          </w:tcPr>
          <w:p>
            <w:pPr>
              <w:pStyle w:val="TableParagraph"/>
              <w:spacing w:line="205" w:lineRule="exact" w:before="0"/>
              <w:ind w:left="107"/>
              <w:jc w:val="left"/>
              <w:rPr>
                <w:sz w:val="18"/>
              </w:rPr>
            </w:pPr>
            <w:r>
              <w:rPr>
                <w:sz w:val="18"/>
              </w:rPr>
              <w:t>Praxair Barrio La Cruz</w:t>
            </w:r>
          </w:p>
        </w:tc>
        <w:tc>
          <w:tcPr>
            <w:tcW w:w="2036" w:type="dxa"/>
            <w:shd w:val="clear" w:color="auto" w:fill="CCCCCC"/>
          </w:tcPr>
          <w:p>
            <w:pPr>
              <w:pStyle w:val="TableParagraph"/>
              <w:spacing w:line="205" w:lineRule="exact" w:before="0"/>
              <w:ind w:right="92"/>
              <w:rPr>
                <w:sz w:val="18"/>
              </w:rPr>
            </w:pPr>
            <w:r>
              <w:rPr>
                <w:sz w:val="18"/>
              </w:rPr>
              <w:t>15/05/2012</w:t>
            </w:r>
          </w:p>
        </w:tc>
        <w:tc>
          <w:tcPr>
            <w:tcW w:w="528" w:type="dxa"/>
            <w:shd w:val="clear" w:color="auto" w:fill="CCCCCC"/>
          </w:tcPr>
          <w:p>
            <w:pPr>
              <w:pStyle w:val="TableParagraph"/>
              <w:spacing w:line="201" w:lineRule="exact" w:before="0"/>
              <w:ind w:left="107"/>
              <w:jc w:val="left"/>
              <w:rPr>
                <w:b/>
                <w:sz w:val="18"/>
              </w:rPr>
            </w:pPr>
            <w:r>
              <w:rPr>
                <w:b/>
                <w:w w:val="99"/>
                <w:sz w:val="18"/>
              </w:rPr>
              <w:t>6</w:t>
            </w:r>
          </w:p>
        </w:tc>
        <w:tc>
          <w:tcPr>
            <w:tcW w:w="2005" w:type="dxa"/>
            <w:shd w:val="clear" w:color="auto" w:fill="CCCCCC"/>
          </w:tcPr>
          <w:p>
            <w:pPr>
              <w:pStyle w:val="TableParagraph"/>
              <w:spacing w:line="205" w:lineRule="exact" w:before="0"/>
              <w:ind w:left="107"/>
              <w:jc w:val="left"/>
              <w:rPr>
                <w:sz w:val="18"/>
              </w:rPr>
            </w:pPr>
            <w:r>
              <w:rPr>
                <w:sz w:val="18"/>
              </w:rPr>
              <w:t>La Jenny</w:t>
            </w:r>
          </w:p>
        </w:tc>
        <w:tc>
          <w:tcPr>
            <w:tcW w:w="2009" w:type="dxa"/>
            <w:shd w:val="clear" w:color="auto" w:fill="CCCCCC"/>
          </w:tcPr>
          <w:p>
            <w:pPr>
              <w:pStyle w:val="TableParagraph"/>
              <w:spacing w:line="205" w:lineRule="exact" w:before="0"/>
              <w:ind w:right="89"/>
              <w:rPr>
                <w:sz w:val="18"/>
              </w:rPr>
            </w:pPr>
            <w:r>
              <w:rPr>
                <w:sz w:val="18"/>
              </w:rPr>
              <w:t>08/05/2012</w:t>
            </w:r>
          </w:p>
        </w:tc>
      </w:tr>
      <w:tr>
        <w:trPr>
          <w:trHeight w:val="310" w:hRule="atLeast"/>
        </w:trPr>
        <w:tc>
          <w:tcPr>
            <w:tcW w:w="452" w:type="dxa"/>
          </w:tcPr>
          <w:p>
            <w:pPr>
              <w:pStyle w:val="TableParagraph"/>
              <w:spacing w:line="201" w:lineRule="exact" w:before="0"/>
              <w:ind w:left="86" w:right="113"/>
              <w:jc w:val="center"/>
              <w:rPr>
                <w:b/>
                <w:sz w:val="18"/>
              </w:rPr>
            </w:pPr>
            <w:r>
              <w:rPr>
                <w:b/>
                <w:sz w:val="18"/>
              </w:rPr>
              <w:t>10</w:t>
            </w:r>
          </w:p>
        </w:tc>
        <w:tc>
          <w:tcPr>
            <w:tcW w:w="2037" w:type="dxa"/>
          </w:tcPr>
          <w:p>
            <w:pPr>
              <w:pStyle w:val="TableParagraph"/>
              <w:spacing w:line="205" w:lineRule="exact" w:before="0"/>
              <w:ind w:left="107"/>
              <w:jc w:val="left"/>
              <w:rPr>
                <w:sz w:val="18"/>
              </w:rPr>
            </w:pPr>
            <w:r>
              <w:rPr>
                <w:sz w:val="18"/>
              </w:rPr>
              <w:t>Tres Ríos</w:t>
            </w:r>
          </w:p>
        </w:tc>
        <w:tc>
          <w:tcPr>
            <w:tcW w:w="2036" w:type="dxa"/>
          </w:tcPr>
          <w:p>
            <w:pPr>
              <w:pStyle w:val="TableParagraph"/>
              <w:spacing w:line="205" w:lineRule="exact" w:before="0"/>
              <w:ind w:right="92"/>
              <w:rPr>
                <w:sz w:val="18"/>
              </w:rPr>
            </w:pPr>
            <w:r>
              <w:rPr>
                <w:sz w:val="18"/>
              </w:rPr>
              <w:t>15/05/2012</w:t>
            </w:r>
          </w:p>
        </w:tc>
        <w:tc>
          <w:tcPr>
            <w:tcW w:w="528" w:type="dxa"/>
          </w:tcPr>
          <w:p>
            <w:pPr>
              <w:pStyle w:val="TableParagraph"/>
              <w:spacing w:line="201" w:lineRule="exact" w:before="0"/>
              <w:ind w:left="107"/>
              <w:jc w:val="left"/>
              <w:rPr>
                <w:b/>
                <w:sz w:val="18"/>
              </w:rPr>
            </w:pPr>
            <w:r>
              <w:rPr>
                <w:b/>
                <w:w w:val="99"/>
                <w:sz w:val="18"/>
              </w:rPr>
              <w:t>7</w:t>
            </w:r>
          </w:p>
        </w:tc>
        <w:tc>
          <w:tcPr>
            <w:tcW w:w="2005" w:type="dxa"/>
          </w:tcPr>
          <w:p>
            <w:pPr>
              <w:pStyle w:val="TableParagraph"/>
              <w:spacing w:line="205" w:lineRule="exact" w:before="0"/>
              <w:ind w:left="107"/>
              <w:jc w:val="left"/>
              <w:rPr>
                <w:sz w:val="18"/>
              </w:rPr>
            </w:pPr>
            <w:r>
              <w:rPr>
                <w:sz w:val="18"/>
              </w:rPr>
              <w:t>Coris</w:t>
            </w:r>
          </w:p>
        </w:tc>
        <w:tc>
          <w:tcPr>
            <w:tcW w:w="2009" w:type="dxa"/>
          </w:tcPr>
          <w:p>
            <w:pPr>
              <w:pStyle w:val="TableParagraph"/>
              <w:spacing w:line="205" w:lineRule="exact" w:before="0"/>
              <w:ind w:right="89"/>
              <w:rPr>
                <w:sz w:val="18"/>
              </w:rPr>
            </w:pPr>
            <w:r>
              <w:rPr>
                <w:sz w:val="18"/>
              </w:rPr>
              <w:t>18/05/2012</w:t>
            </w:r>
          </w:p>
        </w:tc>
      </w:tr>
      <w:tr>
        <w:trPr>
          <w:trHeight w:val="310" w:hRule="atLeast"/>
        </w:trPr>
        <w:tc>
          <w:tcPr>
            <w:tcW w:w="452" w:type="dxa"/>
            <w:shd w:val="clear" w:color="auto" w:fill="CCCCCC"/>
          </w:tcPr>
          <w:p>
            <w:pPr>
              <w:pStyle w:val="TableParagraph"/>
              <w:spacing w:line="201" w:lineRule="exact" w:before="0"/>
              <w:ind w:left="86" w:right="113"/>
              <w:jc w:val="center"/>
              <w:rPr>
                <w:b/>
                <w:sz w:val="18"/>
              </w:rPr>
            </w:pPr>
            <w:r>
              <w:rPr>
                <w:b/>
                <w:sz w:val="18"/>
              </w:rPr>
              <w:t>11</w:t>
            </w:r>
          </w:p>
        </w:tc>
        <w:tc>
          <w:tcPr>
            <w:tcW w:w="2037" w:type="dxa"/>
            <w:shd w:val="clear" w:color="auto" w:fill="CCCCCC"/>
          </w:tcPr>
          <w:p>
            <w:pPr>
              <w:pStyle w:val="TableParagraph"/>
              <w:spacing w:line="205" w:lineRule="exact" w:before="0"/>
              <w:ind w:left="107"/>
              <w:jc w:val="left"/>
              <w:rPr>
                <w:sz w:val="18"/>
              </w:rPr>
            </w:pPr>
            <w:r>
              <w:rPr>
                <w:sz w:val="18"/>
              </w:rPr>
              <w:t>Las Araucarias</w:t>
            </w:r>
          </w:p>
        </w:tc>
        <w:tc>
          <w:tcPr>
            <w:tcW w:w="2036" w:type="dxa"/>
            <w:shd w:val="clear" w:color="auto" w:fill="CCCCCC"/>
          </w:tcPr>
          <w:p>
            <w:pPr>
              <w:pStyle w:val="TableParagraph"/>
              <w:spacing w:line="205" w:lineRule="exact" w:before="0"/>
              <w:ind w:right="92"/>
              <w:rPr>
                <w:sz w:val="18"/>
              </w:rPr>
            </w:pPr>
            <w:r>
              <w:rPr>
                <w:sz w:val="18"/>
              </w:rPr>
              <w:t>11/05/2012</w:t>
            </w:r>
          </w:p>
        </w:tc>
        <w:tc>
          <w:tcPr>
            <w:tcW w:w="528" w:type="dxa"/>
            <w:shd w:val="clear" w:color="auto" w:fill="CCCCCC"/>
          </w:tcPr>
          <w:p>
            <w:pPr>
              <w:pStyle w:val="TableParagraph"/>
              <w:spacing w:line="201" w:lineRule="exact" w:before="0"/>
              <w:ind w:left="107"/>
              <w:jc w:val="left"/>
              <w:rPr>
                <w:b/>
                <w:sz w:val="18"/>
              </w:rPr>
            </w:pPr>
            <w:r>
              <w:rPr>
                <w:b/>
                <w:w w:val="99"/>
                <w:sz w:val="18"/>
              </w:rPr>
              <w:t>8</w:t>
            </w:r>
          </w:p>
        </w:tc>
        <w:tc>
          <w:tcPr>
            <w:tcW w:w="2005" w:type="dxa"/>
            <w:shd w:val="clear" w:color="auto" w:fill="CCCCCC"/>
          </w:tcPr>
          <w:p>
            <w:pPr>
              <w:pStyle w:val="TableParagraph"/>
              <w:spacing w:line="205" w:lineRule="exact" w:before="0"/>
              <w:ind w:left="107"/>
              <w:jc w:val="left"/>
              <w:rPr>
                <w:sz w:val="18"/>
              </w:rPr>
            </w:pPr>
            <w:r>
              <w:rPr>
                <w:sz w:val="18"/>
              </w:rPr>
              <w:t>Ganadería Mar Lugo</w:t>
            </w:r>
          </w:p>
        </w:tc>
        <w:tc>
          <w:tcPr>
            <w:tcW w:w="2009" w:type="dxa"/>
            <w:shd w:val="clear" w:color="auto" w:fill="CCCCCC"/>
          </w:tcPr>
          <w:p>
            <w:pPr>
              <w:pStyle w:val="TableParagraph"/>
              <w:spacing w:line="205" w:lineRule="exact" w:before="0"/>
              <w:ind w:right="89"/>
              <w:rPr>
                <w:sz w:val="18"/>
              </w:rPr>
            </w:pPr>
            <w:r>
              <w:rPr>
                <w:sz w:val="18"/>
              </w:rPr>
              <w:t>18/05/2012</w:t>
            </w:r>
          </w:p>
        </w:tc>
      </w:tr>
      <w:tr>
        <w:trPr>
          <w:trHeight w:val="310" w:hRule="atLeast"/>
        </w:trPr>
        <w:tc>
          <w:tcPr>
            <w:tcW w:w="452" w:type="dxa"/>
          </w:tcPr>
          <w:p>
            <w:pPr>
              <w:pStyle w:val="TableParagraph"/>
              <w:spacing w:line="201" w:lineRule="exact" w:before="0"/>
              <w:ind w:left="86" w:right="113"/>
              <w:jc w:val="center"/>
              <w:rPr>
                <w:b/>
                <w:sz w:val="18"/>
              </w:rPr>
            </w:pPr>
            <w:r>
              <w:rPr>
                <w:b/>
                <w:sz w:val="18"/>
              </w:rPr>
              <w:t>12</w:t>
            </w:r>
          </w:p>
        </w:tc>
        <w:tc>
          <w:tcPr>
            <w:tcW w:w="2037" w:type="dxa"/>
          </w:tcPr>
          <w:p>
            <w:pPr>
              <w:pStyle w:val="TableParagraph"/>
              <w:spacing w:line="205" w:lineRule="exact" w:before="0"/>
              <w:ind w:left="107"/>
              <w:jc w:val="left"/>
              <w:rPr>
                <w:sz w:val="18"/>
              </w:rPr>
            </w:pPr>
            <w:r>
              <w:rPr>
                <w:sz w:val="18"/>
              </w:rPr>
              <w:t>Omega-Pinares</w:t>
            </w:r>
          </w:p>
        </w:tc>
        <w:tc>
          <w:tcPr>
            <w:tcW w:w="2036" w:type="dxa"/>
          </w:tcPr>
          <w:p>
            <w:pPr>
              <w:pStyle w:val="TableParagraph"/>
              <w:spacing w:line="205" w:lineRule="exact" w:before="0"/>
              <w:ind w:right="92"/>
              <w:rPr>
                <w:sz w:val="18"/>
              </w:rPr>
            </w:pPr>
            <w:r>
              <w:rPr>
                <w:w w:val="95"/>
                <w:sz w:val="18"/>
              </w:rPr>
              <w:t>11/05/2012</w:t>
            </w:r>
          </w:p>
        </w:tc>
        <w:tc>
          <w:tcPr>
            <w:tcW w:w="528" w:type="dxa"/>
          </w:tcPr>
          <w:p>
            <w:pPr>
              <w:pStyle w:val="TableParagraph"/>
              <w:spacing w:line="240" w:lineRule="auto" w:before="0"/>
              <w:jc w:val="left"/>
              <w:rPr>
                <w:rFonts w:ascii="Times New Roman"/>
                <w:sz w:val="20"/>
              </w:rPr>
            </w:pPr>
          </w:p>
        </w:tc>
        <w:tc>
          <w:tcPr>
            <w:tcW w:w="2005" w:type="dxa"/>
          </w:tcPr>
          <w:p>
            <w:pPr>
              <w:pStyle w:val="TableParagraph"/>
              <w:spacing w:line="240" w:lineRule="auto" w:before="0"/>
              <w:jc w:val="left"/>
              <w:rPr>
                <w:rFonts w:ascii="Times New Roman"/>
                <w:sz w:val="20"/>
              </w:rPr>
            </w:pPr>
          </w:p>
        </w:tc>
        <w:tc>
          <w:tcPr>
            <w:tcW w:w="2009" w:type="dxa"/>
          </w:tcPr>
          <w:p>
            <w:pPr>
              <w:pStyle w:val="TableParagraph"/>
              <w:spacing w:line="240" w:lineRule="auto" w:before="0"/>
              <w:jc w:val="left"/>
              <w:rPr>
                <w:rFonts w:ascii="Times New Roman"/>
                <w:sz w:val="20"/>
              </w:rPr>
            </w:pPr>
          </w:p>
        </w:tc>
      </w:tr>
      <w:tr>
        <w:trPr>
          <w:trHeight w:val="310" w:hRule="atLeast"/>
        </w:trPr>
        <w:tc>
          <w:tcPr>
            <w:tcW w:w="452" w:type="dxa"/>
            <w:shd w:val="clear" w:color="auto" w:fill="CCCCCC"/>
          </w:tcPr>
          <w:p>
            <w:pPr>
              <w:pStyle w:val="TableParagraph"/>
              <w:spacing w:line="201" w:lineRule="exact" w:before="0"/>
              <w:ind w:left="86" w:right="113"/>
              <w:jc w:val="center"/>
              <w:rPr>
                <w:b/>
                <w:sz w:val="18"/>
              </w:rPr>
            </w:pPr>
            <w:r>
              <w:rPr>
                <w:b/>
                <w:sz w:val="18"/>
              </w:rPr>
              <w:t>13</w:t>
            </w:r>
          </w:p>
        </w:tc>
        <w:tc>
          <w:tcPr>
            <w:tcW w:w="2037" w:type="dxa"/>
            <w:shd w:val="clear" w:color="auto" w:fill="CCCCCC"/>
          </w:tcPr>
          <w:p>
            <w:pPr>
              <w:pStyle w:val="TableParagraph"/>
              <w:spacing w:line="205" w:lineRule="exact" w:before="0"/>
              <w:ind w:left="107"/>
              <w:jc w:val="left"/>
              <w:rPr>
                <w:sz w:val="18"/>
              </w:rPr>
            </w:pPr>
            <w:r>
              <w:rPr>
                <w:sz w:val="18"/>
              </w:rPr>
              <w:t>La Joya</w:t>
            </w:r>
          </w:p>
        </w:tc>
        <w:tc>
          <w:tcPr>
            <w:tcW w:w="2036" w:type="dxa"/>
            <w:shd w:val="clear" w:color="auto" w:fill="CCCCCC"/>
          </w:tcPr>
          <w:p>
            <w:pPr>
              <w:pStyle w:val="TableParagraph"/>
              <w:spacing w:line="205" w:lineRule="exact" w:before="0"/>
              <w:ind w:right="92"/>
              <w:rPr>
                <w:sz w:val="18"/>
              </w:rPr>
            </w:pPr>
            <w:r>
              <w:rPr>
                <w:sz w:val="18"/>
              </w:rPr>
              <w:t>19/05/2012</w:t>
            </w:r>
          </w:p>
        </w:tc>
        <w:tc>
          <w:tcPr>
            <w:tcW w:w="528" w:type="dxa"/>
            <w:shd w:val="clear" w:color="auto" w:fill="CCCCCC"/>
          </w:tcPr>
          <w:p>
            <w:pPr>
              <w:pStyle w:val="TableParagraph"/>
              <w:spacing w:line="240" w:lineRule="auto" w:before="0"/>
              <w:jc w:val="left"/>
              <w:rPr>
                <w:rFonts w:ascii="Times New Roman"/>
                <w:sz w:val="20"/>
              </w:rPr>
            </w:pPr>
          </w:p>
        </w:tc>
        <w:tc>
          <w:tcPr>
            <w:tcW w:w="2005" w:type="dxa"/>
            <w:shd w:val="clear" w:color="auto" w:fill="CCCCCC"/>
          </w:tcPr>
          <w:p>
            <w:pPr>
              <w:pStyle w:val="TableParagraph"/>
              <w:spacing w:line="240" w:lineRule="auto" w:before="0"/>
              <w:jc w:val="left"/>
              <w:rPr>
                <w:rFonts w:ascii="Times New Roman"/>
                <w:sz w:val="20"/>
              </w:rPr>
            </w:pPr>
          </w:p>
        </w:tc>
        <w:tc>
          <w:tcPr>
            <w:tcW w:w="2009" w:type="dxa"/>
            <w:shd w:val="clear" w:color="auto" w:fill="CCCCCC"/>
          </w:tcPr>
          <w:p>
            <w:pPr>
              <w:pStyle w:val="TableParagraph"/>
              <w:spacing w:line="240" w:lineRule="auto" w:before="0"/>
              <w:jc w:val="left"/>
              <w:rPr>
                <w:rFonts w:ascii="Times New Roman"/>
                <w:sz w:val="20"/>
              </w:rPr>
            </w:pPr>
          </w:p>
        </w:tc>
      </w:tr>
      <w:tr>
        <w:trPr>
          <w:trHeight w:val="313" w:hRule="atLeast"/>
        </w:trPr>
        <w:tc>
          <w:tcPr>
            <w:tcW w:w="452" w:type="dxa"/>
          </w:tcPr>
          <w:p>
            <w:pPr>
              <w:pStyle w:val="TableParagraph"/>
              <w:spacing w:line="205" w:lineRule="exact" w:before="0"/>
              <w:ind w:left="86" w:right="113"/>
              <w:jc w:val="center"/>
              <w:rPr>
                <w:b/>
                <w:sz w:val="18"/>
              </w:rPr>
            </w:pPr>
            <w:r>
              <w:rPr>
                <w:b/>
                <w:sz w:val="18"/>
              </w:rPr>
              <w:t>14</w:t>
            </w:r>
          </w:p>
        </w:tc>
        <w:tc>
          <w:tcPr>
            <w:tcW w:w="2037" w:type="dxa"/>
          </w:tcPr>
          <w:p>
            <w:pPr>
              <w:pStyle w:val="TableParagraph"/>
              <w:spacing w:line="240" w:lineRule="auto" w:before="2"/>
              <w:ind w:left="107"/>
              <w:jc w:val="left"/>
              <w:rPr>
                <w:sz w:val="18"/>
              </w:rPr>
            </w:pPr>
            <w:r>
              <w:rPr>
                <w:sz w:val="18"/>
              </w:rPr>
              <w:t>Ayarco Norte</w:t>
            </w:r>
          </w:p>
        </w:tc>
        <w:tc>
          <w:tcPr>
            <w:tcW w:w="2036" w:type="dxa"/>
          </w:tcPr>
          <w:p>
            <w:pPr>
              <w:pStyle w:val="TableParagraph"/>
              <w:spacing w:line="240" w:lineRule="auto" w:before="2"/>
              <w:ind w:right="92"/>
              <w:rPr>
                <w:sz w:val="18"/>
              </w:rPr>
            </w:pPr>
            <w:r>
              <w:rPr>
                <w:sz w:val="18"/>
              </w:rPr>
              <w:t>05/05/2012</w:t>
            </w:r>
          </w:p>
        </w:tc>
        <w:tc>
          <w:tcPr>
            <w:tcW w:w="528" w:type="dxa"/>
          </w:tcPr>
          <w:p>
            <w:pPr>
              <w:pStyle w:val="TableParagraph"/>
              <w:spacing w:line="240" w:lineRule="auto" w:before="0"/>
              <w:jc w:val="left"/>
              <w:rPr>
                <w:rFonts w:ascii="Times New Roman"/>
                <w:sz w:val="20"/>
              </w:rPr>
            </w:pPr>
          </w:p>
        </w:tc>
        <w:tc>
          <w:tcPr>
            <w:tcW w:w="2005" w:type="dxa"/>
          </w:tcPr>
          <w:p>
            <w:pPr>
              <w:pStyle w:val="TableParagraph"/>
              <w:spacing w:line="240" w:lineRule="auto" w:before="0"/>
              <w:jc w:val="left"/>
              <w:rPr>
                <w:rFonts w:ascii="Times New Roman"/>
                <w:sz w:val="20"/>
              </w:rPr>
            </w:pPr>
          </w:p>
        </w:tc>
        <w:tc>
          <w:tcPr>
            <w:tcW w:w="2009" w:type="dxa"/>
          </w:tcPr>
          <w:p>
            <w:pPr>
              <w:pStyle w:val="TableParagraph"/>
              <w:spacing w:line="240" w:lineRule="auto" w:before="0"/>
              <w:jc w:val="left"/>
              <w:rPr>
                <w:rFonts w:ascii="Times New Roman"/>
                <w:sz w:val="20"/>
              </w:rPr>
            </w:pPr>
          </w:p>
        </w:tc>
      </w:tr>
    </w:tbl>
    <w:p>
      <w:pPr>
        <w:pStyle w:val="BodyText"/>
        <w:rPr>
          <w:i/>
          <w:sz w:val="22"/>
        </w:rPr>
      </w:pPr>
    </w:p>
    <w:p>
      <w:pPr>
        <w:pStyle w:val="BodyText"/>
        <w:spacing w:line="360" w:lineRule="auto" w:before="158"/>
        <w:ind w:left="220" w:right="644"/>
        <w:jc w:val="both"/>
      </w:pPr>
      <w:r>
        <w:rPr/>
        <w:drawing>
          <wp:anchor distT="0" distB="0" distL="0" distR="0" allowOverlap="1" layoutInCell="1" locked="0" behindDoc="0" simplePos="0" relativeHeight="15766528">
            <wp:simplePos x="0" y="0"/>
            <wp:positionH relativeFrom="page">
              <wp:posOffset>4003357</wp:posOffset>
            </wp:positionH>
            <wp:positionV relativeFrom="paragraph">
              <wp:posOffset>1652678</wp:posOffset>
            </wp:positionV>
            <wp:extent cx="866775" cy="647523"/>
            <wp:effectExtent l="0" t="0" r="0" b="0"/>
            <wp:wrapNone/>
            <wp:docPr id="61" name="image56.png" descr="https://cdn.smassets.net/wp-content/uploads/2017/04/sample-size-equation.png"/>
            <wp:cNvGraphicFramePr>
              <a:graphicFrameLocks noChangeAspect="1"/>
            </wp:cNvGraphicFramePr>
            <a:graphic>
              <a:graphicData uri="http://schemas.openxmlformats.org/drawingml/2006/picture">
                <pic:pic>
                  <pic:nvPicPr>
                    <pic:cNvPr id="62" name="image56.png"/>
                    <pic:cNvPicPr/>
                  </pic:nvPicPr>
                  <pic:blipFill>
                    <a:blip r:embed="rId78" cstate="print"/>
                    <a:stretch>
                      <a:fillRect/>
                    </a:stretch>
                  </pic:blipFill>
                  <pic:spPr>
                    <a:xfrm>
                      <a:off x="0" y="0"/>
                      <a:ext cx="866775" cy="647523"/>
                    </a:xfrm>
                    <a:prstGeom prst="rect">
                      <a:avLst/>
                    </a:prstGeom>
                  </pic:spPr>
                </pic:pic>
              </a:graphicData>
            </a:graphic>
          </wp:anchor>
        </w:drawing>
      </w:r>
      <w:r>
        <w:rPr/>
        <w:t>Algunas</w:t>
      </w:r>
      <w:r>
        <w:rPr>
          <w:spacing w:val="-11"/>
        </w:rPr>
        <w:t> </w:t>
      </w:r>
      <w:r>
        <w:rPr/>
        <w:t>comunidades</w:t>
      </w:r>
      <w:r>
        <w:rPr>
          <w:spacing w:val="-6"/>
        </w:rPr>
        <w:t> </w:t>
      </w:r>
      <w:r>
        <w:rPr/>
        <w:t>que</w:t>
      </w:r>
      <w:r>
        <w:rPr>
          <w:spacing w:val="-13"/>
        </w:rPr>
        <w:t> </w:t>
      </w:r>
      <w:r>
        <w:rPr/>
        <w:t>se</w:t>
      </w:r>
      <w:r>
        <w:rPr>
          <w:spacing w:val="-12"/>
        </w:rPr>
        <w:t> </w:t>
      </w:r>
      <w:r>
        <w:rPr/>
        <w:t>pensó</w:t>
      </w:r>
      <w:r>
        <w:rPr>
          <w:spacing w:val="-12"/>
        </w:rPr>
        <w:t> </w:t>
      </w:r>
      <w:r>
        <w:rPr/>
        <w:t>incluir</w:t>
      </w:r>
      <w:r>
        <w:rPr>
          <w:spacing w:val="-10"/>
        </w:rPr>
        <w:t> </w:t>
      </w:r>
      <w:r>
        <w:rPr/>
        <w:t>en</w:t>
      </w:r>
      <w:r>
        <w:rPr>
          <w:spacing w:val="-9"/>
        </w:rPr>
        <w:t> </w:t>
      </w:r>
      <w:r>
        <w:rPr/>
        <w:t>un</w:t>
      </w:r>
      <w:r>
        <w:rPr>
          <w:spacing w:val="-12"/>
        </w:rPr>
        <w:t> </w:t>
      </w:r>
      <w:r>
        <w:rPr/>
        <w:t>principio</w:t>
      </w:r>
      <w:r>
        <w:rPr>
          <w:spacing w:val="-12"/>
        </w:rPr>
        <w:t> </w:t>
      </w:r>
      <w:r>
        <w:rPr/>
        <w:t>carecían</w:t>
      </w:r>
      <w:r>
        <w:rPr>
          <w:spacing w:val="-12"/>
        </w:rPr>
        <w:t> </w:t>
      </w:r>
      <w:r>
        <w:rPr/>
        <w:t>de</w:t>
      </w:r>
      <w:r>
        <w:rPr>
          <w:spacing w:val="-13"/>
        </w:rPr>
        <w:t> </w:t>
      </w:r>
      <w:r>
        <w:rPr/>
        <w:t>acceso</w:t>
      </w:r>
      <w:r>
        <w:rPr>
          <w:spacing w:val="-12"/>
        </w:rPr>
        <w:t> </w:t>
      </w:r>
      <w:r>
        <w:rPr/>
        <w:t>público del</w:t>
      </w:r>
      <w:r>
        <w:rPr>
          <w:spacing w:val="-11"/>
        </w:rPr>
        <w:t> </w:t>
      </w:r>
      <w:r>
        <w:rPr/>
        <w:t>todo</w:t>
      </w:r>
      <w:r>
        <w:rPr>
          <w:spacing w:val="-11"/>
        </w:rPr>
        <w:t> </w:t>
      </w:r>
      <w:r>
        <w:rPr/>
        <w:t>por</w:t>
      </w:r>
      <w:r>
        <w:rPr>
          <w:spacing w:val="-9"/>
        </w:rPr>
        <w:t> </w:t>
      </w:r>
      <w:r>
        <w:rPr/>
        <w:t>lo</w:t>
      </w:r>
      <w:r>
        <w:rPr>
          <w:spacing w:val="-11"/>
        </w:rPr>
        <w:t> </w:t>
      </w:r>
      <w:r>
        <w:rPr/>
        <w:t>que</w:t>
      </w:r>
      <w:r>
        <w:rPr>
          <w:spacing w:val="-11"/>
        </w:rPr>
        <w:t> </w:t>
      </w:r>
      <w:r>
        <w:rPr/>
        <w:t>fueron</w:t>
      </w:r>
      <w:r>
        <w:rPr>
          <w:spacing w:val="-7"/>
        </w:rPr>
        <w:t> </w:t>
      </w:r>
      <w:r>
        <w:rPr/>
        <w:t>excluidas.</w:t>
      </w:r>
      <w:r>
        <w:rPr>
          <w:spacing w:val="-6"/>
        </w:rPr>
        <w:t> </w:t>
      </w:r>
      <w:r>
        <w:rPr/>
        <w:t>Para</w:t>
      </w:r>
      <w:r>
        <w:rPr>
          <w:spacing w:val="-11"/>
        </w:rPr>
        <w:t> </w:t>
      </w:r>
      <w:r>
        <w:rPr/>
        <w:t>estos</w:t>
      </w:r>
      <w:r>
        <w:rPr>
          <w:spacing w:val="-5"/>
        </w:rPr>
        <w:t> </w:t>
      </w:r>
      <w:r>
        <w:rPr/>
        <w:t>grupos</w:t>
      </w:r>
      <w:r>
        <w:rPr>
          <w:spacing w:val="-9"/>
        </w:rPr>
        <w:t> </w:t>
      </w:r>
      <w:r>
        <w:rPr/>
        <w:t>de</w:t>
      </w:r>
      <w:r>
        <w:rPr>
          <w:spacing w:val="-11"/>
        </w:rPr>
        <w:t> </w:t>
      </w:r>
      <w:r>
        <w:rPr/>
        <w:t>comunidades</w:t>
      </w:r>
      <w:r>
        <w:rPr>
          <w:spacing w:val="-9"/>
        </w:rPr>
        <w:t> </w:t>
      </w:r>
      <w:r>
        <w:rPr/>
        <w:t>se</w:t>
      </w:r>
      <w:r>
        <w:rPr>
          <w:spacing w:val="-8"/>
        </w:rPr>
        <w:t> </w:t>
      </w:r>
      <w:r>
        <w:rPr/>
        <w:t>definieron muestras</w:t>
      </w:r>
      <w:r>
        <w:rPr>
          <w:spacing w:val="-4"/>
        </w:rPr>
        <w:t> </w:t>
      </w:r>
      <w:r>
        <w:rPr/>
        <w:t>meta</w:t>
      </w:r>
      <w:r>
        <w:rPr>
          <w:spacing w:val="-6"/>
        </w:rPr>
        <w:t> </w:t>
      </w:r>
      <w:r>
        <w:rPr/>
        <w:t>de</w:t>
      </w:r>
      <w:r>
        <w:rPr>
          <w:spacing w:val="-6"/>
        </w:rPr>
        <w:t> </w:t>
      </w:r>
      <w:r>
        <w:rPr/>
        <w:t>hogares</w:t>
      </w:r>
      <w:r>
        <w:rPr>
          <w:spacing w:val="-4"/>
        </w:rPr>
        <w:t> </w:t>
      </w:r>
      <w:r>
        <w:rPr/>
        <w:t>de</w:t>
      </w:r>
      <w:r>
        <w:rPr>
          <w:spacing w:val="-5"/>
        </w:rPr>
        <w:t> </w:t>
      </w:r>
      <w:r>
        <w:rPr/>
        <w:t>conformidad</w:t>
      </w:r>
      <w:r>
        <w:rPr>
          <w:spacing w:val="-2"/>
        </w:rPr>
        <w:t> </w:t>
      </w:r>
      <w:r>
        <w:rPr/>
        <w:t>mediante</w:t>
      </w:r>
      <w:r>
        <w:rPr>
          <w:spacing w:val="-6"/>
        </w:rPr>
        <w:t> </w:t>
      </w:r>
      <w:r>
        <w:rPr/>
        <w:t>una</w:t>
      </w:r>
      <w:r>
        <w:rPr>
          <w:spacing w:val="-6"/>
        </w:rPr>
        <w:t> </w:t>
      </w:r>
      <w:r>
        <w:rPr/>
        <w:t>formulación</w:t>
      </w:r>
      <w:r>
        <w:rPr>
          <w:spacing w:val="-5"/>
        </w:rPr>
        <w:t> </w:t>
      </w:r>
      <w:r>
        <w:rPr/>
        <w:t>apropiada</w:t>
      </w:r>
      <w:r>
        <w:rPr>
          <w:spacing w:val="-6"/>
        </w:rPr>
        <w:t> </w:t>
      </w:r>
      <w:r>
        <w:rPr/>
        <w:t>para un muestreo sin reposición (Quintana, 1989) de una población finita que utiliza la información de la población total, el nivel de confianza y margen de error</w:t>
      </w:r>
      <w:r>
        <w:rPr>
          <w:spacing w:val="-30"/>
        </w:rPr>
        <w:t> </w:t>
      </w:r>
      <w:r>
        <w:rPr/>
        <w:t>deseado:</w:t>
      </w:r>
    </w:p>
    <w:p>
      <w:pPr>
        <w:pStyle w:val="BodyText"/>
        <w:rPr>
          <w:sz w:val="26"/>
        </w:rPr>
      </w:pPr>
    </w:p>
    <w:p>
      <w:pPr>
        <w:pStyle w:val="BodyText"/>
        <w:rPr>
          <w:sz w:val="26"/>
        </w:rPr>
      </w:pPr>
    </w:p>
    <w:p>
      <w:pPr>
        <w:pStyle w:val="BodyText"/>
        <w:spacing w:before="8"/>
        <w:rPr>
          <w:sz w:val="20"/>
        </w:rPr>
      </w:pPr>
    </w:p>
    <w:p>
      <w:pPr>
        <w:pStyle w:val="BodyText"/>
        <w:ind w:left="244" w:right="2511"/>
        <w:jc w:val="center"/>
        <w:rPr>
          <w:rFonts w:ascii="Georgia"/>
        </w:rPr>
      </w:pPr>
      <w:r>
        <w:rPr>
          <w:rFonts w:ascii="Georgia"/>
          <w:w w:val="105"/>
        </w:rPr>
        <w:t>(5) n =</w:t>
      </w:r>
    </w:p>
    <w:p>
      <w:pPr>
        <w:pStyle w:val="BodyText"/>
        <w:spacing w:before="8"/>
        <w:rPr>
          <w:rFonts w:ascii="Georgia"/>
          <w:sz w:val="29"/>
        </w:rPr>
      </w:pPr>
    </w:p>
    <w:p>
      <w:pPr>
        <w:pStyle w:val="BodyText"/>
        <w:spacing w:before="1"/>
        <w:ind w:left="220"/>
      </w:pPr>
      <w:r>
        <w:rPr/>
        <w:t>donde,</w:t>
      </w:r>
    </w:p>
    <w:p>
      <w:pPr>
        <w:pStyle w:val="BodyText"/>
        <w:spacing w:before="2"/>
        <w:rPr>
          <w:sz w:val="29"/>
        </w:rPr>
      </w:pPr>
    </w:p>
    <w:p>
      <w:pPr>
        <w:pStyle w:val="BodyText"/>
        <w:tabs>
          <w:tab w:pos="940" w:val="left" w:leader="none"/>
        </w:tabs>
        <w:spacing w:line="362" w:lineRule="auto" w:before="1"/>
        <w:ind w:left="220" w:right="5880"/>
      </w:pPr>
      <w:r>
        <w:rPr/>
        <w:t>N</w:t>
      </w:r>
      <w:r>
        <w:rPr>
          <w:spacing w:val="-2"/>
        </w:rPr>
        <w:t> </w:t>
      </w:r>
      <w:r>
        <w:rPr/>
        <w:t>=</w:t>
        <w:tab/>
        <w:t>es el tamaño de la</w:t>
      </w:r>
      <w:r>
        <w:rPr>
          <w:spacing w:val="-16"/>
        </w:rPr>
        <w:t> </w:t>
      </w:r>
      <w:r>
        <w:rPr/>
        <w:t>población; e</w:t>
      </w:r>
      <w:r>
        <w:rPr>
          <w:spacing w:val="-2"/>
        </w:rPr>
        <w:t> </w:t>
      </w:r>
      <w:r>
        <w:rPr/>
        <w:t>=</w:t>
        <w:tab/>
        <w:t>es el margen de</w:t>
      </w:r>
      <w:r>
        <w:rPr>
          <w:spacing w:val="-4"/>
        </w:rPr>
        <w:t> </w:t>
      </w:r>
      <w:r>
        <w:rPr/>
        <w:t>error,</w:t>
      </w:r>
    </w:p>
    <w:p>
      <w:pPr>
        <w:spacing w:after="0" w:line="362" w:lineRule="auto"/>
        <w:sectPr>
          <w:pgSz w:w="12240" w:h="15840"/>
          <w:pgMar w:header="0" w:footer="1062" w:top="1500" w:bottom="1260" w:left="1480" w:right="820"/>
        </w:sectPr>
      </w:pPr>
    </w:p>
    <w:p>
      <w:pPr>
        <w:pStyle w:val="BodyText"/>
        <w:tabs>
          <w:tab w:pos="940" w:val="left" w:leader="none"/>
        </w:tabs>
        <w:spacing w:line="362" w:lineRule="auto" w:before="75"/>
        <w:ind w:left="941" w:right="701" w:hanging="721"/>
      </w:pPr>
      <w:r>
        <w:rPr/>
        <w:t>z</w:t>
      </w:r>
      <w:r>
        <w:rPr>
          <w:spacing w:val="-4"/>
        </w:rPr>
        <w:t> </w:t>
      </w:r>
      <w:r>
        <w:rPr/>
        <w:t>=</w:t>
        <w:tab/>
        <w:t>es el valor crítico de la estadística Z en desviaciones estándar desde la</w:t>
      </w:r>
      <w:r>
        <w:rPr>
          <w:spacing w:val="-33"/>
        </w:rPr>
        <w:t> </w:t>
      </w:r>
      <w:r>
        <w:rPr/>
        <w:t>media asumiendo una distribución normal para el nivel de confianza deseado</w:t>
      </w:r>
      <w:r>
        <w:rPr>
          <w:spacing w:val="-17"/>
        </w:rPr>
        <w:t> </w:t>
      </w:r>
      <w:r>
        <w:rPr/>
        <w:t>y</w:t>
      </w:r>
    </w:p>
    <w:p>
      <w:pPr>
        <w:pStyle w:val="BodyText"/>
        <w:spacing w:line="270" w:lineRule="exact"/>
        <w:ind w:left="220"/>
        <w:jc w:val="both"/>
      </w:pPr>
      <w:r>
        <w:rPr/>
        <w:t>n = es el tamaño de la muestra.</w:t>
      </w:r>
    </w:p>
    <w:p>
      <w:pPr>
        <w:pStyle w:val="BodyText"/>
        <w:rPr>
          <w:sz w:val="26"/>
        </w:rPr>
      </w:pPr>
    </w:p>
    <w:p>
      <w:pPr>
        <w:pStyle w:val="BodyText"/>
        <w:spacing w:before="1"/>
        <w:rPr>
          <w:sz w:val="22"/>
        </w:rPr>
      </w:pPr>
    </w:p>
    <w:p>
      <w:pPr>
        <w:pStyle w:val="BodyText"/>
        <w:spacing w:line="360" w:lineRule="auto"/>
        <w:ind w:left="220" w:right="650"/>
        <w:jc w:val="both"/>
      </w:pPr>
      <w:r>
        <w:rPr/>
        <w:t>La</w:t>
      </w:r>
      <w:r>
        <w:rPr>
          <w:spacing w:val="-9"/>
        </w:rPr>
        <w:t> </w:t>
      </w:r>
      <w:r>
        <w:rPr/>
        <w:t>población</w:t>
      </w:r>
      <w:r>
        <w:rPr>
          <w:spacing w:val="-9"/>
        </w:rPr>
        <w:t> </w:t>
      </w:r>
      <w:r>
        <w:rPr/>
        <w:t>total</w:t>
      </w:r>
      <w:r>
        <w:rPr>
          <w:spacing w:val="-8"/>
        </w:rPr>
        <w:t> </w:t>
      </w:r>
      <w:r>
        <w:rPr/>
        <w:t>de</w:t>
      </w:r>
      <w:r>
        <w:rPr>
          <w:spacing w:val="-9"/>
        </w:rPr>
        <w:t> </w:t>
      </w:r>
      <w:r>
        <w:rPr/>
        <w:t>hogares</w:t>
      </w:r>
      <w:r>
        <w:rPr>
          <w:spacing w:val="-7"/>
        </w:rPr>
        <w:t> </w:t>
      </w:r>
      <w:r>
        <w:rPr/>
        <w:t>se</w:t>
      </w:r>
      <w:r>
        <w:rPr>
          <w:spacing w:val="-9"/>
        </w:rPr>
        <w:t> </w:t>
      </w:r>
      <w:r>
        <w:rPr/>
        <w:t>obtuvo</w:t>
      </w:r>
      <w:r>
        <w:rPr>
          <w:spacing w:val="-9"/>
        </w:rPr>
        <w:t> </w:t>
      </w:r>
      <w:r>
        <w:rPr/>
        <w:t>contando</w:t>
      </w:r>
      <w:r>
        <w:rPr>
          <w:spacing w:val="-9"/>
        </w:rPr>
        <w:t> </w:t>
      </w:r>
      <w:r>
        <w:rPr/>
        <w:t>las</w:t>
      </w:r>
      <w:r>
        <w:rPr>
          <w:spacing w:val="-7"/>
        </w:rPr>
        <w:t> </w:t>
      </w:r>
      <w:r>
        <w:rPr/>
        <w:t>casas</w:t>
      </w:r>
      <w:r>
        <w:rPr>
          <w:spacing w:val="-8"/>
        </w:rPr>
        <w:t> </w:t>
      </w:r>
      <w:r>
        <w:rPr/>
        <w:t>mediante</w:t>
      </w:r>
      <w:r>
        <w:rPr>
          <w:spacing w:val="-9"/>
        </w:rPr>
        <w:t> </w:t>
      </w:r>
      <w:r>
        <w:rPr/>
        <w:t>la</w:t>
      </w:r>
      <w:r>
        <w:rPr>
          <w:spacing w:val="-8"/>
        </w:rPr>
        <w:t> </w:t>
      </w:r>
      <w:r>
        <w:rPr/>
        <w:t>utilización</w:t>
      </w:r>
      <w:r>
        <w:rPr>
          <w:spacing w:val="-9"/>
        </w:rPr>
        <w:t> </w:t>
      </w:r>
      <w:r>
        <w:rPr/>
        <w:t>de imágenes satelitales de Google Earth con la ayuda de los Mapas de Valores de Terrenos por Zonas Homogéneas derivados para los cantones del país por parte de la División Órgano de Normalización Técnica de la Dirección General de Tributación Directa del Ministerio de Hacienda en el año 2010. El nivel de confianza utilizado fue de un 95% y el margen de error deseado de un</w:t>
      </w:r>
      <w:r>
        <w:rPr>
          <w:spacing w:val="-8"/>
        </w:rPr>
        <w:t> </w:t>
      </w:r>
      <w:r>
        <w:rPr/>
        <w:t>5%.</w:t>
      </w:r>
    </w:p>
    <w:p>
      <w:pPr>
        <w:pStyle w:val="BodyText"/>
        <w:spacing w:line="360" w:lineRule="auto" w:before="201"/>
        <w:ind w:left="220" w:right="646"/>
        <w:jc w:val="both"/>
      </w:pPr>
      <w:r>
        <w:rPr/>
        <w:t>El</w:t>
      </w:r>
      <w:r>
        <w:rPr>
          <w:spacing w:val="-7"/>
        </w:rPr>
        <w:t> </w:t>
      </w:r>
      <w:r>
        <w:rPr/>
        <w:t>Cuadro</w:t>
      </w:r>
      <w:r>
        <w:rPr>
          <w:spacing w:val="-6"/>
        </w:rPr>
        <w:t> </w:t>
      </w:r>
      <w:r>
        <w:rPr/>
        <w:t>9</w:t>
      </w:r>
      <w:r>
        <w:rPr>
          <w:spacing w:val="-3"/>
        </w:rPr>
        <w:t> </w:t>
      </w:r>
      <w:r>
        <w:rPr/>
        <w:t>muestra</w:t>
      </w:r>
      <w:r>
        <w:rPr>
          <w:spacing w:val="-7"/>
        </w:rPr>
        <w:t> </w:t>
      </w:r>
      <w:r>
        <w:rPr/>
        <w:t>el</w:t>
      </w:r>
      <w:r>
        <w:rPr>
          <w:spacing w:val="-6"/>
        </w:rPr>
        <w:t> </w:t>
      </w:r>
      <w:r>
        <w:rPr/>
        <w:t>tamaño</w:t>
      </w:r>
      <w:r>
        <w:rPr>
          <w:spacing w:val="-6"/>
        </w:rPr>
        <w:t> </w:t>
      </w:r>
      <w:r>
        <w:rPr/>
        <w:t>de</w:t>
      </w:r>
      <w:r>
        <w:rPr>
          <w:spacing w:val="-7"/>
        </w:rPr>
        <w:t> </w:t>
      </w:r>
      <w:r>
        <w:rPr/>
        <w:t>la</w:t>
      </w:r>
      <w:r>
        <w:rPr>
          <w:spacing w:val="-3"/>
        </w:rPr>
        <w:t> </w:t>
      </w:r>
      <w:r>
        <w:rPr/>
        <w:t>muestra</w:t>
      </w:r>
      <w:r>
        <w:rPr>
          <w:spacing w:val="-3"/>
        </w:rPr>
        <w:t> </w:t>
      </w:r>
      <w:r>
        <w:rPr/>
        <w:t>meta</w:t>
      </w:r>
      <w:r>
        <w:rPr>
          <w:spacing w:val="-7"/>
        </w:rPr>
        <w:t> </w:t>
      </w:r>
      <w:r>
        <w:rPr/>
        <w:t>para</w:t>
      </w:r>
      <w:r>
        <w:rPr>
          <w:spacing w:val="-6"/>
        </w:rPr>
        <w:t> </w:t>
      </w:r>
      <w:r>
        <w:rPr/>
        <w:t>las</w:t>
      </w:r>
      <w:r>
        <w:rPr>
          <w:spacing w:val="-5"/>
        </w:rPr>
        <w:t> </w:t>
      </w:r>
      <w:r>
        <w:rPr/>
        <w:t>comunidades</w:t>
      </w:r>
      <w:r>
        <w:rPr>
          <w:spacing w:val="-5"/>
        </w:rPr>
        <w:t> </w:t>
      </w:r>
      <w:r>
        <w:rPr/>
        <w:t>deudoras</w:t>
      </w:r>
      <w:r>
        <w:rPr>
          <w:spacing w:val="-1"/>
        </w:rPr>
        <w:t> </w:t>
      </w:r>
      <w:r>
        <w:rPr/>
        <w:t>y acreedoras. Para mantener la aleatoridad de las muestras, se enumeraron las calles a visitar y las casas a ambos lados de esas calles. Se utilizó un generador aleatorio de números para designar las casas a visitar. El Anexo 2 incluye dos ejemplos (uno de comunidades acreedoras y otro de las deudoras) de los mapas y numeración utilizado para el muestreo en cada</w:t>
      </w:r>
      <w:r>
        <w:rPr>
          <w:spacing w:val="-5"/>
        </w:rPr>
        <w:t> </w:t>
      </w:r>
      <w:r>
        <w:rPr/>
        <w:t>comunidad.</w:t>
      </w:r>
    </w:p>
    <w:p>
      <w:pPr>
        <w:spacing w:line="242" w:lineRule="auto" w:before="198"/>
        <w:ind w:left="239" w:right="663" w:firstLine="0"/>
        <w:jc w:val="center"/>
        <w:rPr>
          <w:i/>
          <w:sz w:val="20"/>
        </w:rPr>
      </w:pPr>
      <w:bookmarkStart w:name="_bookmark32" w:id="44"/>
      <w:bookmarkEnd w:id="44"/>
      <w:r>
        <w:rPr/>
      </w:r>
      <w:r>
        <w:rPr>
          <w:i/>
          <w:sz w:val="20"/>
        </w:rPr>
        <w:t>Cuadro 9- Muestra Meta y Muestra Lograda de Encuestas para la Estimación de la Huella Ecológica </w:t>
      </w:r>
      <w:r>
        <w:rPr>
          <w:i/>
          <w:sz w:val="20"/>
        </w:rPr>
        <w:t>per Cápita en los Hogares de las Comunidades Deudoras y Acreedoras.</w:t>
      </w:r>
    </w:p>
    <w:p>
      <w:pPr>
        <w:spacing w:line="225" w:lineRule="exact" w:before="0"/>
        <w:ind w:left="237" w:right="663" w:firstLine="0"/>
        <w:jc w:val="center"/>
        <w:rPr>
          <w:i/>
          <w:sz w:val="20"/>
        </w:rPr>
      </w:pPr>
      <w:r>
        <w:rPr>
          <w:i/>
          <w:sz w:val="20"/>
        </w:rPr>
        <w:t>Fuente: Elaboración Propia.</w:t>
      </w:r>
    </w:p>
    <w:p>
      <w:pPr>
        <w:pStyle w:val="BodyText"/>
        <w:rPr>
          <w:i/>
          <w:sz w:val="20"/>
        </w:rPr>
      </w:pPr>
    </w:p>
    <w:p>
      <w:pPr>
        <w:pStyle w:val="BodyText"/>
        <w:spacing w:before="3"/>
        <w:rPr>
          <w:i/>
          <w:sz w:val="11"/>
        </w:rPr>
      </w:pPr>
    </w:p>
    <w:tbl>
      <w:tblPr>
        <w:tblW w:w="0" w:type="auto"/>
        <w:jc w:val="left"/>
        <w:tblInd w:w="23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2445"/>
        <w:gridCol w:w="892"/>
        <w:gridCol w:w="920"/>
        <w:gridCol w:w="912"/>
        <w:gridCol w:w="920"/>
        <w:gridCol w:w="1240"/>
        <w:gridCol w:w="1279"/>
      </w:tblGrid>
      <w:tr>
        <w:trPr>
          <w:trHeight w:val="933" w:hRule="atLeast"/>
        </w:trPr>
        <w:tc>
          <w:tcPr>
            <w:tcW w:w="2445" w:type="dxa"/>
            <w:tcBorders>
              <w:top w:val="nil"/>
              <w:left w:val="nil"/>
              <w:right w:val="nil"/>
            </w:tcBorders>
          </w:tcPr>
          <w:p>
            <w:pPr>
              <w:pStyle w:val="TableParagraph"/>
              <w:spacing w:line="240" w:lineRule="auto" w:before="0"/>
              <w:jc w:val="left"/>
              <w:rPr>
                <w:rFonts w:ascii="Times New Roman"/>
                <w:sz w:val="22"/>
              </w:rPr>
            </w:pPr>
          </w:p>
        </w:tc>
        <w:tc>
          <w:tcPr>
            <w:tcW w:w="892" w:type="dxa"/>
            <w:tcBorders>
              <w:top w:val="nil"/>
              <w:left w:val="nil"/>
              <w:right w:val="nil"/>
            </w:tcBorders>
          </w:tcPr>
          <w:p>
            <w:pPr>
              <w:pStyle w:val="TableParagraph"/>
              <w:spacing w:line="204" w:lineRule="exact" w:before="0"/>
              <w:ind w:left="108"/>
              <w:jc w:val="left"/>
              <w:rPr>
                <w:rFonts w:ascii="Carlito"/>
                <w:b/>
                <w:sz w:val="20"/>
              </w:rPr>
            </w:pPr>
            <w:r>
              <w:rPr>
                <w:rFonts w:ascii="Carlito"/>
                <w:b/>
                <w:sz w:val="20"/>
              </w:rPr>
              <w:t>N.</w:t>
            </w:r>
            <w:r>
              <w:rPr>
                <w:rFonts w:ascii="Carlito"/>
                <w:b/>
                <w:spacing w:val="-3"/>
                <w:sz w:val="20"/>
              </w:rPr>
              <w:t> </w:t>
            </w:r>
            <w:r>
              <w:rPr>
                <w:rFonts w:ascii="Carlito"/>
                <w:b/>
                <w:sz w:val="20"/>
              </w:rPr>
              <w:t>Total</w:t>
            </w:r>
          </w:p>
          <w:p>
            <w:pPr>
              <w:pStyle w:val="TableParagraph"/>
              <w:spacing w:line="240" w:lineRule="auto" w:before="0"/>
              <w:ind w:left="108"/>
              <w:jc w:val="left"/>
              <w:rPr>
                <w:rFonts w:ascii="Carlito"/>
                <w:b/>
                <w:sz w:val="20"/>
              </w:rPr>
            </w:pPr>
            <w:r>
              <w:rPr>
                <w:rFonts w:ascii="Carlito"/>
                <w:b/>
                <w:sz w:val="20"/>
              </w:rPr>
              <w:t>Hogares</w:t>
            </w:r>
          </w:p>
        </w:tc>
        <w:tc>
          <w:tcPr>
            <w:tcW w:w="920" w:type="dxa"/>
            <w:tcBorders>
              <w:top w:val="nil"/>
              <w:left w:val="nil"/>
              <w:right w:val="nil"/>
            </w:tcBorders>
          </w:tcPr>
          <w:p>
            <w:pPr>
              <w:pStyle w:val="TableParagraph"/>
              <w:spacing w:line="204" w:lineRule="exact" w:before="0"/>
              <w:ind w:left="112"/>
              <w:jc w:val="left"/>
              <w:rPr>
                <w:rFonts w:ascii="Carlito"/>
                <w:b/>
                <w:sz w:val="20"/>
              </w:rPr>
            </w:pPr>
            <w:r>
              <w:rPr>
                <w:rFonts w:ascii="Carlito"/>
                <w:b/>
                <w:sz w:val="20"/>
              </w:rPr>
              <w:t>Muestra</w:t>
            </w:r>
          </w:p>
          <w:p>
            <w:pPr>
              <w:pStyle w:val="TableParagraph"/>
              <w:spacing w:line="240" w:lineRule="auto" w:before="0"/>
              <w:ind w:left="112"/>
              <w:jc w:val="left"/>
              <w:rPr>
                <w:rFonts w:ascii="Carlito"/>
                <w:b/>
                <w:sz w:val="20"/>
              </w:rPr>
            </w:pPr>
            <w:r>
              <w:rPr>
                <w:rFonts w:ascii="Carlito"/>
                <w:b/>
                <w:sz w:val="20"/>
              </w:rPr>
              <w:t>Meta</w:t>
            </w:r>
          </w:p>
        </w:tc>
        <w:tc>
          <w:tcPr>
            <w:tcW w:w="912" w:type="dxa"/>
            <w:tcBorders>
              <w:top w:val="nil"/>
              <w:left w:val="nil"/>
              <w:right w:val="nil"/>
            </w:tcBorders>
          </w:tcPr>
          <w:p>
            <w:pPr>
              <w:pStyle w:val="TableParagraph"/>
              <w:spacing w:line="204" w:lineRule="exact" w:before="0"/>
              <w:ind w:left="108"/>
              <w:jc w:val="left"/>
              <w:rPr>
                <w:rFonts w:ascii="Carlito"/>
                <w:b/>
                <w:sz w:val="20"/>
              </w:rPr>
            </w:pPr>
            <w:r>
              <w:rPr>
                <w:rFonts w:ascii="Carlito"/>
                <w:b/>
                <w:sz w:val="20"/>
              </w:rPr>
              <w:t>Margen</w:t>
            </w:r>
          </w:p>
          <w:p>
            <w:pPr>
              <w:pStyle w:val="TableParagraph"/>
              <w:spacing w:line="240" w:lineRule="auto" w:before="0"/>
              <w:ind w:left="108" w:right="87"/>
              <w:jc w:val="left"/>
              <w:rPr>
                <w:rFonts w:ascii="Carlito"/>
                <w:b/>
                <w:sz w:val="20"/>
              </w:rPr>
            </w:pPr>
            <w:r>
              <w:rPr>
                <w:rFonts w:ascii="Carlito"/>
                <w:b/>
                <w:sz w:val="20"/>
              </w:rPr>
              <w:t>de Error Buscado</w:t>
            </w:r>
          </w:p>
        </w:tc>
        <w:tc>
          <w:tcPr>
            <w:tcW w:w="920" w:type="dxa"/>
            <w:tcBorders>
              <w:top w:val="nil"/>
              <w:left w:val="nil"/>
              <w:right w:val="nil"/>
            </w:tcBorders>
          </w:tcPr>
          <w:p>
            <w:pPr>
              <w:pStyle w:val="TableParagraph"/>
              <w:spacing w:line="204" w:lineRule="exact" w:before="0"/>
              <w:ind w:left="108"/>
              <w:jc w:val="left"/>
              <w:rPr>
                <w:rFonts w:ascii="Carlito"/>
                <w:b/>
                <w:sz w:val="20"/>
              </w:rPr>
            </w:pPr>
            <w:r>
              <w:rPr>
                <w:rFonts w:ascii="Carlito"/>
                <w:b/>
                <w:sz w:val="20"/>
              </w:rPr>
              <w:t>Muestra</w:t>
            </w:r>
          </w:p>
          <w:p>
            <w:pPr>
              <w:pStyle w:val="TableParagraph"/>
              <w:spacing w:line="240" w:lineRule="auto" w:before="0"/>
              <w:ind w:left="108"/>
              <w:jc w:val="left"/>
              <w:rPr>
                <w:rFonts w:ascii="Carlito"/>
                <w:b/>
                <w:sz w:val="20"/>
              </w:rPr>
            </w:pPr>
            <w:r>
              <w:rPr>
                <w:rFonts w:ascii="Carlito"/>
                <w:b/>
                <w:sz w:val="20"/>
              </w:rPr>
              <w:t>Lograda</w:t>
            </w:r>
          </w:p>
        </w:tc>
        <w:tc>
          <w:tcPr>
            <w:tcW w:w="1240" w:type="dxa"/>
            <w:tcBorders>
              <w:top w:val="nil"/>
              <w:left w:val="nil"/>
              <w:right w:val="nil"/>
            </w:tcBorders>
          </w:tcPr>
          <w:p>
            <w:pPr>
              <w:pStyle w:val="TableParagraph"/>
              <w:spacing w:line="204" w:lineRule="exact" w:before="0"/>
              <w:ind w:left="109"/>
              <w:jc w:val="left"/>
              <w:rPr>
                <w:rFonts w:ascii="Carlito"/>
                <w:b/>
                <w:sz w:val="20"/>
              </w:rPr>
            </w:pPr>
            <w:r>
              <w:rPr>
                <w:rFonts w:ascii="Carlito"/>
                <w:b/>
                <w:sz w:val="20"/>
              </w:rPr>
              <w:t>Porcentaje</w:t>
            </w:r>
          </w:p>
          <w:p>
            <w:pPr>
              <w:pStyle w:val="TableParagraph"/>
              <w:spacing w:line="240" w:lineRule="auto" w:before="0"/>
              <w:ind w:left="109" w:right="156"/>
              <w:jc w:val="left"/>
              <w:rPr>
                <w:rFonts w:ascii="Carlito"/>
                <w:b/>
                <w:sz w:val="20"/>
              </w:rPr>
            </w:pPr>
            <w:r>
              <w:rPr>
                <w:rFonts w:ascii="Carlito"/>
                <w:b/>
                <w:sz w:val="20"/>
              </w:rPr>
              <w:t>de Muestra Logrado</w:t>
            </w:r>
          </w:p>
        </w:tc>
        <w:tc>
          <w:tcPr>
            <w:tcW w:w="1279" w:type="dxa"/>
            <w:tcBorders>
              <w:top w:val="nil"/>
              <w:left w:val="nil"/>
              <w:right w:val="nil"/>
            </w:tcBorders>
          </w:tcPr>
          <w:p>
            <w:pPr>
              <w:pStyle w:val="TableParagraph"/>
              <w:spacing w:line="204" w:lineRule="exact" w:before="0"/>
              <w:ind w:left="109"/>
              <w:jc w:val="left"/>
              <w:rPr>
                <w:rFonts w:ascii="Carlito"/>
                <w:b/>
                <w:sz w:val="20"/>
              </w:rPr>
            </w:pPr>
            <w:r>
              <w:rPr>
                <w:rFonts w:ascii="Carlito"/>
                <w:b/>
                <w:sz w:val="20"/>
              </w:rPr>
              <w:t>Margen de</w:t>
            </w:r>
          </w:p>
          <w:p>
            <w:pPr>
              <w:pStyle w:val="TableParagraph"/>
              <w:spacing w:line="240" w:lineRule="auto" w:before="0"/>
              <w:ind w:left="109" w:right="448"/>
              <w:jc w:val="left"/>
              <w:rPr>
                <w:rFonts w:ascii="Carlito"/>
                <w:b/>
                <w:sz w:val="20"/>
              </w:rPr>
            </w:pPr>
            <w:r>
              <w:rPr>
                <w:rFonts w:ascii="Carlito"/>
                <w:b/>
                <w:sz w:val="20"/>
              </w:rPr>
              <w:t>Error Muestra</w:t>
            </w:r>
          </w:p>
          <w:p>
            <w:pPr>
              <w:pStyle w:val="TableParagraph"/>
              <w:spacing w:line="221" w:lineRule="exact" w:before="0"/>
              <w:ind w:left="109"/>
              <w:jc w:val="left"/>
              <w:rPr>
                <w:rFonts w:ascii="Carlito"/>
                <w:b/>
                <w:sz w:val="20"/>
              </w:rPr>
            </w:pPr>
            <w:r>
              <w:rPr>
                <w:rFonts w:ascii="Carlito"/>
                <w:b/>
                <w:sz w:val="20"/>
              </w:rPr>
              <w:t>Lograda</w:t>
            </w:r>
          </w:p>
        </w:tc>
      </w:tr>
      <w:tr>
        <w:trPr>
          <w:trHeight w:val="290" w:hRule="atLeast"/>
        </w:trPr>
        <w:tc>
          <w:tcPr>
            <w:tcW w:w="2445" w:type="dxa"/>
            <w:tcBorders>
              <w:left w:val="nil"/>
              <w:bottom w:val="nil"/>
            </w:tcBorders>
          </w:tcPr>
          <w:p>
            <w:pPr>
              <w:pStyle w:val="TableParagraph"/>
              <w:spacing w:line="240" w:lineRule="auto" w:before="4"/>
              <w:ind w:left="116"/>
              <w:jc w:val="left"/>
              <w:rPr>
                <w:rFonts w:ascii="Carlito" w:hAnsi="Carlito"/>
                <w:i/>
                <w:sz w:val="20"/>
              </w:rPr>
            </w:pPr>
            <w:r>
              <w:rPr>
                <w:rFonts w:ascii="Carlito" w:hAnsi="Carlito"/>
                <w:i/>
                <w:sz w:val="20"/>
              </w:rPr>
              <w:t>Población Total de Hogares</w:t>
            </w:r>
          </w:p>
        </w:tc>
        <w:tc>
          <w:tcPr>
            <w:tcW w:w="892" w:type="dxa"/>
            <w:shd w:val="clear" w:color="auto" w:fill="CCCCCC"/>
          </w:tcPr>
          <w:p>
            <w:pPr>
              <w:pStyle w:val="TableParagraph"/>
              <w:spacing w:line="240" w:lineRule="auto" w:before="4"/>
              <w:ind w:right="100"/>
              <w:rPr>
                <w:rFonts w:ascii="Carlito"/>
                <w:sz w:val="20"/>
              </w:rPr>
            </w:pPr>
            <w:r>
              <w:rPr>
                <w:rFonts w:ascii="Carlito"/>
                <w:sz w:val="20"/>
              </w:rPr>
              <w:t>3431</w:t>
            </w:r>
          </w:p>
        </w:tc>
        <w:tc>
          <w:tcPr>
            <w:tcW w:w="920" w:type="dxa"/>
            <w:shd w:val="clear" w:color="auto" w:fill="CCCCCC"/>
          </w:tcPr>
          <w:p>
            <w:pPr>
              <w:pStyle w:val="TableParagraph"/>
              <w:spacing w:line="240" w:lineRule="auto" w:before="4"/>
              <w:ind w:right="101"/>
              <w:rPr>
                <w:rFonts w:ascii="Carlito"/>
                <w:sz w:val="20"/>
              </w:rPr>
            </w:pPr>
            <w:r>
              <w:rPr>
                <w:rFonts w:ascii="Carlito"/>
                <w:sz w:val="20"/>
              </w:rPr>
              <w:t>626</w:t>
            </w:r>
          </w:p>
        </w:tc>
        <w:tc>
          <w:tcPr>
            <w:tcW w:w="912" w:type="dxa"/>
            <w:shd w:val="clear" w:color="auto" w:fill="CCCCCC"/>
          </w:tcPr>
          <w:p>
            <w:pPr>
              <w:pStyle w:val="TableParagraph"/>
              <w:spacing w:line="240" w:lineRule="auto" w:before="0"/>
              <w:jc w:val="left"/>
              <w:rPr>
                <w:rFonts w:ascii="Times New Roman"/>
                <w:sz w:val="20"/>
              </w:rPr>
            </w:pPr>
          </w:p>
        </w:tc>
        <w:tc>
          <w:tcPr>
            <w:tcW w:w="920" w:type="dxa"/>
            <w:shd w:val="clear" w:color="auto" w:fill="CCCCCC"/>
          </w:tcPr>
          <w:p>
            <w:pPr>
              <w:pStyle w:val="TableParagraph"/>
              <w:spacing w:line="240" w:lineRule="auto" w:before="4"/>
              <w:ind w:right="103"/>
              <w:rPr>
                <w:rFonts w:ascii="Carlito"/>
                <w:sz w:val="20"/>
              </w:rPr>
            </w:pPr>
            <w:r>
              <w:rPr>
                <w:rFonts w:ascii="Carlito"/>
                <w:sz w:val="20"/>
              </w:rPr>
              <w:t>281</w:t>
            </w:r>
          </w:p>
        </w:tc>
        <w:tc>
          <w:tcPr>
            <w:tcW w:w="1240" w:type="dxa"/>
            <w:shd w:val="clear" w:color="auto" w:fill="CCCCCC"/>
          </w:tcPr>
          <w:p>
            <w:pPr>
              <w:pStyle w:val="TableParagraph"/>
              <w:spacing w:line="240" w:lineRule="auto" w:before="4"/>
              <w:ind w:right="105"/>
              <w:rPr>
                <w:rFonts w:ascii="Carlito"/>
                <w:sz w:val="20"/>
              </w:rPr>
            </w:pPr>
            <w:r>
              <w:rPr>
                <w:rFonts w:ascii="Carlito"/>
                <w:sz w:val="20"/>
              </w:rPr>
              <w:t>44.89%</w:t>
            </w:r>
          </w:p>
        </w:tc>
        <w:tc>
          <w:tcPr>
            <w:tcW w:w="1279" w:type="dxa"/>
            <w:shd w:val="clear" w:color="auto" w:fill="CCCCCC"/>
          </w:tcPr>
          <w:p>
            <w:pPr>
              <w:pStyle w:val="TableParagraph"/>
              <w:spacing w:line="240" w:lineRule="auto" w:before="0"/>
              <w:jc w:val="left"/>
              <w:rPr>
                <w:rFonts w:ascii="Times New Roman"/>
                <w:sz w:val="20"/>
              </w:rPr>
            </w:pPr>
          </w:p>
        </w:tc>
      </w:tr>
      <w:tr>
        <w:trPr>
          <w:trHeight w:val="573" w:hRule="atLeast"/>
        </w:trPr>
        <w:tc>
          <w:tcPr>
            <w:tcW w:w="2445" w:type="dxa"/>
            <w:tcBorders>
              <w:top w:val="nil"/>
              <w:left w:val="nil"/>
              <w:bottom w:val="nil"/>
            </w:tcBorders>
          </w:tcPr>
          <w:p>
            <w:pPr>
              <w:pStyle w:val="TableParagraph"/>
              <w:spacing w:line="240" w:lineRule="auto" w:before="0"/>
              <w:ind w:right="106"/>
              <w:rPr>
                <w:rFonts w:ascii="Carlito" w:hAnsi="Carlito"/>
                <w:i/>
                <w:sz w:val="20"/>
              </w:rPr>
            </w:pPr>
            <w:r>
              <w:rPr>
                <w:rFonts w:ascii="Carlito" w:hAnsi="Carlito"/>
                <w:i/>
                <w:sz w:val="20"/>
              </w:rPr>
              <w:t>Población Total</w:t>
            </w:r>
            <w:r>
              <w:rPr>
                <w:rFonts w:ascii="Carlito" w:hAnsi="Carlito"/>
                <w:i/>
                <w:spacing w:val="-8"/>
                <w:sz w:val="20"/>
              </w:rPr>
              <w:t> </w:t>
            </w:r>
            <w:r>
              <w:rPr>
                <w:rFonts w:ascii="Carlito" w:hAnsi="Carlito"/>
                <w:i/>
                <w:sz w:val="20"/>
              </w:rPr>
              <w:t>Hogares</w:t>
            </w:r>
          </w:p>
          <w:p>
            <w:pPr>
              <w:pStyle w:val="TableParagraph"/>
              <w:spacing w:line="240" w:lineRule="auto" w:before="4"/>
              <w:ind w:right="100"/>
              <w:rPr>
                <w:rFonts w:ascii="Carlito"/>
                <w:i/>
                <w:sz w:val="20"/>
              </w:rPr>
            </w:pPr>
            <w:r>
              <w:rPr>
                <w:rFonts w:ascii="Carlito"/>
                <w:i/>
                <w:sz w:val="20"/>
              </w:rPr>
              <w:t>Com.</w:t>
            </w:r>
            <w:r>
              <w:rPr>
                <w:rFonts w:ascii="Carlito"/>
                <w:i/>
                <w:spacing w:val="-2"/>
                <w:sz w:val="20"/>
              </w:rPr>
              <w:t> </w:t>
            </w:r>
            <w:r>
              <w:rPr>
                <w:rFonts w:ascii="Carlito"/>
                <w:i/>
                <w:sz w:val="20"/>
              </w:rPr>
              <w:t>Deudoras</w:t>
            </w:r>
          </w:p>
        </w:tc>
        <w:tc>
          <w:tcPr>
            <w:tcW w:w="892" w:type="dxa"/>
          </w:tcPr>
          <w:p>
            <w:pPr>
              <w:pStyle w:val="TableParagraph"/>
              <w:spacing w:line="240" w:lineRule="auto" w:before="0"/>
              <w:ind w:right="100"/>
              <w:rPr>
                <w:rFonts w:ascii="Carlito"/>
                <w:sz w:val="20"/>
              </w:rPr>
            </w:pPr>
            <w:r>
              <w:rPr>
                <w:rFonts w:ascii="Carlito"/>
                <w:sz w:val="20"/>
              </w:rPr>
              <w:t>2008</w:t>
            </w:r>
          </w:p>
        </w:tc>
        <w:tc>
          <w:tcPr>
            <w:tcW w:w="920" w:type="dxa"/>
          </w:tcPr>
          <w:p>
            <w:pPr>
              <w:pStyle w:val="TableParagraph"/>
              <w:spacing w:line="240" w:lineRule="auto" w:before="0"/>
              <w:ind w:right="101"/>
              <w:rPr>
                <w:rFonts w:ascii="Carlito"/>
                <w:sz w:val="20"/>
              </w:rPr>
            </w:pPr>
            <w:r>
              <w:rPr>
                <w:rFonts w:ascii="Carlito"/>
                <w:sz w:val="20"/>
              </w:rPr>
              <w:t>323</w:t>
            </w:r>
          </w:p>
        </w:tc>
        <w:tc>
          <w:tcPr>
            <w:tcW w:w="912" w:type="dxa"/>
          </w:tcPr>
          <w:p>
            <w:pPr>
              <w:pStyle w:val="TableParagraph"/>
              <w:spacing w:line="240" w:lineRule="auto" w:before="0"/>
              <w:ind w:right="102"/>
              <w:rPr>
                <w:rFonts w:ascii="Carlito"/>
                <w:sz w:val="20"/>
              </w:rPr>
            </w:pPr>
            <w:r>
              <w:rPr>
                <w:rFonts w:ascii="Carlito"/>
                <w:sz w:val="20"/>
              </w:rPr>
              <w:t>5%</w:t>
            </w:r>
          </w:p>
        </w:tc>
        <w:tc>
          <w:tcPr>
            <w:tcW w:w="920" w:type="dxa"/>
          </w:tcPr>
          <w:p>
            <w:pPr>
              <w:pStyle w:val="TableParagraph"/>
              <w:spacing w:line="240" w:lineRule="auto" w:before="0"/>
              <w:ind w:right="103"/>
              <w:rPr>
                <w:rFonts w:ascii="Carlito"/>
                <w:sz w:val="20"/>
              </w:rPr>
            </w:pPr>
            <w:r>
              <w:rPr>
                <w:rFonts w:ascii="Carlito"/>
                <w:sz w:val="20"/>
              </w:rPr>
              <w:t>116</w:t>
            </w:r>
          </w:p>
        </w:tc>
        <w:tc>
          <w:tcPr>
            <w:tcW w:w="1240" w:type="dxa"/>
          </w:tcPr>
          <w:p>
            <w:pPr>
              <w:pStyle w:val="TableParagraph"/>
              <w:spacing w:line="240" w:lineRule="auto" w:before="0"/>
              <w:ind w:right="105"/>
              <w:rPr>
                <w:rFonts w:ascii="Carlito"/>
                <w:sz w:val="20"/>
              </w:rPr>
            </w:pPr>
            <w:r>
              <w:rPr>
                <w:rFonts w:ascii="Carlito"/>
                <w:sz w:val="20"/>
              </w:rPr>
              <w:t>35.91%</w:t>
            </w:r>
          </w:p>
        </w:tc>
        <w:tc>
          <w:tcPr>
            <w:tcW w:w="1279" w:type="dxa"/>
          </w:tcPr>
          <w:p>
            <w:pPr>
              <w:pStyle w:val="TableParagraph"/>
              <w:spacing w:line="240" w:lineRule="auto" w:before="0"/>
              <w:ind w:right="100"/>
              <w:rPr>
                <w:rFonts w:ascii="Carlito"/>
                <w:sz w:val="20"/>
              </w:rPr>
            </w:pPr>
            <w:r>
              <w:rPr>
                <w:rFonts w:ascii="Carlito"/>
                <w:sz w:val="20"/>
              </w:rPr>
              <w:t>9%</w:t>
            </w:r>
          </w:p>
        </w:tc>
      </w:tr>
      <w:tr>
        <w:trPr>
          <w:trHeight w:val="578" w:hRule="atLeast"/>
        </w:trPr>
        <w:tc>
          <w:tcPr>
            <w:tcW w:w="2445" w:type="dxa"/>
            <w:tcBorders>
              <w:top w:val="nil"/>
              <w:left w:val="nil"/>
              <w:bottom w:val="nil"/>
            </w:tcBorders>
          </w:tcPr>
          <w:p>
            <w:pPr>
              <w:pStyle w:val="TableParagraph"/>
              <w:spacing w:line="240" w:lineRule="auto" w:before="5"/>
              <w:ind w:right="106"/>
              <w:rPr>
                <w:rFonts w:ascii="Carlito" w:hAnsi="Carlito"/>
                <w:i/>
                <w:sz w:val="20"/>
              </w:rPr>
            </w:pPr>
            <w:r>
              <w:rPr>
                <w:rFonts w:ascii="Carlito" w:hAnsi="Carlito"/>
                <w:i/>
                <w:sz w:val="20"/>
              </w:rPr>
              <w:t>Población Total</w:t>
            </w:r>
            <w:r>
              <w:rPr>
                <w:rFonts w:ascii="Carlito" w:hAnsi="Carlito"/>
                <w:i/>
                <w:spacing w:val="-8"/>
                <w:sz w:val="20"/>
              </w:rPr>
              <w:t> </w:t>
            </w:r>
            <w:r>
              <w:rPr>
                <w:rFonts w:ascii="Carlito" w:hAnsi="Carlito"/>
                <w:i/>
                <w:sz w:val="20"/>
              </w:rPr>
              <w:t>Hogares</w:t>
            </w:r>
          </w:p>
          <w:p>
            <w:pPr>
              <w:pStyle w:val="TableParagraph"/>
              <w:spacing w:line="240" w:lineRule="auto" w:before="0"/>
              <w:ind w:right="104"/>
              <w:rPr>
                <w:rFonts w:ascii="Carlito"/>
                <w:i/>
                <w:sz w:val="20"/>
              </w:rPr>
            </w:pPr>
            <w:r>
              <w:rPr>
                <w:rFonts w:ascii="Carlito"/>
                <w:i/>
                <w:sz w:val="20"/>
              </w:rPr>
              <w:t>Com.</w:t>
            </w:r>
            <w:r>
              <w:rPr>
                <w:rFonts w:ascii="Carlito"/>
                <w:i/>
                <w:spacing w:val="-2"/>
                <w:sz w:val="20"/>
              </w:rPr>
              <w:t> </w:t>
            </w:r>
            <w:r>
              <w:rPr>
                <w:rFonts w:ascii="Carlito"/>
                <w:i/>
                <w:sz w:val="20"/>
              </w:rPr>
              <w:t>Acreedoras</w:t>
            </w:r>
          </w:p>
        </w:tc>
        <w:tc>
          <w:tcPr>
            <w:tcW w:w="892" w:type="dxa"/>
            <w:shd w:val="clear" w:color="auto" w:fill="CCCCCC"/>
          </w:tcPr>
          <w:p>
            <w:pPr>
              <w:pStyle w:val="TableParagraph"/>
              <w:spacing w:line="240" w:lineRule="auto" w:before="5"/>
              <w:ind w:right="100"/>
              <w:rPr>
                <w:rFonts w:ascii="Carlito"/>
                <w:sz w:val="20"/>
              </w:rPr>
            </w:pPr>
            <w:r>
              <w:rPr>
                <w:rFonts w:ascii="Carlito"/>
                <w:sz w:val="20"/>
              </w:rPr>
              <w:t>1423</w:t>
            </w:r>
          </w:p>
        </w:tc>
        <w:tc>
          <w:tcPr>
            <w:tcW w:w="920" w:type="dxa"/>
            <w:shd w:val="clear" w:color="auto" w:fill="CCCCCC"/>
          </w:tcPr>
          <w:p>
            <w:pPr>
              <w:pStyle w:val="TableParagraph"/>
              <w:spacing w:line="240" w:lineRule="auto" w:before="5"/>
              <w:ind w:right="101"/>
              <w:rPr>
                <w:rFonts w:ascii="Carlito"/>
                <w:sz w:val="20"/>
              </w:rPr>
            </w:pPr>
            <w:r>
              <w:rPr>
                <w:rFonts w:ascii="Carlito"/>
                <w:sz w:val="20"/>
              </w:rPr>
              <w:t>303</w:t>
            </w:r>
          </w:p>
        </w:tc>
        <w:tc>
          <w:tcPr>
            <w:tcW w:w="912" w:type="dxa"/>
            <w:shd w:val="clear" w:color="auto" w:fill="CCCCCC"/>
          </w:tcPr>
          <w:p>
            <w:pPr>
              <w:pStyle w:val="TableParagraph"/>
              <w:spacing w:line="240" w:lineRule="auto" w:before="5"/>
              <w:ind w:right="102"/>
              <w:rPr>
                <w:rFonts w:ascii="Carlito"/>
                <w:sz w:val="20"/>
              </w:rPr>
            </w:pPr>
            <w:r>
              <w:rPr>
                <w:rFonts w:ascii="Carlito"/>
                <w:sz w:val="20"/>
              </w:rPr>
              <w:t>5%</w:t>
            </w:r>
          </w:p>
        </w:tc>
        <w:tc>
          <w:tcPr>
            <w:tcW w:w="920" w:type="dxa"/>
            <w:shd w:val="clear" w:color="auto" w:fill="CCCCCC"/>
          </w:tcPr>
          <w:p>
            <w:pPr>
              <w:pStyle w:val="TableParagraph"/>
              <w:spacing w:line="240" w:lineRule="auto" w:before="5"/>
              <w:ind w:right="103"/>
              <w:rPr>
                <w:rFonts w:ascii="Carlito"/>
                <w:sz w:val="20"/>
              </w:rPr>
            </w:pPr>
            <w:r>
              <w:rPr>
                <w:rFonts w:ascii="Carlito"/>
                <w:sz w:val="20"/>
              </w:rPr>
              <w:t>165</w:t>
            </w:r>
          </w:p>
        </w:tc>
        <w:tc>
          <w:tcPr>
            <w:tcW w:w="1240" w:type="dxa"/>
            <w:shd w:val="clear" w:color="auto" w:fill="CCCCCC"/>
          </w:tcPr>
          <w:p>
            <w:pPr>
              <w:pStyle w:val="TableParagraph"/>
              <w:spacing w:line="240" w:lineRule="auto" w:before="5"/>
              <w:ind w:right="105"/>
              <w:rPr>
                <w:rFonts w:ascii="Carlito"/>
                <w:sz w:val="20"/>
              </w:rPr>
            </w:pPr>
            <w:r>
              <w:rPr>
                <w:rFonts w:ascii="Carlito"/>
                <w:sz w:val="20"/>
              </w:rPr>
              <w:t>54.46%</w:t>
            </w:r>
          </w:p>
        </w:tc>
        <w:tc>
          <w:tcPr>
            <w:tcW w:w="1279" w:type="dxa"/>
            <w:shd w:val="clear" w:color="auto" w:fill="CCCCCC"/>
          </w:tcPr>
          <w:p>
            <w:pPr>
              <w:pStyle w:val="TableParagraph"/>
              <w:spacing w:line="240" w:lineRule="auto" w:before="5"/>
              <w:ind w:right="100"/>
              <w:rPr>
                <w:rFonts w:ascii="Carlito"/>
                <w:sz w:val="20"/>
              </w:rPr>
            </w:pPr>
            <w:r>
              <w:rPr>
                <w:rFonts w:ascii="Carlito"/>
                <w:sz w:val="20"/>
              </w:rPr>
              <w:t>7%</w:t>
            </w:r>
          </w:p>
        </w:tc>
      </w:tr>
    </w:tbl>
    <w:p>
      <w:pPr>
        <w:pStyle w:val="BodyText"/>
        <w:rPr>
          <w:i/>
          <w:sz w:val="22"/>
        </w:rPr>
      </w:pPr>
    </w:p>
    <w:p>
      <w:pPr>
        <w:pStyle w:val="BodyText"/>
        <w:spacing w:before="5"/>
        <w:rPr>
          <w:i/>
          <w:sz w:val="31"/>
        </w:rPr>
      </w:pPr>
    </w:p>
    <w:p>
      <w:pPr>
        <w:pStyle w:val="BodyText"/>
        <w:spacing w:line="360" w:lineRule="auto"/>
        <w:ind w:left="220" w:right="645"/>
        <w:jc w:val="both"/>
      </w:pPr>
      <w:r>
        <w:rPr/>
        <w:t>Las casas se visitaron gracias a la ayuda de grupos de voluntarios de la Fundación Neotrópica que fueron capacitados en la aplicación de los cuestionarios de Huella Ecológica. Los grupos de voluntarios se subdividieron para efectos de que, en la</w:t>
      </w:r>
    </w:p>
    <w:p>
      <w:pPr>
        <w:spacing w:after="0" w:line="360" w:lineRule="auto"/>
        <w:jc w:val="both"/>
        <w:sectPr>
          <w:pgSz w:w="12240" w:h="15840"/>
          <w:pgMar w:header="0" w:footer="1062" w:top="1340" w:bottom="1260" w:left="1480" w:right="820"/>
        </w:sectPr>
      </w:pPr>
    </w:p>
    <w:p>
      <w:pPr>
        <w:pStyle w:val="BodyText"/>
        <w:spacing w:line="362" w:lineRule="auto" w:before="75"/>
        <w:ind w:left="220" w:right="641"/>
        <w:jc w:val="both"/>
      </w:pPr>
      <w:r>
        <w:rPr/>
        <w:t>medida</w:t>
      </w:r>
      <w:r>
        <w:rPr>
          <w:spacing w:val="-11"/>
        </w:rPr>
        <w:t> </w:t>
      </w:r>
      <w:r>
        <w:rPr/>
        <w:t>de</w:t>
      </w:r>
      <w:r>
        <w:rPr>
          <w:spacing w:val="-10"/>
        </w:rPr>
        <w:t> </w:t>
      </w:r>
      <w:r>
        <w:rPr/>
        <w:t>lo</w:t>
      </w:r>
      <w:r>
        <w:rPr>
          <w:spacing w:val="-7"/>
        </w:rPr>
        <w:t> </w:t>
      </w:r>
      <w:r>
        <w:rPr/>
        <w:t>posible,</w:t>
      </w:r>
      <w:r>
        <w:rPr>
          <w:spacing w:val="-8"/>
        </w:rPr>
        <w:t> </w:t>
      </w:r>
      <w:r>
        <w:rPr/>
        <w:t>cada</w:t>
      </w:r>
      <w:r>
        <w:rPr>
          <w:spacing w:val="-10"/>
        </w:rPr>
        <w:t> </w:t>
      </w:r>
      <w:r>
        <w:rPr/>
        <w:t>casa</w:t>
      </w:r>
      <w:r>
        <w:rPr>
          <w:spacing w:val="-11"/>
        </w:rPr>
        <w:t> </w:t>
      </w:r>
      <w:r>
        <w:rPr/>
        <w:t>fue</w:t>
      </w:r>
      <w:r>
        <w:rPr>
          <w:spacing w:val="-10"/>
        </w:rPr>
        <w:t> </w:t>
      </w:r>
      <w:r>
        <w:rPr/>
        <w:t>visitada</w:t>
      </w:r>
      <w:r>
        <w:rPr>
          <w:spacing w:val="-11"/>
        </w:rPr>
        <w:t> </w:t>
      </w:r>
      <w:r>
        <w:rPr/>
        <w:t>por</w:t>
      </w:r>
      <w:r>
        <w:rPr>
          <w:spacing w:val="-8"/>
        </w:rPr>
        <w:t> </w:t>
      </w:r>
      <w:r>
        <w:rPr/>
        <w:t>un</w:t>
      </w:r>
      <w:r>
        <w:rPr>
          <w:spacing w:val="-7"/>
        </w:rPr>
        <w:t> </w:t>
      </w:r>
      <w:r>
        <w:rPr/>
        <w:t>mínimo</w:t>
      </w:r>
      <w:r>
        <w:rPr>
          <w:spacing w:val="-6"/>
        </w:rPr>
        <w:t> </w:t>
      </w:r>
      <w:r>
        <w:rPr/>
        <w:t>de</w:t>
      </w:r>
      <w:r>
        <w:rPr>
          <w:spacing w:val="-11"/>
        </w:rPr>
        <w:t> </w:t>
      </w:r>
      <w:r>
        <w:rPr/>
        <w:t>dos</w:t>
      </w:r>
      <w:r>
        <w:rPr>
          <w:spacing w:val="-8"/>
        </w:rPr>
        <w:t> </w:t>
      </w:r>
      <w:r>
        <w:rPr/>
        <w:t>personas</w:t>
      </w:r>
      <w:r>
        <w:rPr>
          <w:spacing w:val="-5"/>
        </w:rPr>
        <w:t> </w:t>
      </w:r>
      <w:r>
        <w:rPr/>
        <w:t>con</w:t>
      </w:r>
      <w:r>
        <w:rPr>
          <w:spacing w:val="-11"/>
        </w:rPr>
        <w:t> </w:t>
      </w:r>
      <w:r>
        <w:rPr>
          <w:spacing w:val="2"/>
        </w:rPr>
        <w:t>el</w:t>
      </w:r>
      <w:r>
        <w:rPr>
          <w:spacing w:val="-9"/>
        </w:rPr>
        <w:t> </w:t>
      </w:r>
      <w:r>
        <w:rPr/>
        <w:t>fin de que se pudiesen apoyar en la facilitación del</w:t>
      </w:r>
      <w:r>
        <w:rPr>
          <w:spacing w:val="-12"/>
        </w:rPr>
        <w:t> </w:t>
      </w:r>
      <w:r>
        <w:rPr/>
        <w:t>proceso.</w:t>
      </w:r>
    </w:p>
    <w:p>
      <w:pPr>
        <w:pStyle w:val="BodyText"/>
        <w:spacing w:line="360" w:lineRule="auto" w:before="195"/>
        <w:ind w:left="220" w:right="648"/>
        <w:jc w:val="both"/>
      </w:pPr>
      <w:r>
        <w:rPr/>
        <w:t>El muestreo tuvo como dificultades la disponibilidad de los habitantes de los hogares para atender a los grupos de encuestadores. Ello se presentó con mayor frecuencia en las comunidades deudoras. Asimismo, la restricción física del acceso de varias</w:t>
      </w:r>
      <w:r>
        <w:rPr>
          <w:spacing w:val="-34"/>
        </w:rPr>
        <w:t> </w:t>
      </w:r>
      <w:r>
        <w:rPr/>
        <w:t>de las comunidades produjo dificultades de muestreo. Se visitaron las casas generalmente entre las 10 de la mañana y las 4 de la tarde. Los días de la semana fueron</w:t>
      </w:r>
      <w:r>
        <w:rPr>
          <w:spacing w:val="-17"/>
        </w:rPr>
        <w:t> </w:t>
      </w:r>
      <w:r>
        <w:rPr/>
        <w:t>variados</w:t>
      </w:r>
      <w:r>
        <w:rPr>
          <w:spacing w:val="-15"/>
        </w:rPr>
        <w:t> </w:t>
      </w:r>
      <w:r>
        <w:rPr/>
        <w:t>con</w:t>
      </w:r>
      <w:r>
        <w:rPr>
          <w:spacing w:val="-17"/>
        </w:rPr>
        <w:t> </w:t>
      </w:r>
      <w:r>
        <w:rPr/>
        <w:t>el</w:t>
      </w:r>
      <w:r>
        <w:rPr>
          <w:spacing w:val="-16"/>
        </w:rPr>
        <w:t> </w:t>
      </w:r>
      <w:r>
        <w:rPr/>
        <w:t>fin</w:t>
      </w:r>
      <w:r>
        <w:rPr>
          <w:spacing w:val="-17"/>
        </w:rPr>
        <w:t> </w:t>
      </w:r>
      <w:r>
        <w:rPr/>
        <w:t>de</w:t>
      </w:r>
      <w:r>
        <w:rPr>
          <w:spacing w:val="-17"/>
        </w:rPr>
        <w:t> </w:t>
      </w:r>
      <w:r>
        <w:rPr/>
        <w:t>mantener</w:t>
      </w:r>
      <w:r>
        <w:rPr>
          <w:spacing w:val="-15"/>
        </w:rPr>
        <w:t> </w:t>
      </w:r>
      <w:r>
        <w:rPr/>
        <w:t>la</w:t>
      </w:r>
      <w:r>
        <w:rPr>
          <w:spacing w:val="-17"/>
        </w:rPr>
        <w:t> </w:t>
      </w:r>
      <w:r>
        <w:rPr/>
        <w:t>naturaleza</w:t>
      </w:r>
      <w:r>
        <w:rPr>
          <w:spacing w:val="-17"/>
        </w:rPr>
        <w:t> </w:t>
      </w:r>
      <w:r>
        <w:rPr/>
        <w:t>aleatoria</w:t>
      </w:r>
      <w:r>
        <w:rPr>
          <w:spacing w:val="-17"/>
        </w:rPr>
        <w:t> </w:t>
      </w:r>
      <w:r>
        <w:rPr/>
        <w:t>de</w:t>
      </w:r>
      <w:r>
        <w:rPr>
          <w:spacing w:val="-17"/>
        </w:rPr>
        <w:t> </w:t>
      </w:r>
      <w:r>
        <w:rPr/>
        <w:t>la</w:t>
      </w:r>
      <w:r>
        <w:rPr>
          <w:spacing w:val="-17"/>
        </w:rPr>
        <w:t> </w:t>
      </w:r>
      <w:r>
        <w:rPr/>
        <w:t>muestra.</w:t>
      </w:r>
      <w:r>
        <w:rPr>
          <w:spacing w:val="-14"/>
        </w:rPr>
        <w:t> </w:t>
      </w:r>
      <w:r>
        <w:rPr/>
        <w:t>Las</w:t>
      </w:r>
      <w:r>
        <w:rPr>
          <w:spacing w:val="-15"/>
        </w:rPr>
        <w:t> </w:t>
      </w:r>
      <w:r>
        <w:rPr/>
        <w:t>casas que</w:t>
      </w:r>
      <w:r>
        <w:rPr>
          <w:spacing w:val="-18"/>
        </w:rPr>
        <w:t> </w:t>
      </w:r>
      <w:r>
        <w:rPr/>
        <w:t>se</w:t>
      </w:r>
      <w:r>
        <w:rPr>
          <w:spacing w:val="-17"/>
        </w:rPr>
        <w:t> </w:t>
      </w:r>
      <w:r>
        <w:rPr/>
        <w:t>encontraron</w:t>
      </w:r>
      <w:r>
        <w:rPr>
          <w:spacing w:val="-17"/>
        </w:rPr>
        <w:t> </w:t>
      </w:r>
      <w:r>
        <w:rPr/>
        <w:t>sin</w:t>
      </w:r>
      <w:r>
        <w:rPr>
          <w:spacing w:val="-17"/>
        </w:rPr>
        <w:t> </w:t>
      </w:r>
      <w:r>
        <w:rPr/>
        <w:t>que</w:t>
      </w:r>
      <w:r>
        <w:rPr>
          <w:spacing w:val="-18"/>
        </w:rPr>
        <w:t> </w:t>
      </w:r>
      <w:r>
        <w:rPr/>
        <w:t>sus</w:t>
      </w:r>
      <w:r>
        <w:rPr>
          <w:spacing w:val="-15"/>
        </w:rPr>
        <w:t> </w:t>
      </w:r>
      <w:r>
        <w:rPr/>
        <w:t>moradores</w:t>
      </w:r>
      <w:r>
        <w:rPr>
          <w:spacing w:val="-16"/>
        </w:rPr>
        <w:t> </w:t>
      </w:r>
      <w:r>
        <w:rPr/>
        <w:t>estuvieran</w:t>
      </w:r>
      <w:r>
        <w:rPr>
          <w:spacing w:val="-17"/>
        </w:rPr>
        <w:t> </w:t>
      </w:r>
      <w:r>
        <w:rPr/>
        <w:t>presentes</w:t>
      </w:r>
      <w:r>
        <w:rPr>
          <w:spacing w:val="-15"/>
        </w:rPr>
        <w:t> </w:t>
      </w:r>
      <w:r>
        <w:rPr/>
        <w:t>no</w:t>
      </w:r>
      <w:r>
        <w:rPr>
          <w:spacing w:val="-17"/>
        </w:rPr>
        <w:t> </w:t>
      </w:r>
      <w:r>
        <w:rPr/>
        <w:t>fueron</w:t>
      </w:r>
      <w:r>
        <w:rPr>
          <w:spacing w:val="-18"/>
        </w:rPr>
        <w:t> </w:t>
      </w:r>
      <w:r>
        <w:rPr/>
        <w:t>revisitadas.</w:t>
      </w:r>
    </w:p>
    <w:p>
      <w:pPr>
        <w:pStyle w:val="BodyText"/>
        <w:spacing w:line="360" w:lineRule="auto" w:before="203"/>
        <w:ind w:left="220" w:right="645"/>
        <w:jc w:val="both"/>
      </w:pPr>
      <w:r>
        <w:rPr/>
        <w:t>Según lo presenta el Cuadro 9, se logró una cobertura muestral de 116 hogares deudores</w:t>
      </w:r>
      <w:r>
        <w:rPr>
          <w:spacing w:val="-8"/>
        </w:rPr>
        <w:t> </w:t>
      </w:r>
      <w:r>
        <w:rPr/>
        <w:t>y</w:t>
      </w:r>
      <w:r>
        <w:rPr>
          <w:spacing w:val="-15"/>
        </w:rPr>
        <w:t> </w:t>
      </w:r>
      <w:r>
        <w:rPr/>
        <w:t>165</w:t>
      </w:r>
      <w:r>
        <w:rPr>
          <w:spacing w:val="-13"/>
        </w:rPr>
        <w:t> </w:t>
      </w:r>
      <w:r>
        <w:rPr/>
        <w:t>hogares</w:t>
      </w:r>
      <w:r>
        <w:rPr>
          <w:spacing w:val="-11"/>
        </w:rPr>
        <w:t> </w:t>
      </w:r>
      <w:r>
        <w:rPr/>
        <w:t>acreedores.</w:t>
      </w:r>
      <w:r>
        <w:rPr>
          <w:spacing w:val="-8"/>
        </w:rPr>
        <w:t> </w:t>
      </w:r>
      <w:r>
        <w:rPr/>
        <w:t>Partiendo</w:t>
      </w:r>
      <w:r>
        <w:rPr>
          <w:spacing w:val="-12"/>
        </w:rPr>
        <w:t> </w:t>
      </w:r>
      <w:r>
        <w:rPr/>
        <w:t>de</w:t>
      </w:r>
      <w:r>
        <w:rPr>
          <w:spacing w:val="-13"/>
        </w:rPr>
        <w:t> </w:t>
      </w:r>
      <w:r>
        <w:rPr/>
        <w:t>que</w:t>
      </w:r>
      <w:r>
        <w:rPr>
          <w:spacing w:val="-13"/>
        </w:rPr>
        <w:t> </w:t>
      </w:r>
      <w:r>
        <w:rPr/>
        <w:t>las</w:t>
      </w:r>
      <w:r>
        <w:rPr>
          <w:spacing w:val="-8"/>
        </w:rPr>
        <w:t> </w:t>
      </w:r>
      <w:r>
        <w:rPr/>
        <w:t>muestras</w:t>
      </w:r>
      <w:r>
        <w:rPr>
          <w:spacing w:val="-11"/>
        </w:rPr>
        <w:t> </w:t>
      </w:r>
      <w:r>
        <w:rPr/>
        <w:t>meta</w:t>
      </w:r>
      <w:r>
        <w:rPr>
          <w:spacing w:val="-13"/>
        </w:rPr>
        <w:t> </w:t>
      </w:r>
      <w:r>
        <w:rPr/>
        <w:t>eran</w:t>
      </w:r>
      <w:r>
        <w:rPr>
          <w:spacing w:val="-13"/>
        </w:rPr>
        <w:t> </w:t>
      </w:r>
      <w:r>
        <w:rPr/>
        <w:t>de</w:t>
      </w:r>
      <w:r>
        <w:rPr>
          <w:spacing w:val="-13"/>
        </w:rPr>
        <w:t> </w:t>
      </w:r>
      <w:r>
        <w:rPr/>
        <w:t>323 hogares</w:t>
      </w:r>
      <w:r>
        <w:rPr>
          <w:spacing w:val="-4"/>
        </w:rPr>
        <w:t> </w:t>
      </w:r>
      <w:r>
        <w:rPr/>
        <w:t>para</w:t>
      </w:r>
      <w:r>
        <w:rPr>
          <w:spacing w:val="-5"/>
        </w:rPr>
        <w:t> </w:t>
      </w:r>
      <w:r>
        <w:rPr/>
        <w:t>las</w:t>
      </w:r>
      <w:r>
        <w:rPr>
          <w:spacing w:val="-4"/>
        </w:rPr>
        <w:t> </w:t>
      </w:r>
      <w:r>
        <w:rPr/>
        <w:t>comunidades</w:t>
      </w:r>
      <w:r>
        <w:rPr>
          <w:spacing w:val="-3"/>
        </w:rPr>
        <w:t> </w:t>
      </w:r>
      <w:r>
        <w:rPr/>
        <w:t>deudoras</w:t>
      </w:r>
      <w:r>
        <w:rPr>
          <w:spacing w:val="-4"/>
        </w:rPr>
        <w:t> </w:t>
      </w:r>
      <w:r>
        <w:rPr/>
        <w:t>y</w:t>
      </w:r>
      <w:r>
        <w:rPr>
          <w:spacing w:val="-8"/>
        </w:rPr>
        <w:t> </w:t>
      </w:r>
      <w:r>
        <w:rPr/>
        <w:t>de</w:t>
      </w:r>
      <w:r>
        <w:rPr>
          <w:spacing w:val="-5"/>
        </w:rPr>
        <w:t> </w:t>
      </w:r>
      <w:r>
        <w:rPr/>
        <w:t>303</w:t>
      </w:r>
      <w:r>
        <w:rPr>
          <w:spacing w:val="-5"/>
        </w:rPr>
        <w:t> </w:t>
      </w:r>
      <w:r>
        <w:rPr/>
        <w:t>para</w:t>
      </w:r>
      <w:r>
        <w:rPr>
          <w:spacing w:val="-6"/>
        </w:rPr>
        <w:t> </w:t>
      </w:r>
      <w:r>
        <w:rPr/>
        <w:t>las</w:t>
      </w:r>
      <w:r>
        <w:rPr>
          <w:spacing w:val="-3"/>
        </w:rPr>
        <w:t> </w:t>
      </w:r>
      <w:r>
        <w:rPr/>
        <w:t>comunidades</w:t>
      </w:r>
      <w:r>
        <w:rPr>
          <w:spacing w:val="-3"/>
        </w:rPr>
        <w:t> </w:t>
      </w:r>
      <w:r>
        <w:rPr/>
        <w:t>acreedoras, se determinó que se obtuvo un éxito muestral de un 36% para el caso de las comunidades deudoras y de un 54% para las comunidades acreedoras. Con el fin de determinar</w:t>
      </w:r>
      <w:r>
        <w:rPr>
          <w:spacing w:val="-18"/>
        </w:rPr>
        <w:t> </w:t>
      </w:r>
      <w:r>
        <w:rPr/>
        <w:t>la</w:t>
      </w:r>
      <w:r>
        <w:rPr>
          <w:spacing w:val="-20"/>
        </w:rPr>
        <w:t> </w:t>
      </w:r>
      <w:r>
        <w:rPr/>
        <w:t>confiabilidad</w:t>
      </w:r>
      <w:r>
        <w:rPr>
          <w:spacing w:val="-16"/>
        </w:rPr>
        <w:t> </w:t>
      </w:r>
      <w:r>
        <w:rPr/>
        <w:t>de</w:t>
      </w:r>
      <w:r>
        <w:rPr>
          <w:spacing w:val="-20"/>
        </w:rPr>
        <w:t> </w:t>
      </w:r>
      <w:r>
        <w:rPr/>
        <w:t>las</w:t>
      </w:r>
      <w:r>
        <w:rPr>
          <w:spacing w:val="-18"/>
        </w:rPr>
        <w:t> </w:t>
      </w:r>
      <w:r>
        <w:rPr/>
        <w:t>estimaciones</w:t>
      </w:r>
      <w:r>
        <w:rPr>
          <w:spacing w:val="-18"/>
        </w:rPr>
        <w:t> </w:t>
      </w:r>
      <w:r>
        <w:rPr/>
        <w:t>con</w:t>
      </w:r>
      <w:r>
        <w:rPr>
          <w:spacing w:val="-20"/>
        </w:rPr>
        <w:t> </w:t>
      </w:r>
      <w:r>
        <w:rPr/>
        <w:t>esta</w:t>
      </w:r>
      <w:r>
        <w:rPr>
          <w:spacing w:val="-16"/>
        </w:rPr>
        <w:t> </w:t>
      </w:r>
      <w:r>
        <w:rPr/>
        <w:t>muestra</w:t>
      </w:r>
      <w:r>
        <w:rPr>
          <w:spacing w:val="-19"/>
        </w:rPr>
        <w:t> </w:t>
      </w:r>
      <w:r>
        <w:rPr/>
        <w:t>se</w:t>
      </w:r>
      <w:r>
        <w:rPr>
          <w:spacing w:val="-16"/>
        </w:rPr>
        <w:t> </w:t>
      </w:r>
      <w:r>
        <w:rPr/>
        <w:t>procedió</w:t>
      </w:r>
      <w:r>
        <w:rPr>
          <w:spacing w:val="-16"/>
        </w:rPr>
        <w:t> </w:t>
      </w:r>
      <w:r>
        <w:rPr/>
        <w:t>a</w:t>
      </w:r>
      <w:r>
        <w:rPr>
          <w:spacing w:val="-20"/>
        </w:rPr>
        <w:t> </w:t>
      </w:r>
      <w:r>
        <w:rPr/>
        <w:t>estimar el margen de error que brindan las muestras logradas usando un nivel de confianza de un 95% con base en la formulación de la ecuación 5. Conforme se observa en el Cuadro</w:t>
      </w:r>
      <w:r>
        <w:rPr>
          <w:spacing w:val="-7"/>
        </w:rPr>
        <w:t> </w:t>
      </w:r>
      <w:r>
        <w:rPr/>
        <w:t>9,</w:t>
      </w:r>
      <w:r>
        <w:rPr>
          <w:spacing w:val="-5"/>
        </w:rPr>
        <w:t> </w:t>
      </w:r>
      <w:r>
        <w:rPr/>
        <w:t>el</w:t>
      </w:r>
      <w:r>
        <w:rPr>
          <w:spacing w:val="-4"/>
        </w:rPr>
        <w:t> </w:t>
      </w:r>
      <w:r>
        <w:rPr/>
        <w:t>margen</w:t>
      </w:r>
      <w:r>
        <w:rPr>
          <w:spacing w:val="-8"/>
        </w:rPr>
        <w:t> </w:t>
      </w:r>
      <w:r>
        <w:rPr/>
        <w:t>de</w:t>
      </w:r>
      <w:r>
        <w:rPr>
          <w:spacing w:val="-7"/>
        </w:rPr>
        <w:t> </w:t>
      </w:r>
      <w:r>
        <w:rPr/>
        <w:t>error</w:t>
      </w:r>
      <w:r>
        <w:rPr>
          <w:spacing w:val="-5"/>
        </w:rPr>
        <w:t> </w:t>
      </w:r>
      <w:r>
        <w:rPr/>
        <w:t>con</w:t>
      </w:r>
      <w:r>
        <w:rPr>
          <w:spacing w:val="-8"/>
        </w:rPr>
        <w:t> </w:t>
      </w:r>
      <w:r>
        <w:rPr/>
        <w:t>las</w:t>
      </w:r>
      <w:r>
        <w:rPr>
          <w:spacing w:val="-2"/>
        </w:rPr>
        <w:t> </w:t>
      </w:r>
      <w:r>
        <w:rPr/>
        <w:t>muestras</w:t>
      </w:r>
      <w:r>
        <w:rPr>
          <w:spacing w:val="-6"/>
        </w:rPr>
        <w:t> </w:t>
      </w:r>
      <w:r>
        <w:rPr/>
        <w:t>obtenidas</w:t>
      </w:r>
      <w:r>
        <w:rPr>
          <w:spacing w:val="-4"/>
        </w:rPr>
        <w:t> </w:t>
      </w:r>
      <w:r>
        <w:rPr/>
        <w:t>es</w:t>
      </w:r>
      <w:r>
        <w:rPr>
          <w:spacing w:val="-5"/>
        </w:rPr>
        <w:t> </w:t>
      </w:r>
      <w:r>
        <w:rPr/>
        <w:t>para</w:t>
      </w:r>
      <w:r>
        <w:rPr>
          <w:spacing w:val="-8"/>
        </w:rPr>
        <w:t> </w:t>
      </w:r>
      <w:r>
        <w:rPr/>
        <w:t>la</w:t>
      </w:r>
      <w:r>
        <w:rPr>
          <w:spacing w:val="-8"/>
        </w:rPr>
        <w:t> </w:t>
      </w:r>
      <w:r>
        <w:rPr/>
        <w:t>estimación</w:t>
      </w:r>
      <w:r>
        <w:rPr>
          <w:spacing w:val="-7"/>
        </w:rPr>
        <w:t> </w:t>
      </w:r>
      <w:r>
        <w:rPr/>
        <w:t>de</w:t>
      </w:r>
      <w:r>
        <w:rPr>
          <w:spacing w:val="-8"/>
        </w:rPr>
        <w:t> </w:t>
      </w:r>
      <w:r>
        <w:rPr/>
        <w:t>los deudores de un 9% y para los acreedores de un 7%. Estos márgenes se utilizan</w:t>
      </w:r>
      <w:r>
        <w:rPr>
          <w:spacing w:val="-47"/>
        </w:rPr>
        <w:t> </w:t>
      </w:r>
      <w:r>
        <w:rPr/>
        <w:t>para la interpretación de los resultados</w:t>
      </w:r>
      <w:r>
        <w:rPr>
          <w:spacing w:val="-3"/>
        </w:rPr>
        <w:t> </w:t>
      </w:r>
      <w:r>
        <w:rPr/>
        <w:t>obtenidos.</w:t>
      </w:r>
    </w:p>
    <w:p>
      <w:pPr>
        <w:pStyle w:val="BodyText"/>
        <w:spacing w:before="5"/>
        <w:rPr>
          <w:sz w:val="20"/>
        </w:rPr>
      </w:pPr>
    </w:p>
    <w:p>
      <w:pPr>
        <w:pStyle w:val="Heading2"/>
        <w:numPr>
          <w:ilvl w:val="0"/>
          <w:numId w:val="6"/>
        </w:numPr>
        <w:tabs>
          <w:tab w:pos="941" w:val="left" w:leader="none"/>
        </w:tabs>
        <w:spacing w:line="362" w:lineRule="auto" w:before="0" w:after="0"/>
        <w:ind w:left="220" w:right="649" w:firstLine="0"/>
        <w:jc w:val="both"/>
      </w:pPr>
      <w:bookmarkStart w:name="_bookmark33" w:id="45"/>
      <w:bookmarkEnd w:id="45"/>
      <w:r>
        <w:rPr>
          <w:b w:val="0"/>
        </w:rPr>
      </w:r>
      <w:bookmarkStart w:name="_bookmark33" w:id="46"/>
      <w:bookmarkEnd w:id="46"/>
      <w:r>
        <w:rPr/>
        <w:t>L</w:t>
      </w:r>
      <w:r>
        <w:rPr/>
        <w:t>a Deuda Ecológica en la Zona Protectora La Carpintera Medida por el Valor Monetario No Compensado del Servicio Ecosistémico de</w:t>
      </w:r>
      <w:r>
        <w:rPr>
          <w:spacing w:val="-4"/>
        </w:rPr>
        <w:t> </w:t>
      </w:r>
      <w:r>
        <w:rPr/>
        <w:t>Vista.</w:t>
      </w:r>
    </w:p>
    <w:p>
      <w:pPr>
        <w:pStyle w:val="Heading2"/>
        <w:numPr>
          <w:ilvl w:val="0"/>
          <w:numId w:val="7"/>
        </w:numPr>
        <w:tabs>
          <w:tab w:pos="941" w:val="left" w:leader="none"/>
        </w:tabs>
        <w:spacing w:line="240" w:lineRule="auto" w:before="195" w:after="0"/>
        <w:ind w:left="941" w:right="0" w:hanging="721"/>
        <w:jc w:val="both"/>
      </w:pPr>
      <w:bookmarkStart w:name="_bookmark34" w:id="47"/>
      <w:bookmarkEnd w:id="47"/>
      <w:r>
        <w:rPr>
          <w:b w:val="0"/>
        </w:rPr>
      </w:r>
      <w:bookmarkStart w:name="_bookmark34" w:id="48"/>
      <w:bookmarkEnd w:id="48"/>
      <w:r>
        <w:rPr/>
        <w:t>A</w:t>
      </w:r>
      <w:r>
        <w:rPr/>
        <w:t>ntecedentes Nacionales y Modelo de</w:t>
      </w:r>
      <w:r>
        <w:rPr>
          <w:spacing w:val="-12"/>
        </w:rPr>
        <w:t> </w:t>
      </w:r>
      <w:r>
        <w:rPr/>
        <w:t>Estimación</w:t>
      </w:r>
    </w:p>
    <w:p>
      <w:pPr>
        <w:pStyle w:val="BodyText"/>
        <w:spacing w:line="360" w:lineRule="auto" w:before="144"/>
        <w:ind w:left="220" w:right="646"/>
        <w:jc w:val="both"/>
      </w:pPr>
      <w:r>
        <w:rPr/>
        <w:t>En el caso de Costa Rica, al igual que en el resto de América Latina, la utilización de metodologías para estimar el valor del servicio de vista proveído por los ecosistemas para</w:t>
      </w:r>
      <w:r>
        <w:rPr>
          <w:spacing w:val="-14"/>
        </w:rPr>
        <w:t> </w:t>
      </w:r>
      <w:r>
        <w:rPr/>
        <w:t>bienes</w:t>
      </w:r>
      <w:r>
        <w:rPr>
          <w:spacing w:val="-12"/>
        </w:rPr>
        <w:t> </w:t>
      </w:r>
      <w:r>
        <w:rPr/>
        <w:t>inmuebles</w:t>
      </w:r>
      <w:r>
        <w:rPr>
          <w:spacing w:val="-11"/>
        </w:rPr>
        <w:t> </w:t>
      </w:r>
      <w:r>
        <w:rPr/>
        <w:t>es</w:t>
      </w:r>
      <w:r>
        <w:rPr>
          <w:spacing w:val="-11"/>
        </w:rPr>
        <w:t> </w:t>
      </w:r>
      <w:r>
        <w:rPr/>
        <w:t>también</w:t>
      </w:r>
      <w:r>
        <w:rPr>
          <w:spacing w:val="-14"/>
        </w:rPr>
        <w:t> </w:t>
      </w:r>
      <w:r>
        <w:rPr/>
        <w:t>un</w:t>
      </w:r>
      <w:r>
        <w:rPr>
          <w:spacing w:val="-13"/>
        </w:rPr>
        <w:t> </w:t>
      </w:r>
      <w:r>
        <w:rPr/>
        <w:t>fenómeno</w:t>
      </w:r>
      <w:r>
        <w:rPr>
          <w:spacing w:val="-14"/>
        </w:rPr>
        <w:t> </w:t>
      </w:r>
      <w:r>
        <w:rPr/>
        <w:t>reciente.</w:t>
      </w:r>
      <w:r>
        <w:rPr>
          <w:spacing w:val="-8"/>
        </w:rPr>
        <w:t> </w:t>
      </w:r>
      <w:r>
        <w:rPr/>
        <w:t>El</w:t>
      </w:r>
      <w:r>
        <w:rPr>
          <w:spacing w:val="-13"/>
        </w:rPr>
        <w:t> </w:t>
      </w:r>
      <w:r>
        <w:rPr/>
        <w:t>estudio</w:t>
      </w:r>
      <w:r>
        <w:rPr>
          <w:spacing w:val="-13"/>
        </w:rPr>
        <w:t> </w:t>
      </w:r>
      <w:r>
        <w:rPr>
          <w:spacing w:val="-2"/>
        </w:rPr>
        <w:t>más</w:t>
      </w:r>
      <w:r>
        <w:rPr>
          <w:spacing w:val="-12"/>
        </w:rPr>
        <w:t> </w:t>
      </w:r>
      <w:r>
        <w:rPr/>
        <w:t>comprensivo de valoraciones monetarias en Costa Rica identificó siete tipos de estudios entre los </w:t>
      </w:r>
      <w:r>
        <w:rPr>
          <w:spacing w:val="-2"/>
        </w:rPr>
        <w:t>más </w:t>
      </w:r>
      <w:r>
        <w:rPr/>
        <w:t>conocidos e influyentes. En la revisión de 36 estudios desde principios de los años 90 no se detecta ningún estudio que utilice valoración del servicio estético o</w:t>
      </w:r>
      <w:r>
        <w:rPr>
          <w:spacing w:val="33"/>
        </w:rPr>
        <w:t> </w:t>
      </w:r>
      <w:r>
        <w:rPr/>
        <w:t>de</w:t>
      </w:r>
    </w:p>
    <w:p>
      <w:pPr>
        <w:spacing w:after="0" w:line="360" w:lineRule="auto"/>
        <w:jc w:val="both"/>
        <w:sectPr>
          <w:pgSz w:w="12240" w:h="15840"/>
          <w:pgMar w:header="0" w:footer="1062" w:top="1340" w:bottom="1260" w:left="1480" w:right="820"/>
        </w:sectPr>
      </w:pPr>
    </w:p>
    <w:p>
      <w:pPr>
        <w:pStyle w:val="BodyText"/>
        <w:spacing w:line="362" w:lineRule="auto" w:before="75"/>
        <w:ind w:left="220" w:right="655"/>
        <w:jc w:val="both"/>
      </w:pPr>
      <w:r>
        <w:rPr/>
        <w:t>condiciones del entorno para determinar su influencia en el precio de inmuebles (Moreno, 2005; Aguilar González &amp; Segura Bonilla, 2016).</w:t>
      </w:r>
    </w:p>
    <w:p>
      <w:pPr>
        <w:pStyle w:val="BodyText"/>
        <w:spacing w:line="360" w:lineRule="auto" w:before="195"/>
        <w:ind w:left="220" w:right="645"/>
        <w:jc w:val="both"/>
      </w:pPr>
      <w:r>
        <w:rPr/>
        <w:t>La</w:t>
      </w:r>
      <w:r>
        <w:rPr>
          <w:spacing w:val="-12"/>
        </w:rPr>
        <w:t> </w:t>
      </w:r>
      <w:r>
        <w:rPr/>
        <w:t>revisión</w:t>
      </w:r>
      <w:r>
        <w:rPr>
          <w:spacing w:val="-12"/>
        </w:rPr>
        <w:t> </w:t>
      </w:r>
      <w:r>
        <w:rPr/>
        <w:t>realizada</w:t>
      </w:r>
      <w:r>
        <w:rPr>
          <w:spacing w:val="-12"/>
        </w:rPr>
        <w:t> </w:t>
      </w:r>
      <w:r>
        <w:rPr/>
        <w:t>para</w:t>
      </w:r>
      <w:r>
        <w:rPr>
          <w:spacing w:val="-10"/>
        </w:rPr>
        <w:t> </w:t>
      </w:r>
      <w:r>
        <w:rPr/>
        <w:t>esta</w:t>
      </w:r>
      <w:r>
        <w:rPr>
          <w:spacing w:val="-11"/>
        </w:rPr>
        <w:t> </w:t>
      </w:r>
      <w:r>
        <w:rPr/>
        <w:t>investigación</w:t>
      </w:r>
      <w:r>
        <w:rPr>
          <w:spacing w:val="-10"/>
        </w:rPr>
        <w:t> </w:t>
      </w:r>
      <w:r>
        <w:rPr/>
        <w:t>detectó</w:t>
      </w:r>
      <w:r>
        <w:rPr>
          <w:spacing w:val="-12"/>
        </w:rPr>
        <w:t> </w:t>
      </w:r>
      <w:r>
        <w:rPr/>
        <w:t>los</w:t>
      </w:r>
      <w:r>
        <w:rPr>
          <w:spacing w:val="-10"/>
        </w:rPr>
        <w:t> </w:t>
      </w:r>
      <w:r>
        <w:rPr/>
        <w:t>estudios</w:t>
      </w:r>
      <w:r>
        <w:rPr>
          <w:spacing w:val="-8"/>
        </w:rPr>
        <w:t> </w:t>
      </w:r>
      <w:r>
        <w:rPr/>
        <w:t>que</w:t>
      </w:r>
      <w:r>
        <w:rPr>
          <w:spacing w:val="-12"/>
        </w:rPr>
        <w:t> </w:t>
      </w:r>
      <w:r>
        <w:rPr/>
        <w:t>se</w:t>
      </w:r>
      <w:r>
        <w:rPr>
          <w:spacing w:val="-11"/>
        </w:rPr>
        <w:t> </w:t>
      </w:r>
      <w:r>
        <w:rPr/>
        <w:t>presentan</w:t>
      </w:r>
      <w:r>
        <w:rPr>
          <w:spacing w:val="-12"/>
        </w:rPr>
        <w:t> </w:t>
      </w:r>
      <w:r>
        <w:rPr/>
        <w:t>en el Cuadro 10. Todos ellos son posteriores al año 2005 menos uno que data del año 2000. Se encuentran tres tipos de estudios: dos de ellos se enfocan en la calidad de vida y buscan evaluar la influencia de las amenidades en el precio de viviendas en la ciudad de San José, específicamente refiriéndose a los cantones y distritos ubicados en toda el área</w:t>
      </w:r>
      <w:r>
        <w:rPr>
          <w:spacing w:val="-1"/>
        </w:rPr>
        <w:t> </w:t>
      </w:r>
      <w:r>
        <w:rPr/>
        <w:t>metropolitana.</w:t>
      </w:r>
    </w:p>
    <w:p>
      <w:pPr>
        <w:pStyle w:val="BodyText"/>
        <w:spacing w:line="360" w:lineRule="auto" w:before="201"/>
        <w:ind w:left="220" w:right="642"/>
        <w:jc w:val="both"/>
      </w:pPr>
      <w:r>
        <w:rPr/>
        <w:t>Puede observarse en el Cuadro 11 que en estos estudios se incluye el análisis de variables de viviendas y de los entornos (Hall, et al., 2008; Hall, et al., 2010). Otro grupo</w:t>
      </w:r>
      <w:r>
        <w:rPr>
          <w:spacing w:val="-8"/>
        </w:rPr>
        <w:t> </w:t>
      </w:r>
      <w:r>
        <w:rPr/>
        <w:t>de</w:t>
      </w:r>
      <w:r>
        <w:rPr>
          <w:spacing w:val="-7"/>
        </w:rPr>
        <w:t> </w:t>
      </w:r>
      <w:r>
        <w:rPr/>
        <w:t>estudios</w:t>
      </w:r>
      <w:r>
        <w:rPr>
          <w:spacing w:val="-10"/>
        </w:rPr>
        <w:t> </w:t>
      </w:r>
      <w:r>
        <w:rPr/>
        <w:t>se</w:t>
      </w:r>
      <w:r>
        <w:rPr>
          <w:spacing w:val="-7"/>
        </w:rPr>
        <w:t> </w:t>
      </w:r>
      <w:r>
        <w:rPr/>
        <w:t>enfoca</w:t>
      </w:r>
      <w:r>
        <w:rPr>
          <w:spacing w:val="-12"/>
        </w:rPr>
        <w:t> </w:t>
      </w:r>
      <w:r>
        <w:rPr/>
        <w:t>en</w:t>
      </w:r>
      <w:r>
        <w:rPr>
          <w:spacing w:val="-7"/>
        </w:rPr>
        <w:t> </w:t>
      </w:r>
      <w:r>
        <w:rPr/>
        <w:t>el</w:t>
      </w:r>
      <w:r>
        <w:rPr>
          <w:spacing w:val="-5"/>
        </w:rPr>
        <w:t> </w:t>
      </w:r>
      <w:r>
        <w:rPr/>
        <w:t>precio</w:t>
      </w:r>
      <w:r>
        <w:rPr>
          <w:spacing w:val="-11"/>
        </w:rPr>
        <w:t> </w:t>
      </w:r>
      <w:r>
        <w:rPr/>
        <w:t>del</w:t>
      </w:r>
      <w:r>
        <w:rPr>
          <w:spacing w:val="-11"/>
        </w:rPr>
        <w:t> </w:t>
      </w:r>
      <w:r>
        <w:rPr/>
        <w:t>suelo</w:t>
      </w:r>
      <w:r>
        <w:rPr>
          <w:spacing w:val="-3"/>
        </w:rPr>
        <w:t> </w:t>
      </w:r>
      <w:r>
        <w:rPr/>
        <w:t>y</w:t>
      </w:r>
      <w:r>
        <w:rPr>
          <w:spacing w:val="-14"/>
        </w:rPr>
        <w:t> </w:t>
      </w:r>
      <w:r>
        <w:rPr/>
        <w:t>particularmente</w:t>
      </w:r>
      <w:r>
        <w:rPr>
          <w:spacing w:val="-11"/>
        </w:rPr>
        <w:t> </w:t>
      </w:r>
      <w:r>
        <w:rPr/>
        <w:t>se</w:t>
      </w:r>
      <w:r>
        <w:rPr>
          <w:spacing w:val="-11"/>
        </w:rPr>
        <w:t> </w:t>
      </w:r>
      <w:r>
        <w:rPr/>
        <w:t>interesa</w:t>
      </w:r>
      <w:r>
        <w:rPr>
          <w:spacing w:val="-12"/>
        </w:rPr>
        <w:t> </w:t>
      </w:r>
      <w:r>
        <w:rPr/>
        <w:t>en</w:t>
      </w:r>
      <w:r>
        <w:rPr>
          <w:spacing w:val="-7"/>
        </w:rPr>
        <w:t> </w:t>
      </w:r>
      <w:r>
        <w:rPr/>
        <w:t>un modelo que integra solamente elementos de los entornos de varios distritos y cantones: Central y Gravilias del Cantón de Desamparados, Curridabat y Escazú (Monge &amp; Rojas, 2009; Alfaro &amp; Navarro, 2009; Núñez &amp; Salas,</w:t>
      </w:r>
      <w:r>
        <w:rPr>
          <w:spacing w:val="-9"/>
        </w:rPr>
        <w:t> </w:t>
      </w:r>
      <w:r>
        <w:rPr/>
        <w:t>2010).</w:t>
      </w:r>
    </w:p>
    <w:p>
      <w:pPr>
        <w:spacing w:line="242" w:lineRule="auto" w:before="198"/>
        <w:ind w:left="224" w:right="663" w:firstLine="0"/>
        <w:jc w:val="center"/>
        <w:rPr>
          <w:i/>
          <w:sz w:val="20"/>
        </w:rPr>
      </w:pPr>
      <w:bookmarkStart w:name="_bookmark35" w:id="49"/>
      <w:bookmarkEnd w:id="49"/>
      <w:r>
        <w:rPr/>
      </w:r>
      <w:r>
        <w:rPr>
          <w:i/>
          <w:sz w:val="20"/>
        </w:rPr>
        <w:t>Cuadro 10- Estudios que Aplican la Metodología de Precios Hedónicos para Determinar la Influencia </w:t>
      </w:r>
      <w:r>
        <w:rPr>
          <w:i/>
          <w:sz w:val="20"/>
        </w:rPr>
        <w:t>del Entorno en los Precios de los Inmuebles en Costa Rica 2000 – 2010.</w:t>
      </w:r>
    </w:p>
    <w:p>
      <w:pPr>
        <w:spacing w:line="242" w:lineRule="auto" w:before="0"/>
        <w:ind w:left="235" w:right="663" w:firstLine="0"/>
        <w:jc w:val="center"/>
        <w:rPr>
          <w:i/>
          <w:sz w:val="20"/>
        </w:rPr>
      </w:pPr>
      <w:r>
        <w:rPr>
          <w:i/>
          <w:sz w:val="20"/>
        </w:rPr>
        <w:t>Fuente: Elaboración propia con base en Suárez y Sequeira (2000); Hall, et. al. (2008); Monge y Rojas </w:t>
      </w:r>
      <w:r>
        <w:rPr>
          <w:i/>
          <w:sz w:val="20"/>
        </w:rPr>
        <w:t>(2009); Alfaro y Navarro (2009) y Hall et al. (2010).</w:t>
      </w:r>
    </w:p>
    <w:p>
      <w:pPr>
        <w:pStyle w:val="BodyText"/>
        <w:spacing w:before="1" w:after="1"/>
        <w:rPr>
          <w:i/>
          <w:sz w:val="12"/>
        </w:rPr>
      </w:pPr>
    </w:p>
    <w:tbl>
      <w:tblPr>
        <w:tblW w:w="0" w:type="auto"/>
        <w:jc w:val="left"/>
        <w:tblInd w:w="2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71"/>
        <w:gridCol w:w="3957"/>
        <w:gridCol w:w="1086"/>
        <w:gridCol w:w="2653"/>
      </w:tblGrid>
      <w:tr>
        <w:trPr>
          <w:trHeight w:val="302" w:hRule="atLeast"/>
        </w:trPr>
        <w:tc>
          <w:tcPr>
            <w:tcW w:w="1871" w:type="dxa"/>
            <w:tcBorders>
              <w:bottom w:val="single" w:sz="24" w:space="0" w:color="000000"/>
            </w:tcBorders>
          </w:tcPr>
          <w:p>
            <w:pPr>
              <w:pStyle w:val="TableParagraph"/>
              <w:spacing w:line="201" w:lineRule="exact" w:before="0"/>
              <w:ind w:left="107"/>
              <w:jc w:val="left"/>
              <w:rPr>
                <w:sz w:val="18"/>
              </w:rPr>
            </w:pPr>
            <w:r>
              <w:rPr>
                <w:sz w:val="18"/>
              </w:rPr>
              <w:t>Autores (as)</w:t>
            </w:r>
          </w:p>
        </w:tc>
        <w:tc>
          <w:tcPr>
            <w:tcW w:w="3957" w:type="dxa"/>
            <w:tcBorders>
              <w:bottom w:val="single" w:sz="24" w:space="0" w:color="000000"/>
            </w:tcBorders>
          </w:tcPr>
          <w:p>
            <w:pPr>
              <w:pStyle w:val="TableParagraph"/>
              <w:spacing w:line="201" w:lineRule="exact" w:before="0"/>
              <w:ind w:left="109"/>
              <w:jc w:val="left"/>
              <w:rPr>
                <w:sz w:val="18"/>
              </w:rPr>
            </w:pPr>
            <w:r>
              <w:rPr>
                <w:sz w:val="18"/>
              </w:rPr>
              <w:t>Título</w:t>
            </w:r>
          </w:p>
        </w:tc>
        <w:tc>
          <w:tcPr>
            <w:tcW w:w="1086" w:type="dxa"/>
            <w:tcBorders>
              <w:bottom w:val="single" w:sz="24" w:space="0" w:color="000000"/>
            </w:tcBorders>
          </w:tcPr>
          <w:p>
            <w:pPr>
              <w:pStyle w:val="TableParagraph"/>
              <w:spacing w:line="201" w:lineRule="exact" w:before="0"/>
              <w:ind w:left="105"/>
              <w:jc w:val="left"/>
              <w:rPr>
                <w:sz w:val="18"/>
              </w:rPr>
            </w:pPr>
            <w:r>
              <w:rPr>
                <w:sz w:val="18"/>
              </w:rPr>
              <w:t>Año</w:t>
            </w:r>
          </w:p>
        </w:tc>
        <w:tc>
          <w:tcPr>
            <w:tcW w:w="2653" w:type="dxa"/>
            <w:tcBorders>
              <w:bottom w:val="single" w:sz="24" w:space="0" w:color="000000"/>
            </w:tcBorders>
          </w:tcPr>
          <w:p>
            <w:pPr>
              <w:pStyle w:val="TableParagraph"/>
              <w:spacing w:line="201" w:lineRule="exact" w:before="0"/>
              <w:ind w:left="576"/>
              <w:jc w:val="left"/>
              <w:rPr>
                <w:sz w:val="18"/>
              </w:rPr>
            </w:pPr>
            <w:r>
              <w:rPr>
                <w:sz w:val="18"/>
              </w:rPr>
              <w:t>Zona Estudiada</w:t>
            </w:r>
          </w:p>
        </w:tc>
      </w:tr>
      <w:tr>
        <w:trPr>
          <w:trHeight w:val="932" w:hRule="atLeast"/>
        </w:trPr>
        <w:tc>
          <w:tcPr>
            <w:tcW w:w="1871" w:type="dxa"/>
            <w:tcBorders>
              <w:top w:val="single" w:sz="24" w:space="0" w:color="000000"/>
              <w:right w:val="single" w:sz="8" w:space="0" w:color="000000"/>
            </w:tcBorders>
          </w:tcPr>
          <w:p>
            <w:pPr>
              <w:pStyle w:val="TableParagraph"/>
              <w:spacing w:line="207" w:lineRule="exact" w:before="0"/>
              <w:ind w:left="107"/>
              <w:jc w:val="left"/>
              <w:rPr>
                <w:sz w:val="18"/>
              </w:rPr>
            </w:pPr>
            <w:r>
              <w:rPr>
                <w:sz w:val="18"/>
              </w:rPr>
              <w:t>Suárez y Sequeira</w:t>
            </w:r>
          </w:p>
        </w:tc>
        <w:tc>
          <w:tcPr>
            <w:tcW w:w="3957" w:type="dxa"/>
            <w:tcBorders>
              <w:top w:val="single" w:sz="24" w:space="0" w:color="000000"/>
              <w:left w:val="single" w:sz="8" w:space="0" w:color="000000"/>
            </w:tcBorders>
            <w:shd w:val="clear" w:color="auto" w:fill="C0C0C0"/>
          </w:tcPr>
          <w:p>
            <w:pPr>
              <w:pStyle w:val="TableParagraph"/>
              <w:spacing w:line="362" w:lineRule="auto" w:before="0"/>
              <w:ind w:left="99" w:right="25"/>
              <w:jc w:val="left"/>
              <w:rPr>
                <w:sz w:val="18"/>
              </w:rPr>
            </w:pPr>
            <w:r>
              <w:rPr>
                <w:sz w:val="18"/>
              </w:rPr>
              <w:t>Valoración Económica del Medio Ambiente en Costa Rica: Modelo de precios hedónicos, caso</w:t>
            </w:r>
          </w:p>
          <w:p>
            <w:pPr>
              <w:pStyle w:val="TableParagraph"/>
              <w:spacing w:line="206" w:lineRule="exact" w:before="0"/>
              <w:ind w:left="99"/>
              <w:jc w:val="left"/>
              <w:rPr>
                <w:sz w:val="18"/>
              </w:rPr>
            </w:pPr>
            <w:r>
              <w:rPr>
                <w:sz w:val="18"/>
              </w:rPr>
              <w:t>Relleno Sanitario de Río Azul</w:t>
            </w:r>
          </w:p>
        </w:tc>
        <w:tc>
          <w:tcPr>
            <w:tcW w:w="1086" w:type="dxa"/>
            <w:tcBorders>
              <w:top w:val="single" w:sz="24" w:space="0" w:color="000000"/>
            </w:tcBorders>
            <w:shd w:val="clear" w:color="auto" w:fill="C0C0C0"/>
          </w:tcPr>
          <w:p>
            <w:pPr>
              <w:pStyle w:val="TableParagraph"/>
              <w:spacing w:line="207" w:lineRule="exact" w:before="0"/>
              <w:ind w:left="105"/>
              <w:jc w:val="left"/>
              <w:rPr>
                <w:sz w:val="18"/>
              </w:rPr>
            </w:pPr>
            <w:r>
              <w:rPr>
                <w:sz w:val="18"/>
              </w:rPr>
              <w:t>2000</w:t>
            </w:r>
          </w:p>
        </w:tc>
        <w:tc>
          <w:tcPr>
            <w:tcW w:w="2653" w:type="dxa"/>
            <w:tcBorders>
              <w:top w:val="single" w:sz="24" w:space="0" w:color="000000"/>
              <w:right w:val="single" w:sz="8" w:space="0" w:color="000000"/>
            </w:tcBorders>
            <w:shd w:val="clear" w:color="auto" w:fill="C0C0C0"/>
          </w:tcPr>
          <w:p>
            <w:pPr>
              <w:pStyle w:val="TableParagraph"/>
              <w:spacing w:line="362" w:lineRule="auto" w:before="0"/>
              <w:ind w:left="576"/>
              <w:jc w:val="left"/>
              <w:rPr>
                <w:sz w:val="18"/>
              </w:rPr>
            </w:pPr>
            <w:r>
              <w:rPr>
                <w:sz w:val="18"/>
              </w:rPr>
              <w:t>Río Azul, cantón de La Unión, Cartago</w:t>
            </w:r>
          </w:p>
        </w:tc>
      </w:tr>
      <w:tr>
        <w:trPr>
          <w:trHeight w:val="619" w:hRule="atLeast"/>
        </w:trPr>
        <w:tc>
          <w:tcPr>
            <w:tcW w:w="1871" w:type="dxa"/>
            <w:tcBorders>
              <w:right w:val="single" w:sz="8" w:space="0" w:color="000000"/>
            </w:tcBorders>
          </w:tcPr>
          <w:p>
            <w:pPr>
              <w:pStyle w:val="TableParagraph"/>
              <w:tabs>
                <w:tab w:pos="727" w:val="left" w:leader="none"/>
                <w:tab w:pos="1675" w:val="left" w:leader="none"/>
              </w:tabs>
              <w:spacing w:line="206" w:lineRule="exact" w:before="0"/>
              <w:ind w:left="107"/>
              <w:jc w:val="left"/>
              <w:rPr>
                <w:sz w:val="18"/>
              </w:rPr>
            </w:pPr>
            <w:r>
              <w:rPr>
                <w:sz w:val="18"/>
              </w:rPr>
              <w:t>Hall,</w:t>
              <w:tab/>
              <w:t>Madrigal</w:t>
              <w:tab/>
              <w:t>y</w:t>
            </w:r>
          </w:p>
          <w:p>
            <w:pPr>
              <w:pStyle w:val="TableParagraph"/>
              <w:spacing w:line="240" w:lineRule="auto" w:before="105"/>
              <w:ind w:left="107"/>
              <w:jc w:val="left"/>
              <w:rPr>
                <w:sz w:val="18"/>
              </w:rPr>
            </w:pPr>
            <w:r>
              <w:rPr>
                <w:sz w:val="18"/>
              </w:rPr>
              <w:t>Robalino</w:t>
            </w:r>
          </w:p>
        </w:tc>
        <w:tc>
          <w:tcPr>
            <w:tcW w:w="3957" w:type="dxa"/>
            <w:tcBorders>
              <w:left w:val="single" w:sz="8" w:space="0" w:color="000000"/>
            </w:tcBorders>
          </w:tcPr>
          <w:p>
            <w:pPr>
              <w:pStyle w:val="TableParagraph"/>
              <w:spacing w:line="206" w:lineRule="exact" w:before="0"/>
              <w:ind w:left="99"/>
              <w:jc w:val="left"/>
              <w:rPr>
                <w:sz w:val="18"/>
              </w:rPr>
            </w:pPr>
            <w:r>
              <w:rPr>
                <w:sz w:val="18"/>
              </w:rPr>
              <w:t>Quality of Life in Urban Neighborhoods in Costa</w:t>
            </w:r>
          </w:p>
          <w:p>
            <w:pPr>
              <w:pStyle w:val="TableParagraph"/>
              <w:spacing w:line="240" w:lineRule="auto" w:before="105"/>
              <w:ind w:left="99"/>
              <w:jc w:val="left"/>
              <w:rPr>
                <w:sz w:val="18"/>
              </w:rPr>
            </w:pPr>
            <w:r>
              <w:rPr>
                <w:sz w:val="18"/>
              </w:rPr>
              <w:t>Rica</w:t>
            </w:r>
          </w:p>
        </w:tc>
        <w:tc>
          <w:tcPr>
            <w:tcW w:w="1086" w:type="dxa"/>
          </w:tcPr>
          <w:p>
            <w:pPr>
              <w:pStyle w:val="TableParagraph"/>
              <w:spacing w:line="206" w:lineRule="exact" w:before="0"/>
              <w:ind w:left="105"/>
              <w:jc w:val="left"/>
              <w:rPr>
                <w:sz w:val="18"/>
              </w:rPr>
            </w:pPr>
            <w:r>
              <w:rPr>
                <w:sz w:val="18"/>
              </w:rPr>
              <w:t>2008</w:t>
            </w:r>
          </w:p>
        </w:tc>
        <w:tc>
          <w:tcPr>
            <w:tcW w:w="2653" w:type="dxa"/>
            <w:tcBorders>
              <w:right w:val="single" w:sz="8" w:space="0" w:color="000000"/>
            </w:tcBorders>
          </w:tcPr>
          <w:p>
            <w:pPr>
              <w:pStyle w:val="TableParagraph"/>
              <w:spacing w:line="206" w:lineRule="exact" w:before="0"/>
              <w:ind w:left="576"/>
              <w:jc w:val="left"/>
              <w:rPr>
                <w:sz w:val="18"/>
              </w:rPr>
            </w:pPr>
            <w:r>
              <w:rPr>
                <w:sz w:val="18"/>
              </w:rPr>
              <w:t>Área Metropolitana de</w:t>
            </w:r>
          </w:p>
          <w:p>
            <w:pPr>
              <w:pStyle w:val="TableParagraph"/>
              <w:spacing w:line="240" w:lineRule="auto" w:before="105"/>
              <w:ind w:left="576"/>
              <w:jc w:val="left"/>
              <w:rPr>
                <w:sz w:val="18"/>
              </w:rPr>
            </w:pPr>
            <w:r>
              <w:rPr>
                <w:sz w:val="18"/>
              </w:rPr>
              <w:t>San José, San José</w:t>
            </w:r>
          </w:p>
        </w:tc>
      </w:tr>
      <w:tr>
        <w:trPr>
          <w:trHeight w:val="1244" w:hRule="atLeast"/>
        </w:trPr>
        <w:tc>
          <w:tcPr>
            <w:tcW w:w="1871" w:type="dxa"/>
            <w:tcBorders>
              <w:right w:val="single" w:sz="8" w:space="0" w:color="000000"/>
            </w:tcBorders>
          </w:tcPr>
          <w:p>
            <w:pPr>
              <w:pStyle w:val="TableParagraph"/>
              <w:spacing w:line="206" w:lineRule="exact" w:before="0"/>
              <w:ind w:left="107"/>
              <w:jc w:val="left"/>
              <w:rPr>
                <w:sz w:val="18"/>
              </w:rPr>
            </w:pPr>
            <w:r>
              <w:rPr>
                <w:sz w:val="18"/>
              </w:rPr>
              <w:t>Monge y Rojas</w:t>
            </w:r>
          </w:p>
        </w:tc>
        <w:tc>
          <w:tcPr>
            <w:tcW w:w="3957" w:type="dxa"/>
            <w:tcBorders>
              <w:left w:val="single" w:sz="8" w:space="0" w:color="000000"/>
            </w:tcBorders>
            <w:shd w:val="clear" w:color="auto" w:fill="C0C0C0"/>
          </w:tcPr>
          <w:p>
            <w:pPr>
              <w:pStyle w:val="TableParagraph"/>
              <w:spacing w:line="362" w:lineRule="auto" w:before="0"/>
              <w:ind w:left="99" w:right="106"/>
              <w:jc w:val="both"/>
              <w:rPr>
                <w:sz w:val="18"/>
              </w:rPr>
            </w:pPr>
            <w:r>
              <w:rPr>
                <w:sz w:val="18"/>
              </w:rPr>
              <w:t>Análisis geoespacial y modelación econométrica en el estudio de la formación del precio del suelo: el caso de los distritos</w:t>
            </w:r>
            <w:r>
              <w:rPr>
                <w:spacing w:val="-36"/>
                <w:sz w:val="18"/>
              </w:rPr>
              <w:t> </w:t>
            </w:r>
            <w:r>
              <w:rPr>
                <w:sz w:val="18"/>
              </w:rPr>
              <w:t>Central</w:t>
            </w:r>
          </w:p>
          <w:p>
            <w:pPr>
              <w:pStyle w:val="TableParagraph"/>
              <w:spacing w:line="202" w:lineRule="exact" w:before="0"/>
              <w:ind w:left="99"/>
              <w:jc w:val="both"/>
              <w:rPr>
                <w:sz w:val="18"/>
              </w:rPr>
            </w:pPr>
            <w:r>
              <w:rPr>
                <w:sz w:val="18"/>
              </w:rPr>
              <w:t>y Gravilias de Desamparados 1997-2007</w:t>
            </w:r>
          </w:p>
        </w:tc>
        <w:tc>
          <w:tcPr>
            <w:tcW w:w="1086" w:type="dxa"/>
            <w:shd w:val="clear" w:color="auto" w:fill="C0C0C0"/>
          </w:tcPr>
          <w:p>
            <w:pPr>
              <w:pStyle w:val="TableParagraph"/>
              <w:spacing w:line="206" w:lineRule="exact" w:before="0"/>
              <w:ind w:left="105"/>
              <w:jc w:val="left"/>
              <w:rPr>
                <w:sz w:val="18"/>
              </w:rPr>
            </w:pPr>
            <w:r>
              <w:rPr>
                <w:sz w:val="18"/>
              </w:rPr>
              <w:t>2009</w:t>
            </w:r>
          </w:p>
        </w:tc>
        <w:tc>
          <w:tcPr>
            <w:tcW w:w="2653" w:type="dxa"/>
            <w:tcBorders>
              <w:right w:val="single" w:sz="8" w:space="0" w:color="000000"/>
            </w:tcBorders>
            <w:shd w:val="clear" w:color="auto" w:fill="C0C0C0"/>
          </w:tcPr>
          <w:p>
            <w:pPr>
              <w:pStyle w:val="TableParagraph"/>
              <w:spacing w:line="362" w:lineRule="auto" w:before="0"/>
              <w:ind w:left="576" w:right="95"/>
              <w:jc w:val="both"/>
              <w:rPr>
                <w:sz w:val="18"/>
              </w:rPr>
            </w:pPr>
            <w:r>
              <w:rPr>
                <w:sz w:val="18"/>
              </w:rPr>
              <w:t>Distritos Central y Gravilias, cantón de Desamparados, San</w:t>
            </w:r>
          </w:p>
          <w:p>
            <w:pPr>
              <w:pStyle w:val="TableParagraph"/>
              <w:spacing w:line="202" w:lineRule="exact" w:before="0"/>
              <w:ind w:left="576"/>
              <w:jc w:val="left"/>
              <w:rPr>
                <w:sz w:val="18"/>
              </w:rPr>
            </w:pPr>
            <w:r>
              <w:rPr>
                <w:sz w:val="18"/>
              </w:rPr>
              <w:t>José</w:t>
            </w:r>
          </w:p>
        </w:tc>
      </w:tr>
      <w:tr>
        <w:trPr>
          <w:trHeight w:val="620" w:hRule="atLeast"/>
        </w:trPr>
        <w:tc>
          <w:tcPr>
            <w:tcW w:w="1871" w:type="dxa"/>
            <w:tcBorders>
              <w:right w:val="single" w:sz="8" w:space="0" w:color="000000"/>
            </w:tcBorders>
          </w:tcPr>
          <w:p>
            <w:pPr>
              <w:pStyle w:val="TableParagraph"/>
              <w:spacing w:line="206" w:lineRule="exact" w:before="0"/>
              <w:ind w:left="107"/>
              <w:jc w:val="left"/>
              <w:rPr>
                <w:sz w:val="18"/>
              </w:rPr>
            </w:pPr>
            <w:r>
              <w:rPr>
                <w:sz w:val="18"/>
              </w:rPr>
              <w:t>Alfaro y Navarro</w:t>
            </w:r>
          </w:p>
        </w:tc>
        <w:tc>
          <w:tcPr>
            <w:tcW w:w="3957" w:type="dxa"/>
            <w:tcBorders>
              <w:left w:val="single" w:sz="8" w:space="0" w:color="000000"/>
            </w:tcBorders>
          </w:tcPr>
          <w:p>
            <w:pPr>
              <w:pStyle w:val="TableParagraph"/>
              <w:spacing w:line="206" w:lineRule="exact" w:before="0"/>
              <w:ind w:left="99"/>
              <w:jc w:val="left"/>
              <w:rPr>
                <w:sz w:val="18"/>
              </w:rPr>
            </w:pPr>
            <w:r>
              <w:rPr>
                <w:sz w:val="18"/>
              </w:rPr>
              <w:t>La formación de precios del suelo. Estudio de</w:t>
            </w:r>
          </w:p>
          <w:p>
            <w:pPr>
              <w:pStyle w:val="TableParagraph"/>
              <w:spacing w:line="240" w:lineRule="auto" w:before="105"/>
              <w:ind w:left="99"/>
              <w:jc w:val="left"/>
              <w:rPr>
                <w:sz w:val="18"/>
              </w:rPr>
            </w:pPr>
            <w:r>
              <w:rPr>
                <w:sz w:val="18"/>
              </w:rPr>
              <w:t>caso para el cantón de Curridabat</w:t>
            </w:r>
          </w:p>
        </w:tc>
        <w:tc>
          <w:tcPr>
            <w:tcW w:w="1086" w:type="dxa"/>
          </w:tcPr>
          <w:p>
            <w:pPr>
              <w:pStyle w:val="TableParagraph"/>
              <w:spacing w:line="206" w:lineRule="exact" w:before="0"/>
              <w:ind w:left="105"/>
              <w:jc w:val="left"/>
              <w:rPr>
                <w:sz w:val="18"/>
              </w:rPr>
            </w:pPr>
            <w:r>
              <w:rPr>
                <w:sz w:val="18"/>
              </w:rPr>
              <w:t>2009</w:t>
            </w:r>
          </w:p>
        </w:tc>
        <w:tc>
          <w:tcPr>
            <w:tcW w:w="2653" w:type="dxa"/>
            <w:tcBorders>
              <w:right w:val="single" w:sz="8" w:space="0" w:color="000000"/>
            </w:tcBorders>
          </w:tcPr>
          <w:p>
            <w:pPr>
              <w:pStyle w:val="TableParagraph"/>
              <w:spacing w:line="206" w:lineRule="exact" w:before="0"/>
              <w:ind w:left="576"/>
              <w:jc w:val="left"/>
              <w:rPr>
                <w:sz w:val="18"/>
              </w:rPr>
            </w:pPr>
            <w:r>
              <w:rPr>
                <w:sz w:val="18"/>
              </w:rPr>
              <w:t>Cantón de Curridabat,</w:t>
            </w:r>
          </w:p>
          <w:p>
            <w:pPr>
              <w:pStyle w:val="TableParagraph"/>
              <w:spacing w:line="240" w:lineRule="auto" w:before="105"/>
              <w:ind w:left="576"/>
              <w:jc w:val="left"/>
              <w:rPr>
                <w:sz w:val="18"/>
              </w:rPr>
            </w:pPr>
            <w:r>
              <w:rPr>
                <w:sz w:val="18"/>
              </w:rPr>
              <w:t>San José</w:t>
            </w:r>
          </w:p>
        </w:tc>
      </w:tr>
      <w:tr>
        <w:trPr>
          <w:trHeight w:val="620" w:hRule="atLeast"/>
        </w:trPr>
        <w:tc>
          <w:tcPr>
            <w:tcW w:w="1871" w:type="dxa"/>
            <w:tcBorders>
              <w:right w:val="single" w:sz="8" w:space="0" w:color="000000"/>
            </w:tcBorders>
          </w:tcPr>
          <w:p>
            <w:pPr>
              <w:pStyle w:val="TableParagraph"/>
              <w:spacing w:line="206" w:lineRule="exact" w:before="0"/>
              <w:ind w:left="107"/>
              <w:jc w:val="left"/>
              <w:rPr>
                <w:sz w:val="18"/>
              </w:rPr>
            </w:pPr>
            <w:r>
              <w:rPr>
                <w:sz w:val="18"/>
              </w:rPr>
              <w:t>Núñez y Salas</w:t>
            </w:r>
          </w:p>
        </w:tc>
        <w:tc>
          <w:tcPr>
            <w:tcW w:w="3957" w:type="dxa"/>
            <w:tcBorders>
              <w:left w:val="single" w:sz="8" w:space="0" w:color="000000"/>
            </w:tcBorders>
            <w:shd w:val="clear" w:color="auto" w:fill="C0C0C0"/>
          </w:tcPr>
          <w:p>
            <w:pPr>
              <w:pStyle w:val="TableParagraph"/>
              <w:spacing w:line="206" w:lineRule="exact" w:before="0"/>
              <w:ind w:left="99"/>
              <w:jc w:val="left"/>
              <w:rPr>
                <w:sz w:val="18"/>
              </w:rPr>
            </w:pPr>
            <w:r>
              <w:rPr>
                <w:sz w:val="18"/>
              </w:rPr>
              <w:t>La formación de precios del suelo: Caso de</w:t>
            </w:r>
          </w:p>
          <w:p>
            <w:pPr>
              <w:pStyle w:val="TableParagraph"/>
              <w:spacing w:line="240" w:lineRule="auto" w:before="105"/>
              <w:ind w:left="99"/>
              <w:jc w:val="left"/>
              <w:rPr>
                <w:sz w:val="18"/>
              </w:rPr>
            </w:pPr>
            <w:r>
              <w:rPr>
                <w:sz w:val="18"/>
              </w:rPr>
              <w:t>estudio del cantón de Escazú</w:t>
            </w:r>
          </w:p>
        </w:tc>
        <w:tc>
          <w:tcPr>
            <w:tcW w:w="1086" w:type="dxa"/>
            <w:shd w:val="clear" w:color="auto" w:fill="C0C0C0"/>
          </w:tcPr>
          <w:p>
            <w:pPr>
              <w:pStyle w:val="TableParagraph"/>
              <w:spacing w:line="206" w:lineRule="exact" w:before="0"/>
              <w:ind w:left="105"/>
              <w:jc w:val="left"/>
              <w:rPr>
                <w:sz w:val="18"/>
              </w:rPr>
            </w:pPr>
            <w:r>
              <w:rPr>
                <w:sz w:val="18"/>
              </w:rPr>
              <w:t>2010</w:t>
            </w:r>
          </w:p>
        </w:tc>
        <w:tc>
          <w:tcPr>
            <w:tcW w:w="2653" w:type="dxa"/>
            <w:tcBorders>
              <w:right w:val="single" w:sz="8" w:space="0" w:color="000000"/>
            </w:tcBorders>
            <w:shd w:val="clear" w:color="auto" w:fill="C0C0C0"/>
          </w:tcPr>
          <w:p>
            <w:pPr>
              <w:pStyle w:val="TableParagraph"/>
              <w:spacing w:line="206" w:lineRule="exact" w:before="0"/>
              <w:ind w:left="576"/>
              <w:jc w:val="left"/>
              <w:rPr>
                <w:sz w:val="18"/>
              </w:rPr>
            </w:pPr>
            <w:r>
              <w:rPr>
                <w:sz w:val="18"/>
              </w:rPr>
              <w:t>Cantón de Escazú, San</w:t>
            </w:r>
          </w:p>
          <w:p>
            <w:pPr>
              <w:pStyle w:val="TableParagraph"/>
              <w:spacing w:line="240" w:lineRule="auto" w:before="105"/>
              <w:ind w:left="576"/>
              <w:jc w:val="left"/>
              <w:rPr>
                <w:sz w:val="18"/>
              </w:rPr>
            </w:pPr>
            <w:r>
              <w:rPr>
                <w:sz w:val="18"/>
              </w:rPr>
              <w:t>José</w:t>
            </w:r>
          </w:p>
        </w:tc>
      </w:tr>
      <w:tr>
        <w:trPr>
          <w:trHeight w:val="624" w:hRule="atLeast"/>
        </w:trPr>
        <w:tc>
          <w:tcPr>
            <w:tcW w:w="1871" w:type="dxa"/>
            <w:tcBorders>
              <w:right w:val="single" w:sz="8" w:space="0" w:color="000000"/>
            </w:tcBorders>
          </w:tcPr>
          <w:p>
            <w:pPr>
              <w:pStyle w:val="TableParagraph"/>
              <w:tabs>
                <w:tab w:pos="715" w:val="left" w:leader="none"/>
                <w:tab w:pos="1671" w:val="left" w:leader="none"/>
              </w:tabs>
              <w:spacing w:line="206" w:lineRule="exact" w:before="0"/>
              <w:ind w:left="107"/>
              <w:jc w:val="left"/>
              <w:rPr>
                <w:sz w:val="18"/>
              </w:rPr>
            </w:pPr>
            <w:r>
              <w:rPr>
                <w:sz w:val="18"/>
              </w:rPr>
              <w:t>Hall,</w:t>
              <w:tab/>
              <w:t>Robalino</w:t>
              <w:tab/>
              <w:t>y</w:t>
            </w:r>
          </w:p>
          <w:p>
            <w:pPr>
              <w:pStyle w:val="TableParagraph"/>
              <w:spacing w:line="240" w:lineRule="auto" w:before="105"/>
              <w:ind w:left="107"/>
              <w:jc w:val="left"/>
              <w:rPr>
                <w:sz w:val="18"/>
              </w:rPr>
            </w:pPr>
            <w:r>
              <w:rPr>
                <w:sz w:val="18"/>
              </w:rPr>
              <w:t>Madrigal</w:t>
            </w:r>
          </w:p>
        </w:tc>
        <w:tc>
          <w:tcPr>
            <w:tcW w:w="3957" w:type="dxa"/>
            <w:tcBorders>
              <w:left w:val="single" w:sz="8" w:space="0" w:color="000000"/>
              <w:bottom w:val="single" w:sz="8" w:space="0" w:color="000000"/>
            </w:tcBorders>
          </w:tcPr>
          <w:p>
            <w:pPr>
              <w:pStyle w:val="TableParagraph"/>
              <w:spacing w:line="206" w:lineRule="exact" w:before="0"/>
              <w:ind w:left="99"/>
              <w:jc w:val="left"/>
              <w:rPr>
                <w:sz w:val="18"/>
              </w:rPr>
            </w:pPr>
            <w:r>
              <w:rPr>
                <w:sz w:val="18"/>
              </w:rPr>
              <w:t>Pricing Amenities in Urban Neighborhoods of</w:t>
            </w:r>
          </w:p>
          <w:p>
            <w:pPr>
              <w:pStyle w:val="TableParagraph"/>
              <w:spacing w:line="240" w:lineRule="auto" w:before="105"/>
              <w:ind w:left="99"/>
              <w:jc w:val="left"/>
              <w:rPr>
                <w:sz w:val="18"/>
              </w:rPr>
            </w:pPr>
            <w:r>
              <w:rPr>
                <w:sz w:val="18"/>
              </w:rPr>
              <w:t>Costa Rica</w:t>
            </w:r>
          </w:p>
        </w:tc>
        <w:tc>
          <w:tcPr>
            <w:tcW w:w="1086" w:type="dxa"/>
            <w:tcBorders>
              <w:bottom w:val="single" w:sz="8" w:space="0" w:color="000000"/>
            </w:tcBorders>
          </w:tcPr>
          <w:p>
            <w:pPr>
              <w:pStyle w:val="TableParagraph"/>
              <w:spacing w:line="206" w:lineRule="exact" w:before="0"/>
              <w:ind w:left="105"/>
              <w:jc w:val="left"/>
              <w:rPr>
                <w:sz w:val="18"/>
              </w:rPr>
            </w:pPr>
            <w:r>
              <w:rPr>
                <w:sz w:val="18"/>
              </w:rPr>
              <w:t>2010</w:t>
            </w:r>
          </w:p>
        </w:tc>
        <w:tc>
          <w:tcPr>
            <w:tcW w:w="2653" w:type="dxa"/>
            <w:tcBorders>
              <w:bottom w:val="single" w:sz="8" w:space="0" w:color="000000"/>
              <w:right w:val="single" w:sz="8" w:space="0" w:color="000000"/>
            </w:tcBorders>
          </w:tcPr>
          <w:p>
            <w:pPr>
              <w:pStyle w:val="TableParagraph"/>
              <w:spacing w:line="206" w:lineRule="exact" w:before="0"/>
              <w:ind w:left="576"/>
              <w:jc w:val="left"/>
              <w:rPr>
                <w:sz w:val="18"/>
              </w:rPr>
            </w:pPr>
            <w:r>
              <w:rPr>
                <w:sz w:val="18"/>
              </w:rPr>
              <w:t>Área Metropolitana de</w:t>
            </w:r>
          </w:p>
          <w:p>
            <w:pPr>
              <w:pStyle w:val="TableParagraph"/>
              <w:spacing w:line="240" w:lineRule="auto" w:before="105"/>
              <w:ind w:left="576"/>
              <w:jc w:val="left"/>
              <w:rPr>
                <w:sz w:val="18"/>
              </w:rPr>
            </w:pPr>
            <w:r>
              <w:rPr>
                <w:sz w:val="18"/>
              </w:rPr>
              <w:t>San José, San José</w:t>
            </w:r>
          </w:p>
        </w:tc>
      </w:tr>
    </w:tbl>
    <w:p>
      <w:pPr>
        <w:spacing w:after="0" w:line="240" w:lineRule="auto"/>
        <w:jc w:val="left"/>
        <w:rPr>
          <w:sz w:val="18"/>
        </w:rPr>
        <w:sectPr>
          <w:pgSz w:w="12240" w:h="15840"/>
          <w:pgMar w:header="0" w:footer="1062" w:top="1340" w:bottom="1260" w:left="1480" w:right="820"/>
        </w:sectPr>
      </w:pPr>
    </w:p>
    <w:p>
      <w:pPr>
        <w:pStyle w:val="BodyText"/>
        <w:spacing w:line="360" w:lineRule="auto" w:before="75"/>
        <w:ind w:left="220" w:right="642"/>
        <w:jc w:val="both"/>
      </w:pPr>
      <w:r>
        <w:rPr/>
        <w:t>El estudio pionero (Suárez &amp; Sequeira, 2000) realizó una modelación del efecto de la presencia</w:t>
      </w:r>
      <w:r>
        <w:rPr>
          <w:spacing w:val="-9"/>
        </w:rPr>
        <w:t> </w:t>
      </w:r>
      <w:r>
        <w:rPr/>
        <w:t>del</w:t>
      </w:r>
      <w:r>
        <w:rPr>
          <w:spacing w:val="-8"/>
        </w:rPr>
        <w:t> </w:t>
      </w:r>
      <w:r>
        <w:rPr/>
        <w:t>botadero</w:t>
      </w:r>
      <w:r>
        <w:rPr>
          <w:spacing w:val="-9"/>
        </w:rPr>
        <w:t> </w:t>
      </w:r>
      <w:r>
        <w:rPr/>
        <w:t>de</w:t>
      </w:r>
      <w:r>
        <w:rPr>
          <w:spacing w:val="-9"/>
        </w:rPr>
        <w:t> </w:t>
      </w:r>
      <w:r>
        <w:rPr/>
        <w:t>Río</w:t>
      </w:r>
      <w:r>
        <w:rPr>
          <w:spacing w:val="-9"/>
        </w:rPr>
        <w:t> </w:t>
      </w:r>
      <w:r>
        <w:rPr/>
        <w:t>Azul</w:t>
      </w:r>
      <w:r>
        <w:rPr>
          <w:spacing w:val="-8"/>
        </w:rPr>
        <w:t> </w:t>
      </w:r>
      <w:r>
        <w:rPr/>
        <w:t>por</w:t>
      </w:r>
      <w:r>
        <w:rPr>
          <w:spacing w:val="-7"/>
        </w:rPr>
        <w:t> </w:t>
      </w:r>
      <w:r>
        <w:rPr/>
        <w:t>olores,</w:t>
      </w:r>
      <w:r>
        <w:rPr>
          <w:spacing w:val="-6"/>
        </w:rPr>
        <w:t> </w:t>
      </w:r>
      <w:r>
        <w:rPr/>
        <w:t>ruido</w:t>
      </w:r>
      <w:r>
        <w:rPr>
          <w:spacing w:val="-5"/>
        </w:rPr>
        <w:t> </w:t>
      </w:r>
      <w:r>
        <w:rPr/>
        <w:t>y</w:t>
      </w:r>
      <w:r>
        <w:rPr>
          <w:spacing w:val="-11"/>
        </w:rPr>
        <w:t> </w:t>
      </w:r>
      <w:r>
        <w:rPr/>
        <w:t>presencia</w:t>
      </w:r>
      <w:r>
        <w:rPr>
          <w:spacing w:val="-9"/>
        </w:rPr>
        <w:t> </w:t>
      </w:r>
      <w:r>
        <w:rPr/>
        <w:t>de</w:t>
      </w:r>
      <w:r>
        <w:rPr>
          <w:spacing w:val="-5"/>
        </w:rPr>
        <w:t> </w:t>
      </w:r>
      <w:r>
        <w:rPr/>
        <w:t>zopilotes</w:t>
      </w:r>
      <w:r>
        <w:rPr>
          <w:spacing w:val="-4"/>
        </w:rPr>
        <w:t> </w:t>
      </w:r>
      <w:r>
        <w:rPr/>
        <w:t>(buitres- </w:t>
      </w:r>
      <w:r>
        <w:rPr>
          <w:i/>
        </w:rPr>
        <w:t>Coragyps atratus</w:t>
      </w:r>
      <w:r>
        <w:rPr/>
        <w:t>) sobre el precio de las viviendas de la comunidad. En este caso se analizaron tanto variables de las viviendas como el efecto sobre el entorno de la presencia del</w:t>
      </w:r>
      <w:r>
        <w:rPr>
          <w:spacing w:val="-3"/>
        </w:rPr>
        <w:t> </w:t>
      </w:r>
      <w:r>
        <w:rPr/>
        <w:t>basurero.</w:t>
      </w:r>
    </w:p>
    <w:p>
      <w:pPr>
        <w:pStyle w:val="BodyText"/>
        <w:spacing w:line="360" w:lineRule="auto" w:before="203"/>
        <w:ind w:left="220" w:right="642"/>
        <w:jc w:val="both"/>
      </w:pPr>
      <w:r>
        <w:rPr/>
        <w:t>El Cuadro 11 presenta las variables significativas a un nivel del 95% dentro de los modelos de precios hedónicos mencionados arriba. Como puede observarse, se documentan diversas características de las viviendas de las cuales el número de cuartos/habitaciones es reiterado en ambos estudios. Los estudios del área metropolitana detallan varias características más, algunas referentes al acceso a servicios y a las condiciones estructurales (Hall, et al., 2008; Hall, et al., 2010).</w:t>
      </w:r>
    </w:p>
    <w:p>
      <w:pPr>
        <w:pStyle w:val="BodyText"/>
        <w:spacing w:line="360" w:lineRule="auto" w:before="200"/>
        <w:ind w:left="220" w:right="645"/>
        <w:jc w:val="both"/>
      </w:pPr>
      <w:r>
        <w:rPr/>
        <w:t>En lo que respecta a las características del entorno se observan algunas tendencias. Primero se puede observar diversidad de características determinantes. Ahora bien, las condiciones geográficas del Valle Central quedan expresadas en variables como la pendiente, la ubicación en zonas de riesgo de derrumbes, la posible afectación por erupciones volcánicas o el régimen de precipitación. También hay variables que describen características de la infraestructura circundante, especialmente caminos. Por otra parte, se observa la utilización de variables de distancia a puntos de importancia en lo comercial, vías de acceso o amenidades. Asimismo, se incluyen variables de zonificación y de estratificación social (incluyendo la presencia del basurero).</w:t>
      </w:r>
    </w:p>
    <w:p>
      <w:pPr>
        <w:pStyle w:val="BodyText"/>
        <w:spacing w:line="360" w:lineRule="auto" w:before="202"/>
        <w:ind w:left="220" w:right="645"/>
        <w:jc w:val="both"/>
      </w:pPr>
      <w:r>
        <w:rPr/>
        <w:t>Finalmente es importante aportar que los estudios coinciden en las zonas de interés de esta tesis. En este sentido, especial atención se pone a los estudios de Río Azul, Desamparados y Curridabat que proveen importante información específica respecto al contexto en estudio.</w:t>
      </w:r>
    </w:p>
    <w:p>
      <w:pPr>
        <w:spacing w:after="0" w:line="360" w:lineRule="auto"/>
        <w:jc w:val="both"/>
        <w:sectPr>
          <w:pgSz w:w="12240" w:h="15840"/>
          <w:pgMar w:header="0" w:footer="1062" w:top="1340" w:bottom="1260" w:left="1480" w:right="820"/>
        </w:sectPr>
      </w:pPr>
    </w:p>
    <w:p>
      <w:pPr>
        <w:spacing w:before="73"/>
        <w:ind w:left="224" w:right="663" w:firstLine="0"/>
        <w:jc w:val="center"/>
        <w:rPr>
          <w:i/>
          <w:sz w:val="20"/>
        </w:rPr>
      </w:pPr>
      <w:bookmarkStart w:name="_bookmark36" w:id="50"/>
      <w:bookmarkEnd w:id="50"/>
      <w:r>
        <w:rPr/>
      </w:r>
      <w:r>
        <w:rPr>
          <w:i/>
          <w:sz w:val="20"/>
        </w:rPr>
        <w:t>Cuadro 11- Características del Inmueble y del Entorno Identificadas como Significativas para el</w:t>
      </w:r>
      <w:r>
        <w:rPr>
          <w:i/>
          <w:spacing w:val="-36"/>
          <w:sz w:val="20"/>
        </w:rPr>
        <w:t> </w:t>
      </w:r>
      <w:r>
        <w:rPr>
          <w:i/>
          <w:sz w:val="20"/>
        </w:rPr>
        <w:t>Precio </w:t>
      </w:r>
      <w:r>
        <w:rPr>
          <w:i/>
          <w:sz w:val="20"/>
        </w:rPr>
        <w:t>de los Inmuebles en 5 Zonas Urbanas en el Valle Central de Costa</w:t>
      </w:r>
      <w:r>
        <w:rPr>
          <w:i/>
          <w:spacing w:val="-10"/>
          <w:sz w:val="20"/>
        </w:rPr>
        <w:t> </w:t>
      </w:r>
      <w:r>
        <w:rPr>
          <w:i/>
          <w:sz w:val="20"/>
        </w:rPr>
        <w:t>Rica.</w:t>
      </w:r>
    </w:p>
    <w:p>
      <w:pPr>
        <w:spacing w:before="0"/>
        <w:ind w:left="235" w:right="663" w:firstLine="0"/>
        <w:jc w:val="center"/>
        <w:rPr>
          <w:i/>
          <w:sz w:val="20"/>
        </w:rPr>
      </w:pPr>
      <w:r>
        <w:rPr>
          <w:i/>
          <w:sz w:val="20"/>
        </w:rPr>
        <w:t>Fuente: Elaboración propia con base en Suárez y Sequeira (2000); Hall, et al. (2008); Monge y</w:t>
      </w:r>
      <w:r>
        <w:rPr>
          <w:i/>
          <w:spacing w:val="-28"/>
          <w:sz w:val="20"/>
        </w:rPr>
        <w:t> </w:t>
      </w:r>
      <w:r>
        <w:rPr>
          <w:i/>
          <w:sz w:val="20"/>
        </w:rPr>
        <w:t>Rojas, </w:t>
      </w:r>
      <w:r>
        <w:rPr>
          <w:i/>
          <w:sz w:val="20"/>
        </w:rPr>
        <w:t>(2009); Alfaro y Navarro (2009); Hall, et al. (2010); Núñez y Salas</w:t>
      </w:r>
      <w:r>
        <w:rPr>
          <w:i/>
          <w:spacing w:val="-12"/>
          <w:sz w:val="20"/>
        </w:rPr>
        <w:t> </w:t>
      </w:r>
      <w:r>
        <w:rPr>
          <w:i/>
          <w:sz w:val="20"/>
        </w:rPr>
        <w:t>(2010).</w:t>
      </w:r>
    </w:p>
    <w:p>
      <w:pPr>
        <w:pStyle w:val="BodyText"/>
        <w:spacing w:before="2"/>
        <w:rPr>
          <w:i/>
          <w:sz w:val="18"/>
        </w:rPr>
      </w:pPr>
    </w:p>
    <w:tbl>
      <w:tblPr>
        <w:tblW w:w="0" w:type="auto"/>
        <w:jc w:val="left"/>
        <w:tblInd w:w="2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91"/>
        <w:gridCol w:w="1841"/>
        <w:gridCol w:w="1999"/>
        <w:gridCol w:w="1713"/>
        <w:gridCol w:w="1661"/>
      </w:tblGrid>
      <w:tr>
        <w:trPr>
          <w:trHeight w:val="634" w:hRule="atLeast"/>
        </w:trPr>
        <w:tc>
          <w:tcPr>
            <w:tcW w:w="2391" w:type="dxa"/>
            <w:shd w:val="clear" w:color="auto" w:fill="000000"/>
          </w:tcPr>
          <w:p>
            <w:pPr>
              <w:pStyle w:val="TableParagraph"/>
              <w:spacing w:line="242" w:lineRule="auto" w:before="0"/>
              <w:ind w:left="808" w:hanging="549"/>
              <w:jc w:val="left"/>
              <w:rPr>
                <w:b/>
                <w:sz w:val="18"/>
              </w:rPr>
            </w:pPr>
            <w:r>
              <w:rPr>
                <w:b/>
                <w:color w:val="FFFFFF"/>
                <w:sz w:val="18"/>
              </w:rPr>
              <w:t>Área Metropolitana de San José</w:t>
            </w:r>
          </w:p>
        </w:tc>
        <w:tc>
          <w:tcPr>
            <w:tcW w:w="1841" w:type="dxa"/>
            <w:shd w:val="clear" w:color="auto" w:fill="000000"/>
          </w:tcPr>
          <w:p>
            <w:pPr>
              <w:pStyle w:val="TableParagraph"/>
              <w:spacing w:line="242" w:lineRule="auto" w:before="0"/>
              <w:ind w:left="457" w:right="156" w:hanging="232"/>
              <w:jc w:val="left"/>
              <w:rPr>
                <w:b/>
                <w:sz w:val="18"/>
              </w:rPr>
            </w:pPr>
            <w:r>
              <w:rPr>
                <w:b/>
                <w:color w:val="FFFFFF"/>
                <w:sz w:val="18"/>
              </w:rPr>
              <w:t>Río Azul, Cantón de la Unión</w:t>
            </w:r>
          </w:p>
        </w:tc>
        <w:tc>
          <w:tcPr>
            <w:tcW w:w="1999" w:type="dxa"/>
            <w:shd w:val="clear" w:color="auto" w:fill="000000"/>
          </w:tcPr>
          <w:p>
            <w:pPr>
              <w:pStyle w:val="TableParagraph"/>
              <w:spacing w:line="242" w:lineRule="auto" w:before="0"/>
              <w:ind w:left="145" w:right="115" w:hanging="5"/>
              <w:jc w:val="center"/>
              <w:rPr>
                <w:b/>
                <w:sz w:val="18"/>
              </w:rPr>
            </w:pPr>
            <w:r>
              <w:rPr>
                <w:b/>
                <w:color w:val="FFFFFF"/>
                <w:sz w:val="18"/>
              </w:rPr>
              <w:t>Distritos Central y Gravilias, Cantón </w:t>
            </w:r>
            <w:r>
              <w:rPr>
                <w:b/>
                <w:color w:val="FFFFFF"/>
                <w:spacing w:val="-8"/>
                <w:sz w:val="18"/>
              </w:rPr>
              <w:t>de</w:t>
            </w:r>
          </w:p>
          <w:p>
            <w:pPr>
              <w:pStyle w:val="TableParagraph"/>
              <w:spacing w:line="199" w:lineRule="exact" w:before="0"/>
              <w:ind w:left="125" w:right="106"/>
              <w:jc w:val="center"/>
              <w:rPr>
                <w:b/>
                <w:sz w:val="18"/>
              </w:rPr>
            </w:pPr>
            <w:r>
              <w:rPr>
                <w:b/>
                <w:color w:val="FFFFFF"/>
                <w:sz w:val="18"/>
              </w:rPr>
              <w:t>Desamparados</w:t>
            </w:r>
          </w:p>
        </w:tc>
        <w:tc>
          <w:tcPr>
            <w:tcW w:w="1713" w:type="dxa"/>
            <w:shd w:val="clear" w:color="auto" w:fill="000000"/>
          </w:tcPr>
          <w:p>
            <w:pPr>
              <w:pStyle w:val="TableParagraph"/>
              <w:spacing w:line="242" w:lineRule="auto" w:before="0"/>
              <w:ind w:left="402" w:right="380" w:firstLine="20"/>
              <w:jc w:val="left"/>
              <w:rPr>
                <w:b/>
                <w:sz w:val="18"/>
              </w:rPr>
            </w:pPr>
            <w:r>
              <w:rPr>
                <w:b/>
                <w:color w:val="FFFFFF"/>
                <w:sz w:val="18"/>
              </w:rPr>
              <w:t>Cantón de Curridabat</w:t>
            </w:r>
          </w:p>
        </w:tc>
        <w:tc>
          <w:tcPr>
            <w:tcW w:w="1661" w:type="dxa"/>
            <w:shd w:val="clear" w:color="auto" w:fill="000000"/>
          </w:tcPr>
          <w:p>
            <w:pPr>
              <w:pStyle w:val="TableParagraph"/>
              <w:spacing w:line="242" w:lineRule="auto" w:before="0"/>
              <w:ind w:left="518" w:hanging="128"/>
              <w:jc w:val="left"/>
              <w:rPr>
                <w:b/>
                <w:sz w:val="18"/>
              </w:rPr>
            </w:pPr>
            <w:r>
              <w:rPr>
                <w:b/>
                <w:color w:val="FFFFFF"/>
                <w:sz w:val="18"/>
              </w:rPr>
              <w:t>Cantón de Escazú</w:t>
            </w:r>
          </w:p>
        </w:tc>
      </w:tr>
      <w:tr>
        <w:trPr>
          <w:trHeight w:val="206" w:hRule="atLeast"/>
        </w:trPr>
        <w:tc>
          <w:tcPr>
            <w:tcW w:w="9605" w:type="dxa"/>
            <w:gridSpan w:val="5"/>
            <w:tcBorders>
              <w:left w:val="single" w:sz="4" w:space="0" w:color="000000"/>
              <w:bottom w:val="single" w:sz="4" w:space="0" w:color="000000"/>
            </w:tcBorders>
          </w:tcPr>
          <w:p>
            <w:pPr>
              <w:pStyle w:val="TableParagraph"/>
              <w:spacing w:line="187" w:lineRule="exact" w:before="0"/>
              <w:ind w:left="3506" w:right="3512"/>
              <w:jc w:val="center"/>
              <w:rPr>
                <w:b/>
                <w:sz w:val="18"/>
              </w:rPr>
            </w:pPr>
            <w:r>
              <w:rPr>
                <w:b/>
                <w:sz w:val="18"/>
              </w:rPr>
              <w:t>Características de la Vivienda</w:t>
            </w:r>
          </w:p>
        </w:tc>
      </w:tr>
      <w:tr>
        <w:trPr>
          <w:trHeight w:val="520" w:hRule="atLeast"/>
        </w:trPr>
        <w:tc>
          <w:tcPr>
            <w:tcW w:w="2391" w:type="dxa"/>
            <w:tcBorders>
              <w:top w:val="single" w:sz="4" w:space="0" w:color="000000"/>
              <w:left w:val="single" w:sz="4" w:space="0" w:color="000000"/>
            </w:tcBorders>
          </w:tcPr>
          <w:p>
            <w:pPr>
              <w:pStyle w:val="TableParagraph"/>
              <w:spacing w:line="240" w:lineRule="auto" w:before="0"/>
              <w:ind w:left="255" w:right="219" w:firstLine="500"/>
              <w:jc w:val="left"/>
              <w:rPr>
                <w:sz w:val="18"/>
              </w:rPr>
            </w:pPr>
            <w:r>
              <w:rPr>
                <w:sz w:val="18"/>
              </w:rPr>
              <w:t>Número de habitaciones/aposentos</w:t>
            </w:r>
          </w:p>
        </w:tc>
        <w:tc>
          <w:tcPr>
            <w:tcW w:w="1841" w:type="dxa"/>
            <w:tcBorders>
              <w:top w:val="single" w:sz="4" w:space="0" w:color="000000"/>
            </w:tcBorders>
          </w:tcPr>
          <w:p>
            <w:pPr>
              <w:pStyle w:val="TableParagraph"/>
              <w:spacing w:line="240" w:lineRule="auto" w:before="0"/>
              <w:ind w:left="438" w:right="372" w:firstLine="60"/>
              <w:jc w:val="left"/>
              <w:rPr>
                <w:sz w:val="18"/>
              </w:rPr>
            </w:pPr>
            <w:r>
              <w:rPr>
                <w:sz w:val="18"/>
              </w:rPr>
              <w:t>Número de habitaciones</w:t>
            </w:r>
          </w:p>
        </w:tc>
        <w:tc>
          <w:tcPr>
            <w:tcW w:w="1999" w:type="dxa"/>
            <w:tcBorders>
              <w:top w:val="single" w:sz="4" w:space="0" w:color="000000"/>
            </w:tcBorders>
          </w:tcPr>
          <w:p>
            <w:pPr>
              <w:pStyle w:val="TableParagraph"/>
              <w:spacing w:line="205" w:lineRule="exact" w:before="0"/>
              <w:ind w:left="625"/>
              <w:jc w:val="left"/>
              <w:rPr>
                <w:sz w:val="18"/>
              </w:rPr>
            </w:pPr>
            <w:r>
              <w:rPr>
                <w:sz w:val="18"/>
              </w:rPr>
              <w:t>No Aplica</w:t>
            </w:r>
          </w:p>
        </w:tc>
        <w:tc>
          <w:tcPr>
            <w:tcW w:w="1713" w:type="dxa"/>
            <w:tcBorders>
              <w:top w:val="single" w:sz="4" w:space="0" w:color="000000"/>
            </w:tcBorders>
          </w:tcPr>
          <w:p>
            <w:pPr>
              <w:pStyle w:val="TableParagraph"/>
              <w:spacing w:line="205" w:lineRule="exact" w:before="0"/>
              <w:ind w:left="475"/>
              <w:jc w:val="left"/>
              <w:rPr>
                <w:sz w:val="18"/>
              </w:rPr>
            </w:pPr>
            <w:r>
              <w:rPr>
                <w:sz w:val="18"/>
              </w:rPr>
              <w:t>No Aplica</w:t>
            </w:r>
          </w:p>
        </w:tc>
        <w:tc>
          <w:tcPr>
            <w:tcW w:w="1661" w:type="dxa"/>
            <w:tcBorders>
              <w:top w:val="single" w:sz="4" w:space="0" w:color="000000"/>
              <w:right w:val="single" w:sz="4" w:space="0" w:color="000000"/>
            </w:tcBorders>
          </w:tcPr>
          <w:p>
            <w:pPr>
              <w:pStyle w:val="TableParagraph"/>
              <w:spacing w:line="205" w:lineRule="exact" w:before="0"/>
              <w:ind w:left="442"/>
              <w:jc w:val="left"/>
              <w:rPr>
                <w:sz w:val="18"/>
              </w:rPr>
            </w:pPr>
            <w:r>
              <w:rPr>
                <w:sz w:val="18"/>
              </w:rPr>
              <w:t>No Aplica</w:t>
            </w:r>
          </w:p>
        </w:tc>
      </w:tr>
      <w:tr>
        <w:trPr>
          <w:trHeight w:val="413" w:hRule="atLeast"/>
        </w:trPr>
        <w:tc>
          <w:tcPr>
            <w:tcW w:w="2391" w:type="dxa"/>
            <w:tcBorders>
              <w:left w:val="single" w:sz="4" w:space="0" w:color="000000"/>
            </w:tcBorders>
          </w:tcPr>
          <w:p>
            <w:pPr>
              <w:pStyle w:val="TableParagraph"/>
              <w:spacing w:line="240" w:lineRule="auto" w:before="101"/>
              <w:ind w:left="483"/>
              <w:jc w:val="left"/>
              <w:rPr>
                <w:sz w:val="18"/>
              </w:rPr>
            </w:pPr>
            <w:r>
              <w:rPr>
                <w:sz w:val="18"/>
              </w:rPr>
              <w:t>Número de baños</w:t>
            </w:r>
          </w:p>
        </w:tc>
        <w:tc>
          <w:tcPr>
            <w:tcW w:w="1841" w:type="dxa"/>
          </w:tcPr>
          <w:p>
            <w:pPr>
              <w:pStyle w:val="TableParagraph"/>
              <w:spacing w:line="240" w:lineRule="auto" w:before="101"/>
              <w:ind w:left="262"/>
              <w:jc w:val="left"/>
              <w:rPr>
                <w:sz w:val="18"/>
              </w:rPr>
            </w:pPr>
            <w:r>
              <w:rPr>
                <w:sz w:val="18"/>
              </w:rPr>
              <w:t>Número de pisos</w:t>
            </w:r>
          </w:p>
        </w:tc>
        <w:tc>
          <w:tcPr>
            <w:tcW w:w="1999" w:type="dxa"/>
          </w:tcPr>
          <w:p>
            <w:pPr>
              <w:pStyle w:val="TableParagraph"/>
              <w:spacing w:line="240" w:lineRule="auto" w:before="0"/>
              <w:jc w:val="left"/>
              <w:rPr>
                <w:rFonts w:ascii="Times New Roman"/>
                <w:sz w:val="18"/>
              </w:rPr>
            </w:pPr>
          </w:p>
        </w:tc>
        <w:tc>
          <w:tcPr>
            <w:tcW w:w="1713" w:type="dxa"/>
          </w:tcPr>
          <w:p>
            <w:pPr>
              <w:pStyle w:val="TableParagraph"/>
              <w:spacing w:line="240" w:lineRule="auto" w:before="0"/>
              <w:jc w:val="left"/>
              <w:rPr>
                <w:rFonts w:ascii="Times New Roman"/>
                <w:sz w:val="18"/>
              </w:rPr>
            </w:pPr>
          </w:p>
        </w:tc>
        <w:tc>
          <w:tcPr>
            <w:tcW w:w="1661" w:type="dxa"/>
            <w:tcBorders>
              <w:right w:val="single" w:sz="4" w:space="0" w:color="000000"/>
            </w:tcBorders>
          </w:tcPr>
          <w:p>
            <w:pPr>
              <w:pStyle w:val="TableParagraph"/>
              <w:spacing w:line="240" w:lineRule="auto" w:before="0"/>
              <w:jc w:val="left"/>
              <w:rPr>
                <w:rFonts w:ascii="Times New Roman"/>
                <w:sz w:val="18"/>
              </w:rPr>
            </w:pPr>
          </w:p>
        </w:tc>
      </w:tr>
      <w:tr>
        <w:trPr>
          <w:trHeight w:val="518" w:hRule="atLeast"/>
        </w:trPr>
        <w:tc>
          <w:tcPr>
            <w:tcW w:w="2391" w:type="dxa"/>
            <w:tcBorders>
              <w:left w:val="single" w:sz="4" w:space="0" w:color="000000"/>
            </w:tcBorders>
          </w:tcPr>
          <w:p>
            <w:pPr>
              <w:pStyle w:val="TableParagraph"/>
              <w:spacing w:line="240" w:lineRule="auto" w:before="99"/>
              <w:ind w:left="182"/>
              <w:jc w:val="left"/>
              <w:rPr>
                <w:sz w:val="18"/>
              </w:rPr>
            </w:pPr>
            <w:r>
              <w:rPr>
                <w:sz w:val="18"/>
              </w:rPr>
              <w:t>Condición de las paredes</w:t>
            </w:r>
          </w:p>
        </w:tc>
        <w:tc>
          <w:tcPr>
            <w:tcW w:w="1841" w:type="dxa"/>
          </w:tcPr>
          <w:p>
            <w:pPr>
              <w:pStyle w:val="TableParagraph"/>
              <w:spacing w:line="210" w:lineRule="atLeast" w:before="96"/>
              <w:ind w:left="494" w:right="112" w:hanging="316"/>
              <w:jc w:val="left"/>
              <w:rPr>
                <w:sz w:val="18"/>
              </w:rPr>
            </w:pPr>
            <w:r>
              <w:rPr>
                <w:sz w:val="18"/>
              </w:rPr>
              <w:t>Piso de cerámica o alfombrado</w:t>
            </w:r>
          </w:p>
        </w:tc>
        <w:tc>
          <w:tcPr>
            <w:tcW w:w="1999" w:type="dxa"/>
          </w:tcPr>
          <w:p>
            <w:pPr>
              <w:pStyle w:val="TableParagraph"/>
              <w:spacing w:line="240" w:lineRule="auto" w:before="0"/>
              <w:jc w:val="left"/>
              <w:rPr>
                <w:rFonts w:ascii="Times New Roman"/>
                <w:sz w:val="18"/>
              </w:rPr>
            </w:pPr>
          </w:p>
        </w:tc>
        <w:tc>
          <w:tcPr>
            <w:tcW w:w="1713" w:type="dxa"/>
          </w:tcPr>
          <w:p>
            <w:pPr>
              <w:pStyle w:val="TableParagraph"/>
              <w:spacing w:line="240" w:lineRule="auto" w:before="0"/>
              <w:jc w:val="left"/>
              <w:rPr>
                <w:rFonts w:ascii="Times New Roman"/>
                <w:sz w:val="18"/>
              </w:rPr>
            </w:pPr>
          </w:p>
        </w:tc>
        <w:tc>
          <w:tcPr>
            <w:tcW w:w="1661" w:type="dxa"/>
            <w:tcBorders>
              <w:right w:val="single" w:sz="4" w:space="0" w:color="000000"/>
            </w:tcBorders>
          </w:tcPr>
          <w:p>
            <w:pPr>
              <w:pStyle w:val="TableParagraph"/>
              <w:spacing w:line="240" w:lineRule="auto" w:before="0"/>
              <w:jc w:val="left"/>
              <w:rPr>
                <w:rFonts w:ascii="Times New Roman"/>
                <w:sz w:val="18"/>
              </w:rPr>
            </w:pPr>
          </w:p>
        </w:tc>
      </w:tr>
      <w:tr>
        <w:trPr>
          <w:trHeight w:val="206" w:hRule="atLeast"/>
        </w:trPr>
        <w:tc>
          <w:tcPr>
            <w:tcW w:w="2391" w:type="dxa"/>
            <w:tcBorders>
              <w:left w:val="single" w:sz="4" w:space="0" w:color="000000"/>
            </w:tcBorders>
          </w:tcPr>
          <w:p>
            <w:pPr>
              <w:pStyle w:val="TableParagraph"/>
              <w:spacing w:line="186" w:lineRule="exact" w:before="0"/>
              <w:ind w:left="463"/>
              <w:jc w:val="left"/>
              <w:rPr>
                <w:sz w:val="18"/>
              </w:rPr>
            </w:pPr>
            <w:r>
              <w:rPr>
                <w:sz w:val="18"/>
              </w:rPr>
              <w:t>Condición del piso</w:t>
            </w:r>
          </w:p>
        </w:tc>
        <w:tc>
          <w:tcPr>
            <w:tcW w:w="1841" w:type="dxa"/>
          </w:tcPr>
          <w:p>
            <w:pPr>
              <w:pStyle w:val="TableParagraph"/>
              <w:spacing w:line="240" w:lineRule="auto" w:before="0"/>
              <w:jc w:val="left"/>
              <w:rPr>
                <w:rFonts w:ascii="Times New Roman"/>
                <w:sz w:val="14"/>
              </w:rPr>
            </w:pPr>
          </w:p>
        </w:tc>
        <w:tc>
          <w:tcPr>
            <w:tcW w:w="1999" w:type="dxa"/>
          </w:tcPr>
          <w:p>
            <w:pPr>
              <w:pStyle w:val="TableParagraph"/>
              <w:spacing w:line="240" w:lineRule="auto" w:before="0"/>
              <w:jc w:val="left"/>
              <w:rPr>
                <w:rFonts w:ascii="Times New Roman"/>
                <w:sz w:val="14"/>
              </w:rPr>
            </w:pPr>
          </w:p>
        </w:tc>
        <w:tc>
          <w:tcPr>
            <w:tcW w:w="1713" w:type="dxa"/>
          </w:tcPr>
          <w:p>
            <w:pPr>
              <w:pStyle w:val="TableParagraph"/>
              <w:spacing w:line="240" w:lineRule="auto" w:before="0"/>
              <w:jc w:val="left"/>
              <w:rPr>
                <w:rFonts w:ascii="Times New Roman"/>
                <w:sz w:val="14"/>
              </w:rPr>
            </w:pPr>
          </w:p>
        </w:tc>
        <w:tc>
          <w:tcPr>
            <w:tcW w:w="1661" w:type="dxa"/>
            <w:tcBorders>
              <w:right w:val="single" w:sz="4" w:space="0" w:color="000000"/>
            </w:tcBorders>
          </w:tcPr>
          <w:p>
            <w:pPr>
              <w:pStyle w:val="TableParagraph"/>
              <w:spacing w:line="240" w:lineRule="auto" w:before="0"/>
              <w:jc w:val="left"/>
              <w:rPr>
                <w:rFonts w:ascii="Times New Roman"/>
                <w:sz w:val="14"/>
              </w:rPr>
            </w:pPr>
          </w:p>
        </w:tc>
      </w:tr>
      <w:tr>
        <w:trPr>
          <w:trHeight w:val="724" w:hRule="atLeast"/>
        </w:trPr>
        <w:tc>
          <w:tcPr>
            <w:tcW w:w="2391" w:type="dxa"/>
            <w:tcBorders>
              <w:left w:val="single" w:sz="4" w:space="0" w:color="000000"/>
            </w:tcBorders>
          </w:tcPr>
          <w:p>
            <w:pPr>
              <w:pStyle w:val="TableParagraph"/>
              <w:spacing w:line="240" w:lineRule="auto" w:before="8"/>
              <w:jc w:val="left"/>
              <w:rPr>
                <w:i/>
                <w:sz w:val="17"/>
              </w:rPr>
            </w:pPr>
          </w:p>
          <w:p>
            <w:pPr>
              <w:pStyle w:val="TableParagraph"/>
              <w:spacing w:line="240" w:lineRule="auto" w:before="0"/>
              <w:ind w:left="723" w:right="326" w:hanging="365"/>
              <w:jc w:val="left"/>
              <w:rPr>
                <w:sz w:val="18"/>
              </w:rPr>
            </w:pPr>
            <w:r>
              <w:rPr>
                <w:sz w:val="18"/>
              </w:rPr>
              <w:t>Condición de techo y cielos rasos</w:t>
            </w:r>
          </w:p>
        </w:tc>
        <w:tc>
          <w:tcPr>
            <w:tcW w:w="1841" w:type="dxa"/>
          </w:tcPr>
          <w:p>
            <w:pPr>
              <w:pStyle w:val="TableParagraph"/>
              <w:spacing w:line="242" w:lineRule="auto" w:before="0"/>
              <w:ind w:left="522" w:right="264" w:hanging="196"/>
              <w:jc w:val="left"/>
              <w:rPr>
                <w:sz w:val="18"/>
              </w:rPr>
            </w:pPr>
            <w:r>
              <w:rPr>
                <w:sz w:val="18"/>
              </w:rPr>
              <w:t>Área en metros cuadrados</w:t>
            </w:r>
          </w:p>
        </w:tc>
        <w:tc>
          <w:tcPr>
            <w:tcW w:w="1999" w:type="dxa"/>
          </w:tcPr>
          <w:p>
            <w:pPr>
              <w:pStyle w:val="TableParagraph"/>
              <w:spacing w:line="240" w:lineRule="auto" w:before="0"/>
              <w:jc w:val="left"/>
              <w:rPr>
                <w:rFonts w:ascii="Times New Roman"/>
                <w:sz w:val="18"/>
              </w:rPr>
            </w:pPr>
          </w:p>
        </w:tc>
        <w:tc>
          <w:tcPr>
            <w:tcW w:w="1713" w:type="dxa"/>
          </w:tcPr>
          <w:p>
            <w:pPr>
              <w:pStyle w:val="TableParagraph"/>
              <w:spacing w:line="240" w:lineRule="auto" w:before="0"/>
              <w:jc w:val="left"/>
              <w:rPr>
                <w:rFonts w:ascii="Times New Roman"/>
                <w:sz w:val="18"/>
              </w:rPr>
            </w:pPr>
          </w:p>
        </w:tc>
        <w:tc>
          <w:tcPr>
            <w:tcW w:w="1661" w:type="dxa"/>
            <w:tcBorders>
              <w:right w:val="single" w:sz="4" w:space="0" w:color="000000"/>
            </w:tcBorders>
          </w:tcPr>
          <w:p>
            <w:pPr>
              <w:pStyle w:val="TableParagraph"/>
              <w:spacing w:line="240" w:lineRule="auto" w:before="0"/>
              <w:jc w:val="left"/>
              <w:rPr>
                <w:rFonts w:ascii="Times New Roman"/>
                <w:sz w:val="18"/>
              </w:rPr>
            </w:pPr>
          </w:p>
        </w:tc>
      </w:tr>
      <w:tr>
        <w:trPr>
          <w:trHeight w:val="413" w:hRule="atLeast"/>
        </w:trPr>
        <w:tc>
          <w:tcPr>
            <w:tcW w:w="2391" w:type="dxa"/>
            <w:tcBorders>
              <w:left w:val="single" w:sz="4" w:space="0" w:color="000000"/>
            </w:tcBorders>
          </w:tcPr>
          <w:p>
            <w:pPr>
              <w:pStyle w:val="TableParagraph"/>
              <w:spacing w:line="240" w:lineRule="auto" w:before="99"/>
              <w:ind w:left="235"/>
              <w:jc w:val="left"/>
              <w:rPr>
                <w:sz w:val="18"/>
              </w:rPr>
            </w:pPr>
            <w:r>
              <w:rPr>
                <w:sz w:val="18"/>
              </w:rPr>
              <w:t>Suministro de agua AyA</w:t>
            </w:r>
          </w:p>
        </w:tc>
        <w:tc>
          <w:tcPr>
            <w:tcW w:w="1841" w:type="dxa"/>
          </w:tcPr>
          <w:p>
            <w:pPr>
              <w:pStyle w:val="TableParagraph"/>
              <w:spacing w:line="240" w:lineRule="auto" w:before="0"/>
              <w:jc w:val="left"/>
              <w:rPr>
                <w:rFonts w:ascii="Times New Roman"/>
                <w:sz w:val="18"/>
              </w:rPr>
            </w:pPr>
          </w:p>
        </w:tc>
        <w:tc>
          <w:tcPr>
            <w:tcW w:w="1999" w:type="dxa"/>
          </w:tcPr>
          <w:p>
            <w:pPr>
              <w:pStyle w:val="TableParagraph"/>
              <w:spacing w:line="240" w:lineRule="auto" w:before="0"/>
              <w:jc w:val="left"/>
              <w:rPr>
                <w:rFonts w:ascii="Times New Roman"/>
                <w:sz w:val="18"/>
              </w:rPr>
            </w:pPr>
          </w:p>
        </w:tc>
        <w:tc>
          <w:tcPr>
            <w:tcW w:w="1713" w:type="dxa"/>
          </w:tcPr>
          <w:p>
            <w:pPr>
              <w:pStyle w:val="TableParagraph"/>
              <w:spacing w:line="240" w:lineRule="auto" w:before="0"/>
              <w:jc w:val="left"/>
              <w:rPr>
                <w:rFonts w:ascii="Times New Roman"/>
                <w:sz w:val="18"/>
              </w:rPr>
            </w:pPr>
          </w:p>
        </w:tc>
        <w:tc>
          <w:tcPr>
            <w:tcW w:w="1661" w:type="dxa"/>
            <w:tcBorders>
              <w:right w:val="single" w:sz="4" w:space="0" w:color="000000"/>
            </w:tcBorders>
          </w:tcPr>
          <w:p>
            <w:pPr>
              <w:pStyle w:val="TableParagraph"/>
              <w:spacing w:line="240" w:lineRule="auto" w:before="0"/>
              <w:jc w:val="left"/>
              <w:rPr>
                <w:rFonts w:ascii="Times New Roman"/>
                <w:sz w:val="18"/>
              </w:rPr>
            </w:pPr>
          </w:p>
        </w:tc>
      </w:tr>
      <w:tr>
        <w:trPr>
          <w:trHeight w:val="413" w:hRule="atLeast"/>
        </w:trPr>
        <w:tc>
          <w:tcPr>
            <w:tcW w:w="2391" w:type="dxa"/>
            <w:tcBorders>
              <w:left w:val="single" w:sz="4" w:space="0" w:color="000000"/>
            </w:tcBorders>
          </w:tcPr>
          <w:p>
            <w:pPr>
              <w:pStyle w:val="TableParagraph"/>
              <w:spacing w:line="240" w:lineRule="auto" w:before="101"/>
              <w:ind w:left="278"/>
              <w:jc w:val="left"/>
              <w:rPr>
                <w:sz w:val="18"/>
              </w:rPr>
            </w:pPr>
            <w:r>
              <w:rPr>
                <w:sz w:val="18"/>
              </w:rPr>
              <w:t>Alcantarillado Sanitario</w:t>
            </w:r>
          </w:p>
        </w:tc>
        <w:tc>
          <w:tcPr>
            <w:tcW w:w="1841" w:type="dxa"/>
          </w:tcPr>
          <w:p>
            <w:pPr>
              <w:pStyle w:val="TableParagraph"/>
              <w:spacing w:line="240" w:lineRule="auto" w:before="0"/>
              <w:jc w:val="left"/>
              <w:rPr>
                <w:rFonts w:ascii="Times New Roman"/>
                <w:sz w:val="18"/>
              </w:rPr>
            </w:pPr>
          </w:p>
        </w:tc>
        <w:tc>
          <w:tcPr>
            <w:tcW w:w="1999" w:type="dxa"/>
          </w:tcPr>
          <w:p>
            <w:pPr>
              <w:pStyle w:val="TableParagraph"/>
              <w:spacing w:line="240" w:lineRule="auto" w:before="0"/>
              <w:jc w:val="left"/>
              <w:rPr>
                <w:rFonts w:ascii="Times New Roman"/>
                <w:sz w:val="18"/>
              </w:rPr>
            </w:pPr>
          </w:p>
        </w:tc>
        <w:tc>
          <w:tcPr>
            <w:tcW w:w="1713" w:type="dxa"/>
          </w:tcPr>
          <w:p>
            <w:pPr>
              <w:pStyle w:val="TableParagraph"/>
              <w:spacing w:line="240" w:lineRule="auto" w:before="0"/>
              <w:jc w:val="left"/>
              <w:rPr>
                <w:rFonts w:ascii="Times New Roman"/>
                <w:sz w:val="18"/>
              </w:rPr>
            </w:pPr>
          </w:p>
        </w:tc>
        <w:tc>
          <w:tcPr>
            <w:tcW w:w="1661" w:type="dxa"/>
            <w:tcBorders>
              <w:right w:val="single" w:sz="4" w:space="0" w:color="000000"/>
            </w:tcBorders>
          </w:tcPr>
          <w:p>
            <w:pPr>
              <w:pStyle w:val="TableParagraph"/>
              <w:spacing w:line="240" w:lineRule="auto" w:before="0"/>
              <w:jc w:val="left"/>
              <w:rPr>
                <w:rFonts w:ascii="Times New Roman"/>
                <w:sz w:val="18"/>
              </w:rPr>
            </w:pPr>
          </w:p>
        </w:tc>
      </w:tr>
      <w:tr>
        <w:trPr>
          <w:trHeight w:val="414" w:hRule="atLeast"/>
        </w:trPr>
        <w:tc>
          <w:tcPr>
            <w:tcW w:w="2391" w:type="dxa"/>
            <w:tcBorders>
              <w:left w:val="single" w:sz="4" w:space="0" w:color="000000"/>
            </w:tcBorders>
          </w:tcPr>
          <w:p>
            <w:pPr>
              <w:pStyle w:val="TableParagraph"/>
              <w:spacing w:line="240" w:lineRule="auto" w:before="99"/>
              <w:ind w:left="594"/>
              <w:jc w:val="left"/>
              <w:rPr>
                <w:sz w:val="18"/>
              </w:rPr>
            </w:pPr>
            <w:r>
              <w:rPr>
                <w:sz w:val="18"/>
              </w:rPr>
              <w:t>Baño exclusivo</w:t>
            </w:r>
          </w:p>
        </w:tc>
        <w:tc>
          <w:tcPr>
            <w:tcW w:w="1841" w:type="dxa"/>
          </w:tcPr>
          <w:p>
            <w:pPr>
              <w:pStyle w:val="TableParagraph"/>
              <w:spacing w:line="240" w:lineRule="auto" w:before="0"/>
              <w:jc w:val="left"/>
              <w:rPr>
                <w:rFonts w:ascii="Times New Roman"/>
                <w:sz w:val="18"/>
              </w:rPr>
            </w:pPr>
          </w:p>
        </w:tc>
        <w:tc>
          <w:tcPr>
            <w:tcW w:w="1999" w:type="dxa"/>
          </w:tcPr>
          <w:p>
            <w:pPr>
              <w:pStyle w:val="TableParagraph"/>
              <w:spacing w:line="240" w:lineRule="auto" w:before="0"/>
              <w:jc w:val="left"/>
              <w:rPr>
                <w:rFonts w:ascii="Times New Roman"/>
                <w:sz w:val="18"/>
              </w:rPr>
            </w:pPr>
          </w:p>
        </w:tc>
        <w:tc>
          <w:tcPr>
            <w:tcW w:w="1713" w:type="dxa"/>
          </w:tcPr>
          <w:p>
            <w:pPr>
              <w:pStyle w:val="TableParagraph"/>
              <w:spacing w:line="240" w:lineRule="auto" w:before="0"/>
              <w:jc w:val="left"/>
              <w:rPr>
                <w:rFonts w:ascii="Times New Roman"/>
                <w:sz w:val="18"/>
              </w:rPr>
            </w:pPr>
          </w:p>
        </w:tc>
        <w:tc>
          <w:tcPr>
            <w:tcW w:w="1661" w:type="dxa"/>
            <w:tcBorders>
              <w:right w:val="single" w:sz="4" w:space="0" w:color="000000"/>
            </w:tcBorders>
          </w:tcPr>
          <w:p>
            <w:pPr>
              <w:pStyle w:val="TableParagraph"/>
              <w:spacing w:line="240" w:lineRule="auto" w:before="0"/>
              <w:jc w:val="left"/>
              <w:rPr>
                <w:rFonts w:ascii="Times New Roman"/>
                <w:sz w:val="18"/>
              </w:rPr>
            </w:pPr>
          </w:p>
        </w:tc>
      </w:tr>
      <w:tr>
        <w:trPr>
          <w:trHeight w:val="517" w:hRule="atLeast"/>
        </w:trPr>
        <w:tc>
          <w:tcPr>
            <w:tcW w:w="2391" w:type="dxa"/>
            <w:tcBorders>
              <w:left w:val="single" w:sz="4" w:space="0" w:color="000000"/>
              <w:bottom w:val="single" w:sz="4" w:space="0" w:color="000000"/>
            </w:tcBorders>
          </w:tcPr>
          <w:p>
            <w:pPr>
              <w:pStyle w:val="TableParagraph"/>
              <w:spacing w:line="200" w:lineRule="atLeast" w:before="102"/>
              <w:ind w:left="963" w:right="307" w:hanging="625"/>
              <w:jc w:val="left"/>
              <w:rPr>
                <w:sz w:val="18"/>
              </w:rPr>
            </w:pPr>
            <w:r>
              <w:rPr>
                <w:sz w:val="18"/>
              </w:rPr>
              <w:t>Electricidad del ICE o CNFL</w:t>
            </w:r>
          </w:p>
        </w:tc>
        <w:tc>
          <w:tcPr>
            <w:tcW w:w="1841" w:type="dxa"/>
            <w:tcBorders>
              <w:bottom w:val="single" w:sz="4" w:space="0" w:color="000000"/>
            </w:tcBorders>
          </w:tcPr>
          <w:p>
            <w:pPr>
              <w:pStyle w:val="TableParagraph"/>
              <w:spacing w:line="240" w:lineRule="auto" w:before="0"/>
              <w:jc w:val="left"/>
              <w:rPr>
                <w:rFonts w:ascii="Times New Roman"/>
                <w:sz w:val="18"/>
              </w:rPr>
            </w:pPr>
          </w:p>
        </w:tc>
        <w:tc>
          <w:tcPr>
            <w:tcW w:w="1999" w:type="dxa"/>
            <w:tcBorders>
              <w:bottom w:val="single" w:sz="4" w:space="0" w:color="000000"/>
            </w:tcBorders>
          </w:tcPr>
          <w:p>
            <w:pPr>
              <w:pStyle w:val="TableParagraph"/>
              <w:spacing w:line="240" w:lineRule="auto" w:before="0"/>
              <w:jc w:val="left"/>
              <w:rPr>
                <w:rFonts w:ascii="Times New Roman"/>
                <w:sz w:val="18"/>
              </w:rPr>
            </w:pPr>
          </w:p>
        </w:tc>
        <w:tc>
          <w:tcPr>
            <w:tcW w:w="1713" w:type="dxa"/>
            <w:tcBorders>
              <w:bottom w:val="single" w:sz="4" w:space="0" w:color="000000"/>
            </w:tcBorders>
          </w:tcPr>
          <w:p>
            <w:pPr>
              <w:pStyle w:val="TableParagraph"/>
              <w:spacing w:line="240" w:lineRule="auto" w:before="0"/>
              <w:jc w:val="left"/>
              <w:rPr>
                <w:rFonts w:ascii="Times New Roman"/>
                <w:sz w:val="18"/>
              </w:rPr>
            </w:pPr>
          </w:p>
        </w:tc>
        <w:tc>
          <w:tcPr>
            <w:tcW w:w="1661" w:type="dxa"/>
            <w:tcBorders>
              <w:bottom w:val="single" w:sz="4" w:space="0" w:color="000000"/>
              <w:right w:val="single" w:sz="4" w:space="0" w:color="000000"/>
            </w:tcBorders>
          </w:tcPr>
          <w:p>
            <w:pPr>
              <w:pStyle w:val="TableParagraph"/>
              <w:spacing w:line="240" w:lineRule="auto" w:before="0"/>
              <w:jc w:val="left"/>
              <w:rPr>
                <w:rFonts w:ascii="Times New Roman"/>
                <w:sz w:val="18"/>
              </w:rPr>
            </w:pPr>
          </w:p>
        </w:tc>
      </w:tr>
      <w:tr>
        <w:trPr>
          <w:trHeight w:val="206" w:hRule="atLeast"/>
        </w:trPr>
        <w:tc>
          <w:tcPr>
            <w:tcW w:w="9605" w:type="dxa"/>
            <w:gridSpan w:val="5"/>
            <w:tcBorders>
              <w:top w:val="single" w:sz="4" w:space="0" w:color="000000"/>
              <w:left w:val="single" w:sz="4" w:space="0" w:color="000000"/>
              <w:bottom w:val="single" w:sz="4" w:space="0" w:color="000000"/>
            </w:tcBorders>
          </w:tcPr>
          <w:p>
            <w:pPr>
              <w:pStyle w:val="TableParagraph"/>
              <w:spacing w:line="186" w:lineRule="exact" w:before="0"/>
              <w:ind w:left="3506" w:right="3510"/>
              <w:jc w:val="center"/>
              <w:rPr>
                <w:b/>
                <w:sz w:val="18"/>
              </w:rPr>
            </w:pPr>
            <w:r>
              <w:rPr>
                <w:b/>
                <w:sz w:val="18"/>
              </w:rPr>
              <w:t>Características del Entorno</w:t>
            </w:r>
          </w:p>
        </w:tc>
      </w:tr>
      <w:tr>
        <w:trPr>
          <w:trHeight w:val="823" w:hRule="atLeast"/>
        </w:trPr>
        <w:tc>
          <w:tcPr>
            <w:tcW w:w="2391" w:type="dxa"/>
            <w:tcBorders>
              <w:top w:val="single" w:sz="4" w:space="0" w:color="000000"/>
              <w:left w:val="single" w:sz="4" w:space="0" w:color="000000"/>
            </w:tcBorders>
          </w:tcPr>
          <w:p>
            <w:pPr>
              <w:pStyle w:val="TableParagraph"/>
              <w:spacing w:line="205" w:lineRule="exact" w:before="0"/>
              <w:ind w:left="791"/>
              <w:jc w:val="left"/>
              <w:rPr>
                <w:sz w:val="18"/>
              </w:rPr>
            </w:pPr>
            <w:r>
              <w:rPr>
                <w:sz w:val="18"/>
              </w:rPr>
              <w:t>Seguridad</w:t>
            </w:r>
          </w:p>
          <w:p>
            <w:pPr>
              <w:pStyle w:val="TableParagraph"/>
              <w:spacing w:line="240" w:lineRule="auto" w:before="2"/>
              <w:jc w:val="left"/>
              <w:rPr>
                <w:i/>
                <w:sz w:val="18"/>
              </w:rPr>
            </w:pPr>
          </w:p>
          <w:p>
            <w:pPr>
              <w:pStyle w:val="TableParagraph"/>
              <w:spacing w:line="240" w:lineRule="auto" w:before="0"/>
              <w:ind w:left="795"/>
              <w:jc w:val="left"/>
              <w:rPr>
                <w:sz w:val="18"/>
              </w:rPr>
            </w:pPr>
            <w:r>
              <w:rPr>
                <w:sz w:val="18"/>
              </w:rPr>
              <w:t>Pendiente</w:t>
            </w:r>
          </w:p>
        </w:tc>
        <w:tc>
          <w:tcPr>
            <w:tcW w:w="1841" w:type="dxa"/>
            <w:tcBorders>
              <w:top w:val="single" w:sz="4" w:space="0" w:color="000000"/>
            </w:tcBorders>
          </w:tcPr>
          <w:p>
            <w:pPr>
              <w:pStyle w:val="TableParagraph"/>
              <w:spacing w:line="240" w:lineRule="auto" w:before="0"/>
              <w:ind w:left="297" w:right="245"/>
              <w:jc w:val="center"/>
              <w:rPr>
                <w:sz w:val="18"/>
              </w:rPr>
            </w:pPr>
            <w:r>
              <w:rPr>
                <w:sz w:val="18"/>
              </w:rPr>
              <w:t>Distancia al botadero de Río Azul</w:t>
            </w:r>
          </w:p>
        </w:tc>
        <w:tc>
          <w:tcPr>
            <w:tcW w:w="1999" w:type="dxa"/>
            <w:tcBorders>
              <w:top w:val="single" w:sz="4" w:space="0" w:color="000000"/>
            </w:tcBorders>
          </w:tcPr>
          <w:p>
            <w:pPr>
              <w:pStyle w:val="TableParagraph"/>
              <w:spacing w:line="240" w:lineRule="auto" w:before="0"/>
              <w:ind w:left="213" w:right="180" w:hanging="6"/>
              <w:jc w:val="center"/>
              <w:rPr>
                <w:sz w:val="18"/>
              </w:rPr>
            </w:pPr>
            <w:r>
              <w:rPr>
                <w:sz w:val="18"/>
              </w:rPr>
              <w:t>Distancia a centros de educación secundaria (300 m.)</w:t>
            </w:r>
          </w:p>
        </w:tc>
        <w:tc>
          <w:tcPr>
            <w:tcW w:w="1713" w:type="dxa"/>
            <w:vMerge w:val="restart"/>
            <w:tcBorders>
              <w:top w:val="single" w:sz="4" w:space="0" w:color="000000"/>
              <w:bottom w:val="single" w:sz="4" w:space="0" w:color="000000"/>
            </w:tcBorders>
          </w:tcPr>
          <w:p>
            <w:pPr>
              <w:pStyle w:val="TableParagraph"/>
              <w:spacing w:line="240" w:lineRule="auto" w:before="0"/>
              <w:ind w:left="118" w:right="106"/>
              <w:jc w:val="center"/>
              <w:rPr>
                <w:sz w:val="18"/>
              </w:rPr>
            </w:pPr>
            <w:r>
              <w:rPr>
                <w:sz w:val="18"/>
              </w:rPr>
              <w:t>Distancia a las calles principales del cantón</w:t>
            </w:r>
          </w:p>
          <w:p>
            <w:pPr>
              <w:pStyle w:val="TableParagraph"/>
              <w:spacing w:line="240" w:lineRule="auto" w:before="9"/>
              <w:jc w:val="left"/>
              <w:rPr>
                <w:i/>
                <w:sz w:val="17"/>
              </w:rPr>
            </w:pPr>
          </w:p>
          <w:p>
            <w:pPr>
              <w:pStyle w:val="TableParagraph"/>
              <w:spacing w:line="240" w:lineRule="auto" w:before="0"/>
              <w:ind w:left="118" w:right="109"/>
              <w:jc w:val="center"/>
              <w:rPr>
                <w:sz w:val="18"/>
              </w:rPr>
            </w:pPr>
            <w:r>
              <w:rPr>
                <w:sz w:val="18"/>
              </w:rPr>
              <w:t>Distancia al </w:t>
            </w:r>
            <w:r>
              <w:rPr>
                <w:spacing w:val="-3"/>
                <w:sz w:val="18"/>
              </w:rPr>
              <w:t>centro </w:t>
            </w:r>
            <w:r>
              <w:rPr>
                <w:sz w:val="18"/>
              </w:rPr>
              <w:t>de San</w:t>
            </w:r>
            <w:r>
              <w:rPr>
                <w:spacing w:val="1"/>
                <w:sz w:val="18"/>
              </w:rPr>
              <w:t> </w:t>
            </w:r>
            <w:r>
              <w:rPr>
                <w:sz w:val="18"/>
              </w:rPr>
              <w:t>José</w:t>
            </w:r>
          </w:p>
          <w:p>
            <w:pPr>
              <w:pStyle w:val="TableParagraph"/>
              <w:spacing w:line="240" w:lineRule="auto" w:before="11"/>
              <w:jc w:val="left"/>
              <w:rPr>
                <w:i/>
                <w:sz w:val="17"/>
              </w:rPr>
            </w:pPr>
          </w:p>
          <w:p>
            <w:pPr>
              <w:pStyle w:val="TableParagraph"/>
              <w:spacing w:line="240" w:lineRule="auto" w:before="0"/>
              <w:ind w:left="258" w:right="248"/>
              <w:jc w:val="center"/>
              <w:rPr>
                <w:sz w:val="18"/>
              </w:rPr>
            </w:pPr>
            <w:r>
              <w:rPr>
                <w:sz w:val="18"/>
              </w:rPr>
              <w:t>Zona de </w:t>
            </w:r>
            <w:r>
              <w:rPr>
                <w:spacing w:val="-3"/>
                <w:sz w:val="18"/>
              </w:rPr>
              <w:t>riesgo </w:t>
            </w:r>
            <w:r>
              <w:rPr>
                <w:sz w:val="18"/>
              </w:rPr>
              <w:t>por amenazas naturales de acuerdo a Comisión Nacional de Emergencias</w:t>
            </w:r>
          </w:p>
          <w:p>
            <w:pPr>
              <w:pStyle w:val="TableParagraph"/>
              <w:spacing w:line="240" w:lineRule="auto" w:before="0"/>
              <w:jc w:val="left"/>
              <w:rPr>
                <w:i/>
                <w:sz w:val="18"/>
              </w:rPr>
            </w:pPr>
          </w:p>
          <w:p>
            <w:pPr>
              <w:pStyle w:val="TableParagraph"/>
              <w:spacing w:line="240" w:lineRule="auto" w:before="1"/>
              <w:ind w:left="118" w:right="107"/>
              <w:jc w:val="center"/>
              <w:rPr>
                <w:sz w:val="18"/>
              </w:rPr>
            </w:pPr>
            <w:r>
              <w:rPr>
                <w:sz w:val="18"/>
              </w:rPr>
              <w:t>Zona de alto ingreso</w:t>
            </w:r>
          </w:p>
          <w:p>
            <w:pPr>
              <w:pStyle w:val="TableParagraph"/>
              <w:spacing w:line="240" w:lineRule="auto" w:before="3"/>
              <w:jc w:val="left"/>
              <w:rPr>
                <w:i/>
                <w:sz w:val="18"/>
              </w:rPr>
            </w:pPr>
          </w:p>
          <w:p>
            <w:pPr>
              <w:pStyle w:val="TableParagraph"/>
              <w:spacing w:line="240" w:lineRule="auto" w:before="0"/>
              <w:ind w:left="166" w:right="160" w:firstLine="4"/>
              <w:jc w:val="center"/>
              <w:rPr>
                <w:sz w:val="18"/>
              </w:rPr>
            </w:pPr>
            <w:r>
              <w:rPr>
                <w:sz w:val="18"/>
              </w:rPr>
              <w:t>Zona agrícola de acuerdo con plan regulador cantonal</w:t>
            </w:r>
          </w:p>
        </w:tc>
        <w:tc>
          <w:tcPr>
            <w:tcW w:w="1661" w:type="dxa"/>
            <w:tcBorders>
              <w:top w:val="single" w:sz="4" w:space="0" w:color="000000"/>
              <w:right w:val="single" w:sz="4" w:space="0" w:color="000000"/>
            </w:tcBorders>
          </w:tcPr>
          <w:p>
            <w:pPr>
              <w:pStyle w:val="TableParagraph"/>
              <w:spacing w:line="240" w:lineRule="auto" w:before="0"/>
              <w:ind w:left="286" w:right="284"/>
              <w:jc w:val="center"/>
              <w:rPr>
                <w:sz w:val="18"/>
              </w:rPr>
            </w:pPr>
            <w:r>
              <w:rPr>
                <w:sz w:val="18"/>
              </w:rPr>
              <w:t>Distancia a la carretera</w:t>
            </w:r>
          </w:p>
          <w:p>
            <w:pPr>
              <w:pStyle w:val="TableParagraph"/>
              <w:spacing w:line="204" w:lineRule="exact" w:before="6"/>
              <w:ind w:left="210" w:right="215" w:firstLine="8"/>
              <w:jc w:val="center"/>
              <w:rPr>
                <w:sz w:val="18"/>
              </w:rPr>
            </w:pPr>
            <w:r>
              <w:rPr>
                <w:sz w:val="18"/>
              </w:rPr>
              <w:t>Próspero Fernández (27)</w:t>
            </w:r>
          </w:p>
        </w:tc>
      </w:tr>
      <w:tr>
        <w:trPr>
          <w:trHeight w:val="918" w:hRule="atLeast"/>
        </w:trPr>
        <w:tc>
          <w:tcPr>
            <w:tcW w:w="2391" w:type="dxa"/>
            <w:tcBorders>
              <w:left w:val="single" w:sz="4" w:space="0" w:color="000000"/>
            </w:tcBorders>
          </w:tcPr>
          <w:p>
            <w:pPr>
              <w:pStyle w:val="TableParagraph"/>
              <w:spacing w:line="195" w:lineRule="exact" w:before="0"/>
              <w:ind w:left="263" w:right="247"/>
              <w:jc w:val="center"/>
              <w:rPr>
                <w:sz w:val="18"/>
              </w:rPr>
            </w:pPr>
            <w:r>
              <w:rPr>
                <w:sz w:val="18"/>
              </w:rPr>
              <w:t>Precipitación</w:t>
            </w:r>
          </w:p>
          <w:p>
            <w:pPr>
              <w:pStyle w:val="TableParagraph"/>
              <w:spacing w:line="240" w:lineRule="auto" w:before="3"/>
              <w:jc w:val="left"/>
              <w:rPr>
                <w:i/>
                <w:sz w:val="18"/>
              </w:rPr>
            </w:pPr>
          </w:p>
          <w:p>
            <w:pPr>
              <w:pStyle w:val="TableParagraph"/>
              <w:spacing w:line="237" w:lineRule="auto" w:before="0"/>
              <w:ind w:left="263" w:right="244"/>
              <w:jc w:val="center"/>
              <w:rPr>
                <w:sz w:val="18"/>
              </w:rPr>
            </w:pPr>
            <w:r>
              <w:rPr>
                <w:sz w:val="18"/>
              </w:rPr>
              <w:t>Vulnerabilidad a las erupciones volcánicas</w:t>
            </w:r>
          </w:p>
        </w:tc>
        <w:tc>
          <w:tcPr>
            <w:tcW w:w="1841" w:type="dxa"/>
          </w:tcPr>
          <w:p>
            <w:pPr>
              <w:pStyle w:val="TableParagraph"/>
              <w:spacing w:line="240" w:lineRule="auto" w:before="0"/>
              <w:jc w:val="left"/>
              <w:rPr>
                <w:rFonts w:ascii="Times New Roman"/>
                <w:sz w:val="18"/>
              </w:rPr>
            </w:pPr>
          </w:p>
        </w:tc>
        <w:tc>
          <w:tcPr>
            <w:tcW w:w="1999" w:type="dxa"/>
          </w:tcPr>
          <w:p>
            <w:pPr>
              <w:pStyle w:val="TableParagraph"/>
              <w:spacing w:line="195" w:lineRule="exact" w:before="0"/>
              <w:ind w:left="135" w:right="106"/>
              <w:jc w:val="center"/>
              <w:rPr>
                <w:sz w:val="18"/>
              </w:rPr>
            </w:pPr>
            <w:r>
              <w:rPr>
                <w:sz w:val="18"/>
              </w:rPr>
              <w:t>Distancia de las</w:t>
            </w:r>
          </w:p>
          <w:p>
            <w:pPr>
              <w:pStyle w:val="TableParagraph"/>
              <w:spacing w:line="240" w:lineRule="auto" w:before="1"/>
              <w:ind w:left="189" w:right="164" w:hanging="1"/>
              <w:jc w:val="center"/>
              <w:rPr>
                <w:sz w:val="18"/>
              </w:rPr>
            </w:pPr>
            <w:r>
              <w:rPr>
                <w:sz w:val="18"/>
              </w:rPr>
              <w:t>salidas del cantón hacia San José (600 m.)</w:t>
            </w:r>
          </w:p>
        </w:tc>
        <w:tc>
          <w:tcPr>
            <w:tcW w:w="1713" w:type="dxa"/>
            <w:vMerge/>
            <w:tcBorders>
              <w:top w:val="nil"/>
              <w:bottom w:val="single" w:sz="4" w:space="0" w:color="000000"/>
            </w:tcBorders>
          </w:tcPr>
          <w:p>
            <w:pPr>
              <w:rPr>
                <w:sz w:val="2"/>
                <w:szCs w:val="2"/>
              </w:rPr>
            </w:pPr>
          </w:p>
        </w:tc>
        <w:tc>
          <w:tcPr>
            <w:tcW w:w="1661" w:type="dxa"/>
            <w:tcBorders>
              <w:right w:val="single" w:sz="4" w:space="0" w:color="000000"/>
            </w:tcBorders>
          </w:tcPr>
          <w:p>
            <w:pPr>
              <w:pStyle w:val="TableParagraph"/>
              <w:spacing w:line="240" w:lineRule="auto" w:before="0"/>
              <w:jc w:val="left"/>
              <w:rPr>
                <w:i/>
                <w:sz w:val="17"/>
              </w:rPr>
            </w:pPr>
          </w:p>
          <w:p>
            <w:pPr>
              <w:pStyle w:val="TableParagraph"/>
              <w:spacing w:line="240" w:lineRule="auto" w:before="0"/>
              <w:ind w:left="122" w:right="120" w:firstLine="4"/>
              <w:jc w:val="center"/>
              <w:rPr>
                <w:sz w:val="18"/>
              </w:rPr>
            </w:pPr>
            <w:r>
              <w:rPr>
                <w:sz w:val="18"/>
              </w:rPr>
              <w:t>Distancia al centro de San Rafael de Escazú</w:t>
            </w:r>
          </w:p>
        </w:tc>
      </w:tr>
      <w:tr>
        <w:trPr>
          <w:trHeight w:val="922" w:hRule="atLeast"/>
        </w:trPr>
        <w:tc>
          <w:tcPr>
            <w:tcW w:w="2391" w:type="dxa"/>
            <w:tcBorders>
              <w:left w:val="single" w:sz="4" w:space="0" w:color="000000"/>
            </w:tcBorders>
          </w:tcPr>
          <w:p>
            <w:pPr>
              <w:pStyle w:val="TableParagraph"/>
              <w:spacing w:line="240" w:lineRule="auto" w:before="96"/>
              <w:ind w:left="474" w:right="453" w:hanging="3"/>
              <w:jc w:val="center"/>
              <w:rPr>
                <w:sz w:val="18"/>
              </w:rPr>
            </w:pPr>
            <w:r>
              <w:rPr>
                <w:sz w:val="18"/>
              </w:rPr>
              <w:t>Distancia a los departamentos de bomberos</w:t>
            </w:r>
          </w:p>
        </w:tc>
        <w:tc>
          <w:tcPr>
            <w:tcW w:w="1841" w:type="dxa"/>
          </w:tcPr>
          <w:p>
            <w:pPr>
              <w:pStyle w:val="TableParagraph"/>
              <w:spacing w:line="240" w:lineRule="auto" w:before="0"/>
              <w:jc w:val="left"/>
              <w:rPr>
                <w:rFonts w:ascii="Times New Roman"/>
                <w:sz w:val="18"/>
              </w:rPr>
            </w:pPr>
          </w:p>
        </w:tc>
        <w:tc>
          <w:tcPr>
            <w:tcW w:w="1999" w:type="dxa"/>
          </w:tcPr>
          <w:p>
            <w:pPr>
              <w:pStyle w:val="TableParagraph"/>
              <w:spacing w:line="240" w:lineRule="auto" w:before="96"/>
              <w:ind w:left="137" w:right="106"/>
              <w:jc w:val="center"/>
              <w:rPr>
                <w:sz w:val="18"/>
              </w:rPr>
            </w:pPr>
            <w:r>
              <w:rPr>
                <w:sz w:val="18"/>
              </w:rPr>
              <w:t>Distancia a carreteras nacionales dentro del cantón (100 m.)</w:t>
            </w:r>
          </w:p>
        </w:tc>
        <w:tc>
          <w:tcPr>
            <w:tcW w:w="1713" w:type="dxa"/>
            <w:vMerge/>
            <w:tcBorders>
              <w:top w:val="nil"/>
              <w:bottom w:val="single" w:sz="4" w:space="0" w:color="000000"/>
            </w:tcBorders>
          </w:tcPr>
          <w:p>
            <w:pPr>
              <w:rPr>
                <w:sz w:val="2"/>
                <w:szCs w:val="2"/>
              </w:rPr>
            </w:pPr>
          </w:p>
        </w:tc>
        <w:tc>
          <w:tcPr>
            <w:tcW w:w="1661" w:type="dxa"/>
            <w:tcBorders>
              <w:right w:val="single" w:sz="4" w:space="0" w:color="000000"/>
            </w:tcBorders>
          </w:tcPr>
          <w:p>
            <w:pPr>
              <w:pStyle w:val="TableParagraph"/>
              <w:spacing w:line="240" w:lineRule="auto" w:before="96"/>
              <w:ind w:left="134" w:right="136" w:firstLine="3"/>
              <w:jc w:val="center"/>
              <w:rPr>
                <w:sz w:val="18"/>
              </w:rPr>
            </w:pPr>
            <w:r>
              <w:rPr>
                <w:sz w:val="18"/>
              </w:rPr>
              <w:t>Zona agrícola de acuerdo con plan</w:t>
            </w:r>
          </w:p>
          <w:p>
            <w:pPr>
              <w:pStyle w:val="TableParagraph"/>
              <w:spacing w:line="208" w:lineRule="exact" w:before="1"/>
              <w:ind w:left="283" w:right="284"/>
              <w:jc w:val="center"/>
              <w:rPr>
                <w:sz w:val="18"/>
              </w:rPr>
            </w:pPr>
            <w:r>
              <w:rPr>
                <w:sz w:val="18"/>
              </w:rPr>
              <w:t>regulador</w:t>
            </w:r>
            <w:r>
              <w:rPr>
                <w:w w:val="99"/>
                <w:sz w:val="18"/>
              </w:rPr>
              <w:t> </w:t>
            </w:r>
            <w:r>
              <w:rPr>
                <w:sz w:val="18"/>
              </w:rPr>
              <w:t>cantonal</w:t>
            </w:r>
          </w:p>
        </w:tc>
      </w:tr>
      <w:tr>
        <w:trPr>
          <w:trHeight w:val="1331" w:hRule="atLeast"/>
        </w:trPr>
        <w:tc>
          <w:tcPr>
            <w:tcW w:w="2391" w:type="dxa"/>
            <w:tcBorders>
              <w:left w:val="single" w:sz="4" w:space="0" w:color="000000"/>
            </w:tcBorders>
          </w:tcPr>
          <w:p>
            <w:pPr>
              <w:pStyle w:val="TableParagraph"/>
              <w:spacing w:line="195" w:lineRule="exact" w:before="0"/>
              <w:ind w:left="263" w:right="244"/>
              <w:jc w:val="center"/>
              <w:rPr>
                <w:sz w:val="18"/>
              </w:rPr>
            </w:pPr>
            <w:r>
              <w:rPr>
                <w:sz w:val="18"/>
              </w:rPr>
              <w:t>Longitud del camino</w:t>
            </w:r>
          </w:p>
          <w:p>
            <w:pPr>
              <w:pStyle w:val="TableParagraph"/>
              <w:spacing w:line="240" w:lineRule="auto" w:before="1"/>
              <w:ind w:left="263" w:right="247"/>
              <w:jc w:val="center"/>
              <w:rPr>
                <w:sz w:val="18"/>
              </w:rPr>
            </w:pPr>
            <w:r>
              <w:rPr>
                <w:sz w:val="18"/>
              </w:rPr>
              <w:t>primario</w:t>
            </w:r>
          </w:p>
          <w:p>
            <w:pPr>
              <w:pStyle w:val="TableParagraph"/>
              <w:spacing w:line="240" w:lineRule="auto" w:before="9"/>
              <w:jc w:val="left"/>
              <w:rPr>
                <w:i/>
                <w:sz w:val="17"/>
              </w:rPr>
            </w:pPr>
          </w:p>
          <w:p>
            <w:pPr>
              <w:pStyle w:val="TableParagraph"/>
              <w:spacing w:line="240" w:lineRule="auto" w:before="0"/>
              <w:ind w:left="263" w:right="242"/>
              <w:jc w:val="center"/>
              <w:rPr>
                <w:sz w:val="18"/>
              </w:rPr>
            </w:pPr>
            <w:r>
              <w:rPr>
                <w:sz w:val="18"/>
              </w:rPr>
              <w:t>Longitud del camino secundario/de la urbanización</w:t>
            </w:r>
          </w:p>
        </w:tc>
        <w:tc>
          <w:tcPr>
            <w:tcW w:w="1841" w:type="dxa"/>
          </w:tcPr>
          <w:p>
            <w:pPr>
              <w:pStyle w:val="TableParagraph"/>
              <w:spacing w:line="240" w:lineRule="auto" w:before="0"/>
              <w:jc w:val="left"/>
              <w:rPr>
                <w:rFonts w:ascii="Times New Roman"/>
                <w:sz w:val="18"/>
              </w:rPr>
            </w:pPr>
          </w:p>
        </w:tc>
        <w:tc>
          <w:tcPr>
            <w:tcW w:w="1999" w:type="dxa"/>
          </w:tcPr>
          <w:p>
            <w:pPr>
              <w:pStyle w:val="TableParagraph"/>
              <w:spacing w:line="195" w:lineRule="exact" w:before="0"/>
              <w:ind w:left="130" w:right="106"/>
              <w:jc w:val="center"/>
              <w:rPr>
                <w:sz w:val="18"/>
              </w:rPr>
            </w:pPr>
            <w:r>
              <w:rPr>
                <w:sz w:val="18"/>
              </w:rPr>
              <w:t>Zona de</w:t>
            </w:r>
          </w:p>
          <w:p>
            <w:pPr>
              <w:pStyle w:val="TableParagraph"/>
              <w:spacing w:line="235" w:lineRule="auto" w:before="4"/>
              <w:ind w:left="136" w:right="106"/>
              <w:jc w:val="center"/>
              <w:rPr>
                <w:sz w:val="18"/>
              </w:rPr>
            </w:pPr>
            <w:r>
              <w:rPr>
                <w:sz w:val="18"/>
              </w:rPr>
              <w:t>inundaciones o deslizamientos</w:t>
            </w:r>
          </w:p>
        </w:tc>
        <w:tc>
          <w:tcPr>
            <w:tcW w:w="1713" w:type="dxa"/>
            <w:vMerge/>
            <w:tcBorders>
              <w:top w:val="nil"/>
              <w:bottom w:val="single" w:sz="4" w:space="0" w:color="000000"/>
            </w:tcBorders>
          </w:tcPr>
          <w:p>
            <w:pPr>
              <w:rPr>
                <w:sz w:val="2"/>
                <w:szCs w:val="2"/>
              </w:rPr>
            </w:pPr>
          </w:p>
        </w:tc>
        <w:tc>
          <w:tcPr>
            <w:tcW w:w="1661" w:type="dxa"/>
            <w:tcBorders>
              <w:right w:val="single" w:sz="4" w:space="0" w:color="000000"/>
            </w:tcBorders>
          </w:tcPr>
          <w:p>
            <w:pPr>
              <w:pStyle w:val="TableParagraph"/>
              <w:spacing w:line="240" w:lineRule="auto" w:before="0"/>
              <w:jc w:val="left"/>
              <w:rPr>
                <w:i/>
                <w:sz w:val="17"/>
              </w:rPr>
            </w:pPr>
          </w:p>
          <w:p>
            <w:pPr>
              <w:pStyle w:val="TableParagraph"/>
              <w:spacing w:line="240" w:lineRule="auto" w:before="0"/>
              <w:ind w:left="206" w:right="203" w:hanging="1"/>
              <w:jc w:val="center"/>
              <w:rPr>
                <w:sz w:val="18"/>
              </w:rPr>
            </w:pPr>
            <w:r>
              <w:rPr>
                <w:sz w:val="18"/>
              </w:rPr>
              <w:t>Zona comercial de acuerdo con plan regulador cantonal</w:t>
            </w:r>
          </w:p>
        </w:tc>
      </w:tr>
      <w:tr>
        <w:trPr>
          <w:trHeight w:val="817" w:hRule="atLeast"/>
        </w:trPr>
        <w:tc>
          <w:tcPr>
            <w:tcW w:w="2391" w:type="dxa"/>
            <w:tcBorders>
              <w:left w:val="single" w:sz="4" w:space="0" w:color="000000"/>
            </w:tcBorders>
          </w:tcPr>
          <w:p>
            <w:pPr>
              <w:pStyle w:val="TableParagraph"/>
              <w:spacing w:line="240" w:lineRule="auto" w:before="94"/>
              <w:ind w:left="263" w:right="247"/>
              <w:jc w:val="center"/>
              <w:rPr>
                <w:sz w:val="18"/>
              </w:rPr>
            </w:pPr>
            <w:r>
              <w:rPr>
                <w:sz w:val="18"/>
              </w:rPr>
              <w:t>Distancia a los parques nacionales/ríos/áreas verdes</w:t>
            </w:r>
          </w:p>
        </w:tc>
        <w:tc>
          <w:tcPr>
            <w:tcW w:w="1841" w:type="dxa"/>
          </w:tcPr>
          <w:p>
            <w:pPr>
              <w:pStyle w:val="TableParagraph"/>
              <w:spacing w:line="240" w:lineRule="auto" w:before="0"/>
              <w:jc w:val="left"/>
              <w:rPr>
                <w:rFonts w:ascii="Times New Roman"/>
                <w:sz w:val="18"/>
              </w:rPr>
            </w:pPr>
          </w:p>
        </w:tc>
        <w:tc>
          <w:tcPr>
            <w:tcW w:w="1999" w:type="dxa"/>
          </w:tcPr>
          <w:p>
            <w:pPr>
              <w:pStyle w:val="TableParagraph"/>
              <w:spacing w:line="240" w:lineRule="auto" w:before="0"/>
              <w:jc w:val="left"/>
              <w:rPr>
                <w:rFonts w:ascii="Times New Roman"/>
                <w:sz w:val="18"/>
              </w:rPr>
            </w:pPr>
          </w:p>
        </w:tc>
        <w:tc>
          <w:tcPr>
            <w:tcW w:w="1713" w:type="dxa"/>
            <w:vMerge/>
            <w:tcBorders>
              <w:top w:val="nil"/>
              <w:bottom w:val="single" w:sz="4" w:space="0" w:color="000000"/>
            </w:tcBorders>
          </w:tcPr>
          <w:p>
            <w:pPr>
              <w:rPr>
                <w:sz w:val="2"/>
                <w:szCs w:val="2"/>
              </w:rPr>
            </w:pPr>
          </w:p>
        </w:tc>
        <w:tc>
          <w:tcPr>
            <w:tcW w:w="1661" w:type="dxa"/>
            <w:tcBorders>
              <w:right w:val="single" w:sz="4" w:space="0" w:color="000000"/>
            </w:tcBorders>
          </w:tcPr>
          <w:p>
            <w:pPr>
              <w:pStyle w:val="TableParagraph"/>
              <w:spacing w:line="240" w:lineRule="auto" w:before="0"/>
              <w:jc w:val="left"/>
              <w:rPr>
                <w:rFonts w:ascii="Times New Roman"/>
                <w:sz w:val="18"/>
              </w:rPr>
            </w:pPr>
          </w:p>
        </w:tc>
      </w:tr>
      <w:tr>
        <w:trPr>
          <w:trHeight w:val="306" w:hRule="atLeast"/>
        </w:trPr>
        <w:tc>
          <w:tcPr>
            <w:tcW w:w="2391" w:type="dxa"/>
            <w:tcBorders>
              <w:left w:val="single" w:sz="4" w:space="0" w:color="000000"/>
              <w:bottom w:val="single" w:sz="4" w:space="0" w:color="000000"/>
            </w:tcBorders>
          </w:tcPr>
          <w:p>
            <w:pPr>
              <w:pStyle w:val="TableParagraph"/>
              <w:spacing w:line="192" w:lineRule="exact" w:before="94"/>
              <w:ind w:left="519"/>
              <w:jc w:val="left"/>
              <w:rPr>
                <w:sz w:val="18"/>
              </w:rPr>
            </w:pPr>
            <w:r>
              <w:rPr>
                <w:sz w:val="18"/>
              </w:rPr>
              <w:t>Zona de pobreza</w:t>
            </w:r>
          </w:p>
        </w:tc>
        <w:tc>
          <w:tcPr>
            <w:tcW w:w="1841" w:type="dxa"/>
            <w:tcBorders>
              <w:bottom w:val="single" w:sz="4" w:space="0" w:color="000000"/>
            </w:tcBorders>
          </w:tcPr>
          <w:p>
            <w:pPr>
              <w:pStyle w:val="TableParagraph"/>
              <w:spacing w:line="240" w:lineRule="auto" w:before="0"/>
              <w:jc w:val="left"/>
              <w:rPr>
                <w:rFonts w:ascii="Times New Roman"/>
                <w:sz w:val="18"/>
              </w:rPr>
            </w:pPr>
          </w:p>
        </w:tc>
        <w:tc>
          <w:tcPr>
            <w:tcW w:w="1999" w:type="dxa"/>
            <w:tcBorders>
              <w:bottom w:val="single" w:sz="4" w:space="0" w:color="000000"/>
            </w:tcBorders>
          </w:tcPr>
          <w:p>
            <w:pPr>
              <w:pStyle w:val="TableParagraph"/>
              <w:spacing w:line="240" w:lineRule="auto" w:before="0"/>
              <w:jc w:val="left"/>
              <w:rPr>
                <w:rFonts w:ascii="Times New Roman"/>
                <w:sz w:val="18"/>
              </w:rPr>
            </w:pPr>
          </w:p>
        </w:tc>
        <w:tc>
          <w:tcPr>
            <w:tcW w:w="1713" w:type="dxa"/>
            <w:vMerge/>
            <w:tcBorders>
              <w:top w:val="nil"/>
              <w:bottom w:val="single" w:sz="4" w:space="0" w:color="000000"/>
            </w:tcBorders>
          </w:tcPr>
          <w:p>
            <w:pPr>
              <w:rPr>
                <w:sz w:val="2"/>
                <w:szCs w:val="2"/>
              </w:rPr>
            </w:pPr>
          </w:p>
        </w:tc>
        <w:tc>
          <w:tcPr>
            <w:tcW w:w="1661" w:type="dxa"/>
            <w:tcBorders>
              <w:bottom w:val="single" w:sz="4" w:space="0" w:color="000000"/>
              <w:right w:val="single" w:sz="4" w:space="0" w:color="000000"/>
            </w:tcBorders>
          </w:tcPr>
          <w:p>
            <w:pPr>
              <w:pStyle w:val="TableParagraph"/>
              <w:spacing w:line="240" w:lineRule="auto" w:before="0"/>
              <w:jc w:val="left"/>
              <w:rPr>
                <w:rFonts w:ascii="Times New Roman"/>
                <w:sz w:val="18"/>
              </w:rPr>
            </w:pPr>
          </w:p>
        </w:tc>
      </w:tr>
    </w:tbl>
    <w:p>
      <w:pPr>
        <w:pStyle w:val="BodyText"/>
        <w:rPr>
          <w:i/>
          <w:sz w:val="22"/>
        </w:rPr>
      </w:pPr>
    </w:p>
    <w:p>
      <w:pPr>
        <w:pStyle w:val="BodyText"/>
        <w:spacing w:before="2"/>
        <w:rPr>
          <w:i/>
          <w:sz w:val="31"/>
        </w:rPr>
      </w:pPr>
    </w:p>
    <w:p>
      <w:pPr>
        <w:pStyle w:val="BodyText"/>
        <w:spacing w:line="357" w:lineRule="auto"/>
        <w:ind w:left="220" w:right="647" w:hanging="7"/>
        <w:jc w:val="center"/>
      </w:pPr>
      <w:r>
        <w:rPr/>
        <w:t>Partiendo</w:t>
      </w:r>
      <w:r>
        <w:rPr>
          <w:spacing w:val="-5"/>
        </w:rPr>
        <w:t> </w:t>
      </w:r>
      <w:r>
        <w:rPr/>
        <w:t>de</w:t>
      </w:r>
      <w:r>
        <w:rPr>
          <w:spacing w:val="-5"/>
        </w:rPr>
        <w:t> </w:t>
      </w:r>
      <w:r>
        <w:rPr/>
        <w:t>estas</w:t>
      </w:r>
      <w:r>
        <w:rPr>
          <w:spacing w:val="-3"/>
        </w:rPr>
        <w:t> </w:t>
      </w:r>
      <w:r>
        <w:rPr/>
        <w:t>premisas</w:t>
      </w:r>
      <w:r>
        <w:rPr>
          <w:spacing w:val="-3"/>
        </w:rPr>
        <w:t> </w:t>
      </w:r>
      <w:r>
        <w:rPr/>
        <w:t>y</w:t>
      </w:r>
      <w:r>
        <w:rPr>
          <w:spacing w:val="-8"/>
        </w:rPr>
        <w:t> </w:t>
      </w:r>
      <w:r>
        <w:rPr/>
        <w:t>con</w:t>
      </w:r>
      <w:r>
        <w:rPr>
          <w:spacing w:val="-4"/>
        </w:rPr>
        <w:t> </w:t>
      </w:r>
      <w:r>
        <w:rPr/>
        <w:t>base</w:t>
      </w:r>
      <w:r>
        <w:rPr>
          <w:spacing w:val="-5"/>
        </w:rPr>
        <w:t> </w:t>
      </w:r>
      <w:r>
        <w:rPr/>
        <w:t>en</w:t>
      </w:r>
      <w:r>
        <w:rPr>
          <w:spacing w:val="-5"/>
        </w:rPr>
        <w:t> </w:t>
      </w:r>
      <w:r>
        <w:rPr/>
        <w:t>los</w:t>
      </w:r>
      <w:r>
        <w:rPr>
          <w:spacing w:val="-3"/>
        </w:rPr>
        <w:t> </w:t>
      </w:r>
      <w:r>
        <w:rPr/>
        <w:t>antecedentes</w:t>
      </w:r>
      <w:r>
        <w:rPr>
          <w:spacing w:val="-3"/>
        </w:rPr>
        <w:t> </w:t>
      </w:r>
      <w:r>
        <w:rPr/>
        <w:t>expuestos</w:t>
      </w:r>
      <w:r>
        <w:rPr>
          <w:spacing w:val="-3"/>
        </w:rPr>
        <w:t> </w:t>
      </w:r>
      <w:r>
        <w:rPr/>
        <w:t>se</w:t>
      </w:r>
      <w:r>
        <w:rPr>
          <w:spacing w:val="-5"/>
        </w:rPr>
        <w:t> </w:t>
      </w:r>
      <w:r>
        <w:rPr/>
        <w:t>desarrolló un</w:t>
      </w:r>
      <w:r>
        <w:rPr>
          <w:spacing w:val="24"/>
        </w:rPr>
        <w:t> </w:t>
      </w:r>
      <w:r>
        <w:rPr/>
        <w:t>modelo</w:t>
      </w:r>
      <w:r>
        <w:rPr>
          <w:spacing w:val="24"/>
        </w:rPr>
        <w:t> </w:t>
      </w:r>
      <w:r>
        <w:rPr/>
        <w:t>econométrico</w:t>
      </w:r>
      <w:r>
        <w:rPr>
          <w:spacing w:val="24"/>
        </w:rPr>
        <w:t> </w:t>
      </w:r>
      <w:r>
        <w:rPr/>
        <w:t>partiendo</w:t>
      </w:r>
      <w:r>
        <w:rPr>
          <w:spacing w:val="24"/>
        </w:rPr>
        <w:t> </w:t>
      </w:r>
      <w:r>
        <w:rPr/>
        <w:t>de</w:t>
      </w:r>
      <w:r>
        <w:rPr>
          <w:spacing w:val="24"/>
        </w:rPr>
        <w:t> </w:t>
      </w:r>
      <w:r>
        <w:rPr/>
        <w:t>la</w:t>
      </w:r>
      <w:r>
        <w:rPr>
          <w:spacing w:val="24"/>
        </w:rPr>
        <w:t> </w:t>
      </w:r>
      <w:r>
        <w:rPr/>
        <w:t>formulación</w:t>
      </w:r>
      <w:r>
        <w:rPr>
          <w:spacing w:val="24"/>
        </w:rPr>
        <w:t> </w:t>
      </w:r>
      <w:r>
        <w:rPr/>
        <w:t>básica</w:t>
      </w:r>
      <w:r>
        <w:rPr>
          <w:spacing w:val="24"/>
        </w:rPr>
        <w:t> </w:t>
      </w:r>
      <w:r>
        <w:rPr/>
        <w:t>presentada</w:t>
      </w:r>
      <w:r>
        <w:rPr>
          <w:spacing w:val="24"/>
        </w:rPr>
        <w:t> </w:t>
      </w:r>
      <w:r>
        <w:rPr/>
        <w:t>por</w:t>
      </w:r>
      <w:r>
        <w:rPr>
          <w:spacing w:val="26"/>
        </w:rPr>
        <w:t> </w:t>
      </w:r>
      <w:r>
        <w:rPr/>
        <w:t>Lora</w:t>
      </w:r>
      <w:r>
        <w:rPr>
          <w:spacing w:val="28"/>
        </w:rPr>
        <w:t> </w:t>
      </w:r>
      <w:r>
        <w:rPr/>
        <w:t>y</w:t>
      </w:r>
    </w:p>
    <w:p>
      <w:pPr>
        <w:spacing w:after="0" w:line="357" w:lineRule="auto"/>
        <w:jc w:val="center"/>
        <w:sectPr>
          <w:pgSz w:w="12240" w:h="15840"/>
          <w:pgMar w:header="0" w:footer="1062" w:top="1340" w:bottom="1260" w:left="1480" w:right="820"/>
        </w:sectPr>
      </w:pPr>
    </w:p>
    <w:p>
      <w:pPr>
        <w:pStyle w:val="BodyText"/>
        <w:spacing w:line="360" w:lineRule="auto" w:before="70"/>
        <w:ind w:left="220" w:right="644"/>
        <w:jc w:val="both"/>
      </w:pPr>
      <w:r>
        <w:rPr/>
        <w:t>Powell (2011)</w:t>
      </w:r>
      <w:r>
        <w:rPr>
          <w:position w:val="8"/>
          <w:sz w:val="16"/>
        </w:rPr>
        <w:t>21</w:t>
      </w:r>
      <w:r>
        <w:rPr/>
        <w:t>. En el caso de la variable dependiente se usa el precio de mercado según los anuncios de oferta de los inmuebles (viviendas independientes y condominios) con el objetivo específico de medir el efecto del servicio ecosistémico de vista mediante una muestra de comunidades deudoras donde los inmuebles se pueden</w:t>
      </w:r>
      <w:r>
        <w:rPr>
          <w:spacing w:val="-18"/>
        </w:rPr>
        <w:t> </w:t>
      </w:r>
      <w:r>
        <w:rPr/>
        <w:t>beneficiar</w:t>
      </w:r>
      <w:r>
        <w:rPr>
          <w:spacing w:val="-14"/>
        </w:rPr>
        <w:t> </w:t>
      </w:r>
      <w:r>
        <w:rPr/>
        <w:t>del</w:t>
      </w:r>
      <w:r>
        <w:rPr>
          <w:spacing w:val="-16"/>
        </w:rPr>
        <w:t> </w:t>
      </w:r>
      <w:r>
        <w:rPr/>
        <w:t>mismo.</w:t>
      </w:r>
      <w:r>
        <w:rPr>
          <w:spacing w:val="-15"/>
        </w:rPr>
        <w:t> </w:t>
      </w:r>
      <w:r>
        <w:rPr/>
        <w:t>Por</w:t>
      </w:r>
      <w:r>
        <w:rPr>
          <w:spacing w:val="-15"/>
        </w:rPr>
        <w:t> </w:t>
      </w:r>
      <w:r>
        <w:rPr/>
        <w:t>cuestiones</w:t>
      </w:r>
      <w:r>
        <w:rPr>
          <w:spacing w:val="-16"/>
        </w:rPr>
        <w:t> </w:t>
      </w:r>
      <w:r>
        <w:rPr/>
        <w:t>de</w:t>
      </w:r>
      <w:r>
        <w:rPr>
          <w:spacing w:val="-17"/>
        </w:rPr>
        <w:t> </w:t>
      </w:r>
      <w:r>
        <w:rPr/>
        <w:t>ubicación</w:t>
      </w:r>
      <w:r>
        <w:rPr>
          <w:spacing w:val="-17"/>
        </w:rPr>
        <w:t> </w:t>
      </w:r>
      <w:r>
        <w:rPr/>
        <w:t>específica</w:t>
      </w:r>
      <w:r>
        <w:rPr>
          <w:spacing w:val="-17"/>
        </w:rPr>
        <w:t> </w:t>
      </w:r>
      <w:r>
        <w:rPr/>
        <w:t>habrá</w:t>
      </w:r>
      <w:r>
        <w:rPr>
          <w:spacing w:val="-17"/>
        </w:rPr>
        <w:t> </w:t>
      </w:r>
      <w:r>
        <w:rPr/>
        <w:t>inmuebles en esas comunidades que no se beneficien. Asimismo, puede ser que los dueños del inmueble o los agentes vendedores no hayan considerado el servicio de vista como un beneficio para sus</w:t>
      </w:r>
      <w:r>
        <w:rPr>
          <w:spacing w:val="-3"/>
        </w:rPr>
        <w:t> </w:t>
      </w:r>
      <w:r>
        <w:rPr/>
        <w:t>inmuebles.</w:t>
      </w:r>
    </w:p>
    <w:p>
      <w:pPr>
        <w:pStyle w:val="BodyText"/>
        <w:spacing w:before="201"/>
        <w:ind w:left="220"/>
        <w:jc w:val="both"/>
      </w:pPr>
      <w:r>
        <w:rPr/>
        <w:t>Se plantea entonces un modelo con 10 variables independientes:</w:t>
      </w:r>
    </w:p>
    <w:p>
      <w:pPr>
        <w:pStyle w:val="BodyText"/>
        <w:spacing w:before="11"/>
        <w:rPr>
          <w:sz w:val="29"/>
        </w:rPr>
      </w:pPr>
    </w:p>
    <w:p>
      <w:pPr>
        <w:pStyle w:val="BodyText"/>
        <w:ind w:left="244" w:right="662"/>
        <w:jc w:val="center"/>
        <w:rPr>
          <w:rFonts w:ascii="Times New Roman" w:eastAsia="Times New Roman"/>
        </w:rPr>
      </w:pPr>
      <w:r>
        <w:rPr>
          <w:w w:val="99"/>
        </w:rPr>
        <w:t>(</w:t>
      </w:r>
      <w:r>
        <w:rPr>
          <w:spacing w:val="-2"/>
          <w:w w:val="99"/>
        </w:rPr>
        <w:t>6</w:t>
      </w:r>
      <w:r>
        <w:rPr>
          <w:w w:val="99"/>
        </w:rPr>
        <w:t>)</w:t>
      </w:r>
      <w:r>
        <w:rPr>
          <w:spacing w:val="1"/>
          <w:w w:val="99"/>
        </w:rPr>
        <w:t> </w:t>
      </w:r>
      <w:r>
        <w:rPr>
          <w:rFonts w:ascii="Times New Roman" w:eastAsia="Times New Roman"/>
          <w:w w:val="102"/>
        </w:rPr>
        <w:t>P</w:t>
      </w:r>
      <w:r>
        <w:rPr>
          <w:rFonts w:ascii="Times New Roman" w:eastAsia="Times New Roman"/>
        </w:rPr>
        <w:t> </w:t>
      </w:r>
      <w:r>
        <w:rPr>
          <w:rFonts w:ascii="Times New Roman" w:eastAsia="Times New Roman"/>
          <w:spacing w:val="-1"/>
        </w:rPr>
        <w:t> </w:t>
      </w:r>
      <w:r>
        <w:rPr>
          <w:rFonts w:ascii="Times New Roman" w:eastAsia="Times New Roman"/>
          <w:w w:val="132"/>
        </w:rPr>
        <w:t>=</w:t>
      </w:r>
      <w:r>
        <w:rPr>
          <w:rFonts w:ascii="Times New Roman" w:eastAsia="Times New Roman"/>
        </w:rPr>
        <w:t>  </w:t>
      </w:r>
      <w:r>
        <w:rPr>
          <w:rFonts w:ascii="Times New Roman" w:eastAsia="Times New Roman"/>
          <w:w w:val="77"/>
        </w:rPr>
        <w:t>𝛼</w:t>
      </w:r>
      <w:r>
        <w:rPr>
          <w:rFonts w:ascii="Times New Roman" w:eastAsia="Times New Roman"/>
          <w:w w:val="69"/>
          <w:vertAlign w:val="subscript"/>
        </w:rPr>
        <w:t>𝑜</w:t>
      </w:r>
      <w:r>
        <w:rPr>
          <w:rFonts w:ascii="Times New Roman" w:eastAsia="Times New Roman"/>
          <w:spacing w:val="2"/>
          <w:vertAlign w:val="baseline"/>
        </w:rPr>
        <w:t> </w:t>
      </w:r>
      <w:r>
        <w:rPr>
          <w:rFonts w:ascii="Times New Roman" w:eastAsia="Times New Roman"/>
          <w:w w:val="132"/>
          <w:vertAlign w:val="baseline"/>
        </w:rPr>
        <w:t>+</w:t>
      </w:r>
      <w:r>
        <w:rPr>
          <w:rFonts w:ascii="Times New Roman" w:eastAsia="Times New Roman"/>
          <w:spacing w:val="-4"/>
          <w:vertAlign w:val="baseline"/>
        </w:rPr>
        <w:t> </w:t>
      </w:r>
      <w:r>
        <w:rPr>
          <w:rFonts w:ascii="Times New Roman" w:eastAsia="Times New Roman"/>
          <w:spacing w:val="-4"/>
          <w:w w:val="77"/>
          <w:vertAlign w:val="baseline"/>
        </w:rPr>
        <w:t>𝛼</w:t>
      </w:r>
      <w:r>
        <w:rPr>
          <w:rFonts w:ascii="Times New Roman" w:eastAsia="Times New Roman"/>
          <w:spacing w:val="8"/>
          <w:w w:val="106"/>
          <w:vertAlign w:val="subscript"/>
        </w:rPr>
        <w:t>1</w:t>
      </w:r>
      <w:r>
        <w:rPr>
          <w:rFonts w:ascii="Times New Roman" w:eastAsia="Times New Roman"/>
          <w:spacing w:val="-31"/>
          <w:w w:val="80"/>
          <w:vertAlign w:val="baseline"/>
        </w:rPr>
        <w:t>𝑉</w:t>
      </w:r>
      <w:r>
        <w:rPr>
          <w:rFonts w:ascii="Times New Roman" w:eastAsia="Times New Roman"/>
          <w:w w:val="41"/>
          <w:vertAlign w:val="subscript"/>
        </w:rPr>
        <w:t>𝑖</w:t>
      </w:r>
      <w:r>
        <w:rPr>
          <w:rFonts w:ascii="Times New Roman" w:eastAsia="Times New Roman"/>
          <w:spacing w:val="3"/>
          <w:vertAlign w:val="baseline"/>
        </w:rPr>
        <w:t> </w:t>
      </w:r>
      <w:r>
        <w:rPr>
          <w:rFonts w:ascii="Times New Roman" w:eastAsia="Times New Roman"/>
          <w:w w:val="132"/>
          <w:vertAlign w:val="baseline"/>
        </w:rPr>
        <w:t>+</w:t>
      </w:r>
      <w:r>
        <w:rPr>
          <w:rFonts w:ascii="Times New Roman" w:eastAsia="Times New Roman"/>
          <w:spacing w:val="-8"/>
          <w:vertAlign w:val="baseline"/>
        </w:rPr>
        <w:t> </w:t>
      </w:r>
      <w:r>
        <w:rPr>
          <w:rFonts w:ascii="Times New Roman" w:eastAsia="Times New Roman"/>
          <w:w w:val="77"/>
          <w:vertAlign w:val="baseline"/>
        </w:rPr>
        <w:t>𝛼</w:t>
      </w:r>
      <w:r>
        <w:rPr>
          <w:rFonts w:ascii="Times New Roman" w:eastAsia="Times New Roman"/>
          <w:spacing w:val="8"/>
          <w:w w:val="106"/>
          <w:vertAlign w:val="subscript"/>
        </w:rPr>
        <w:t>2</w:t>
      </w:r>
      <w:r>
        <w:rPr>
          <w:rFonts w:ascii="Times New Roman" w:eastAsia="Times New Roman"/>
          <w:spacing w:val="-34"/>
          <w:w w:val="80"/>
          <w:vertAlign w:val="baseline"/>
        </w:rPr>
        <w:t>𝐸</w:t>
      </w:r>
      <w:r>
        <w:rPr>
          <w:rFonts w:ascii="Times New Roman" w:eastAsia="Times New Roman"/>
          <w:spacing w:val="7"/>
          <w:w w:val="55"/>
          <w:vertAlign w:val="subscript"/>
        </w:rPr>
        <w:t>𝑗</w:t>
      </w:r>
      <w:r>
        <w:rPr>
          <w:rFonts w:ascii="Times New Roman" w:eastAsia="Times New Roman"/>
          <w:w w:val="114"/>
          <w:vertAlign w:val="subscript"/>
        </w:rPr>
        <w:t>(</w:t>
      </w:r>
      <w:r>
        <w:rPr>
          <w:rFonts w:ascii="Times New Roman" w:eastAsia="Times New Roman"/>
          <w:spacing w:val="3"/>
          <w:w w:val="41"/>
          <w:vertAlign w:val="subscript"/>
        </w:rPr>
        <w:t>𝑖</w:t>
      </w:r>
      <w:r>
        <w:rPr>
          <w:rFonts w:ascii="Times New Roman" w:eastAsia="Times New Roman"/>
          <w:w w:val="114"/>
          <w:vertAlign w:val="subscript"/>
        </w:rPr>
        <w:t>)</w:t>
      </w:r>
      <w:r>
        <w:rPr>
          <w:rFonts w:ascii="Times New Roman" w:eastAsia="Times New Roman"/>
          <w:vertAlign w:val="baseline"/>
        </w:rPr>
        <w:t> </w:t>
      </w:r>
      <w:r>
        <w:rPr>
          <w:rFonts w:ascii="Times New Roman" w:eastAsia="Times New Roman"/>
          <w:w w:val="132"/>
          <w:vertAlign w:val="baseline"/>
        </w:rPr>
        <w:t>+</w:t>
      </w:r>
      <w:r>
        <w:rPr>
          <w:rFonts w:ascii="Times New Roman" w:eastAsia="Times New Roman"/>
          <w:spacing w:val="-8"/>
          <w:vertAlign w:val="baseline"/>
        </w:rPr>
        <w:t> </w:t>
      </w:r>
      <w:r>
        <w:rPr>
          <w:rFonts w:ascii="Times New Roman" w:eastAsia="Times New Roman"/>
          <w:spacing w:val="10"/>
          <w:w w:val="58"/>
          <w:vertAlign w:val="baseline"/>
        </w:rPr>
        <w:t>𝜀</w:t>
      </w:r>
      <w:r>
        <w:rPr>
          <w:rFonts w:ascii="Times New Roman" w:eastAsia="Times New Roman"/>
          <w:w w:val="94"/>
          <w:vertAlign w:val="baseline"/>
        </w:rPr>
        <w:t>;</w:t>
      </w:r>
    </w:p>
    <w:p>
      <w:pPr>
        <w:pStyle w:val="BodyText"/>
        <w:spacing w:before="3"/>
        <w:rPr>
          <w:rFonts w:ascii="Times New Roman"/>
          <w:sz w:val="32"/>
        </w:rPr>
      </w:pPr>
    </w:p>
    <w:p>
      <w:pPr>
        <w:pStyle w:val="BodyText"/>
        <w:ind w:left="220"/>
      </w:pPr>
      <w:r>
        <w:rPr/>
        <w:t>donde:</w:t>
      </w:r>
    </w:p>
    <w:p>
      <w:pPr>
        <w:pStyle w:val="BodyText"/>
        <w:tabs>
          <w:tab w:pos="1008" w:val="left" w:leader="none"/>
        </w:tabs>
        <w:spacing w:before="136"/>
        <w:ind w:left="220"/>
      </w:pPr>
      <w:r>
        <w:rPr>
          <w:i/>
        </w:rPr>
        <w:t>P</w:t>
      </w:r>
      <w:r>
        <w:rPr>
          <w:i/>
          <w:spacing w:val="1"/>
        </w:rPr>
        <w:t> </w:t>
      </w:r>
      <w:r>
        <w:rPr>
          <w:i/>
        </w:rPr>
        <w:t>=</w:t>
        <w:tab/>
      </w:r>
      <w:r>
        <w:rPr/>
        <w:t>es el precio de las</w:t>
      </w:r>
      <w:r>
        <w:rPr>
          <w:spacing w:val="1"/>
        </w:rPr>
        <w:t> </w:t>
      </w:r>
      <w:r>
        <w:rPr/>
        <w:t>viviendas;</w:t>
      </w:r>
    </w:p>
    <w:p>
      <w:pPr>
        <w:pStyle w:val="BodyText"/>
        <w:tabs>
          <w:tab w:pos="1008" w:val="left" w:leader="none"/>
        </w:tabs>
        <w:spacing w:before="136"/>
        <w:ind w:left="220"/>
      </w:pPr>
      <w:r>
        <w:rPr>
          <w:i/>
        </w:rPr>
        <w:t>V</w:t>
      </w:r>
      <w:r>
        <w:rPr>
          <w:i/>
          <w:spacing w:val="1"/>
        </w:rPr>
        <w:t> </w:t>
      </w:r>
      <w:r>
        <w:rPr/>
        <w:t>=</w:t>
        <w:tab/>
        <w:t>es el vector que contiene las características de la</w:t>
      </w:r>
      <w:r>
        <w:rPr>
          <w:spacing w:val="-8"/>
        </w:rPr>
        <w:t> </w:t>
      </w:r>
      <w:r>
        <w:rPr/>
        <w:t>vivienda;</w:t>
      </w:r>
    </w:p>
    <w:p>
      <w:pPr>
        <w:pStyle w:val="BodyText"/>
        <w:tabs>
          <w:tab w:pos="940" w:val="left" w:leader="none"/>
        </w:tabs>
        <w:spacing w:line="362" w:lineRule="auto" w:before="141"/>
        <w:ind w:left="220" w:right="713"/>
      </w:pPr>
      <w:r>
        <w:rPr>
          <w:i/>
        </w:rPr>
        <w:t>E</w:t>
      </w:r>
      <w:r>
        <w:rPr>
          <w:i/>
          <w:spacing w:val="1"/>
        </w:rPr>
        <w:t> </w:t>
      </w:r>
      <w:r>
        <w:rPr/>
        <w:t>=</w:t>
        <w:tab/>
        <w:t>es el vector de las características del entorno (que incluye el vecindario y su equipamiento);</w:t>
      </w:r>
    </w:p>
    <w:p>
      <w:pPr>
        <w:pStyle w:val="BodyText"/>
        <w:tabs>
          <w:tab w:pos="940" w:val="left" w:leader="none"/>
        </w:tabs>
        <w:spacing w:line="271" w:lineRule="exact"/>
        <w:ind w:left="220"/>
      </w:pPr>
      <w:r>
        <w:rPr>
          <w:i/>
        </w:rPr>
        <w:t>i</w:t>
      </w:r>
      <w:r>
        <w:rPr>
          <w:i/>
          <w:spacing w:val="-1"/>
        </w:rPr>
        <w:t> </w:t>
      </w:r>
      <w:r>
        <w:rPr/>
        <w:t>=</w:t>
        <w:tab/>
        <w:t>es el hogar</w:t>
      </w:r>
      <w:r>
        <w:rPr>
          <w:spacing w:val="5"/>
        </w:rPr>
        <w:t> </w:t>
      </w:r>
      <w:r>
        <w:rPr>
          <w:spacing w:val="-3"/>
        </w:rPr>
        <w:t>y,</w:t>
      </w:r>
    </w:p>
    <w:p>
      <w:pPr>
        <w:pStyle w:val="BodyText"/>
        <w:tabs>
          <w:tab w:pos="940" w:val="left" w:leader="none"/>
        </w:tabs>
        <w:spacing w:line="364" w:lineRule="auto" w:before="136"/>
        <w:ind w:left="220" w:right="647"/>
      </w:pPr>
      <w:r>
        <w:rPr>
          <w:i/>
        </w:rPr>
        <w:t>j</w:t>
      </w:r>
      <w:r>
        <w:rPr>
          <w:i/>
          <w:spacing w:val="-1"/>
        </w:rPr>
        <w:t> </w:t>
      </w:r>
      <w:r>
        <w:rPr/>
        <w:t>=</w:t>
        <w:tab/>
        <w:t>es</w:t>
      </w:r>
      <w:r>
        <w:rPr>
          <w:spacing w:val="-14"/>
        </w:rPr>
        <w:t> </w:t>
      </w:r>
      <w:r>
        <w:rPr/>
        <w:t>la</w:t>
      </w:r>
      <w:r>
        <w:rPr>
          <w:spacing w:val="-16"/>
        </w:rPr>
        <w:t> </w:t>
      </w:r>
      <w:r>
        <w:rPr/>
        <w:t>división</w:t>
      </w:r>
      <w:r>
        <w:rPr>
          <w:spacing w:val="-17"/>
        </w:rPr>
        <w:t> </w:t>
      </w:r>
      <w:r>
        <w:rPr/>
        <w:t>urbana</w:t>
      </w:r>
      <w:r>
        <w:rPr>
          <w:spacing w:val="-16"/>
        </w:rPr>
        <w:t> </w:t>
      </w:r>
      <w:r>
        <w:rPr/>
        <w:t>donde</w:t>
      </w:r>
      <w:r>
        <w:rPr>
          <w:spacing w:val="-17"/>
        </w:rPr>
        <w:t> </w:t>
      </w:r>
      <w:r>
        <w:rPr/>
        <w:t>se</w:t>
      </w:r>
      <w:r>
        <w:rPr>
          <w:spacing w:val="-16"/>
        </w:rPr>
        <w:t> </w:t>
      </w:r>
      <w:r>
        <w:rPr/>
        <w:t>localiza</w:t>
      </w:r>
      <w:r>
        <w:rPr>
          <w:spacing w:val="-13"/>
        </w:rPr>
        <w:t> </w:t>
      </w:r>
      <w:r>
        <w:rPr/>
        <w:t>el</w:t>
      </w:r>
      <w:r>
        <w:rPr>
          <w:spacing w:val="-15"/>
        </w:rPr>
        <w:t> </w:t>
      </w:r>
      <w:r>
        <w:rPr/>
        <w:t>hogar</w:t>
      </w:r>
      <w:r>
        <w:rPr>
          <w:spacing w:val="-15"/>
        </w:rPr>
        <w:t> </w:t>
      </w:r>
      <w:r>
        <w:rPr/>
        <w:t>(cuadra,</w:t>
      </w:r>
      <w:r>
        <w:rPr>
          <w:spacing w:val="-13"/>
        </w:rPr>
        <w:t> </w:t>
      </w:r>
      <w:r>
        <w:rPr/>
        <w:t>manzana,</w:t>
      </w:r>
      <w:r>
        <w:rPr>
          <w:spacing w:val="-14"/>
        </w:rPr>
        <w:t> </w:t>
      </w:r>
      <w:r>
        <w:rPr/>
        <w:t>sector,</w:t>
      </w:r>
      <w:r>
        <w:rPr>
          <w:spacing w:val="-13"/>
        </w:rPr>
        <w:t> </w:t>
      </w:r>
      <w:r>
        <w:rPr/>
        <w:t>etc.). Se plantea</w:t>
      </w:r>
      <w:r>
        <w:rPr>
          <w:spacing w:val="-3"/>
        </w:rPr>
        <w:t> </w:t>
      </w:r>
      <w:r>
        <w:rPr/>
        <w:t>que:</w:t>
      </w:r>
    </w:p>
    <w:p>
      <w:pPr>
        <w:pStyle w:val="BodyText"/>
        <w:spacing w:before="213"/>
        <w:ind w:left="240" w:right="663"/>
        <w:jc w:val="center"/>
        <w:rPr>
          <w:rFonts w:ascii="Times New Roman" w:hAnsi="Times New Roman" w:eastAsia="Times New Roman"/>
        </w:rPr>
      </w:pPr>
      <w:r>
        <w:rPr>
          <w:w w:val="99"/>
        </w:rPr>
        <w:t>(</w:t>
      </w:r>
      <w:r>
        <w:rPr>
          <w:spacing w:val="-1"/>
          <w:w w:val="99"/>
        </w:rPr>
        <w:t>6</w:t>
      </w:r>
      <w:r>
        <w:rPr>
          <w:w w:val="100"/>
        </w:rPr>
        <w:t>.</w:t>
      </w:r>
      <w:r>
        <w:rPr>
          <w:spacing w:val="-2"/>
          <w:w w:val="99"/>
        </w:rPr>
        <w:t>1</w:t>
      </w:r>
      <w:r>
        <w:rPr>
          <w:w w:val="99"/>
        </w:rPr>
        <w:t>) </w:t>
      </w:r>
      <w:r>
        <w:rPr>
          <w:spacing w:val="-13"/>
          <w:w w:val="99"/>
        </w:rPr>
        <w:t> </w:t>
      </w:r>
      <w:r>
        <w:rPr>
          <w:rFonts w:ascii="Times New Roman" w:hAnsi="Times New Roman" w:eastAsia="Times New Roman"/>
          <w:spacing w:val="-31"/>
          <w:w w:val="80"/>
        </w:rPr>
        <w:t>𝑉</w:t>
      </w:r>
      <w:r>
        <w:rPr>
          <w:rFonts w:ascii="Times New Roman" w:hAnsi="Times New Roman" w:eastAsia="Times New Roman"/>
          <w:w w:val="41"/>
          <w:vertAlign w:val="subscript"/>
        </w:rPr>
        <w:t>𝑖</w:t>
      </w:r>
      <w:r>
        <w:rPr>
          <w:rFonts w:ascii="Times New Roman" w:hAnsi="Times New Roman" w:eastAsia="Times New Roman"/>
          <w:spacing w:val="19"/>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spacing w:val="-4"/>
          <w:w w:val="77"/>
          <w:vertAlign w:val="baseline"/>
        </w:rPr>
        <w:t>𝛼</w:t>
      </w:r>
      <w:r>
        <w:rPr>
          <w:rFonts w:ascii="Times New Roman" w:hAnsi="Times New Roman" w:eastAsia="Times New Roman"/>
          <w:spacing w:val="8"/>
          <w:w w:val="106"/>
          <w:vertAlign w:val="subscript"/>
        </w:rPr>
        <w:t>1</w:t>
      </w:r>
      <w:r>
        <w:rPr>
          <w:rFonts w:ascii="Times New Roman" w:hAnsi="Times New Roman" w:eastAsia="Times New Roman"/>
          <w:w w:val="76"/>
          <w:vertAlign w:val="baseline"/>
        </w:rPr>
        <w:t>𝑇</w:t>
      </w:r>
      <w:r>
        <w:rPr>
          <w:rFonts w:ascii="Times New Roman" w:hAnsi="Times New Roman" w:eastAsia="Times New Roman"/>
          <w:w w:val="56"/>
          <w:vertAlign w:val="baseline"/>
        </w:rPr>
        <w:t>𝑖</w:t>
      </w:r>
      <w:r>
        <w:rPr>
          <w:rFonts w:ascii="Times New Roman" w:hAnsi="Times New Roman" w:eastAsia="Times New Roman"/>
          <w:spacing w:val="-2"/>
          <w:w w:val="56"/>
          <w:vertAlign w:val="baseline"/>
        </w:rPr>
        <w:t>𝑝</w:t>
      </w:r>
      <w:r>
        <w:rPr>
          <w:rFonts w:ascii="Times New Roman" w:hAnsi="Times New Roman" w:eastAsia="Times New Roman"/>
          <w:spacing w:val="-8"/>
          <w:w w:val="68"/>
          <w:vertAlign w:val="baseline"/>
        </w:rPr>
        <w:t>𝑜</w:t>
      </w:r>
      <w:r>
        <w:rPr>
          <w:rFonts w:ascii="Times New Roman" w:hAnsi="Times New Roman" w:eastAsia="Times New Roman"/>
          <w:w w:val="41"/>
          <w:vertAlign w:val="subscript"/>
        </w:rPr>
        <w:t>𝑖</w:t>
      </w:r>
      <w:r>
        <w:rPr>
          <w:rFonts w:ascii="Times New Roman" w:hAnsi="Times New Roman" w:eastAsia="Times New Roman"/>
          <w:spacing w:val="7"/>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w w:val="77"/>
          <w:vertAlign w:val="baseline"/>
        </w:rPr>
        <w:t>𝛼</w:t>
      </w:r>
      <w:r>
        <w:rPr>
          <w:rFonts w:ascii="Times New Roman" w:hAnsi="Times New Roman" w:eastAsia="Times New Roman"/>
          <w:spacing w:val="8"/>
          <w:w w:val="106"/>
          <w:vertAlign w:val="subscript"/>
        </w:rPr>
        <w:t>2</w:t>
      </w:r>
      <w:r>
        <w:rPr>
          <w:rFonts w:ascii="Times New Roman" w:hAnsi="Times New Roman" w:eastAsia="Times New Roman"/>
          <w:spacing w:val="-2"/>
          <w:w w:val="86"/>
          <w:vertAlign w:val="baseline"/>
        </w:rPr>
        <w:t>Á</w:t>
      </w:r>
      <w:r>
        <w:rPr>
          <w:rFonts w:ascii="Times New Roman" w:hAnsi="Times New Roman" w:eastAsia="Times New Roman"/>
          <w:spacing w:val="1"/>
          <w:w w:val="61"/>
          <w:vertAlign w:val="baseline"/>
        </w:rPr>
        <w:t>𝑟</w:t>
      </w:r>
      <w:r>
        <w:rPr>
          <w:rFonts w:ascii="Times New Roman" w:hAnsi="Times New Roman" w:eastAsia="Times New Roman"/>
          <w:w w:val="63"/>
          <w:vertAlign w:val="baseline"/>
        </w:rPr>
        <w:t>𝑒</w:t>
      </w:r>
      <w:r>
        <w:rPr>
          <w:rFonts w:ascii="Times New Roman" w:hAnsi="Times New Roman" w:eastAsia="Times New Roman"/>
          <w:spacing w:val="-2"/>
          <w:w w:val="71"/>
          <w:vertAlign w:val="baseline"/>
        </w:rPr>
        <w:t>𝑎</w:t>
      </w:r>
      <w:r>
        <w:rPr>
          <w:rFonts w:ascii="Times New Roman" w:hAnsi="Times New Roman" w:eastAsia="Times New Roman"/>
          <w:w w:val="41"/>
          <w:vertAlign w:val="subscript"/>
        </w:rPr>
        <w:t>𝑖</w:t>
      </w:r>
      <w:r>
        <w:rPr>
          <w:rFonts w:ascii="Times New Roman" w:hAnsi="Times New Roman" w:eastAsia="Times New Roman"/>
          <w:spacing w:val="7"/>
          <w:vertAlign w:val="baseline"/>
        </w:rPr>
        <w:t> </w:t>
      </w:r>
      <w:r>
        <w:rPr>
          <w:rFonts w:ascii="Times New Roman" w:hAnsi="Times New Roman" w:eastAsia="Times New Roman"/>
          <w:w w:val="132"/>
          <w:vertAlign w:val="baseline"/>
        </w:rPr>
        <w:t>+</w:t>
      </w:r>
      <w:r>
        <w:rPr>
          <w:rFonts w:ascii="Times New Roman" w:hAnsi="Times New Roman" w:eastAsia="Times New Roman"/>
          <w:spacing w:val="-4"/>
          <w:vertAlign w:val="baseline"/>
        </w:rPr>
        <w:t> </w:t>
      </w:r>
      <w:r>
        <w:rPr>
          <w:rFonts w:ascii="Times New Roman" w:hAnsi="Times New Roman" w:eastAsia="Times New Roman"/>
          <w:w w:val="77"/>
          <w:vertAlign w:val="baseline"/>
        </w:rPr>
        <w:t>𝛼</w:t>
      </w:r>
      <w:r>
        <w:rPr>
          <w:rFonts w:ascii="Times New Roman" w:hAnsi="Times New Roman" w:eastAsia="Times New Roman"/>
          <w:spacing w:val="8"/>
          <w:w w:val="106"/>
          <w:vertAlign w:val="subscript"/>
        </w:rPr>
        <w:t>3</w:t>
      </w:r>
      <w:r>
        <w:rPr>
          <w:rFonts w:ascii="Times New Roman" w:hAnsi="Times New Roman" w:eastAsia="Times New Roman"/>
          <w:w w:val="81"/>
          <w:vertAlign w:val="baseline"/>
        </w:rPr>
        <w:t>𝐴</w:t>
      </w:r>
      <w:r>
        <w:rPr>
          <w:rFonts w:ascii="Times New Roman" w:hAnsi="Times New Roman" w:eastAsia="Times New Roman"/>
          <w:spacing w:val="-2"/>
          <w:w w:val="111"/>
          <w:vertAlign w:val="baseline"/>
        </w:rPr>
        <w:t>ñ</w:t>
      </w:r>
      <w:r>
        <w:rPr>
          <w:rFonts w:ascii="Times New Roman" w:hAnsi="Times New Roman" w:eastAsia="Times New Roman"/>
          <w:w w:val="72"/>
          <w:vertAlign w:val="baseline"/>
        </w:rPr>
        <w:t>𝑜</w:t>
      </w:r>
      <w:r>
        <w:rPr>
          <w:rFonts w:ascii="Times New Roman" w:hAnsi="Times New Roman" w:eastAsia="Times New Roman"/>
          <w:spacing w:val="-16"/>
          <w:w w:val="72"/>
          <w:vertAlign w:val="baseline"/>
        </w:rPr>
        <w:t>𝐶</w:t>
      </w:r>
      <w:r>
        <w:rPr>
          <w:rFonts w:ascii="Times New Roman" w:hAnsi="Times New Roman" w:eastAsia="Times New Roman"/>
          <w:w w:val="41"/>
          <w:vertAlign w:val="subscript"/>
        </w:rPr>
        <w:t>𝑖</w:t>
      </w:r>
      <w:r>
        <w:rPr>
          <w:rFonts w:ascii="Times New Roman" w:hAnsi="Times New Roman" w:eastAsia="Times New Roman"/>
          <w:spacing w:val="11"/>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w w:val="77"/>
          <w:vertAlign w:val="baseline"/>
        </w:rPr>
        <w:t>𝛼</w:t>
      </w:r>
      <w:r>
        <w:rPr>
          <w:rFonts w:ascii="Times New Roman" w:hAnsi="Times New Roman" w:eastAsia="Times New Roman"/>
          <w:spacing w:val="8"/>
          <w:w w:val="106"/>
          <w:vertAlign w:val="subscript"/>
        </w:rPr>
        <w:t>4</w:t>
      </w:r>
      <w:r>
        <w:rPr>
          <w:rFonts w:ascii="Times New Roman" w:hAnsi="Times New Roman" w:eastAsia="Times New Roman"/>
          <w:w w:val="93"/>
          <w:vertAlign w:val="baseline"/>
        </w:rPr>
        <w:t>𝐻</w:t>
      </w:r>
      <w:r>
        <w:rPr>
          <w:rFonts w:ascii="Times New Roman" w:hAnsi="Times New Roman" w:eastAsia="Times New Roman"/>
          <w:spacing w:val="-2"/>
          <w:w w:val="71"/>
          <w:vertAlign w:val="baseline"/>
        </w:rPr>
        <w:t>𝑎</w:t>
      </w:r>
      <w:r>
        <w:rPr>
          <w:rFonts w:ascii="Times New Roman" w:hAnsi="Times New Roman" w:eastAsia="Times New Roman"/>
          <w:spacing w:val="7"/>
          <w:w w:val="69"/>
          <w:vertAlign w:val="baseline"/>
        </w:rPr>
        <w:t>𝑏</w:t>
      </w:r>
      <w:r>
        <w:rPr>
          <w:rFonts w:ascii="Times New Roman" w:hAnsi="Times New Roman" w:eastAsia="Times New Roman"/>
          <w:spacing w:val="-2"/>
          <w:w w:val="82"/>
          <w:vertAlign w:val="baseline"/>
        </w:rPr>
        <w:t>.</w:t>
      </w:r>
      <w:r>
        <w:rPr>
          <w:rFonts w:ascii="Times New Roman" w:hAnsi="Times New Roman" w:eastAsia="Times New Roman"/>
          <w:spacing w:val="15"/>
          <w:w w:val="41"/>
          <w:vertAlign w:val="subscript"/>
        </w:rPr>
        <w:t>𝑖</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spacing w:val="-1"/>
          <w:w w:val="77"/>
          <w:vertAlign w:val="baseline"/>
        </w:rPr>
        <w:t>𝛼</w:t>
      </w:r>
      <w:r>
        <w:rPr>
          <w:rFonts w:ascii="Times New Roman" w:hAnsi="Times New Roman" w:eastAsia="Times New Roman"/>
          <w:spacing w:val="8"/>
          <w:w w:val="106"/>
          <w:vertAlign w:val="subscript"/>
        </w:rPr>
        <w:t>5</w:t>
      </w:r>
      <w:r>
        <w:rPr>
          <w:rFonts w:ascii="Times New Roman" w:hAnsi="Times New Roman" w:eastAsia="Times New Roman"/>
          <w:spacing w:val="-1"/>
          <w:w w:val="84"/>
          <w:vertAlign w:val="baseline"/>
        </w:rPr>
        <w:t>𝐵</w:t>
      </w:r>
      <w:r>
        <w:rPr>
          <w:rFonts w:ascii="Times New Roman" w:hAnsi="Times New Roman" w:eastAsia="Times New Roman"/>
          <w:spacing w:val="-1"/>
          <w:w w:val="71"/>
          <w:vertAlign w:val="baseline"/>
        </w:rPr>
        <w:t>𝑎</w:t>
      </w:r>
      <w:r>
        <w:rPr>
          <w:rFonts w:ascii="Times New Roman" w:hAnsi="Times New Roman" w:eastAsia="Times New Roman"/>
          <w:spacing w:val="-2"/>
          <w:w w:val="111"/>
          <w:vertAlign w:val="baseline"/>
        </w:rPr>
        <w:t>ñ</w:t>
      </w:r>
      <w:r>
        <w:rPr>
          <w:rFonts w:ascii="Times New Roman" w:hAnsi="Times New Roman" w:eastAsia="Times New Roman"/>
          <w:w w:val="63"/>
          <w:vertAlign w:val="baseline"/>
        </w:rPr>
        <w:t>𝑜</w:t>
      </w:r>
      <w:r>
        <w:rPr>
          <w:rFonts w:ascii="Times New Roman" w:hAnsi="Times New Roman" w:eastAsia="Times New Roman"/>
          <w:spacing w:val="-4"/>
          <w:w w:val="63"/>
          <w:vertAlign w:val="baseline"/>
        </w:rPr>
        <w:t>𝑠</w:t>
      </w:r>
      <w:r>
        <w:rPr>
          <w:rFonts w:ascii="Times New Roman" w:hAnsi="Times New Roman" w:eastAsia="Times New Roman"/>
          <w:w w:val="41"/>
          <w:vertAlign w:val="subscript"/>
        </w:rPr>
        <w:t>𝑖</w:t>
      </w:r>
      <w:r>
        <w:rPr>
          <w:rFonts w:ascii="Times New Roman" w:hAnsi="Times New Roman" w:eastAsia="Times New Roman"/>
          <w:spacing w:val="12"/>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w w:val="77"/>
          <w:vertAlign w:val="baseline"/>
        </w:rPr>
        <w:t>𝛼</w:t>
      </w:r>
      <w:r>
        <w:rPr>
          <w:rFonts w:ascii="Times New Roman" w:hAnsi="Times New Roman" w:eastAsia="Times New Roman"/>
          <w:spacing w:val="8"/>
          <w:w w:val="106"/>
          <w:vertAlign w:val="subscript"/>
        </w:rPr>
        <w:t>6</w:t>
      </w:r>
      <w:r>
        <w:rPr>
          <w:rFonts w:ascii="Times New Roman" w:hAnsi="Times New Roman" w:eastAsia="Times New Roman"/>
          <w:spacing w:val="-1"/>
          <w:w w:val="79"/>
          <w:vertAlign w:val="baseline"/>
        </w:rPr>
        <w:t>𝑃</w:t>
      </w:r>
      <w:r>
        <w:rPr>
          <w:rFonts w:ascii="Times New Roman" w:hAnsi="Times New Roman" w:eastAsia="Times New Roman"/>
          <w:w w:val="56"/>
          <w:vertAlign w:val="baseline"/>
        </w:rPr>
        <w:t>𝑙</w:t>
      </w:r>
      <w:r>
        <w:rPr>
          <w:rFonts w:ascii="Times New Roman" w:hAnsi="Times New Roman" w:eastAsia="Times New Roman"/>
          <w:spacing w:val="-2"/>
          <w:w w:val="56"/>
          <w:vertAlign w:val="baseline"/>
        </w:rPr>
        <w:t>𝑎</w:t>
      </w:r>
      <w:r>
        <w:rPr>
          <w:rFonts w:ascii="Times New Roman" w:hAnsi="Times New Roman" w:eastAsia="Times New Roman"/>
          <w:spacing w:val="-2"/>
          <w:w w:val="73"/>
          <w:vertAlign w:val="baseline"/>
        </w:rPr>
        <w:t>𝑛</w:t>
      </w:r>
      <w:r>
        <w:rPr>
          <w:rFonts w:ascii="Times New Roman" w:hAnsi="Times New Roman" w:eastAsia="Times New Roman"/>
          <w:spacing w:val="1"/>
          <w:w w:val="50"/>
          <w:vertAlign w:val="baseline"/>
        </w:rPr>
        <w:t>𝑡</w:t>
      </w:r>
      <w:r>
        <w:rPr>
          <w:rFonts w:ascii="Times New Roman" w:hAnsi="Times New Roman" w:eastAsia="Times New Roman"/>
          <w:spacing w:val="-2"/>
          <w:w w:val="71"/>
          <w:vertAlign w:val="baseline"/>
        </w:rPr>
        <w:t>𝑎</w:t>
      </w:r>
      <w:r>
        <w:rPr>
          <w:rFonts w:ascii="Times New Roman" w:hAnsi="Times New Roman" w:eastAsia="Times New Roman"/>
          <w:spacing w:val="-3"/>
          <w:w w:val="59"/>
          <w:vertAlign w:val="baseline"/>
        </w:rPr>
        <w:t>𝑠</w:t>
      </w:r>
      <w:r>
        <w:rPr>
          <w:rFonts w:ascii="Times New Roman" w:hAnsi="Times New Roman" w:eastAsia="Times New Roman"/>
          <w:spacing w:val="15"/>
          <w:w w:val="41"/>
          <w:vertAlign w:val="subscript"/>
        </w:rPr>
        <w:t>𝑖</w:t>
      </w:r>
      <w:r>
        <w:rPr>
          <w:rFonts w:ascii="Times New Roman" w:hAnsi="Times New Roman" w:eastAsia="Times New Roman"/>
          <w:w w:val="94"/>
          <w:vertAlign w:val="baseline"/>
        </w:rPr>
        <w:t>;</w:t>
      </w:r>
    </w:p>
    <w:p>
      <w:pPr>
        <w:pStyle w:val="BodyText"/>
        <w:spacing w:before="9"/>
        <w:rPr>
          <w:rFonts w:ascii="Times New Roman"/>
          <w:sz w:val="29"/>
        </w:rPr>
      </w:pPr>
    </w:p>
    <w:p>
      <w:pPr>
        <w:pStyle w:val="BodyText"/>
        <w:ind w:left="220"/>
      </w:pPr>
      <w:r>
        <w:rPr/>
        <w:t>donde;</w:t>
      </w:r>
    </w:p>
    <w:p>
      <w:pPr>
        <w:pStyle w:val="BodyText"/>
        <w:tabs>
          <w:tab w:pos="1660" w:val="left" w:leader="none"/>
        </w:tabs>
        <w:spacing w:before="133"/>
        <w:ind w:left="220"/>
      </w:pPr>
      <w:r>
        <w:rPr>
          <w:i/>
        </w:rPr>
        <w:t>Tipo</w:t>
      </w:r>
      <w:r>
        <w:rPr>
          <w:i/>
          <w:spacing w:val="-2"/>
        </w:rPr>
        <w:t> </w:t>
      </w:r>
      <w:r>
        <w:rPr>
          <w:i/>
        </w:rPr>
        <w:t>=</w:t>
        <w:tab/>
      </w:r>
      <w:r>
        <w:rPr/>
        <w:t>es una variable binomial del tipo de vivienda 1 = Casa de Habitación,</w:t>
      </w:r>
      <w:r>
        <w:rPr>
          <w:spacing w:val="2"/>
        </w:rPr>
        <w:t> </w:t>
      </w:r>
      <w:r>
        <w:rPr/>
        <w:t>0</w:t>
      </w:r>
    </w:p>
    <w:p>
      <w:pPr>
        <w:pStyle w:val="BodyText"/>
        <w:spacing w:before="144"/>
        <w:ind w:left="1661"/>
      </w:pPr>
      <w:r>
        <w:rPr/>
        <w:t>= Condominio;</w:t>
      </w:r>
    </w:p>
    <w:p>
      <w:pPr>
        <w:pStyle w:val="BodyText"/>
        <w:tabs>
          <w:tab w:pos="1660" w:val="left" w:leader="none"/>
        </w:tabs>
        <w:spacing w:before="132"/>
        <w:ind w:left="220"/>
      </w:pPr>
      <w:r>
        <w:rPr>
          <w:i/>
        </w:rPr>
        <w:t>Área=</w:t>
        <w:tab/>
      </w:r>
      <w:r>
        <w:rPr/>
        <w:t>es el tamaño en metros cuadrados de la construcción en</w:t>
      </w:r>
      <w:r>
        <w:rPr>
          <w:spacing w:val="-7"/>
        </w:rPr>
        <w:t> </w:t>
      </w:r>
      <w:r>
        <w:rPr/>
        <w:t>venta;</w:t>
      </w:r>
    </w:p>
    <w:p>
      <w:pPr>
        <w:pStyle w:val="BodyText"/>
        <w:rPr>
          <w:sz w:val="20"/>
        </w:rPr>
      </w:pPr>
    </w:p>
    <w:p>
      <w:pPr>
        <w:pStyle w:val="BodyText"/>
        <w:rPr>
          <w:sz w:val="20"/>
        </w:rPr>
      </w:pPr>
    </w:p>
    <w:p>
      <w:pPr>
        <w:pStyle w:val="BodyText"/>
        <w:rPr>
          <w:sz w:val="20"/>
        </w:rPr>
      </w:pPr>
    </w:p>
    <w:p>
      <w:pPr>
        <w:pStyle w:val="BodyText"/>
        <w:spacing w:before="7"/>
        <w:rPr>
          <w:sz w:val="29"/>
        </w:rPr>
      </w:pPr>
      <w:r>
        <w:rPr/>
        <w:pict>
          <v:rect style="position:absolute;margin-left:85.025002pt;margin-top:18.98229pt;width:144.050pt;height:.60004pt;mso-position-horizontal-relative:page;mso-position-vertical-relative:paragraph;z-index:-15690240;mso-wrap-distance-left:0;mso-wrap-distance-right:0" filled="true" fillcolor="#000000" stroked="false">
            <v:fill type="solid"/>
            <w10:wrap type="topAndBottom"/>
          </v:rect>
        </w:pict>
      </w:r>
    </w:p>
    <w:p>
      <w:pPr>
        <w:spacing w:line="240" w:lineRule="auto" w:before="71"/>
        <w:ind w:left="220" w:right="644" w:firstLine="0"/>
        <w:jc w:val="both"/>
        <w:rPr>
          <w:sz w:val="20"/>
        </w:rPr>
      </w:pPr>
      <w:r>
        <w:rPr>
          <w:sz w:val="20"/>
          <w:vertAlign w:val="superscript"/>
        </w:rPr>
        <w:t>21</w:t>
      </w:r>
      <w:r>
        <w:rPr>
          <w:sz w:val="20"/>
          <w:vertAlign w:val="baseline"/>
        </w:rPr>
        <w:t> Se desarrolló el modelo dentro del marco de un estudio piloto que se finalizó como producto de la pasantía que el estudiante realizó en el Centro Internacional de Política Económica para el Desarrollo Sostenible de la Universidad Nacional de Costa Rica. </w:t>
      </w:r>
      <w:r>
        <w:rPr>
          <w:spacing w:val="-3"/>
          <w:sz w:val="20"/>
          <w:vertAlign w:val="baseline"/>
        </w:rPr>
        <w:t>El </w:t>
      </w:r>
      <w:r>
        <w:rPr>
          <w:sz w:val="20"/>
          <w:vertAlign w:val="baseline"/>
        </w:rPr>
        <w:t>estudio, intitulado “Modelo para la Estimación del</w:t>
      </w:r>
      <w:r>
        <w:rPr>
          <w:spacing w:val="-15"/>
          <w:sz w:val="20"/>
          <w:vertAlign w:val="baseline"/>
        </w:rPr>
        <w:t> </w:t>
      </w:r>
      <w:r>
        <w:rPr>
          <w:sz w:val="20"/>
          <w:vertAlign w:val="baseline"/>
        </w:rPr>
        <w:t>Valor</w:t>
      </w:r>
      <w:r>
        <w:rPr>
          <w:spacing w:val="-13"/>
          <w:sz w:val="20"/>
          <w:vertAlign w:val="baseline"/>
        </w:rPr>
        <w:t> </w:t>
      </w:r>
      <w:r>
        <w:rPr>
          <w:sz w:val="20"/>
          <w:vertAlign w:val="baseline"/>
        </w:rPr>
        <w:t>Monetario</w:t>
      </w:r>
      <w:r>
        <w:rPr>
          <w:spacing w:val="-17"/>
          <w:sz w:val="20"/>
          <w:vertAlign w:val="baseline"/>
        </w:rPr>
        <w:t> </w:t>
      </w:r>
      <w:r>
        <w:rPr>
          <w:sz w:val="20"/>
          <w:vertAlign w:val="baseline"/>
        </w:rPr>
        <w:t>del</w:t>
      </w:r>
      <w:r>
        <w:rPr>
          <w:spacing w:val="-12"/>
          <w:sz w:val="20"/>
          <w:vertAlign w:val="baseline"/>
        </w:rPr>
        <w:t> </w:t>
      </w:r>
      <w:r>
        <w:rPr>
          <w:sz w:val="20"/>
          <w:vertAlign w:val="baseline"/>
        </w:rPr>
        <w:t>Servicio</w:t>
      </w:r>
      <w:r>
        <w:rPr>
          <w:spacing w:val="-17"/>
          <w:sz w:val="20"/>
          <w:vertAlign w:val="baseline"/>
        </w:rPr>
        <w:t> </w:t>
      </w:r>
      <w:r>
        <w:rPr>
          <w:sz w:val="20"/>
          <w:vertAlign w:val="baseline"/>
        </w:rPr>
        <w:t>Ecosistémico</w:t>
      </w:r>
      <w:r>
        <w:rPr>
          <w:spacing w:val="-17"/>
          <w:sz w:val="20"/>
          <w:vertAlign w:val="baseline"/>
        </w:rPr>
        <w:t> </w:t>
      </w:r>
      <w:r>
        <w:rPr>
          <w:sz w:val="20"/>
          <w:vertAlign w:val="baseline"/>
        </w:rPr>
        <w:t>de</w:t>
      </w:r>
      <w:r>
        <w:rPr>
          <w:spacing w:val="-14"/>
          <w:sz w:val="20"/>
          <w:vertAlign w:val="baseline"/>
        </w:rPr>
        <w:t> </w:t>
      </w:r>
      <w:r>
        <w:rPr>
          <w:sz w:val="20"/>
          <w:vertAlign w:val="baseline"/>
        </w:rPr>
        <w:t>Vista</w:t>
      </w:r>
      <w:r>
        <w:rPr>
          <w:spacing w:val="-14"/>
          <w:sz w:val="20"/>
          <w:vertAlign w:val="baseline"/>
        </w:rPr>
        <w:t> </w:t>
      </w:r>
      <w:r>
        <w:rPr>
          <w:sz w:val="20"/>
          <w:vertAlign w:val="baseline"/>
        </w:rPr>
        <w:t>para</w:t>
      </w:r>
      <w:r>
        <w:rPr>
          <w:spacing w:val="-13"/>
          <w:sz w:val="20"/>
          <w:vertAlign w:val="baseline"/>
        </w:rPr>
        <w:t> </w:t>
      </w:r>
      <w:r>
        <w:rPr>
          <w:sz w:val="20"/>
          <w:vertAlign w:val="baseline"/>
        </w:rPr>
        <w:t>Bienes</w:t>
      </w:r>
      <w:r>
        <w:rPr>
          <w:spacing w:val="-15"/>
          <w:sz w:val="20"/>
          <w:vertAlign w:val="baseline"/>
        </w:rPr>
        <w:t> </w:t>
      </w:r>
      <w:r>
        <w:rPr>
          <w:sz w:val="20"/>
          <w:vertAlign w:val="baseline"/>
        </w:rPr>
        <w:t>Raíces</w:t>
      </w:r>
      <w:r>
        <w:rPr>
          <w:spacing w:val="-18"/>
          <w:sz w:val="20"/>
          <w:vertAlign w:val="baseline"/>
        </w:rPr>
        <w:t> </w:t>
      </w:r>
      <w:r>
        <w:rPr>
          <w:sz w:val="20"/>
          <w:vertAlign w:val="baseline"/>
        </w:rPr>
        <w:t>en</w:t>
      </w:r>
      <w:r>
        <w:rPr>
          <w:spacing w:val="-17"/>
          <w:sz w:val="20"/>
          <w:vertAlign w:val="baseline"/>
        </w:rPr>
        <w:t> </w:t>
      </w:r>
      <w:r>
        <w:rPr>
          <w:sz w:val="20"/>
          <w:vertAlign w:val="baseline"/>
        </w:rPr>
        <w:t>la</w:t>
      </w:r>
      <w:r>
        <w:rPr>
          <w:spacing w:val="-19"/>
          <w:sz w:val="20"/>
          <w:vertAlign w:val="baseline"/>
        </w:rPr>
        <w:t> </w:t>
      </w:r>
      <w:r>
        <w:rPr>
          <w:sz w:val="20"/>
          <w:vertAlign w:val="baseline"/>
        </w:rPr>
        <w:t>Zona</w:t>
      </w:r>
      <w:r>
        <w:rPr>
          <w:spacing w:val="-17"/>
          <w:sz w:val="20"/>
          <w:vertAlign w:val="baseline"/>
        </w:rPr>
        <w:t> </w:t>
      </w:r>
      <w:r>
        <w:rPr>
          <w:sz w:val="20"/>
          <w:vertAlign w:val="baseline"/>
        </w:rPr>
        <w:t>Protectora</w:t>
      </w:r>
      <w:r>
        <w:rPr>
          <w:spacing w:val="-14"/>
          <w:sz w:val="20"/>
          <w:vertAlign w:val="baseline"/>
        </w:rPr>
        <w:t> </w:t>
      </w:r>
      <w:r>
        <w:rPr>
          <w:sz w:val="20"/>
          <w:vertAlign w:val="baseline"/>
        </w:rPr>
        <w:t>Cerros de Escazú” se desarrolló en 2016 y su evaluación ayudó a validar el proceso de desarrollo del modelo adoptado</w:t>
      </w:r>
      <w:r>
        <w:rPr>
          <w:spacing w:val="-4"/>
          <w:sz w:val="20"/>
          <w:vertAlign w:val="baseline"/>
        </w:rPr>
        <w:t> </w:t>
      </w:r>
      <w:r>
        <w:rPr>
          <w:sz w:val="20"/>
          <w:vertAlign w:val="baseline"/>
        </w:rPr>
        <w:t>aquí.</w:t>
      </w:r>
    </w:p>
    <w:p>
      <w:pPr>
        <w:spacing w:after="0" w:line="240" w:lineRule="auto"/>
        <w:jc w:val="both"/>
        <w:rPr>
          <w:sz w:val="20"/>
        </w:rPr>
        <w:sectPr>
          <w:pgSz w:w="12240" w:h="15840"/>
          <w:pgMar w:header="0" w:footer="1062" w:top="1340" w:bottom="1260" w:left="1480" w:right="820"/>
        </w:sectPr>
      </w:pPr>
    </w:p>
    <w:p>
      <w:pPr>
        <w:pStyle w:val="BodyText"/>
        <w:tabs>
          <w:tab w:pos="1660" w:val="left" w:leader="none"/>
        </w:tabs>
        <w:spacing w:line="364" w:lineRule="auto" w:before="71"/>
        <w:ind w:left="1661" w:right="713" w:hanging="1441"/>
      </w:pPr>
      <w:r>
        <w:rPr>
          <w:i/>
        </w:rPr>
        <w:t>AñoC</w:t>
      </w:r>
      <w:r>
        <w:rPr/>
        <w:t>=</w:t>
        <w:tab/>
        <w:t>es el año de construcción que sugiere la condición de los pisos y paredes;</w:t>
      </w:r>
    </w:p>
    <w:p>
      <w:pPr>
        <w:pStyle w:val="BodyText"/>
        <w:tabs>
          <w:tab w:pos="1660" w:val="left" w:leader="none"/>
        </w:tabs>
        <w:spacing w:line="360" w:lineRule="auto"/>
        <w:ind w:left="220" w:right="3441"/>
      </w:pPr>
      <w:r>
        <w:rPr>
          <w:i/>
        </w:rPr>
        <w:t>Hab=</w:t>
        <w:tab/>
      </w:r>
      <w:r>
        <w:rPr/>
        <w:t>es el número de habitaciones en el inmueble; </w:t>
      </w:r>
      <w:r>
        <w:rPr>
          <w:i/>
        </w:rPr>
        <w:t>Baños=</w:t>
        <w:tab/>
      </w:r>
      <w:r>
        <w:rPr/>
        <w:t>es el número de baños en el inmueble; </w:t>
      </w:r>
      <w:r>
        <w:rPr>
          <w:i/>
        </w:rPr>
        <w:t>Plantas</w:t>
      </w:r>
      <w:r>
        <w:rPr/>
        <w:t>=</w:t>
        <w:tab/>
        <w:t>es el número de plantas (pisos) del</w:t>
      </w:r>
      <w:r>
        <w:rPr>
          <w:spacing w:val="-24"/>
        </w:rPr>
        <w:t> </w:t>
      </w:r>
      <w:r>
        <w:rPr/>
        <w:t>inmueble.</w:t>
      </w:r>
    </w:p>
    <w:p>
      <w:pPr>
        <w:pStyle w:val="BodyText"/>
        <w:spacing w:before="5"/>
        <w:rPr>
          <w:sz w:val="35"/>
        </w:rPr>
      </w:pPr>
    </w:p>
    <w:p>
      <w:pPr>
        <w:pStyle w:val="BodyText"/>
        <w:spacing w:line="360" w:lineRule="auto"/>
        <w:ind w:left="220" w:right="646"/>
        <w:jc w:val="both"/>
      </w:pPr>
      <w:r>
        <w:rPr/>
        <w:t>En</w:t>
      </w:r>
      <w:r>
        <w:rPr>
          <w:spacing w:val="-8"/>
        </w:rPr>
        <w:t> </w:t>
      </w:r>
      <w:r>
        <w:rPr/>
        <w:t>la</w:t>
      </w:r>
      <w:r>
        <w:rPr>
          <w:spacing w:val="-8"/>
        </w:rPr>
        <w:t> </w:t>
      </w:r>
      <w:r>
        <w:rPr/>
        <w:t>escogencia</w:t>
      </w:r>
      <w:r>
        <w:rPr>
          <w:spacing w:val="-7"/>
        </w:rPr>
        <w:t> </w:t>
      </w:r>
      <w:r>
        <w:rPr/>
        <w:t>de</w:t>
      </w:r>
      <w:r>
        <w:rPr>
          <w:spacing w:val="-8"/>
        </w:rPr>
        <w:t> </w:t>
      </w:r>
      <w:r>
        <w:rPr/>
        <w:t>las</w:t>
      </w:r>
      <w:r>
        <w:rPr>
          <w:spacing w:val="-5"/>
        </w:rPr>
        <w:t> </w:t>
      </w:r>
      <w:r>
        <w:rPr/>
        <w:t>variables</w:t>
      </w:r>
      <w:r>
        <w:rPr>
          <w:spacing w:val="-6"/>
        </w:rPr>
        <w:t> </w:t>
      </w:r>
      <w:r>
        <w:rPr/>
        <w:t>sobre</w:t>
      </w:r>
      <w:r>
        <w:rPr>
          <w:spacing w:val="-7"/>
        </w:rPr>
        <w:t> </w:t>
      </w:r>
      <w:r>
        <w:rPr/>
        <w:t>la</w:t>
      </w:r>
      <w:r>
        <w:rPr>
          <w:spacing w:val="-8"/>
        </w:rPr>
        <w:t> </w:t>
      </w:r>
      <w:r>
        <w:rPr/>
        <w:t>vivienda,</w:t>
      </w:r>
      <w:r>
        <w:rPr>
          <w:spacing w:val="-5"/>
        </w:rPr>
        <w:t> </w:t>
      </w:r>
      <w:r>
        <w:rPr/>
        <w:t>se</w:t>
      </w:r>
      <w:r>
        <w:rPr>
          <w:spacing w:val="-7"/>
        </w:rPr>
        <w:t> </w:t>
      </w:r>
      <w:r>
        <w:rPr/>
        <w:t>trata</w:t>
      </w:r>
      <w:r>
        <w:rPr>
          <w:spacing w:val="-8"/>
        </w:rPr>
        <w:t> </w:t>
      </w:r>
      <w:r>
        <w:rPr/>
        <w:t>de</w:t>
      </w:r>
      <w:r>
        <w:rPr>
          <w:spacing w:val="-7"/>
        </w:rPr>
        <w:t> </w:t>
      </w:r>
      <w:r>
        <w:rPr/>
        <w:t>recoger</w:t>
      </w:r>
      <w:r>
        <w:rPr>
          <w:spacing w:val="-6"/>
        </w:rPr>
        <w:t> </w:t>
      </w:r>
      <w:r>
        <w:rPr/>
        <w:t>la</w:t>
      </w:r>
      <w:r>
        <w:rPr>
          <w:spacing w:val="-7"/>
        </w:rPr>
        <w:t> </w:t>
      </w:r>
      <w:r>
        <w:rPr/>
        <w:t>experiencia de los estudios antecedentes para el área metropolitana de San José y Río Azul. En el caso específico, no se incluyen variables de acceso a servicios básicos dado que la segmentación que interesa parte de la definición de comunidades deudoras con mayores niveles de consumo que se ubican en estratos sociales medios o altos (Aguilar González,</w:t>
      </w:r>
      <w:r>
        <w:rPr>
          <w:spacing w:val="1"/>
        </w:rPr>
        <w:t> </w:t>
      </w:r>
      <w:r>
        <w:rPr/>
        <w:t>2015).</w:t>
      </w:r>
    </w:p>
    <w:p>
      <w:pPr>
        <w:pStyle w:val="BodyText"/>
        <w:spacing w:line="362" w:lineRule="auto" w:before="201"/>
        <w:ind w:left="220" w:right="646"/>
        <w:jc w:val="both"/>
      </w:pPr>
      <w:r>
        <w:rPr/>
        <w:t>En lo que respecta a las variables que caracterizan el entorno se usó la siguiente modelación:</w:t>
      </w:r>
    </w:p>
    <w:p>
      <w:pPr>
        <w:pStyle w:val="BodyText"/>
        <w:spacing w:before="199"/>
        <w:ind w:left="780"/>
        <w:rPr>
          <w:rFonts w:ascii="Times New Roman" w:hAnsi="Times New Roman" w:eastAsia="Times New Roman"/>
        </w:rPr>
      </w:pPr>
      <w:r>
        <w:rPr>
          <w:w w:val="99"/>
        </w:rPr>
        <w:t>(</w:t>
      </w:r>
      <w:r>
        <w:rPr>
          <w:spacing w:val="-1"/>
          <w:w w:val="99"/>
        </w:rPr>
        <w:t>6</w:t>
      </w:r>
      <w:r>
        <w:rPr>
          <w:w w:val="100"/>
        </w:rPr>
        <w:t>.</w:t>
      </w:r>
      <w:r>
        <w:rPr>
          <w:spacing w:val="-2"/>
          <w:w w:val="99"/>
        </w:rPr>
        <w:t>2</w:t>
      </w:r>
      <w:r>
        <w:rPr>
          <w:w w:val="99"/>
        </w:rPr>
        <w:t>)</w:t>
      </w:r>
      <w:r>
        <w:rPr>
          <w:spacing w:val="1"/>
          <w:w w:val="99"/>
        </w:rPr>
        <w:t> </w:t>
      </w:r>
      <w:r>
        <w:rPr>
          <w:rFonts w:ascii="Times New Roman" w:hAnsi="Times New Roman" w:eastAsia="Times New Roman"/>
          <w:spacing w:val="-34"/>
          <w:w w:val="80"/>
        </w:rPr>
        <w:t>𝐸</w:t>
      </w:r>
      <w:r>
        <w:rPr>
          <w:rFonts w:ascii="Times New Roman" w:hAnsi="Times New Roman" w:eastAsia="Times New Roman"/>
          <w:w w:val="55"/>
          <w:vertAlign w:val="subscript"/>
        </w:rPr>
        <w:t>𝑗</w:t>
      </w:r>
      <w:r>
        <w:rPr>
          <w:rFonts w:ascii="Times New Roman" w:hAnsi="Times New Roman" w:eastAsia="Times New Roman"/>
          <w:vertAlign w:val="baseline"/>
        </w:rPr>
        <w:t> </w:t>
      </w:r>
      <w:r>
        <w:rPr>
          <w:rFonts w:ascii="Times New Roman" w:hAnsi="Times New Roman" w:eastAsia="Times New Roman"/>
          <w:spacing w:val="15"/>
          <w:vertAlign w:val="baseline"/>
        </w:rPr>
        <w:t> </w:t>
      </w:r>
      <w:r>
        <w:rPr>
          <w:rFonts w:ascii="Times New Roman" w:hAnsi="Times New Roman" w:eastAsia="Times New Roman"/>
          <w:w w:val="132"/>
          <w:vertAlign w:val="baseline"/>
        </w:rPr>
        <w:t>=</w:t>
      </w:r>
      <w:r>
        <w:rPr>
          <w:rFonts w:ascii="Times New Roman" w:hAnsi="Times New Roman" w:eastAsia="Times New Roman"/>
          <w:spacing w:val="4"/>
          <w:vertAlign w:val="baseline"/>
        </w:rPr>
        <w:t> </w:t>
      </w:r>
      <w:r>
        <w:rPr>
          <w:rFonts w:ascii="Times New Roman" w:hAnsi="Times New Roman" w:eastAsia="Times New Roman"/>
          <w:w w:val="77"/>
          <w:vertAlign w:val="baseline"/>
        </w:rPr>
        <w:t>𝛼</w:t>
      </w:r>
      <w:r>
        <w:rPr>
          <w:rFonts w:ascii="Times New Roman" w:hAnsi="Times New Roman" w:eastAsia="Times New Roman"/>
          <w:spacing w:val="8"/>
          <w:w w:val="106"/>
          <w:vertAlign w:val="subscript"/>
        </w:rPr>
        <w:t>7</w:t>
      </w:r>
      <w:r>
        <w:rPr>
          <w:rFonts w:ascii="Times New Roman" w:hAnsi="Times New Roman" w:eastAsia="Times New Roman"/>
          <w:spacing w:val="1"/>
          <w:w w:val="89"/>
          <w:vertAlign w:val="baseline"/>
        </w:rPr>
        <w:t>𝐷</w:t>
      </w:r>
      <w:r>
        <w:rPr>
          <w:rFonts w:ascii="Times New Roman" w:hAnsi="Times New Roman" w:eastAsia="Times New Roman"/>
          <w:w w:val="68"/>
          <w:vertAlign w:val="baseline"/>
        </w:rPr>
        <w:t>𝑆</w:t>
      </w:r>
      <w:r>
        <w:rPr>
          <w:rFonts w:ascii="Times New Roman" w:hAnsi="Times New Roman" w:eastAsia="Times New Roman"/>
          <w:spacing w:val="1"/>
          <w:w w:val="46"/>
          <w:vertAlign w:val="baseline"/>
        </w:rPr>
        <w:t>𝑗</w:t>
      </w:r>
      <w:r>
        <w:rPr>
          <w:rFonts w:ascii="Times New Roman" w:hAnsi="Times New Roman" w:eastAsia="Times New Roman"/>
          <w:w w:val="63"/>
          <w:vertAlign w:val="baseline"/>
        </w:rPr>
        <w:t>𝑜</w:t>
      </w:r>
      <w:r>
        <w:rPr>
          <w:rFonts w:ascii="Times New Roman" w:hAnsi="Times New Roman" w:eastAsia="Times New Roman"/>
          <w:spacing w:val="2"/>
          <w:w w:val="63"/>
          <w:vertAlign w:val="baseline"/>
        </w:rPr>
        <w:t>𝑠</w:t>
      </w:r>
      <w:r>
        <w:rPr>
          <w:rFonts w:ascii="Times New Roman" w:hAnsi="Times New Roman" w:eastAsia="Times New Roman"/>
          <w:spacing w:val="-2"/>
          <w:w w:val="109"/>
          <w:vertAlign w:val="baseline"/>
        </w:rPr>
        <w:t>é</w:t>
      </w:r>
      <w:r>
        <w:rPr>
          <w:rFonts w:ascii="Times New Roman" w:hAnsi="Times New Roman" w:eastAsia="Times New Roman"/>
          <w:spacing w:val="-15"/>
          <w:w w:val="76"/>
          <w:vertAlign w:val="baseline"/>
        </w:rPr>
        <w:t>𝐶</w:t>
      </w:r>
      <w:r>
        <w:rPr>
          <w:rFonts w:ascii="Times New Roman" w:hAnsi="Times New Roman" w:eastAsia="Times New Roman"/>
          <w:w w:val="55"/>
          <w:vertAlign w:val="subscript"/>
        </w:rPr>
        <w:t>𝑗</w:t>
      </w:r>
      <w:r>
        <w:rPr>
          <w:rFonts w:ascii="Times New Roman" w:hAnsi="Times New Roman" w:eastAsia="Times New Roman"/>
          <w:spacing w:val="-21"/>
          <w:vertAlign w:val="baseline"/>
        </w:rPr>
        <w:t> </w:t>
      </w:r>
      <w:r>
        <w:rPr>
          <w:rFonts w:ascii="Times New Roman" w:hAnsi="Times New Roman" w:eastAsia="Times New Roman"/>
          <w:w w:val="114"/>
          <w:vertAlign w:val="subscript"/>
        </w:rPr>
        <w:t>(</w:t>
      </w:r>
      <w:r>
        <w:rPr>
          <w:rFonts w:ascii="Times New Roman" w:hAnsi="Times New Roman" w:eastAsia="Times New Roman"/>
          <w:spacing w:val="3"/>
          <w:w w:val="41"/>
          <w:vertAlign w:val="subscript"/>
        </w:rPr>
        <w:t>𝑖</w:t>
      </w:r>
      <w:r>
        <w:rPr>
          <w:rFonts w:ascii="Times New Roman" w:hAnsi="Times New Roman" w:eastAsia="Times New Roman"/>
          <w:w w:val="114"/>
          <w:vertAlign w:val="subscript"/>
        </w:rPr>
        <w:t>)</w:t>
      </w:r>
      <w:r>
        <w:rPr>
          <w:rFonts w:ascii="Times New Roman" w:hAnsi="Times New Roman" w:eastAsia="Times New Roman"/>
          <w:vertAlign w:val="baseline"/>
        </w:rPr>
        <w:t> </w:t>
      </w:r>
      <w:r>
        <w:rPr>
          <w:rFonts w:ascii="Times New Roman" w:hAnsi="Times New Roman" w:eastAsia="Times New Roman"/>
          <w:w w:val="132"/>
          <w:vertAlign w:val="baseline"/>
        </w:rPr>
        <w:t>+</w:t>
      </w:r>
      <w:r>
        <w:rPr>
          <w:rFonts w:ascii="Times New Roman" w:hAnsi="Times New Roman" w:eastAsia="Times New Roman"/>
          <w:spacing w:val="-4"/>
          <w:vertAlign w:val="baseline"/>
        </w:rPr>
        <w:t> </w:t>
      </w:r>
      <w:r>
        <w:rPr>
          <w:rFonts w:ascii="Times New Roman" w:hAnsi="Times New Roman" w:eastAsia="Times New Roman"/>
          <w:spacing w:val="-1"/>
          <w:w w:val="77"/>
          <w:vertAlign w:val="baseline"/>
        </w:rPr>
        <w:t>𝛼</w:t>
      </w:r>
      <w:r>
        <w:rPr>
          <w:rFonts w:ascii="Times New Roman" w:hAnsi="Times New Roman" w:eastAsia="Times New Roman"/>
          <w:spacing w:val="8"/>
          <w:w w:val="106"/>
          <w:vertAlign w:val="subscript"/>
        </w:rPr>
        <w:t>8</w:t>
      </w:r>
      <w:r>
        <w:rPr>
          <w:rFonts w:ascii="Times New Roman" w:hAnsi="Times New Roman" w:eastAsia="Times New Roman"/>
          <w:spacing w:val="1"/>
          <w:w w:val="89"/>
          <w:vertAlign w:val="baseline"/>
        </w:rPr>
        <w:t>𝐷</w:t>
      </w:r>
      <w:r>
        <w:rPr>
          <w:rFonts w:ascii="Times New Roman" w:hAnsi="Times New Roman" w:eastAsia="Times New Roman"/>
          <w:spacing w:val="-1"/>
          <w:w w:val="80"/>
          <w:vertAlign w:val="baseline"/>
        </w:rPr>
        <w:t>𝐴</w:t>
      </w:r>
      <w:r>
        <w:rPr>
          <w:rFonts w:ascii="Times New Roman" w:hAnsi="Times New Roman" w:eastAsia="Times New Roman"/>
          <w:w w:val="80"/>
          <w:vertAlign w:val="baseline"/>
        </w:rPr>
        <w:t>𝑔</w:t>
      </w:r>
      <w:r>
        <w:rPr>
          <w:rFonts w:ascii="Times New Roman" w:hAnsi="Times New Roman" w:eastAsia="Times New Roman"/>
          <w:w w:val="72"/>
          <w:vertAlign w:val="baseline"/>
        </w:rPr>
        <w:t>𝑙𝑜</w:t>
      </w:r>
      <w:r>
        <w:rPr>
          <w:rFonts w:ascii="Times New Roman" w:hAnsi="Times New Roman" w:eastAsia="Times New Roman"/>
          <w:spacing w:val="-1"/>
          <w:w w:val="72"/>
          <w:vertAlign w:val="baseline"/>
        </w:rPr>
        <w:t>𝑚</w:t>
      </w:r>
      <w:r>
        <w:rPr>
          <w:rFonts w:ascii="Times New Roman" w:hAnsi="Times New Roman" w:eastAsia="Times New Roman"/>
          <w:spacing w:val="-44"/>
          <w:w w:val="79"/>
          <w:vertAlign w:val="baseline"/>
        </w:rPr>
        <w:t>𝑃</w:t>
      </w:r>
      <w:r>
        <w:rPr>
          <w:rFonts w:ascii="Times New Roman" w:hAnsi="Times New Roman" w:eastAsia="Times New Roman"/>
          <w:w w:val="55"/>
          <w:vertAlign w:val="subscript"/>
        </w:rPr>
        <w:t>𝑗</w:t>
      </w:r>
      <w:r>
        <w:rPr>
          <w:rFonts w:ascii="Times New Roman" w:hAnsi="Times New Roman" w:eastAsia="Times New Roman"/>
          <w:spacing w:val="-25"/>
          <w:vertAlign w:val="baseline"/>
        </w:rPr>
        <w:t> </w:t>
      </w:r>
      <w:r>
        <w:rPr>
          <w:rFonts w:ascii="Times New Roman" w:hAnsi="Times New Roman" w:eastAsia="Times New Roman"/>
          <w:w w:val="114"/>
          <w:vertAlign w:val="subscript"/>
        </w:rPr>
        <w:t>(</w:t>
      </w:r>
      <w:r>
        <w:rPr>
          <w:rFonts w:ascii="Times New Roman" w:hAnsi="Times New Roman" w:eastAsia="Times New Roman"/>
          <w:spacing w:val="3"/>
          <w:w w:val="41"/>
          <w:vertAlign w:val="subscript"/>
        </w:rPr>
        <w:t>𝑖</w:t>
      </w:r>
      <w:r>
        <w:rPr>
          <w:rFonts w:ascii="Times New Roman" w:hAnsi="Times New Roman" w:eastAsia="Times New Roman"/>
          <w:w w:val="114"/>
          <w:vertAlign w:val="subscript"/>
        </w:rPr>
        <w:t>)</w:t>
      </w:r>
      <w:r>
        <w:rPr>
          <w:rFonts w:ascii="Times New Roman" w:hAnsi="Times New Roman" w:eastAsia="Times New Roman"/>
          <w:spacing w:val="4"/>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w w:val="77"/>
          <w:vertAlign w:val="baseline"/>
        </w:rPr>
        <w:t>𝛼</w:t>
      </w:r>
      <w:r>
        <w:rPr>
          <w:rFonts w:ascii="Times New Roman" w:hAnsi="Times New Roman" w:eastAsia="Times New Roman"/>
          <w:spacing w:val="9"/>
          <w:w w:val="101"/>
          <w:vertAlign w:val="subscript"/>
        </w:rPr>
        <w:t>9</w:t>
      </w:r>
      <w:r>
        <w:rPr>
          <w:rFonts w:ascii="Times New Roman" w:hAnsi="Times New Roman" w:eastAsia="Times New Roman"/>
          <w:spacing w:val="1"/>
          <w:w w:val="76"/>
          <w:vertAlign w:val="baseline"/>
        </w:rPr>
        <w:t>𝑍</w:t>
      </w:r>
      <w:r>
        <w:rPr>
          <w:rFonts w:ascii="Times New Roman" w:hAnsi="Times New Roman" w:eastAsia="Times New Roman"/>
          <w:spacing w:val="-1"/>
          <w:w w:val="81"/>
          <w:vertAlign w:val="baseline"/>
        </w:rPr>
        <w:t>𝑅</w:t>
      </w:r>
      <w:r>
        <w:rPr>
          <w:rFonts w:ascii="Times New Roman" w:hAnsi="Times New Roman" w:eastAsia="Times New Roman"/>
          <w:w w:val="52"/>
          <w:vertAlign w:val="baseline"/>
        </w:rPr>
        <w:t>𝑖𝑒</w:t>
      </w:r>
      <w:r>
        <w:rPr>
          <w:rFonts w:ascii="Times New Roman" w:hAnsi="Times New Roman" w:eastAsia="Times New Roman"/>
          <w:w w:val="59"/>
          <w:vertAlign w:val="baseline"/>
        </w:rPr>
        <w:t>𝑠</w:t>
      </w:r>
      <w:r>
        <w:rPr>
          <w:rFonts w:ascii="Times New Roman" w:hAnsi="Times New Roman" w:eastAsia="Times New Roman"/>
          <w:spacing w:val="1"/>
          <w:w w:val="78"/>
          <w:vertAlign w:val="baseline"/>
        </w:rPr>
        <w:t>𝑔</w:t>
      </w:r>
      <w:r>
        <w:rPr>
          <w:rFonts w:ascii="Times New Roman" w:hAnsi="Times New Roman" w:eastAsia="Times New Roman"/>
          <w:spacing w:val="-8"/>
          <w:w w:val="68"/>
          <w:vertAlign w:val="baseline"/>
        </w:rPr>
        <w:t>𝑜</w:t>
      </w:r>
      <w:r>
        <w:rPr>
          <w:rFonts w:ascii="Times New Roman" w:hAnsi="Times New Roman" w:eastAsia="Times New Roman"/>
          <w:w w:val="55"/>
          <w:vertAlign w:val="subscript"/>
        </w:rPr>
        <w:t>𝑗</w:t>
      </w:r>
      <w:r>
        <w:rPr>
          <w:rFonts w:ascii="Times New Roman" w:hAnsi="Times New Roman" w:eastAsia="Times New Roman"/>
          <w:spacing w:val="-25"/>
          <w:vertAlign w:val="baseline"/>
        </w:rPr>
        <w:t> </w:t>
      </w:r>
      <w:r>
        <w:rPr>
          <w:rFonts w:ascii="Times New Roman" w:hAnsi="Times New Roman" w:eastAsia="Times New Roman"/>
          <w:w w:val="114"/>
          <w:vertAlign w:val="subscript"/>
        </w:rPr>
        <w:t>(</w:t>
      </w:r>
      <w:r>
        <w:rPr>
          <w:rFonts w:ascii="Times New Roman" w:hAnsi="Times New Roman" w:eastAsia="Times New Roman"/>
          <w:spacing w:val="3"/>
          <w:w w:val="41"/>
          <w:vertAlign w:val="subscript"/>
        </w:rPr>
        <w:t>𝑖</w:t>
      </w:r>
      <w:r>
        <w:rPr>
          <w:rFonts w:ascii="Times New Roman" w:hAnsi="Times New Roman" w:eastAsia="Times New Roman"/>
          <w:w w:val="114"/>
          <w:vertAlign w:val="subscript"/>
        </w:rPr>
        <w:t>)</w:t>
      </w:r>
      <w:r>
        <w:rPr>
          <w:rFonts w:ascii="Times New Roman" w:hAnsi="Times New Roman" w:eastAsia="Times New Roman"/>
          <w:spacing w:val="4"/>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spacing w:val="-4"/>
          <w:w w:val="77"/>
          <w:vertAlign w:val="baseline"/>
        </w:rPr>
        <w:t>𝛼</w:t>
      </w:r>
      <w:r>
        <w:rPr>
          <w:rFonts w:ascii="Times New Roman" w:hAnsi="Times New Roman" w:eastAsia="Times New Roman"/>
          <w:w w:val="106"/>
          <w:vertAlign w:val="subscript"/>
        </w:rPr>
        <w:t>1</w:t>
      </w:r>
      <w:r>
        <w:rPr>
          <w:rFonts w:ascii="Times New Roman" w:hAnsi="Times New Roman" w:eastAsia="Times New Roman"/>
          <w:spacing w:val="8"/>
          <w:w w:val="106"/>
          <w:vertAlign w:val="subscript"/>
        </w:rPr>
        <w:t>0</w:t>
      </w:r>
      <w:r>
        <w:rPr>
          <w:rFonts w:ascii="Times New Roman" w:hAnsi="Times New Roman" w:eastAsia="Times New Roman"/>
          <w:spacing w:val="1"/>
          <w:w w:val="80"/>
          <w:vertAlign w:val="baseline"/>
        </w:rPr>
        <w:t>𝑉</w:t>
      </w:r>
      <w:r>
        <w:rPr>
          <w:rFonts w:ascii="Times New Roman" w:hAnsi="Times New Roman" w:eastAsia="Times New Roman"/>
          <w:w w:val="50"/>
          <w:vertAlign w:val="baseline"/>
        </w:rPr>
        <w:t>𝑖</w:t>
      </w:r>
      <w:r>
        <w:rPr>
          <w:rFonts w:ascii="Times New Roman" w:hAnsi="Times New Roman" w:eastAsia="Times New Roman"/>
          <w:spacing w:val="-3"/>
          <w:w w:val="50"/>
          <w:vertAlign w:val="baseline"/>
        </w:rPr>
        <w:t>𝑠</w:t>
      </w:r>
      <w:r>
        <w:rPr>
          <w:rFonts w:ascii="Times New Roman" w:hAnsi="Times New Roman" w:eastAsia="Times New Roman"/>
          <w:spacing w:val="1"/>
          <w:w w:val="50"/>
          <w:vertAlign w:val="baseline"/>
        </w:rPr>
        <w:t>𝑡</w:t>
      </w:r>
      <w:r>
        <w:rPr>
          <w:rFonts w:ascii="Times New Roman" w:hAnsi="Times New Roman" w:eastAsia="Times New Roman"/>
          <w:spacing w:val="-2"/>
          <w:w w:val="71"/>
          <w:vertAlign w:val="baseline"/>
        </w:rPr>
        <w:t>𝑎</w:t>
      </w:r>
      <w:r>
        <w:rPr>
          <w:rFonts w:ascii="Times New Roman" w:hAnsi="Times New Roman" w:eastAsia="Times New Roman"/>
          <w:w w:val="68"/>
          <w:vertAlign w:val="baseline"/>
        </w:rPr>
        <w:t>𝐿</w:t>
      </w:r>
      <w:r>
        <w:rPr>
          <w:rFonts w:ascii="Times New Roman" w:hAnsi="Times New Roman" w:eastAsia="Times New Roman"/>
          <w:spacing w:val="-35"/>
          <w:w w:val="76"/>
          <w:vertAlign w:val="baseline"/>
        </w:rPr>
        <w:t>𝐶</w:t>
      </w:r>
      <w:r>
        <w:rPr>
          <w:rFonts w:ascii="Times New Roman" w:hAnsi="Times New Roman" w:eastAsia="Times New Roman"/>
          <w:w w:val="55"/>
          <w:vertAlign w:val="subscript"/>
        </w:rPr>
        <w:t>𝑗</w:t>
      </w:r>
      <w:r>
        <w:rPr>
          <w:rFonts w:ascii="Times New Roman" w:hAnsi="Times New Roman" w:eastAsia="Times New Roman"/>
          <w:spacing w:val="-21"/>
          <w:vertAlign w:val="baseline"/>
        </w:rPr>
        <w:t> </w:t>
      </w:r>
      <w:r>
        <w:rPr>
          <w:rFonts w:ascii="Times New Roman" w:hAnsi="Times New Roman" w:eastAsia="Times New Roman"/>
          <w:w w:val="114"/>
          <w:vertAlign w:val="subscript"/>
        </w:rPr>
        <w:t>(</w:t>
      </w:r>
      <w:r>
        <w:rPr>
          <w:rFonts w:ascii="Times New Roman" w:hAnsi="Times New Roman" w:eastAsia="Times New Roman"/>
          <w:spacing w:val="3"/>
          <w:w w:val="41"/>
          <w:vertAlign w:val="subscript"/>
        </w:rPr>
        <w:t>𝑖</w:t>
      </w:r>
      <w:r>
        <w:rPr>
          <w:rFonts w:ascii="Times New Roman" w:hAnsi="Times New Roman" w:eastAsia="Times New Roman"/>
          <w:spacing w:val="8"/>
          <w:w w:val="114"/>
          <w:vertAlign w:val="subscript"/>
        </w:rPr>
        <w:t>)</w:t>
      </w:r>
      <w:r>
        <w:rPr>
          <w:rFonts w:ascii="Times New Roman" w:hAnsi="Times New Roman" w:eastAsia="Times New Roman"/>
          <w:w w:val="94"/>
          <w:vertAlign w:val="baseline"/>
        </w:rPr>
        <w:t>;</w:t>
      </w:r>
    </w:p>
    <w:p>
      <w:pPr>
        <w:pStyle w:val="BodyText"/>
        <w:spacing w:before="7"/>
        <w:rPr>
          <w:rFonts w:ascii="Times New Roman"/>
          <w:sz w:val="32"/>
        </w:rPr>
      </w:pPr>
    </w:p>
    <w:p>
      <w:pPr>
        <w:pStyle w:val="BodyText"/>
        <w:ind w:left="220"/>
      </w:pPr>
      <w:r>
        <w:rPr/>
        <w:t>donde;</w:t>
      </w:r>
    </w:p>
    <w:p>
      <w:pPr>
        <w:pStyle w:val="BodyText"/>
        <w:spacing w:before="10"/>
        <w:rPr>
          <w:sz w:val="28"/>
        </w:rPr>
      </w:pPr>
    </w:p>
    <w:p>
      <w:pPr>
        <w:pStyle w:val="BodyText"/>
        <w:spacing w:line="364" w:lineRule="auto"/>
        <w:ind w:left="1661" w:right="645" w:hanging="1441"/>
        <w:jc w:val="both"/>
      </w:pPr>
      <w:r>
        <w:rPr>
          <w:i/>
        </w:rPr>
        <w:t>DSJoséC= </w:t>
      </w:r>
      <w:r>
        <w:rPr/>
        <w:t>es la distancia más cercana en kilómetros entre el inmueble y el Parque Central de San José por ruta vehicular o pedestre;</w:t>
      </w:r>
    </w:p>
    <w:p>
      <w:pPr>
        <w:pStyle w:val="BodyText"/>
        <w:spacing w:line="362" w:lineRule="auto"/>
        <w:ind w:left="1661" w:right="646" w:hanging="1441"/>
        <w:jc w:val="both"/>
      </w:pPr>
      <w:r>
        <w:rPr>
          <w:i/>
        </w:rPr>
        <w:t>DAglomP= </w:t>
      </w:r>
      <w:r>
        <w:rPr/>
        <w:t>es la distancia más cercana en kilómetros entre el inmueble y las aglomeraciones de pobreza según el Atlas de Carencias Críticas de Costa Rica que se ubican en la zona por ruta vehicular o pedestre;</w:t>
      </w:r>
    </w:p>
    <w:p>
      <w:pPr>
        <w:pStyle w:val="BodyText"/>
        <w:spacing w:line="360" w:lineRule="auto"/>
        <w:ind w:left="1661" w:right="645" w:hanging="1441"/>
        <w:jc w:val="both"/>
      </w:pPr>
      <w:r>
        <w:rPr>
          <w:i/>
        </w:rPr>
        <w:t>ZRiesgo</w:t>
      </w:r>
      <w:r>
        <w:rPr/>
        <w:t>=</w:t>
      </w:r>
      <w:r>
        <w:rPr>
          <w:spacing w:val="25"/>
        </w:rPr>
        <w:t> </w:t>
      </w:r>
      <w:r>
        <w:rPr/>
        <w:t>es una variable binomial que indica 1 si el inmueble está ubicado en una zona</w:t>
      </w:r>
      <w:r>
        <w:rPr>
          <w:spacing w:val="-12"/>
        </w:rPr>
        <w:t> </w:t>
      </w:r>
      <w:r>
        <w:rPr/>
        <w:t>de</w:t>
      </w:r>
      <w:r>
        <w:rPr>
          <w:spacing w:val="-12"/>
        </w:rPr>
        <w:t> </w:t>
      </w:r>
      <w:r>
        <w:rPr/>
        <w:t>riesgo</w:t>
      </w:r>
      <w:r>
        <w:rPr>
          <w:spacing w:val="-12"/>
        </w:rPr>
        <w:t> </w:t>
      </w:r>
      <w:r>
        <w:rPr/>
        <w:t>de</w:t>
      </w:r>
      <w:r>
        <w:rPr>
          <w:spacing w:val="-12"/>
        </w:rPr>
        <w:t> </w:t>
      </w:r>
      <w:r>
        <w:rPr/>
        <w:t>desastres</w:t>
      </w:r>
      <w:r>
        <w:rPr>
          <w:spacing w:val="-10"/>
        </w:rPr>
        <w:t> </w:t>
      </w:r>
      <w:r>
        <w:rPr/>
        <w:t>naturales</w:t>
      </w:r>
      <w:r>
        <w:rPr>
          <w:spacing w:val="-5"/>
        </w:rPr>
        <w:t> </w:t>
      </w:r>
      <w:r>
        <w:rPr/>
        <w:t>de</w:t>
      </w:r>
      <w:r>
        <w:rPr>
          <w:spacing w:val="-13"/>
        </w:rPr>
        <w:t> </w:t>
      </w:r>
      <w:r>
        <w:rPr/>
        <w:t>conformidad</w:t>
      </w:r>
      <w:r>
        <w:rPr>
          <w:spacing w:val="-12"/>
        </w:rPr>
        <w:t> </w:t>
      </w:r>
      <w:r>
        <w:rPr/>
        <w:t>con</w:t>
      </w:r>
      <w:r>
        <w:rPr>
          <w:spacing w:val="-10"/>
        </w:rPr>
        <w:t> </w:t>
      </w:r>
      <w:r>
        <w:rPr/>
        <w:t>la</w:t>
      </w:r>
      <w:r>
        <w:rPr>
          <w:spacing w:val="-13"/>
        </w:rPr>
        <w:t> </w:t>
      </w:r>
      <w:r>
        <w:rPr/>
        <w:t>cartografía disponible en la Comisión Nacional de Prevención de Riesgos y de Atención de</w:t>
      </w:r>
      <w:r>
        <w:rPr>
          <w:spacing w:val="1"/>
        </w:rPr>
        <w:t> </w:t>
      </w:r>
      <w:r>
        <w:rPr/>
        <w:t>Emergencias;</w:t>
      </w:r>
    </w:p>
    <w:p>
      <w:pPr>
        <w:pStyle w:val="BodyText"/>
        <w:spacing w:line="362" w:lineRule="auto"/>
        <w:ind w:left="1661" w:right="648" w:hanging="1441"/>
        <w:jc w:val="both"/>
      </w:pPr>
      <w:r>
        <w:rPr>
          <w:i/>
        </w:rPr>
        <w:t>VistaLC=    </w:t>
      </w:r>
      <w:r>
        <w:rPr/>
        <w:t>es una variable binomial que indica 1 si el inmueble cuenta y reconoce  la vista a los Cerros de La Carpintera como un factor positivo para su valor en los anuncios de</w:t>
      </w:r>
      <w:r>
        <w:rPr>
          <w:spacing w:val="-1"/>
        </w:rPr>
        <w:t> </w:t>
      </w:r>
      <w:r>
        <w:rPr/>
        <w:t>venta.</w:t>
      </w:r>
    </w:p>
    <w:p>
      <w:pPr>
        <w:spacing w:after="0" w:line="362" w:lineRule="auto"/>
        <w:jc w:val="both"/>
        <w:sectPr>
          <w:pgSz w:w="12240" w:h="15840"/>
          <w:pgMar w:header="0" w:footer="1062" w:top="1340" w:bottom="1260" w:left="1480" w:right="820"/>
        </w:sectPr>
      </w:pPr>
    </w:p>
    <w:p>
      <w:pPr>
        <w:pStyle w:val="BodyText"/>
        <w:spacing w:line="360" w:lineRule="auto" w:before="75"/>
        <w:ind w:left="220" w:right="641"/>
        <w:jc w:val="both"/>
      </w:pPr>
      <w:r>
        <w:rPr/>
        <w:t>Las</w:t>
      </w:r>
      <w:r>
        <w:rPr>
          <w:spacing w:val="-7"/>
        </w:rPr>
        <w:t> </w:t>
      </w:r>
      <w:r>
        <w:rPr/>
        <w:t>variables</w:t>
      </w:r>
      <w:r>
        <w:rPr>
          <w:spacing w:val="-7"/>
        </w:rPr>
        <w:t> </w:t>
      </w:r>
      <w:r>
        <w:rPr/>
        <w:t>del</w:t>
      </w:r>
      <w:r>
        <w:rPr>
          <w:spacing w:val="-8"/>
        </w:rPr>
        <w:t> </w:t>
      </w:r>
      <w:r>
        <w:rPr/>
        <w:t>entorno</w:t>
      </w:r>
      <w:r>
        <w:rPr>
          <w:spacing w:val="-8"/>
        </w:rPr>
        <w:t> </w:t>
      </w:r>
      <w:r>
        <w:rPr/>
        <w:t>en</w:t>
      </w:r>
      <w:r>
        <w:rPr>
          <w:spacing w:val="-9"/>
        </w:rPr>
        <w:t> </w:t>
      </w:r>
      <w:r>
        <w:rPr/>
        <w:t>este</w:t>
      </w:r>
      <w:r>
        <w:rPr>
          <w:spacing w:val="-8"/>
        </w:rPr>
        <w:t> </w:t>
      </w:r>
      <w:r>
        <w:rPr/>
        <w:t>caso</w:t>
      </w:r>
      <w:r>
        <w:rPr>
          <w:spacing w:val="-5"/>
        </w:rPr>
        <w:t> </w:t>
      </w:r>
      <w:r>
        <w:rPr/>
        <w:t>se</w:t>
      </w:r>
      <w:r>
        <w:rPr>
          <w:spacing w:val="-9"/>
        </w:rPr>
        <w:t> </w:t>
      </w:r>
      <w:r>
        <w:rPr/>
        <w:t>basaron</w:t>
      </w:r>
      <w:r>
        <w:rPr>
          <w:spacing w:val="-9"/>
        </w:rPr>
        <w:t> </w:t>
      </w:r>
      <w:r>
        <w:rPr/>
        <w:t>fuertemente</w:t>
      </w:r>
      <w:r>
        <w:rPr>
          <w:spacing w:val="-8"/>
        </w:rPr>
        <w:t> </w:t>
      </w:r>
      <w:r>
        <w:rPr/>
        <w:t>en</w:t>
      </w:r>
      <w:r>
        <w:rPr>
          <w:spacing w:val="-9"/>
        </w:rPr>
        <w:t> </w:t>
      </w:r>
      <w:r>
        <w:rPr/>
        <w:t>la</w:t>
      </w:r>
      <w:r>
        <w:rPr>
          <w:spacing w:val="-8"/>
        </w:rPr>
        <w:t> </w:t>
      </w:r>
      <w:r>
        <w:rPr/>
        <w:t>selección</w:t>
      </w:r>
      <w:r>
        <w:rPr>
          <w:spacing w:val="-9"/>
        </w:rPr>
        <w:t> </w:t>
      </w:r>
      <w:r>
        <w:rPr/>
        <w:t>que</w:t>
      </w:r>
      <w:r>
        <w:rPr>
          <w:spacing w:val="-9"/>
        </w:rPr>
        <w:t> </w:t>
      </w:r>
      <w:r>
        <w:rPr/>
        <w:t>se hizo para los estudios de determinantes de precio del suelo o de los inmuebles realizados para Río Azul por Suárez y Sequeira (2000), Desamparados por Monge y Rojas (2009) y Curridabat por Alfaro y Navarro (2009). Así, se parte de que es una zona donde las aglomeraciones de pobreza se encuentran relativamente cercanas a las</w:t>
      </w:r>
      <w:r>
        <w:rPr>
          <w:spacing w:val="-12"/>
        </w:rPr>
        <w:t> </w:t>
      </w:r>
      <w:r>
        <w:rPr/>
        <w:t>comunidades</w:t>
      </w:r>
      <w:r>
        <w:rPr>
          <w:spacing w:val="-12"/>
        </w:rPr>
        <w:t> </w:t>
      </w:r>
      <w:r>
        <w:rPr/>
        <w:t>deudoras.</w:t>
      </w:r>
      <w:r>
        <w:rPr>
          <w:spacing w:val="-10"/>
        </w:rPr>
        <w:t> </w:t>
      </w:r>
      <w:r>
        <w:rPr/>
        <w:t>Asimismo,</w:t>
      </w:r>
      <w:r>
        <w:rPr>
          <w:spacing w:val="-7"/>
        </w:rPr>
        <w:t> </w:t>
      </w:r>
      <w:r>
        <w:rPr/>
        <w:t>la</w:t>
      </w:r>
      <w:r>
        <w:rPr>
          <w:spacing w:val="-13"/>
        </w:rPr>
        <w:t> </w:t>
      </w:r>
      <w:r>
        <w:rPr/>
        <w:t>variable</w:t>
      </w:r>
      <w:r>
        <w:rPr>
          <w:spacing w:val="-14"/>
        </w:rPr>
        <w:t> </w:t>
      </w:r>
      <w:r>
        <w:rPr/>
        <w:t>de</w:t>
      </w:r>
      <w:r>
        <w:rPr>
          <w:spacing w:val="-13"/>
        </w:rPr>
        <w:t> </w:t>
      </w:r>
      <w:r>
        <w:rPr/>
        <w:t>las</w:t>
      </w:r>
      <w:r>
        <w:rPr>
          <w:spacing w:val="-8"/>
        </w:rPr>
        <w:t> </w:t>
      </w:r>
      <w:r>
        <w:rPr/>
        <w:t>zonas</w:t>
      </w:r>
      <w:r>
        <w:rPr>
          <w:spacing w:val="-12"/>
        </w:rPr>
        <w:t> </w:t>
      </w:r>
      <w:r>
        <w:rPr/>
        <w:t>de</w:t>
      </w:r>
      <w:r>
        <w:rPr>
          <w:spacing w:val="-13"/>
        </w:rPr>
        <w:t> </w:t>
      </w:r>
      <w:r>
        <w:rPr/>
        <w:t>riesgo</w:t>
      </w:r>
      <w:r>
        <w:rPr>
          <w:spacing w:val="-13"/>
        </w:rPr>
        <w:t> </w:t>
      </w:r>
      <w:r>
        <w:rPr/>
        <w:t>de</w:t>
      </w:r>
      <w:r>
        <w:rPr>
          <w:spacing w:val="-14"/>
        </w:rPr>
        <w:t> </w:t>
      </w:r>
      <w:r>
        <w:rPr/>
        <w:t>desastres se incluye con vista de estos estudios y la historia particular de la región circundante a La Carpintera. Siendo una zona de desarrollo inmobiliario fuerte que ha traído también desarrollo infraestructural, se utiliza la variable de la distancia al centro de San</w:t>
      </w:r>
      <w:r>
        <w:rPr>
          <w:spacing w:val="-9"/>
        </w:rPr>
        <w:t> </w:t>
      </w:r>
      <w:r>
        <w:rPr/>
        <w:t>José</w:t>
      </w:r>
      <w:r>
        <w:rPr>
          <w:spacing w:val="-9"/>
        </w:rPr>
        <w:t> </w:t>
      </w:r>
      <w:r>
        <w:rPr/>
        <w:t>como</w:t>
      </w:r>
      <w:r>
        <w:rPr>
          <w:spacing w:val="-9"/>
        </w:rPr>
        <w:t> </w:t>
      </w:r>
      <w:r>
        <w:rPr/>
        <w:t>un</w:t>
      </w:r>
      <w:r>
        <w:rPr>
          <w:spacing w:val="-9"/>
        </w:rPr>
        <w:t> </w:t>
      </w:r>
      <w:r>
        <w:rPr/>
        <w:t>indicador</w:t>
      </w:r>
      <w:r>
        <w:rPr>
          <w:spacing w:val="-8"/>
        </w:rPr>
        <w:t> </w:t>
      </w:r>
      <w:r>
        <w:rPr/>
        <w:t>de</w:t>
      </w:r>
      <w:r>
        <w:rPr>
          <w:spacing w:val="-9"/>
        </w:rPr>
        <w:t> </w:t>
      </w:r>
      <w:r>
        <w:rPr/>
        <w:t>la</w:t>
      </w:r>
      <w:r>
        <w:rPr>
          <w:spacing w:val="-9"/>
        </w:rPr>
        <w:t> </w:t>
      </w:r>
      <w:r>
        <w:rPr/>
        <w:t>cercanía</w:t>
      </w:r>
      <w:r>
        <w:rPr>
          <w:spacing w:val="-9"/>
        </w:rPr>
        <w:t> </w:t>
      </w:r>
      <w:r>
        <w:rPr/>
        <w:t>a</w:t>
      </w:r>
      <w:r>
        <w:rPr>
          <w:spacing w:val="-9"/>
        </w:rPr>
        <w:t> </w:t>
      </w:r>
      <w:r>
        <w:rPr/>
        <w:t>las</w:t>
      </w:r>
      <w:r>
        <w:rPr>
          <w:spacing w:val="-7"/>
        </w:rPr>
        <w:t> </w:t>
      </w:r>
      <w:r>
        <w:rPr/>
        <w:t>zonas</w:t>
      </w:r>
      <w:r>
        <w:rPr>
          <w:spacing w:val="-7"/>
        </w:rPr>
        <w:t> </w:t>
      </w:r>
      <w:r>
        <w:rPr/>
        <w:t>comerciales</w:t>
      </w:r>
      <w:r>
        <w:rPr>
          <w:spacing w:val="-7"/>
        </w:rPr>
        <w:t> </w:t>
      </w:r>
      <w:r>
        <w:rPr/>
        <w:t>e</w:t>
      </w:r>
      <w:r>
        <w:rPr>
          <w:spacing w:val="-9"/>
        </w:rPr>
        <w:t> </w:t>
      </w:r>
      <w:r>
        <w:rPr/>
        <w:t>instituciones</w:t>
      </w:r>
      <w:r>
        <w:rPr>
          <w:spacing w:val="-7"/>
        </w:rPr>
        <w:t> </w:t>
      </w:r>
      <w:r>
        <w:rPr/>
        <w:t>de gobierno.</w:t>
      </w:r>
    </w:p>
    <w:p>
      <w:pPr>
        <w:pStyle w:val="BodyText"/>
        <w:spacing w:line="360" w:lineRule="auto" w:before="203"/>
        <w:ind w:left="220" w:right="644"/>
        <w:jc w:val="both"/>
      </w:pPr>
      <w:r>
        <w:rPr/>
        <w:t>La variable indicadora del servicio de vista es una binomial que se basa en la información disponible en relación al inmueble. La necesidad de poder determinar la importancia</w:t>
      </w:r>
      <w:r>
        <w:rPr>
          <w:spacing w:val="-8"/>
        </w:rPr>
        <w:t> </w:t>
      </w:r>
      <w:r>
        <w:rPr/>
        <w:t>dada</w:t>
      </w:r>
      <w:r>
        <w:rPr>
          <w:spacing w:val="-8"/>
        </w:rPr>
        <w:t> </w:t>
      </w:r>
      <w:r>
        <w:rPr/>
        <w:t>a</w:t>
      </w:r>
      <w:r>
        <w:rPr>
          <w:spacing w:val="-8"/>
        </w:rPr>
        <w:t> </w:t>
      </w:r>
      <w:r>
        <w:rPr/>
        <w:t>esta</w:t>
      </w:r>
      <w:r>
        <w:rPr>
          <w:spacing w:val="-8"/>
        </w:rPr>
        <w:t> </w:t>
      </w:r>
      <w:r>
        <w:rPr/>
        <w:t>variable</w:t>
      </w:r>
      <w:r>
        <w:rPr>
          <w:spacing w:val="-8"/>
        </w:rPr>
        <w:t> </w:t>
      </w:r>
      <w:r>
        <w:rPr/>
        <w:t>define</w:t>
      </w:r>
      <w:r>
        <w:rPr>
          <w:spacing w:val="-8"/>
        </w:rPr>
        <w:t> </w:t>
      </w:r>
      <w:r>
        <w:rPr/>
        <w:t>los</w:t>
      </w:r>
      <w:r>
        <w:rPr>
          <w:spacing w:val="-6"/>
        </w:rPr>
        <w:t> </w:t>
      </w:r>
      <w:r>
        <w:rPr/>
        <w:t>métodos</w:t>
      </w:r>
      <w:r>
        <w:rPr>
          <w:spacing w:val="-6"/>
        </w:rPr>
        <w:t> </w:t>
      </w:r>
      <w:r>
        <w:rPr/>
        <w:t>de</w:t>
      </w:r>
      <w:r>
        <w:rPr>
          <w:spacing w:val="-8"/>
        </w:rPr>
        <w:t> </w:t>
      </w:r>
      <w:r>
        <w:rPr/>
        <w:t>recolección</w:t>
      </w:r>
      <w:r>
        <w:rPr>
          <w:spacing w:val="-8"/>
        </w:rPr>
        <w:t> </w:t>
      </w:r>
      <w:r>
        <w:rPr/>
        <w:t>de</w:t>
      </w:r>
      <w:r>
        <w:rPr>
          <w:spacing w:val="-8"/>
        </w:rPr>
        <w:t> </w:t>
      </w:r>
      <w:r>
        <w:rPr/>
        <w:t>datos</w:t>
      </w:r>
      <w:r>
        <w:rPr>
          <w:spacing w:val="-2"/>
        </w:rPr>
        <w:t> </w:t>
      </w:r>
      <w:r>
        <w:rPr/>
        <w:t>como</w:t>
      </w:r>
      <w:r>
        <w:rPr>
          <w:spacing w:val="-8"/>
        </w:rPr>
        <w:t> </w:t>
      </w:r>
      <w:r>
        <w:rPr/>
        <w:t>se verá </w:t>
      </w:r>
      <w:r>
        <w:rPr>
          <w:spacing w:val="-2"/>
        </w:rPr>
        <w:t>más</w:t>
      </w:r>
      <w:r>
        <w:rPr>
          <w:spacing w:val="-1"/>
        </w:rPr>
        <w:t> </w:t>
      </w:r>
      <w:r>
        <w:rPr/>
        <w:t>adelante.</w:t>
      </w:r>
    </w:p>
    <w:p>
      <w:pPr>
        <w:pStyle w:val="BodyText"/>
        <w:spacing w:before="10"/>
        <w:rPr>
          <w:sz w:val="35"/>
        </w:rPr>
      </w:pPr>
    </w:p>
    <w:p>
      <w:pPr>
        <w:pStyle w:val="BodyText"/>
        <w:spacing w:line="362" w:lineRule="auto" w:before="1"/>
        <w:ind w:left="220" w:right="646"/>
        <w:jc w:val="both"/>
      </w:pPr>
      <w:r>
        <w:rPr/>
        <w:t>Consolidando todos los componentes de la Ecuación 6, el modelo completo de estimación se presenta como:</w:t>
      </w:r>
    </w:p>
    <w:p>
      <w:pPr>
        <w:pStyle w:val="BodyText"/>
        <w:spacing w:before="5"/>
        <w:rPr>
          <w:sz w:val="37"/>
        </w:rPr>
      </w:pPr>
    </w:p>
    <w:p>
      <w:pPr>
        <w:pStyle w:val="BodyText"/>
        <w:ind w:left="236" w:right="663"/>
        <w:jc w:val="center"/>
        <w:rPr>
          <w:rFonts w:ascii="Times New Roman" w:hAnsi="Times New Roman" w:eastAsia="Times New Roman"/>
        </w:rPr>
      </w:pPr>
      <w:r>
        <w:rPr>
          <w:w w:val="99"/>
        </w:rPr>
        <w:t>(</w:t>
      </w:r>
      <w:r>
        <w:rPr>
          <w:spacing w:val="-2"/>
          <w:w w:val="99"/>
        </w:rPr>
        <w:t>7</w:t>
      </w:r>
      <w:r>
        <w:rPr>
          <w:w w:val="99"/>
        </w:rPr>
        <w:t>)</w:t>
      </w:r>
      <w:r>
        <w:rPr>
          <w:spacing w:val="1"/>
          <w:w w:val="99"/>
        </w:rPr>
        <w:t> </w:t>
      </w:r>
      <w:r>
        <w:rPr>
          <w:rFonts w:ascii="Times New Roman" w:hAnsi="Times New Roman" w:eastAsia="Times New Roman"/>
          <w:w w:val="102"/>
        </w:rPr>
        <w:t>P</w:t>
      </w:r>
      <w:r>
        <w:rPr>
          <w:rFonts w:ascii="Times New Roman" w:hAnsi="Times New Roman" w:eastAsia="Times New Roman"/>
        </w:rPr>
        <w:t>  </w:t>
      </w:r>
      <w:r>
        <w:rPr>
          <w:rFonts w:ascii="Times New Roman" w:hAnsi="Times New Roman" w:eastAsia="Times New Roman"/>
          <w:w w:val="132"/>
        </w:rPr>
        <w:t>=</w:t>
      </w:r>
      <w:r>
        <w:rPr>
          <w:rFonts w:ascii="Times New Roman" w:hAnsi="Times New Roman" w:eastAsia="Times New Roman"/>
        </w:rPr>
        <w:t>  </w:t>
      </w:r>
      <w:r>
        <w:rPr>
          <w:rFonts w:ascii="Times New Roman" w:hAnsi="Times New Roman" w:eastAsia="Times New Roman"/>
          <w:w w:val="77"/>
        </w:rPr>
        <w:t>𝛼</w:t>
      </w:r>
      <w:r>
        <w:rPr>
          <w:rFonts w:ascii="Times New Roman" w:hAnsi="Times New Roman" w:eastAsia="Times New Roman"/>
          <w:w w:val="69"/>
          <w:vertAlign w:val="subscript"/>
        </w:rPr>
        <w:t>𝑜</w:t>
      </w:r>
      <w:r>
        <w:rPr>
          <w:rFonts w:ascii="Times New Roman" w:hAnsi="Times New Roman" w:eastAsia="Times New Roman"/>
          <w:spacing w:val="2"/>
          <w:vertAlign w:val="baseline"/>
        </w:rPr>
        <w:t> </w:t>
      </w:r>
      <w:r>
        <w:rPr>
          <w:rFonts w:ascii="Times New Roman" w:hAnsi="Times New Roman" w:eastAsia="Times New Roman"/>
          <w:w w:val="132"/>
          <w:vertAlign w:val="baseline"/>
        </w:rPr>
        <w:t>+</w:t>
      </w:r>
      <w:r>
        <w:rPr>
          <w:rFonts w:ascii="Times New Roman" w:hAnsi="Times New Roman" w:eastAsia="Times New Roman"/>
          <w:spacing w:val="-4"/>
          <w:vertAlign w:val="baseline"/>
        </w:rPr>
        <w:t> </w:t>
      </w:r>
      <w:r>
        <w:rPr>
          <w:rFonts w:ascii="Times New Roman" w:hAnsi="Times New Roman" w:eastAsia="Times New Roman"/>
          <w:spacing w:val="-4"/>
          <w:w w:val="77"/>
          <w:vertAlign w:val="baseline"/>
        </w:rPr>
        <w:t>𝛼</w:t>
      </w:r>
      <w:r>
        <w:rPr>
          <w:rFonts w:ascii="Times New Roman" w:hAnsi="Times New Roman" w:eastAsia="Times New Roman"/>
          <w:spacing w:val="8"/>
          <w:w w:val="106"/>
          <w:vertAlign w:val="subscript"/>
        </w:rPr>
        <w:t>1</w:t>
      </w:r>
      <w:r>
        <w:rPr>
          <w:rFonts w:ascii="Times New Roman" w:hAnsi="Times New Roman" w:eastAsia="Times New Roman"/>
          <w:w w:val="76"/>
          <w:vertAlign w:val="baseline"/>
        </w:rPr>
        <w:t>𝑇</w:t>
      </w:r>
      <w:r>
        <w:rPr>
          <w:rFonts w:ascii="Times New Roman" w:hAnsi="Times New Roman" w:eastAsia="Times New Roman"/>
          <w:w w:val="56"/>
          <w:vertAlign w:val="baseline"/>
        </w:rPr>
        <w:t>𝑖</w:t>
      </w:r>
      <w:r>
        <w:rPr>
          <w:rFonts w:ascii="Times New Roman" w:hAnsi="Times New Roman" w:eastAsia="Times New Roman"/>
          <w:spacing w:val="-2"/>
          <w:w w:val="56"/>
          <w:vertAlign w:val="baseline"/>
        </w:rPr>
        <w:t>𝑝</w:t>
      </w:r>
      <w:r>
        <w:rPr>
          <w:rFonts w:ascii="Times New Roman" w:hAnsi="Times New Roman" w:eastAsia="Times New Roman"/>
          <w:spacing w:val="-8"/>
          <w:w w:val="68"/>
          <w:vertAlign w:val="baseline"/>
        </w:rPr>
        <w:t>𝑜</w:t>
      </w:r>
      <w:r>
        <w:rPr>
          <w:rFonts w:ascii="Times New Roman" w:hAnsi="Times New Roman" w:eastAsia="Times New Roman"/>
          <w:w w:val="41"/>
          <w:vertAlign w:val="subscript"/>
        </w:rPr>
        <w:t>𝑖</w:t>
      </w:r>
      <w:r>
        <w:rPr>
          <w:rFonts w:ascii="Times New Roman" w:hAnsi="Times New Roman" w:eastAsia="Times New Roman"/>
          <w:spacing w:val="7"/>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w w:val="77"/>
          <w:vertAlign w:val="baseline"/>
        </w:rPr>
        <w:t>𝛼</w:t>
      </w:r>
      <w:r>
        <w:rPr>
          <w:rFonts w:ascii="Times New Roman" w:hAnsi="Times New Roman" w:eastAsia="Times New Roman"/>
          <w:spacing w:val="8"/>
          <w:w w:val="106"/>
          <w:vertAlign w:val="subscript"/>
        </w:rPr>
        <w:t>2</w:t>
      </w:r>
      <w:r>
        <w:rPr>
          <w:rFonts w:ascii="Times New Roman" w:hAnsi="Times New Roman" w:eastAsia="Times New Roman"/>
          <w:spacing w:val="-2"/>
          <w:w w:val="86"/>
          <w:vertAlign w:val="baseline"/>
        </w:rPr>
        <w:t>Á</w:t>
      </w:r>
      <w:r>
        <w:rPr>
          <w:rFonts w:ascii="Times New Roman" w:hAnsi="Times New Roman" w:eastAsia="Times New Roman"/>
          <w:spacing w:val="1"/>
          <w:w w:val="61"/>
          <w:vertAlign w:val="baseline"/>
        </w:rPr>
        <w:t>𝑟</w:t>
      </w:r>
      <w:r>
        <w:rPr>
          <w:rFonts w:ascii="Times New Roman" w:hAnsi="Times New Roman" w:eastAsia="Times New Roman"/>
          <w:w w:val="63"/>
          <w:vertAlign w:val="baseline"/>
        </w:rPr>
        <w:t>𝑒</w:t>
      </w:r>
      <w:r>
        <w:rPr>
          <w:rFonts w:ascii="Times New Roman" w:hAnsi="Times New Roman" w:eastAsia="Times New Roman"/>
          <w:spacing w:val="-2"/>
          <w:w w:val="71"/>
          <w:vertAlign w:val="baseline"/>
        </w:rPr>
        <w:t>𝑎</w:t>
      </w:r>
      <w:r>
        <w:rPr>
          <w:rFonts w:ascii="Times New Roman" w:hAnsi="Times New Roman" w:eastAsia="Times New Roman"/>
          <w:w w:val="41"/>
          <w:vertAlign w:val="subscript"/>
        </w:rPr>
        <w:t>𝑖</w:t>
      </w:r>
      <w:r>
        <w:rPr>
          <w:rFonts w:ascii="Times New Roman" w:hAnsi="Times New Roman" w:eastAsia="Times New Roman"/>
          <w:spacing w:val="7"/>
          <w:vertAlign w:val="baseline"/>
        </w:rPr>
        <w:t> </w:t>
      </w:r>
      <w:r>
        <w:rPr>
          <w:rFonts w:ascii="Times New Roman" w:hAnsi="Times New Roman" w:eastAsia="Times New Roman"/>
          <w:w w:val="132"/>
          <w:vertAlign w:val="baseline"/>
        </w:rPr>
        <w:t>+</w:t>
      </w:r>
      <w:r>
        <w:rPr>
          <w:rFonts w:ascii="Times New Roman" w:hAnsi="Times New Roman" w:eastAsia="Times New Roman"/>
          <w:spacing w:val="-7"/>
          <w:vertAlign w:val="baseline"/>
        </w:rPr>
        <w:t> </w:t>
      </w:r>
      <w:r>
        <w:rPr>
          <w:rFonts w:ascii="Times New Roman" w:hAnsi="Times New Roman" w:eastAsia="Times New Roman"/>
          <w:w w:val="77"/>
          <w:vertAlign w:val="baseline"/>
        </w:rPr>
        <w:t>𝛼</w:t>
      </w:r>
      <w:r>
        <w:rPr>
          <w:rFonts w:ascii="Times New Roman" w:hAnsi="Times New Roman" w:eastAsia="Times New Roman"/>
          <w:spacing w:val="8"/>
          <w:w w:val="106"/>
          <w:vertAlign w:val="subscript"/>
        </w:rPr>
        <w:t>3</w:t>
      </w:r>
      <w:r>
        <w:rPr>
          <w:rFonts w:ascii="Times New Roman" w:hAnsi="Times New Roman" w:eastAsia="Times New Roman"/>
          <w:w w:val="81"/>
          <w:vertAlign w:val="baseline"/>
        </w:rPr>
        <w:t>𝐴</w:t>
      </w:r>
      <w:r>
        <w:rPr>
          <w:rFonts w:ascii="Times New Roman" w:hAnsi="Times New Roman" w:eastAsia="Times New Roman"/>
          <w:spacing w:val="-2"/>
          <w:w w:val="111"/>
          <w:vertAlign w:val="baseline"/>
        </w:rPr>
        <w:t>ñ</w:t>
      </w:r>
      <w:r>
        <w:rPr>
          <w:rFonts w:ascii="Times New Roman" w:hAnsi="Times New Roman" w:eastAsia="Times New Roman"/>
          <w:w w:val="72"/>
          <w:vertAlign w:val="baseline"/>
        </w:rPr>
        <w:t>𝑜</w:t>
      </w:r>
      <w:r>
        <w:rPr>
          <w:rFonts w:ascii="Times New Roman" w:hAnsi="Times New Roman" w:eastAsia="Times New Roman"/>
          <w:spacing w:val="-16"/>
          <w:w w:val="72"/>
          <w:vertAlign w:val="baseline"/>
        </w:rPr>
        <w:t>𝐶</w:t>
      </w:r>
      <w:r>
        <w:rPr>
          <w:rFonts w:ascii="Times New Roman" w:hAnsi="Times New Roman" w:eastAsia="Times New Roman"/>
          <w:w w:val="41"/>
          <w:vertAlign w:val="subscript"/>
        </w:rPr>
        <w:t>𝑖</w:t>
      </w:r>
      <w:r>
        <w:rPr>
          <w:rFonts w:ascii="Times New Roman" w:hAnsi="Times New Roman" w:eastAsia="Times New Roman"/>
          <w:spacing w:val="11"/>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w w:val="77"/>
          <w:vertAlign w:val="baseline"/>
        </w:rPr>
        <w:t>𝛼</w:t>
      </w:r>
      <w:r>
        <w:rPr>
          <w:rFonts w:ascii="Times New Roman" w:hAnsi="Times New Roman" w:eastAsia="Times New Roman"/>
          <w:spacing w:val="12"/>
          <w:w w:val="106"/>
          <w:vertAlign w:val="subscript"/>
        </w:rPr>
        <w:t>4</w:t>
      </w:r>
      <w:r>
        <w:rPr>
          <w:rFonts w:ascii="Times New Roman" w:hAnsi="Times New Roman" w:eastAsia="Times New Roman"/>
          <w:w w:val="93"/>
          <w:vertAlign w:val="baseline"/>
        </w:rPr>
        <w:t>𝐻</w:t>
      </w:r>
      <w:r>
        <w:rPr>
          <w:rFonts w:ascii="Times New Roman" w:hAnsi="Times New Roman" w:eastAsia="Times New Roman"/>
          <w:spacing w:val="-2"/>
          <w:w w:val="71"/>
          <w:vertAlign w:val="baseline"/>
        </w:rPr>
        <w:t>𝑎</w:t>
      </w:r>
      <w:r>
        <w:rPr>
          <w:rFonts w:ascii="Times New Roman" w:hAnsi="Times New Roman" w:eastAsia="Times New Roman"/>
          <w:spacing w:val="3"/>
          <w:w w:val="69"/>
          <w:vertAlign w:val="baseline"/>
        </w:rPr>
        <w:t>𝑏</w:t>
      </w:r>
      <w:r>
        <w:rPr>
          <w:rFonts w:ascii="Times New Roman" w:hAnsi="Times New Roman" w:eastAsia="Times New Roman"/>
          <w:spacing w:val="2"/>
          <w:w w:val="82"/>
          <w:vertAlign w:val="baseline"/>
        </w:rPr>
        <w:t>.</w:t>
      </w:r>
      <w:r>
        <w:rPr>
          <w:rFonts w:ascii="Times New Roman" w:hAnsi="Times New Roman" w:eastAsia="Times New Roman"/>
          <w:spacing w:val="11"/>
          <w:w w:val="41"/>
          <w:vertAlign w:val="subscript"/>
        </w:rPr>
        <w:t>𝑖</w:t>
      </w:r>
      <w:r>
        <w:rPr>
          <w:rFonts w:ascii="Times New Roman" w:hAnsi="Times New Roman" w:eastAsia="Times New Roman"/>
          <w:w w:val="132"/>
          <w:vertAlign w:val="baseline"/>
        </w:rPr>
        <w:t>+</w:t>
      </w:r>
      <w:r>
        <w:rPr>
          <w:rFonts w:ascii="Times New Roman" w:hAnsi="Times New Roman" w:eastAsia="Times New Roman"/>
          <w:spacing w:val="-4"/>
          <w:vertAlign w:val="baseline"/>
        </w:rPr>
        <w:t> </w:t>
      </w:r>
      <w:r>
        <w:rPr>
          <w:rFonts w:ascii="Times New Roman" w:hAnsi="Times New Roman" w:eastAsia="Times New Roman"/>
          <w:spacing w:val="-1"/>
          <w:w w:val="77"/>
          <w:vertAlign w:val="baseline"/>
        </w:rPr>
        <w:t>𝛼</w:t>
      </w:r>
      <w:r>
        <w:rPr>
          <w:rFonts w:ascii="Times New Roman" w:hAnsi="Times New Roman" w:eastAsia="Times New Roman"/>
          <w:spacing w:val="8"/>
          <w:w w:val="106"/>
          <w:vertAlign w:val="subscript"/>
        </w:rPr>
        <w:t>5</w:t>
      </w:r>
      <w:r>
        <w:rPr>
          <w:rFonts w:ascii="Times New Roman" w:hAnsi="Times New Roman" w:eastAsia="Times New Roman"/>
          <w:spacing w:val="-1"/>
          <w:w w:val="84"/>
          <w:vertAlign w:val="baseline"/>
        </w:rPr>
        <w:t>𝐵</w:t>
      </w:r>
      <w:r>
        <w:rPr>
          <w:rFonts w:ascii="Times New Roman" w:hAnsi="Times New Roman" w:eastAsia="Times New Roman"/>
          <w:spacing w:val="-1"/>
          <w:w w:val="71"/>
          <w:vertAlign w:val="baseline"/>
        </w:rPr>
        <w:t>𝑎</w:t>
      </w:r>
      <w:r>
        <w:rPr>
          <w:rFonts w:ascii="Times New Roman" w:hAnsi="Times New Roman" w:eastAsia="Times New Roman"/>
          <w:spacing w:val="-2"/>
          <w:w w:val="111"/>
          <w:vertAlign w:val="baseline"/>
        </w:rPr>
        <w:t>ñ</w:t>
      </w:r>
      <w:r>
        <w:rPr>
          <w:rFonts w:ascii="Times New Roman" w:hAnsi="Times New Roman" w:eastAsia="Times New Roman"/>
          <w:w w:val="63"/>
          <w:vertAlign w:val="baseline"/>
        </w:rPr>
        <w:t>𝑜</w:t>
      </w:r>
      <w:r>
        <w:rPr>
          <w:rFonts w:ascii="Times New Roman" w:hAnsi="Times New Roman" w:eastAsia="Times New Roman"/>
          <w:spacing w:val="-3"/>
          <w:w w:val="63"/>
          <w:vertAlign w:val="baseline"/>
        </w:rPr>
        <w:t>𝑠</w:t>
      </w:r>
      <w:r>
        <w:rPr>
          <w:rFonts w:ascii="Times New Roman" w:hAnsi="Times New Roman" w:eastAsia="Times New Roman"/>
          <w:w w:val="41"/>
          <w:vertAlign w:val="subscript"/>
        </w:rPr>
        <w:t>𝑖</w:t>
      </w:r>
      <w:r>
        <w:rPr>
          <w:rFonts w:ascii="Times New Roman" w:hAnsi="Times New Roman" w:eastAsia="Times New Roman"/>
          <w:spacing w:val="8"/>
          <w:vertAlign w:val="baseline"/>
        </w:rPr>
        <w:t> </w:t>
      </w:r>
      <w:r>
        <w:rPr>
          <w:rFonts w:ascii="Times New Roman" w:hAnsi="Times New Roman" w:eastAsia="Times New Roman"/>
          <w:w w:val="132"/>
          <w:vertAlign w:val="baseline"/>
        </w:rPr>
        <w:t>+</w:t>
      </w:r>
      <w:r>
        <w:rPr>
          <w:rFonts w:ascii="Times New Roman" w:hAnsi="Times New Roman" w:eastAsia="Times New Roman"/>
          <w:spacing w:val="-4"/>
          <w:vertAlign w:val="baseline"/>
        </w:rPr>
        <w:t> </w:t>
      </w:r>
      <w:r>
        <w:rPr>
          <w:rFonts w:ascii="Times New Roman" w:hAnsi="Times New Roman" w:eastAsia="Times New Roman"/>
          <w:w w:val="77"/>
          <w:vertAlign w:val="baseline"/>
        </w:rPr>
        <w:t>𝛼</w:t>
      </w:r>
      <w:r>
        <w:rPr>
          <w:rFonts w:ascii="Times New Roman" w:hAnsi="Times New Roman" w:eastAsia="Times New Roman"/>
          <w:spacing w:val="8"/>
          <w:w w:val="106"/>
          <w:vertAlign w:val="subscript"/>
        </w:rPr>
        <w:t>6</w:t>
      </w:r>
      <w:r>
        <w:rPr>
          <w:rFonts w:ascii="Times New Roman" w:hAnsi="Times New Roman" w:eastAsia="Times New Roman"/>
          <w:spacing w:val="-1"/>
          <w:w w:val="79"/>
          <w:vertAlign w:val="baseline"/>
        </w:rPr>
        <w:t>𝑃</w:t>
      </w:r>
      <w:r>
        <w:rPr>
          <w:rFonts w:ascii="Times New Roman" w:hAnsi="Times New Roman" w:eastAsia="Times New Roman"/>
          <w:w w:val="56"/>
          <w:vertAlign w:val="baseline"/>
        </w:rPr>
        <w:t>𝑙</w:t>
      </w:r>
      <w:r>
        <w:rPr>
          <w:rFonts w:ascii="Times New Roman" w:hAnsi="Times New Roman" w:eastAsia="Times New Roman"/>
          <w:spacing w:val="-2"/>
          <w:w w:val="56"/>
          <w:vertAlign w:val="baseline"/>
        </w:rPr>
        <w:t>𝑎</w:t>
      </w:r>
      <w:r>
        <w:rPr>
          <w:rFonts w:ascii="Times New Roman" w:hAnsi="Times New Roman" w:eastAsia="Times New Roman"/>
          <w:spacing w:val="-2"/>
          <w:w w:val="73"/>
          <w:vertAlign w:val="baseline"/>
        </w:rPr>
        <w:t>𝑛</w:t>
      </w:r>
      <w:r>
        <w:rPr>
          <w:rFonts w:ascii="Times New Roman" w:hAnsi="Times New Roman" w:eastAsia="Times New Roman"/>
          <w:spacing w:val="1"/>
          <w:w w:val="50"/>
          <w:vertAlign w:val="baseline"/>
        </w:rPr>
        <w:t>𝑡</w:t>
      </w:r>
      <w:r>
        <w:rPr>
          <w:rFonts w:ascii="Times New Roman" w:hAnsi="Times New Roman" w:eastAsia="Times New Roman"/>
          <w:spacing w:val="-2"/>
          <w:w w:val="71"/>
          <w:vertAlign w:val="baseline"/>
        </w:rPr>
        <w:t>𝑎</w:t>
      </w:r>
      <w:r>
        <w:rPr>
          <w:rFonts w:ascii="Times New Roman" w:hAnsi="Times New Roman" w:eastAsia="Times New Roman"/>
          <w:spacing w:val="-3"/>
          <w:w w:val="59"/>
          <w:vertAlign w:val="baseline"/>
        </w:rPr>
        <w:t>𝑠</w:t>
      </w:r>
      <w:r>
        <w:rPr>
          <w:rFonts w:ascii="Times New Roman" w:hAnsi="Times New Roman" w:eastAsia="Times New Roman"/>
          <w:w w:val="41"/>
          <w:vertAlign w:val="subscript"/>
        </w:rPr>
        <w:t>𝑖</w:t>
      </w:r>
      <w:r>
        <w:rPr>
          <w:rFonts w:ascii="Times New Roman" w:hAnsi="Times New Roman" w:eastAsia="Times New Roman"/>
          <w:spacing w:val="7"/>
          <w:vertAlign w:val="baseline"/>
        </w:rPr>
        <w:t> </w:t>
      </w:r>
      <w:r>
        <w:rPr>
          <w:rFonts w:ascii="Times New Roman" w:hAnsi="Times New Roman" w:eastAsia="Times New Roman"/>
          <w:w w:val="132"/>
          <w:vertAlign w:val="baseline"/>
        </w:rPr>
        <w:t>+</w:t>
      </w:r>
    </w:p>
    <w:p>
      <w:pPr>
        <w:pStyle w:val="BodyText"/>
        <w:spacing w:before="144"/>
        <w:ind w:left="239" w:right="663"/>
        <w:jc w:val="center"/>
        <w:rPr>
          <w:rFonts w:ascii="Times New Roman" w:hAnsi="Times New Roman" w:eastAsia="Times New Roman"/>
        </w:rPr>
      </w:pPr>
      <w:r>
        <w:rPr>
          <w:rFonts w:ascii="Times New Roman" w:hAnsi="Times New Roman" w:eastAsia="Times New Roman"/>
          <w:w w:val="77"/>
        </w:rPr>
        <w:t>𝛼</w:t>
      </w:r>
      <w:r>
        <w:rPr>
          <w:rFonts w:ascii="Times New Roman" w:hAnsi="Times New Roman" w:eastAsia="Times New Roman"/>
          <w:spacing w:val="8"/>
          <w:w w:val="106"/>
          <w:vertAlign w:val="subscript"/>
        </w:rPr>
        <w:t>7</w:t>
      </w:r>
      <w:r>
        <w:rPr>
          <w:rFonts w:ascii="Times New Roman" w:hAnsi="Times New Roman" w:eastAsia="Times New Roman"/>
          <w:spacing w:val="1"/>
          <w:w w:val="89"/>
          <w:vertAlign w:val="baseline"/>
        </w:rPr>
        <w:t>𝐷</w:t>
      </w:r>
      <w:r>
        <w:rPr>
          <w:rFonts w:ascii="Times New Roman" w:hAnsi="Times New Roman" w:eastAsia="Times New Roman"/>
          <w:w w:val="68"/>
          <w:vertAlign w:val="baseline"/>
        </w:rPr>
        <w:t>𝑆</w:t>
      </w:r>
      <w:r>
        <w:rPr>
          <w:rFonts w:ascii="Times New Roman" w:hAnsi="Times New Roman" w:eastAsia="Times New Roman"/>
          <w:spacing w:val="1"/>
          <w:w w:val="46"/>
          <w:vertAlign w:val="baseline"/>
        </w:rPr>
        <w:t>𝑗</w:t>
      </w:r>
      <w:r>
        <w:rPr>
          <w:rFonts w:ascii="Times New Roman" w:hAnsi="Times New Roman" w:eastAsia="Times New Roman"/>
          <w:w w:val="63"/>
          <w:vertAlign w:val="baseline"/>
        </w:rPr>
        <w:t>𝑜</w:t>
      </w:r>
      <w:r>
        <w:rPr>
          <w:rFonts w:ascii="Times New Roman" w:hAnsi="Times New Roman" w:eastAsia="Times New Roman"/>
          <w:spacing w:val="1"/>
          <w:w w:val="63"/>
          <w:vertAlign w:val="baseline"/>
        </w:rPr>
        <w:t>𝑠</w:t>
      </w:r>
      <w:r>
        <w:rPr>
          <w:rFonts w:ascii="Times New Roman" w:hAnsi="Times New Roman" w:eastAsia="Times New Roman"/>
          <w:spacing w:val="-2"/>
          <w:w w:val="109"/>
          <w:vertAlign w:val="baseline"/>
        </w:rPr>
        <w:t>é</w:t>
      </w:r>
      <w:r>
        <w:rPr>
          <w:rFonts w:ascii="Times New Roman" w:hAnsi="Times New Roman" w:eastAsia="Times New Roman"/>
          <w:spacing w:val="-16"/>
          <w:w w:val="76"/>
          <w:vertAlign w:val="baseline"/>
        </w:rPr>
        <w:t>𝐶</w:t>
      </w:r>
      <w:r>
        <w:rPr>
          <w:rFonts w:ascii="Times New Roman" w:hAnsi="Times New Roman" w:eastAsia="Times New Roman"/>
          <w:w w:val="55"/>
          <w:vertAlign w:val="subscript"/>
        </w:rPr>
        <w:t>𝑗</w:t>
      </w:r>
      <w:r>
        <w:rPr>
          <w:rFonts w:ascii="Times New Roman" w:hAnsi="Times New Roman" w:eastAsia="Times New Roman"/>
          <w:spacing w:val="-21"/>
          <w:vertAlign w:val="baseline"/>
        </w:rPr>
        <w:t> </w:t>
      </w:r>
      <w:r>
        <w:rPr>
          <w:rFonts w:ascii="Times New Roman" w:hAnsi="Times New Roman" w:eastAsia="Times New Roman"/>
          <w:w w:val="114"/>
          <w:vertAlign w:val="subscript"/>
        </w:rPr>
        <w:t>(</w:t>
      </w:r>
      <w:r>
        <w:rPr>
          <w:rFonts w:ascii="Times New Roman" w:hAnsi="Times New Roman" w:eastAsia="Times New Roman"/>
          <w:spacing w:val="4"/>
          <w:w w:val="41"/>
          <w:vertAlign w:val="subscript"/>
        </w:rPr>
        <w:t>𝑖</w:t>
      </w:r>
      <w:r>
        <w:rPr>
          <w:rFonts w:ascii="Times New Roman" w:hAnsi="Times New Roman" w:eastAsia="Times New Roman"/>
          <w:w w:val="114"/>
          <w:vertAlign w:val="subscript"/>
        </w:rPr>
        <w:t>)</w:t>
      </w:r>
      <w:r>
        <w:rPr>
          <w:rFonts w:ascii="Times New Roman" w:hAnsi="Times New Roman" w:eastAsia="Times New Roman"/>
          <w:vertAlign w:val="baseline"/>
        </w:rPr>
        <w:t> </w:t>
      </w:r>
      <w:r>
        <w:rPr>
          <w:rFonts w:ascii="Times New Roman" w:hAnsi="Times New Roman" w:eastAsia="Times New Roman"/>
          <w:w w:val="132"/>
          <w:vertAlign w:val="baseline"/>
        </w:rPr>
        <w:t>+</w:t>
      </w:r>
      <w:r>
        <w:rPr>
          <w:rFonts w:ascii="Times New Roman" w:hAnsi="Times New Roman" w:eastAsia="Times New Roman"/>
          <w:spacing w:val="-4"/>
          <w:vertAlign w:val="baseline"/>
        </w:rPr>
        <w:t> </w:t>
      </w:r>
      <w:r>
        <w:rPr>
          <w:rFonts w:ascii="Times New Roman" w:hAnsi="Times New Roman" w:eastAsia="Times New Roman"/>
          <w:w w:val="77"/>
          <w:vertAlign w:val="baseline"/>
        </w:rPr>
        <w:t>𝛼</w:t>
      </w:r>
      <w:r>
        <w:rPr>
          <w:rFonts w:ascii="Times New Roman" w:hAnsi="Times New Roman" w:eastAsia="Times New Roman"/>
          <w:spacing w:val="8"/>
          <w:w w:val="106"/>
          <w:vertAlign w:val="subscript"/>
        </w:rPr>
        <w:t>8</w:t>
      </w:r>
      <w:r>
        <w:rPr>
          <w:rFonts w:ascii="Times New Roman" w:hAnsi="Times New Roman" w:eastAsia="Times New Roman"/>
          <w:spacing w:val="1"/>
          <w:w w:val="89"/>
          <w:vertAlign w:val="baseline"/>
        </w:rPr>
        <w:t>𝐷</w:t>
      </w:r>
      <w:r>
        <w:rPr>
          <w:rFonts w:ascii="Times New Roman" w:hAnsi="Times New Roman" w:eastAsia="Times New Roman"/>
          <w:spacing w:val="-1"/>
          <w:w w:val="80"/>
          <w:vertAlign w:val="baseline"/>
        </w:rPr>
        <w:t>𝐴</w:t>
      </w:r>
      <w:r>
        <w:rPr>
          <w:rFonts w:ascii="Times New Roman" w:hAnsi="Times New Roman" w:eastAsia="Times New Roman"/>
          <w:w w:val="80"/>
          <w:vertAlign w:val="baseline"/>
        </w:rPr>
        <w:t>𝑔</w:t>
      </w:r>
      <w:r>
        <w:rPr>
          <w:rFonts w:ascii="Times New Roman" w:hAnsi="Times New Roman" w:eastAsia="Times New Roman"/>
          <w:w w:val="72"/>
          <w:vertAlign w:val="baseline"/>
        </w:rPr>
        <w:t>𝑙𝑜</w:t>
      </w:r>
      <w:r>
        <w:rPr>
          <w:rFonts w:ascii="Times New Roman" w:hAnsi="Times New Roman" w:eastAsia="Times New Roman"/>
          <w:spacing w:val="-1"/>
          <w:w w:val="72"/>
          <w:vertAlign w:val="baseline"/>
        </w:rPr>
        <w:t>𝑚</w:t>
      </w:r>
      <w:r>
        <w:rPr>
          <w:rFonts w:ascii="Times New Roman" w:hAnsi="Times New Roman" w:eastAsia="Times New Roman"/>
          <w:spacing w:val="-44"/>
          <w:w w:val="79"/>
          <w:vertAlign w:val="baseline"/>
        </w:rPr>
        <w:t>𝑃</w:t>
      </w:r>
      <w:r>
        <w:rPr>
          <w:rFonts w:ascii="Times New Roman" w:hAnsi="Times New Roman" w:eastAsia="Times New Roman"/>
          <w:w w:val="55"/>
          <w:vertAlign w:val="subscript"/>
        </w:rPr>
        <w:t>𝑗</w:t>
      </w:r>
      <w:r>
        <w:rPr>
          <w:rFonts w:ascii="Times New Roman" w:hAnsi="Times New Roman" w:eastAsia="Times New Roman"/>
          <w:spacing w:val="-25"/>
          <w:vertAlign w:val="baseline"/>
        </w:rPr>
        <w:t> </w:t>
      </w:r>
      <w:r>
        <w:rPr>
          <w:rFonts w:ascii="Times New Roman" w:hAnsi="Times New Roman" w:eastAsia="Times New Roman"/>
          <w:w w:val="114"/>
          <w:vertAlign w:val="subscript"/>
        </w:rPr>
        <w:t>(</w:t>
      </w:r>
      <w:r>
        <w:rPr>
          <w:rFonts w:ascii="Times New Roman" w:hAnsi="Times New Roman" w:eastAsia="Times New Roman"/>
          <w:spacing w:val="3"/>
          <w:w w:val="41"/>
          <w:vertAlign w:val="subscript"/>
        </w:rPr>
        <w:t>𝑖</w:t>
      </w:r>
      <w:r>
        <w:rPr>
          <w:rFonts w:ascii="Times New Roman" w:hAnsi="Times New Roman" w:eastAsia="Times New Roman"/>
          <w:w w:val="114"/>
          <w:vertAlign w:val="subscript"/>
        </w:rPr>
        <w:t>)</w:t>
      </w:r>
      <w:r>
        <w:rPr>
          <w:rFonts w:ascii="Times New Roman" w:hAnsi="Times New Roman" w:eastAsia="Times New Roman"/>
          <w:spacing w:val="4"/>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w w:val="77"/>
          <w:vertAlign w:val="baseline"/>
        </w:rPr>
        <w:t>𝛼</w:t>
      </w:r>
      <w:r>
        <w:rPr>
          <w:rFonts w:ascii="Times New Roman" w:hAnsi="Times New Roman" w:eastAsia="Times New Roman"/>
          <w:spacing w:val="9"/>
          <w:w w:val="101"/>
          <w:vertAlign w:val="subscript"/>
        </w:rPr>
        <w:t>9</w:t>
      </w:r>
      <w:r>
        <w:rPr>
          <w:rFonts w:ascii="Times New Roman" w:hAnsi="Times New Roman" w:eastAsia="Times New Roman"/>
          <w:spacing w:val="1"/>
          <w:w w:val="76"/>
          <w:vertAlign w:val="baseline"/>
        </w:rPr>
        <w:t>𝑍</w:t>
      </w:r>
      <w:r>
        <w:rPr>
          <w:rFonts w:ascii="Times New Roman" w:hAnsi="Times New Roman" w:eastAsia="Times New Roman"/>
          <w:spacing w:val="-1"/>
          <w:w w:val="81"/>
          <w:vertAlign w:val="baseline"/>
        </w:rPr>
        <w:t>𝑅</w:t>
      </w:r>
      <w:r>
        <w:rPr>
          <w:rFonts w:ascii="Times New Roman" w:hAnsi="Times New Roman" w:eastAsia="Times New Roman"/>
          <w:w w:val="52"/>
          <w:vertAlign w:val="baseline"/>
        </w:rPr>
        <w:t>𝑖𝑒</w:t>
      </w:r>
      <w:r>
        <w:rPr>
          <w:rFonts w:ascii="Times New Roman" w:hAnsi="Times New Roman" w:eastAsia="Times New Roman"/>
          <w:w w:val="59"/>
          <w:vertAlign w:val="baseline"/>
        </w:rPr>
        <w:t>𝑠</w:t>
      </w:r>
      <w:r>
        <w:rPr>
          <w:rFonts w:ascii="Times New Roman" w:hAnsi="Times New Roman" w:eastAsia="Times New Roman"/>
          <w:spacing w:val="1"/>
          <w:w w:val="78"/>
          <w:vertAlign w:val="baseline"/>
        </w:rPr>
        <w:t>𝑔</w:t>
      </w:r>
      <w:r>
        <w:rPr>
          <w:rFonts w:ascii="Times New Roman" w:hAnsi="Times New Roman" w:eastAsia="Times New Roman"/>
          <w:spacing w:val="-11"/>
          <w:w w:val="68"/>
          <w:vertAlign w:val="baseline"/>
        </w:rPr>
        <w:t>𝑜</w:t>
      </w:r>
      <w:r>
        <w:rPr>
          <w:rFonts w:ascii="Times New Roman" w:hAnsi="Times New Roman" w:eastAsia="Times New Roman"/>
          <w:w w:val="55"/>
          <w:vertAlign w:val="subscript"/>
        </w:rPr>
        <w:t>𝑗</w:t>
      </w:r>
      <w:r>
        <w:rPr>
          <w:rFonts w:ascii="Times New Roman" w:hAnsi="Times New Roman" w:eastAsia="Times New Roman"/>
          <w:spacing w:val="-21"/>
          <w:vertAlign w:val="baseline"/>
        </w:rPr>
        <w:t> </w:t>
      </w:r>
      <w:r>
        <w:rPr>
          <w:rFonts w:ascii="Times New Roman" w:hAnsi="Times New Roman" w:eastAsia="Times New Roman"/>
          <w:w w:val="114"/>
          <w:vertAlign w:val="subscript"/>
        </w:rPr>
        <w:t>(</w:t>
      </w:r>
      <w:r>
        <w:rPr>
          <w:rFonts w:ascii="Times New Roman" w:hAnsi="Times New Roman" w:eastAsia="Times New Roman"/>
          <w:spacing w:val="3"/>
          <w:w w:val="41"/>
          <w:vertAlign w:val="subscript"/>
        </w:rPr>
        <w:t>𝑖</w:t>
      </w:r>
      <w:r>
        <w:rPr>
          <w:rFonts w:ascii="Times New Roman" w:hAnsi="Times New Roman" w:eastAsia="Times New Roman"/>
          <w:w w:val="114"/>
          <w:vertAlign w:val="subscript"/>
        </w:rPr>
        <w:t>)</w:t>
      </w:r>
      <w:r>
        <w:rPr>
          <w:rFonts w:ascii="Times New Roman" w:hAnsi="Times New Roman" w:eastAsia="Times New Roman"/>
          <w:spacing w:val="4"/>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spacing w:val="-4"/>
          <w:w w:val="77"/>
          <w:vertAlign w:val="baseline"/>
        </w:rPr>
        <w:t>𝛼</w:t>
      </w:r>
      <w:r>
        <w:rPr>
          <w:rFonts w:ascii="Times New Roman" w:hAnsi="Times New Roman" w:eastAsia="Times New Roman"/>
          <w:w w:val="106"/>
          <w:vertAlign w:val="subscript"/>
        </w:rPr>
        <w:t>1</w:t>
      </w:r>
      <w:r>
        <w:rPr>
          <w:rFonts w:ascii="Times New Roman" w:hAnsi="Times New Roman" w:eastAsia="Times New Roman"/>
          <w:spacing w:val="8"/>
          <w:w w:val="106"/>
          <w:vertAlign w:val="subscript"/>
        </w:rPr>
        <w:t>0</w:t>
      </w:r>
      <w:r>
        <w:rPr>
          <w:rFonts w:ascii="Times New Roman" w:hAnsi="Times New Roman" w:eastAsia="Times New Roman"/>
          <w:spacing w:val="1"/>
          <w:w w:val="80"/>
          <w:vertAlign w:val="baseline"/>
        </w:rPr>
        <w:t>𝑉</w:t>
      </w:r>
      <w:r>
        <w:rPr>
          <w:rFonts w:ascii="Times New Roman" w:hAnsi="Times New Roman" w:eastAsia="Times New Roman"/>
          <w:w w:val="50"/>
          <w:vertAlign w:val="baseline"/>
        </w:rPr>
        <w:t>𝑖</w:t>
      </w:r>
      <w:r>
        <w:rPr>
          <w:rFonts w:ascii="Times New Roman" w:hAnsi="Times New Roman" w:eastAsia="Times New Roman"/>
          <w:spacing w:val="-3"/>
          <w:w w:val="50"/>
          <w:vertAlign w:val="baseline"/>
        </w:rPr>
        <w:t>𝑠</w:t>
      </w:r>
      <w:r>
        <w:rPr>
          <w:rFonts w:ascii="Times New Roman" w:hAnsi="Times New Roman" w:eastAsia="Times New Roman"/>
          <w:spacing w:val="1"/>
          <w:w w:val="50"/>
          <w:vertAlign w:val="baseline"/>
        </w:rPr>
        <w:t>𝑡</w:t>
      </w:r>
      <w:r>
        <w:rPr>
          <w:rFonts w:ascii="Times New Roman" w:hAnsi="Times New Roman" w:eastAsia="Times New Roman"/>
          <w:spacing w:val="-2"/>
          <w:w w:val="71"/>
          <w:vertAlign w:val="baseline"/>
        </w:rPr>
        <w:t>𝑎</w:t>
      </w:r>
      <w:r>
        <w:rPr>
          <w:rFonts w:ascii="Times New Roman" w:hAnsi="Times New Roman" w:eastAsia="Times New Roman"/>
          <w:w w:val="68"/>
          <w:vertAlign w:val="baseline"/>
        </w:rPr>
        <w:t>𝐿</w:t>
      </w:r>
      <w:r>
        <w:rPr>
          <w:rFonts w:ascii="Times New Roman" w:hAnsi="Times New Roman" w:eastAsia="Times New Roman"/>
          <w:spacing w:val="-34"/>
          <w:w w:val="76"/>
          <w:vertAlign w:val="baseline"/>
        </w:rPr>
        <w:t>𝐶</w:t>
      </w:r>
      <w:r>
        <w:rPr>
          <w:rFonts w:ascii="Times New Roman" w:hAnsi="Times New Roman" w:eastAsia="Times New Roman"/>
          <w:w w:val="55"/>
          <w:vertAlign w:val="subscript"/>
        </w:rPr>
        <w:t>𝑗</w:t>
      </w:r>
      <w:r>
        <w:rPr>
          <w:rFonts w:ascii="Times New Roman" w:hAnsi="Times New Roman" w:eastAsia="Times New Roman"/>
          <w:spacing w:val="-21"/>
          <w:vertAlign w:val="baseline"/>
        </w:rPr>
        <w:t> </w:t>
      </w:r>
      <w:r>
        <w:rPr>
          <w:rFonts w:ascii="Times New Roman" w:hAnsi="Times New Roman" w:eastAsia="Times New Roman"/>
          <w:w w:val="114"/>
          <w:vertAlign w:val="subscript"/>
        </w:rPr>
        <w:t>(</w:t>
      </w:r>
      <w:r>
        <w:rPr>
          <w:rFonts w:ascii="Times New Roman" w:hAnsi="Times New Roman" w:eastAsia="Times New Roman"/>
          <w:spacing w:val="3"/>
          <w:w w:val="41"/>
          <w:vertAlign w:val="subscript"/>
        </w:rPr>
        <w:t>𝑖</w:t>
      </w:r>
      <w:r>
        <w:rPr>
          <w:rFonts w:ascii="Times New Roman" w:hAnsi="Times New Roman" w:eastAsia="Times New Roman"/>
          <w:w w:val="114"/>
          <w:vertAlign w:val="subscript"/>
        </w:rPr>
        <w:t>)</w:t>
      </w:r>
      <w:r>
        <w:rPr>
          <w:rFonts w:ascii="Times New Roman" w:hAnsi="Times New Roman" w:eastAsia="Times New Roman"/>
          <w:spacing w:val="4"/>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spacing w:val="6"/>
          <w:w w:val="58"/>
          <w:vertAlign w:val="baseline"/>
        </w:rPr>
        <w:t>𝜀</w:t>
      </w:r>
      <w:r>
        <w:rPr>
          <w:rFonts w:ascii="Times New Roman" w:hAnsi="Times New Roman" w:eastAsia="Times New Roman"/>
          <w:w w:val="82"/>
          <w:vertAlign w:val="baseline"/>
        </w:rPr>
        <w:t>.</w:t>
      </w:r>
    </w:p>
    <w:p>
      <w:pPr>
        <w:pStyle w:val="BodyText"/>
        <w:spacing w:before="3"/>
        <w:rPr>
          <w:rFonts w:ascii="Times New Roman"/>
          <w:sz w:val="32"/>
        </w:rPr>
      </w:pPr>
    </w:p>
    <w:p>
      <w:pPr>
        <w:pStyle w:val="Heading2"/>
        <w:numPr>
          <w:ilvl w:val="0"/>
          <w:numId w:val="7"/>
        </w:numPr>
        <w:tabs>
          <w:tab w:pos="941" w:val="left" w:leader="none"/>
        </w:tabs>
        <w:spacing w:line="357" w:lineRule="auto" w:before="0" w:after="0"/>
        <w:ind w:left="220" w:right="646" w:firstLine="0"/>
        <w:jc w:val="both"/>
      </w:pPr>
      <w:bookmarkStart w:name="_bookmark37" w:id="51"/>
      <w:bookmarkEnd w:id="51"/>
      <w:r>
        <w:rPr>
          <w:b w:val="0"/>
        </w:rPr>
      </w:r>
      <w:bookmarkStart w:name="_bookmark37" w:id="52"/>
      <w:bookmarkEnd w:id="52"/>
      <w:r>
        <w:rPr/>
        <w:t>M</w:t>
      </w:r>
      <w:r>
        <w:rPr/>
        <w:t>etodología de Definición de Muestra, Recolección de Datos y Pruebas Estadísticas del Modelo: Logros y</w:t>
      </w:r>
      <w:r>
        <w:rPr>
          <w:spacing w:val="-10"/>
        </w:rPr>
        <w:t> </w:t>
      </w:r>
      <w:r>
        <w:rPr/>
        <w:t>Limitaciones</w:t>
      </w:r>
    </w:p>
    <w:p>
      <w:pPr>
        <w:pStyle w:val="BodyText"/>
        <w:spacing w:line="360" w:lineRule="auto" w:before="10"/>
        <w:ind w:left="220" w:right="649"/>
        <w:jc w:val="both"/>
      </w:pPr>
      <w:r>
        <w:rPr/>
        <w:t>Dado que el interés de la estimación se centra en los efectos del servicio de vista en los</w:t>
      </w:r>
      <w:r>
        <w:rPr>
          <w:spacing w:val="-15"/>
        </w:rPr>
        <w:t> </w:t>
      </w:r>
      <w:r>
        <w:rPr/>
        <w:t>precios</w:t>
      </w:r>
      <w:r>
        <w:rPr>
          <w:spacing w:val="-10"/>
        </w:rPr>
        <w:t> </w:t>
      </w:r>
      <w:r>
        <w:rPr/>
        <w:t>de</w:t>
      </w:r>
      <w:r>
        <w:rPr>
          <w:spacing w:val="-12"/>
        </w:rPr>
        <w:t> </w:t>
      </w:r>
      <w:r>
        <w:rPr/>
        <w:t>los</w:t>
      </w:r>
      <w:r>
        <w:rPr>
          <w:spacing w:val="-10"/>
        </w:rPr>
        <w:t> </w:t>
      </w:r>
      <w:r>
        <w:rPr/>
        <w:t>inmuebles,</w:t>
      </w:r>
      <w:r>
        <w:rPr>
          <w:spacing w:val="-14"/>
        </w:rPr>
        <w:t> </w:t>
      </w:r>
      <w:r>
        <w:rPr/>
        <w:t>se</w:t>
      </w:r>
      <w:r>
        <w:rPr>
          <w:spacing w:val="-15"/>
        </w:rPr>
        <w:t> </w:t>
      </w:r>
      <w:r>
        <w:rPr/>
        <w:t>consideraron</w:t>
      </w:r>
      <w:r>
        <w:rPr>
          <w:spacing w:val="-16"/>
        </w:rPr>
        <w:t> </w:t>
      </w:r>
      <w:r>
        <w:rPr/>
        <w:t>varias</w:t>
      </w:r>
      <w:r>
        <w:rPr>
          <w:spacing w:val="-11"/>
        </w:rPr>
        <w:t> </w:t>
      </w:r>
      <w:r>
        <w:rPr/>
        <w:t>posibilidades</w:t>
      </w:r>
      <w:r>
        <w:rPr>
          <w:spacing w:val="-10"/>
        </w:rPr>
        <w:t> </w:t>
      </w:r>
      <w:r>
        <w:rPr/>
        <w:t>de</w:t>
      </w:r>
      <w:r>
        <w:rPr>
          <w:spacing w:val="-16"/>
        </w:rPr>
        <w:t> </w:t>
      </w:r>
      <w:r>
        <w:rPr/>
        <w:t>fuentes</w:t>
      </w:r>
      <w:r>
        <w:rPr>
          <w:spacing w:val="-14"/>
        </w:rPr>
        <w:t> </w:t>
      </w:r>
      <w:r>
        <w:rPr/>
        <w:t>de</w:t>
      </w:r>
      <w:r>
        <w:rPr>
          <w:spacing w:val="-16"/>
        </w:rPr>
        <w:t> </w:t>
      </w:r>
      <w:r>
        <w:rPr/>
        <w:t>datos de precios como variable dependiente. Entre ellas se encuentran los precios fiscales, los precios de venta en las bases de datos de las instituciones financieras, el precio de venta en los anuncios comerciales y otros. El hecho de que se quiera medir el efecto del servicio de vista sobre el precio del inmueble plantea que primeramente debe tratarse de no solamente un hecho objetivo, sino que se convierta en un</w:t>
      </w:r>
      <w:r>
        <w:rPr>
          <w:spacing w:val="36"/>
        </w:rPr>
        <w:t> </w:t>
      </w:r>
      <w:r>
        <w:rPr/>
        <w:t>hecho</w:t>
      </w:r>
    </w:p>
    <w:p>
      <w:pPr>
        <w:spacing w:after="0" w:line="360" w:lineRule="auto"/>
        <w:jc w:val="both"/>
        <w:sectPr>
          <w:pgSz w:w="12240" w:h="15840"/>
          <w:pgMar w:header="0" w:footer="1062" w:top="1340" w:bottom="1260" w:left="1480" w:right="820"/>
        </w:sectPr>
      </w:pPr>
    </w:p>
    <w:p>
      <w:pPr>
        <w:pStyle w:val="BodyText"/>
        <w:spacing w:line="360" w:lineRule="auto" w:before="75"/>
        <w:ind w:left="220" w:right="644"/>
        <w:jc w:val="both"/>
      </w:pPr>
      <w:r>
        <w:rPr/>
        <w:t>percibido por los propietarios o corredores de bienes raíces como un elemento importante a resaltar en calidad de beneficio del inmueble. Por esa razón, se decidió utilizar</w:t>
      </w:r>
      <w:r>
        <w:rPr>
          <w:spacing w:val="-15"/>
        </w:rPr>
        <w:t> </w:t>
      </w:r>
      <w:r>
        <w:rPr/>
        <w:t>el</w:t>
      </w:r>
      <w:r>
        <w:rPr>
          <w:spacing w:val="-16"/>
        </w:rPr>
        <w:t> </w:t>
      </w:r>
      <w:r>
        <w:rPr/>
        <w:t>precio</w:t>
      </w:r>
      <w:r>
        <w:rPr>
          <w:spacing w:val="-16"/>
        </w:rPr>
        <w:t> </w:t>
      </w:r>
      <w:r>
        <w:rPr/>
        <w:t>de</w:t>
      </w:r>
      <w:r>
        <w:rPr>
          <w:spacing w:val="-17"/>
        </w:rPr>
        <w:t> </w:t>
      </w:r>
      <w:r>
        <w:rPr/>
        <w:t>oferta</w:t>
      </w:r>
      <w:r>
        <w:rPr>
          <w:spacing w:val="-16"/>
        </w:rPr>
        <w:t> </w:t>
      </w:r>
      <w:r>
        <w:rPr/>
        <w:t>para</w:t>
      </w:r>
      <w:r>
        <w:rPr>
          <w:spacing w:val="-17"/>
        </w:rPr>
        <w:t> </w:t>
      </w:r>
      <w:r>
        <w:rPr/>
        <w:t>la</w:t>
      </w:r>
      <w:r>
        <w:rPr>
          <w:spacing w:val="-16"/>
        </w:rPr>
        <w:t> </w:t>
      </w:r>
      <w:r>
        <w:rPr/>
        <w:t>venta</w:t>
      </w:r>
      <w:r>
        <w:rPr>
          <w:spacing w:val="-17"/>
        </w:rPr>
        <w:t> </w:t>
      </w:r>
      <w:r>
        <w:rPr/>
        <w:t>del</w:t>
      </w:r>
      <w:r>
        <w:rPr>
          <w:spacing w:val="-16"/>
        </w:rPr>
        <w:t> </w:t>
      </w:r>
      <w:r>
        <w:rPr/>
        <w:t>inmueble.</w:t>
      </w:r>
      <w:r>
        <w:rPr>
          <w:spacing w:val="-13"/>
        </w:rPr>
        <w:t> </w:t>
      </w:r>
      <w:r>
        <w:rPr/>
        <w:t>Como</w:t>
      </w:r>
      <w:r>
        <w:rPr>
          <w:spacing w:val="-17"/>
        </w:rPr>
        <w:t> </w:t>
      </w:r>
      <w:r>
        <w:rPr/>
        <w:t>se</w:t>
      </w:r>
      <w:r>
        <w:rPr>
          <w:spacing w:val="-16"/>
        </w:rPr>
        <w:t> </w:t>
      </w:r>
      <w:r>
        <w:rPr/>
        <w:t>expresó</w:t>
      </w:r>
      <w:r>
        <w:rPr>
          <w:spacing w:val="-17"/>
        </w:rPr>
        <w:t> </w:t>
      </w:r>
      <w:r>
        <w:rPr/>
        <w:t>arriba,</w:t>
      </w:r>
      <w:r>
        <w:rPr>
          <w:spacing w:val="-14"/>
        </w:rPr>
        <w:t> </w:t>
      </w:r>
      <w:r>
        <w:rPr/>
        <w:t>se</w:t>
      </w:r>
      <w:r>
        <w:rPr>
          <w:spacing w:val="-16"/>
        </w:rPr>
        <w:t> </w:t>
      </w:r>
      <w:r>
        <w:rPr/>
        <w:t>limita el estudio a la oferta de condominios y de casas de</w:t>
      </w:r>
      <w:r>
        <w:rPr>
          <w:spacing w:val="-12"/>
        </w:rPr>
        <w:t> </w:t>
      </w:r>
      <w:r>
        <w:rPr/>
        <w:t>habitación.</w:t>
      </w:r>
    </w:p>
    <w:p>
      <w:pPr>
        <w:pStyle w:val="BodyText"/>
        <w:spacing w:line="360" w:lineRule="auto" w:before="201"/>
        <w:ind w:left="220" w:right="648"/>
        <w:jc w:val="both"/>
      </w:pPr>
      <w:r>
        <w:rPr/>
        <w:t>Con el fin de contar con comunidades que tuviesen potencialmente un nivel panorámico de vista comparable (cuenca de vista), primeramente, se examinaron los perfiles de vista de la ZP La Carpintera. El área protegida tiene dos, uno hacia el noroeste y otro hacia el sureste.</w:t>
      </w:r>
    </w:p>
    <w:p>
      <w:pPr>
        <w:pStyle w:val="BodyText"/>
        <w:spacing w:line="360" w:lineRule="auto" w:before="200"/>
        <w:ind w:left="220" w:right="637"/>
        <w:jc w:val="both"/>
      </w:pPr>
      <w:r>
        <w:rPr/>
        <w:t>La cuenca hacia el noroeste (demarcada por las líneas de guiones naranja, con la dirección</w:t>
      </w:r>
      <w:r>
        <w:rPr>
          <w:spacing w:val="-8"/>
        </w:rPr>
        <w:t> </w:t>
      </w:r>
      <w:r>
        <w:rPr/>
        <w:t>indicada</w:t>
      </w:r>
      <w:r>
        <w:rPr>
          <w:spacing w:val="-4"/>
        </w:rPr>
        <w:t> </w:t>
      </w:r>
      <w:r>
        <w:rPr/>
        <w:t>por</w:t>
      </w:r>
      <w:r>
        <w:rPr>
          <w:spacing w:val="-5"/>
        </w:rPr>
        <w:t> </w:t>
      </w:r>
      <w:r>
        <w:rPr/>
        <w:t>la</w:t>
      </w:r>
      <w:r>
        <w:rPr>
          <w:spacing w:val="-8"/>
        </w:rPr>
        <w:t> </w:t>
      </w:r>
      <w:r>
        <w:rPr/>
        <w:t>flecha</w:t>
      </w:r>
      <w:r>
        <w:rPr>
          <w:spacing w:val="-8"/>
        </w:rPr>
        <w:t> </w:t>
      </w:r>
      <w:r>
        <w:rPr/>
        <w:t>en</w:t>
      </w:r>
      <w:r>
        <w:rPr>
          <w:spacing w:val="-3"/>
        </w:rPr>
        <w:t> </w:t>
      </w:r>
      <w:r>
        <w:rPr/>
        <w:t>morado</w:t>
      </w:r>
      <w:r>
        <w:rPr>
          <w:spacing w:val="-8"/>
        </w:rPr>
        <w:t> </w:t>
      </w:r>
      <w:r>
        <w:rPr/>
        <w:t>en</w:t>
      </w:r>
      <w:r>
        <w:rPr>
          <w:spacing w:val="-8"/>
        </w:rPr>
        <w:t> </w:t>
      </w:r>
      <w:r>
        <w:rPr/>
        <w:t>la</w:t>
      </w:r>
      <w:r>
        <w:rPr>
          <w:spacing w:val="-3"/>
        </w:rPr>
        <w:t> </w:t>
      </w:r>
      <w:r>
        <w:rPr/>
        <w:t>Figura</w:t>
      </w:r>
      <w:r>
        <w:rPr>
          <w:spacing w:val="-8"/>
        </w:rPr>
        <w:t> </w:t>
      </w:r>
      <w:r>
        <w:rPr/>
        <w:t>26)</w:t>
      </w:r>
      <w:r>
        <w:rPr>
          <w:spacing w:val="-1"/>
        </w:rPr>
        <w:t> </w:t>
      </w:r>
      <w:r>
        <w:rPr/>
        <w:t>puede</w:t>
      </w:r>
      <w:r>
        <w:rPr>
          <w:spacing w:val="-7"/>
        </w:rPr>
        <w:t> </w:t>
      </w:r>
      <w:r>
        <w:rPr/>
        <w:t>dividirse</w:t>
      </w:r>
      <w:r>
        <w:rPr>
          <w:spacing w:val="-8"/>
        </w:rPr>
        <w:t> </w:t>
      </w:r>
      <w:r>
        <w:rPr/>
        <w:t>en</w:t>
      </w:r>
      <w:r>
        <w:rPr>
          <w:spacing w:val="-8"/>
        </w:rPr>
        <w:t> </w:t>
      </w:r>
      <w:r>
        <w:rPr/>
        <w:t>dos,</w:t>
      </w:r>
      <w:r>
        <w:rPr>
          <w:spacing w:val="-4"/>
        </w:rPr>
        <w:t> </w:t>
      </w:r>
      <w:r>
        <w:rPr/>
        <w:t>en tanto es ligeramente interrumpida por La Colina en San Antonio de Desamparados. Abarca</w:t>
      </w:r>
      <w:r>
        <w:rPr>
          <w:spacing w:val="-8"/>
        </w:rPr>
        <w:t> </w:t>
      </w:r>
      <w:r>
        <w:rPr/>
        <w:t>un</w:t>
      </w:r>
      <w:r>
        <w:rPr>
          <w:spacing w:val="-8"/>
        </w:rPr>
        <w:t> </w:t>
      </w:r>
      <w:r>
        <w:rPr/>
        <w:t>rango</w:t>
      </w:r>
      <w:r>
        <w:rPr>
          <w:spacing w:val="-7"/>
        </w:rPr>
        <w:t> </w:t>
      </w:r>
      <w:r>
        <w:rPr/>
        <w:t>desde</w:t>
      </w:r>
      <w:r>
        <w:rPr>
          <w:spacing w:val="-8"/>
        </w:rPr>
        <w:t> </w:t>
      </w:r>
      <w:r>
        <w:rPr/>
        <w:t>aproximadamente</w:t>
      </w:r>
      <w:r>
        <w:rPr>
          <w:spacing w:val="-8"/>
        </w:rPr>
        <w:t> </w:t>
      </w:r>
      <w:r>
        <w:rPr/>
        <w:t>la</w:t>
      </w:r>
      <w:r>
        <w:rPr>
          <w:spacing w:val="-7"/>
        </w:rPr>
        <w:t> </w:t>
      </w:r>
      <w:r>
        <w:rPr/>
        <w:t>línea</w:t>
      </w:r>
      <w:r>
        <w:rPr>
          <w:spacing w:val="-8"/>
        </w:rPr>
        <w:t> </w:t>
      </w:r>
      <w:r>
        <w:rPr/>
        <w:t>visual</w:t>
      </w:r>
      <w:r>
        <w:rPr>
          <w:spacing w:val="-7"/>
        </w:rPr>
        <w:t> </w:t>
      </w:r>
      <w:r>
        <w:rPr/>
        <w:t>que</w:t>
      </w:r>
      <w:r>
        <w:rPr>
          <w:spacing w:val="-8"/>
        </w:rPr>
        <w:t> </w:t>
      </w:r>
      <w:r>
        <w:rPr/>
        <w:t>se</w:t>
      </w:r>
      <w:r>
        <w:rPr>
          <w:spacing w:val="-7"/>
        </w:rPr>
        <w:t> </w:t>
      </w:r>
      <w:r>
        <w:rPr/>
        <w:t>puede</w:t>
      </w:r>
      <w:r>
        <w:rPr>
          <w:spacing w:val="-8"/>
        </w:rPr>
        <w:t> </w:t>
      </w:r>
      <w:r>
        <w:rPr/>
        <w:t>trazar</w:t>
      </w:r>
      <w:r>
        <w:rPr>
          <w:spacing w:val="-6"/>
        </w:rPr>
        <w:t> </w:t>
      </w:r>
      <w:r>
        <w:rPr/>
        <w:t>de</w:t>
      </w:r>
      <w:r>
        <w:rPr>
          <w:spacing w:val="-7"/>
        </w:rPr>
        <w:t> </w:t>
      </w:r>
      <w:r>
        <w:rPr/>
        <w:t>sur</w:t>
      </w:r>
      <w:r>
        <w:rPr>
          <w:spacing w:val="-6"/>
        </w:rPr>
        <w:t> </w:t>
      </w:r>
      <w:r>
        <w:rPr/>
        <w:t>a norte</w:t>
      </w:r>
      <w:r>
        <w:rPr>
          <w:spacing w:val="-9"/>
        </w:rPr>
        <w:t> </w:t>
      </w:r>
      <w:r>
        <w:rPr/>
        <w:t>desde</w:t>
      </w:r>
      <w:r>
        <w:rPr>
          <w:spacing w:val="-8"/>
        </w:rPr>
        <w:t> </w:t>
      </w:r>
      <w:r>
        <w:rPr/>
        <w:t>el</w:t>
      </w:r>
      <w:r>
        <w:rPr>
          <w:spacing w:val="-7"/>
        </w:rPr>
        <w:t> </w:t>
      </w:r>
      <w:r>
        <w:rPr/>
        <w:t>inicio</w:t>
      </w:r>
      <w:r>
        <w:rPr>
          <w:spacing w:val="-8"/>
        </w:rPr>
        <w:t> </w:t>
      </w:r>
      <w:r>
        <w:rPr/>
        <w:t>de</w:t>
      </w:r>
      <w:r>
        <w:rPr>
          <w:spacing w:val="-8"/>
        </w:rPr>
        <w:t> </w:t>
      </w:r>
      <w:r>
        <w:rPr/>
        <w:t>la</w:t>
      </w:r>
      <w:r>
        <w:rPr>
          <w:spacing w:val="-9"/>
        </w:rPr>
        <w:t> </w:t>
      </w:r>
      <w:r>
        <w:rPr/>
        <w:t>cuesta</w:t>
      </w:r>
      <w:r>
        <w:rPr>
          <w:spacing w:val="-8"/>
        </w:rPr>
        <w:t> </w:t>
      </w:r>
      <w:r>
        <w:rPr/>
        <w:t>del</w:t>
      </w:r>
      <w:r>
        <w:rPr>
          <w:spacing w:val="-7"/>
        </w:rPr>
        <w:t> </w:t>
      </w:r>
      <w:r>
        <w:rPr/>
        <w:t>Alto</w:t>
      </w:r>
      <w:r>
        <w:rPr>
          <w:spacing w:val="-8"/>
        </w:rPr>
        <w:t> </w:t>
      </w:r>
      <w:r>
        <w:rPr/>
        <w:t>de</w:t>
      </w:r>
      <w:r>
        <w:rPr>
          <w:spacing w:val="-8"/>
        </w:rPr>
        <w:t> </w:t>
      </w:r>
      <w:r>
        <w:rPr/>
        <w:t>Ochomogo</w:t>
      </w:r>
      <w:r>
        <w:rPr>
          <w:spacing w:val="-6"/>
        </w:rPr>
        <w:t> </w:t>
      </w:r>
      <w:r>
        <w:rPr/>
        <w:t>pasando</w:t>
      </w:r>
      <w:r>
        <w:rPr>
          <w:spacing w:val="-8"/>
        </w:rPr>
        <w:t> </w:t>
      </w:r>
      <w:r>
        <w:rPr/>
        <w:t>por</w:t>
      </w:r>
      <w:r>
        <w:rPr>
          <w:spacing w:val="-6"/>
        </w:rPr>
        <w:t> </w:t>
      </w:r>
      <w:r>
        <w:rPr/>
        <w:t>el</w:t>
      </w:r>
      <w:r>
        <w:rPr>
          <w:spacing w:val="-7"/>
        </w:rPr>
        <w:t> </w:t>
      </w:r>
      <w:r>
        <w:rPr/>
        <w:t>sector</w:t>
      </w:r>
      <w:r>
        <w:rPr>
          <w:spacing w:val="-6"/>
        </w:rPr>
        <w:t> </w:t>
      </w:r>
      <w:r>
        <w:rPr/>
        <w:t>este</w:t>
      </w:r>
      <w:r>
        <w:rPr>
          <w:spacing w:val="-8"/>
        </w:rPr>
        <w:t> </w:t>
      </w:r>
      <w:r>
        <w:rPr/>
        <w:t>de</w:t>
      </w:r>
    </w:p>
    <w:p>
      <w:pPr>
        <w:pStyle w:val="BodyText"/>
        <w:spacing w:before="7"/>
        <w:rPr>
          <w:sz w:val="9"/>
        </w:rPr>
      </w:pPr>
      <w:r>
        <w:rPr/>
        <w:drawing>
          <wp:anchor distT="0" distB="0" distL="0" distR="0" allowOverlap="1" layoutInCell="1" locked="0" behindDoc="0" simplePos="0" relativeHeight="76">
            <wp:simplePos x="0" y="0"/>
            <wp:positionH relativeFrom="page">
              <wp:posOffset>1068705</wp:posOffset>
            </wp:positionH>
            <wp:positionV relativeFrom="paragraph">
              <wp:posOffset>95413</wp:posOffset>
            </wp:positionV>
            <wp:extent cx="5834285" cy="2880360"/>
            <wp:effectExtent l="0" t="0" r="0" b="0"/>
            <wp:wrapTopAndBottom/>
            <wp:docPr id="63" name="image57.jpeg"/>
            <wp:cNvGraphicFramePr>
              <a:graphicFrameLocks noChangeAspect="1"/>
            </wp:cNvGraphicFramePr>
            <a:graphic>
              <a:graphicData uri="http://schemas.openxmlformats.org/drawingml/2006/picture">
                <pic:pic>
                  <pic:nvPicPr>
                    <pic:cNvPr id="64" name="image57.jpeg"/>
                    <pic:cNvPicPr/>
                  </pic:nvPicPr>
                  <pic:blipFill>
                    <a:blip r:embed="rId79" cstate="print"/>
                    <a:stretch>
                      <a:fillRect/>
                    </a:stretch>
                  </pic:blipFill>
                  <pic:spPr>
                    <a:xfrm>
                      <a:off x="0" y="0"/>
                      <a:ext cx="5834285" cy="2880360"/>
                    </a:xfrm>
                    <a:prstGeom prst="rect">
                      <a:avLst/>
                    </a:prstGeom>
                  </pic:spPr>
                </pic:pic>
              </a:graphicData>
            </a:graphic>
          </wp:anchor>
        </w:drawing>
      </w:r>
    </w:p>
    <w:p>
      <w:pPr>
        <w:spacing w:line="229" w:lineRule="exact" w:before="86"/>
        <w:ind w:left="235" w:right="663" w:firstLine="0"/>
        <w:jc w:val="center"/>
        <w:rPr>
          <w:i/>
          <w:sz w:val="20"/>
        </w:rPr>
      </w:pPr>
      <w:bookmarkStart w:name="_bookmark38" w:id="53"/>
      <w:bookmarkEnd w:id="53"/>
      <w:r>
        <w:rPr/>
      </w:r>
      <w:r>
        <w:rPr>
          <w:i/>
          <w:sz w:val="20"/>
        </w:rPr>
        <w:t>Figura 26- Ubicación Aproximada de la Cuenca de Vista Noroeste de la ZP La Carpintera</w:t>
      </w:r>
      <w:r>
        <w:rPr>
          <w:i/>
          <w:sz w:val="20"/>
          <w:vertAlign w:val="superscript"/>
        </w:rPr>
        <w:t>22</w:t>
      </w:r>
      <w:r>
        <w:rPr>
          <w:i/>
          <w:sz w:val="20"/>
          <w:vertAlign w:val="baseline"/>
        </w:rPr>
        <w:t>.</w:t>
      </w:r>
    </w:p>
    <w:p>
      <w:pPr>
        <w:spacing w:line="229" w:lineRule="exact" w:before="0"/>
        <w:ind w:left="240" w:right="663" w:firstLine="0"/>
        <w:jc w:val="center"/>
        <w:rPr>
          <w:i/>
          <w:sz w:val="20"/>
        </w:rPr>
      </w:pPr>
      <w:r>
        <w:rPr>
          <w:i/>
          <w:sz w:val="20"/>
        </w:rPr>
        <w:t>Fuente: Elaboración Propia con base en imagen de Google Earth.</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17"/>
        </w:rPr>
      </w:pPr>
      <w:r>
        <w:rPr/>
        <w:pict>
          <v:rect style="position:absolute;margin-left:85.025002pt;margin-top:12.144909pt;width:144.050pt;height:.599980pt;mso-position-horizontal-relative:page;mso-position-vertical-relative:paragraph;z-index:-15689216;mso-wrap-distance-left:0;mso-wrap-distance-right:0" filled="true" fillcolor="#000000" stroked="false">
            <v:fill type="solid"/>
            <w10:wrap type="topAndBottom"/>
          </v:rect>
        </w:pict>
      </w:r>
    </w:p>
    <w:p>
      <w:pPr>
        <w:spacing w:line="240" w:lineRule="auto" w:before="71"/>
        <w:ind w:left="220" w:right="713" w:firstLine="0"/>
        <w:jc w:val="left"/>
        <w:rPr>
          <w:sz w:val="20"/>
        </w:rPr>
      </w:pPr>
      <w:r>
        <w:rPr>
          <w:sz w:val="20"/>
          <w:vertAlign w:val="superscript"/>
        </w:rPr>
        <w:t>22</w:t>
      </w:r>
      <w:r>
        <w:rPr>
          <w:sz w:val="20"/>
          <w:vertAlign w:val="baseline"/>
        </w:rPr>
        <w:t> Las cuencas de vista en la Figura 26 y 27 se encuentran delimitadas por los guiones naranja y su dirección por las flechas de color morado. Los límites de la ZP se indican por la línea continua en amarillo.</w:t>
      </w:r>
    </w:p>
    <w:p>
      <w:pPr>
        <w:spacing w:after="0" w:line="240" w:lineRule="auto"/>
        <w:jc w:val="left"/>
        <w:rPr>
          <w:sz w:val="20"/>
        </w:rPr>
        <w:sectPr>
          <w:pgSz w:w="12240" w:h="15840"/>
          <w:pgMar w:header="0" w:footer="1062" w:top="1340" w:bottom="1260" w:left="1480" w:right="820"/>
        </w:sectPr>
      </w:pPr>
    </w:p>
    <w:p>
      <w:pPr>
        <w:pStyle w:val="BodyText"/>
        <w:spacing w:line="360" w:lineRule="auto" w:before="75"/>
        <w:ind w:left="220" w:right="648"/>
        <w:jc w:val="both"/>
      </w:pPr>
      <w:r>
        <w:rPr/>
        <w:t>la</w:t>
      </w:r>
      <w:r>
        <w:rPr>
          <w:spacing w:val="-19"/>
        </w:rPr>
        <w:t> </w:t>
      </w:r>
      <w:r>
        <w:rPr/>
        <w:t>ciudad</w:t>
      </w:r>
      <w:r>
        <w:rPr>
          <w:spacing w:val="-18"/>
        </w:rPr>
        <w:t> </w:t>
      </w:r>
      <w:r>
        <w:rPr/>
        <w:t>de</w:t>
      </w:r>
      <w:r>
        <w:rPr>
          <w:spacing w:val="-15"/>
        </w:rPr>
        <w:t> </w:t>
      </w:r>
      <w:r>
        <w:rPr/>
        <w:t>Tres</w:t>
      </w:r>
      <w:r>
        <w:rPr>
          <w:spacing w:val="-16"/>
        </w:rPr>
        <w:t> </w:t>
      </w:r>
      <w:r>
        <w:rPr/>
        <w:t>Ríos.</w:t>
      </w:r>
      <w:r>
        <w:rPr>
          <w:spacing w:val="-15"/>
        </w:rPr>
        <w:t> </w:t>
      </w:r>
      <w:r>
        <w:rPr/>
        <w:t>Al</w:t>
      </w:r>
      <w:r>
        <w:rPr>
          <w:spacing w:val="-19"/>
        </w:rPr>
        <w:t> </w:t>
      </w:r>
      <w:r>
        <w:rPr/>
        <w:t>oeste</w:t>
      </w:r>
      <w:r>
        <w:rPr>
          <w:spacing w:val="-14"/>
        </w:rPr>
        <w:t> </w:t>
      </w:r>
      <w:r>
        <w:rPr/>
        <w:t>el</w:t>
      </w:r>
      <w:r>
        <w:rPr>
          <w:spacing w:val="-17"/>
        </w:rPr>
        <w:t> </w:t>
      </w:r>
      <w:r>
        <w:rPr/>
        <w:t>límite</w:t>
      </w:r>
      <w:r>
        <w:rPr>
          <w:spacing w:val="-16"/>
        </w:rPr>
        <w:t> </w:t>
      </w:r>
      <w:r>
        <w:rPr/>
        <w:t>coincide</w:t>
      </w:r>
      <w:r>
        <w:rPr>
          <w:spacing w:val="-18"/>
        </w:rPr>
        <w:t> </w:t>
      </w:r>
      <w:r>
        <w:rPr/>
        <w:t>con</w:t>
      </w:r>
      <w:r>
        <w:rPr>
          <w:spacing w:val="-14"/>
        </w:rPr>
        <w:t> </w:t>
      </w:r>
      <w:r>
        <w:rPr/>
        <w:t>la</w:t>
      </w:r>
      <w:r>
        <w:rPr>
          <w:spacing w:val="-14"/>
        </w:rPr>
        <w:t> </w:t>
      </w:r>
      <w:r>
        <w:rPr/>
        <w:t>pendiente</w:t>
      </w:r>
      <w:r>
        <w:rPr>
          <w:spacing w:val="-18"/>
        </w:rPr>
        <w:t> </w:t>
      </w:r>
      <w:r>
        <w:rPr/>
        <w:t>desde</w:t>
      </w:r>
      <w:r>
        <w:rPr>
          <w:spacing w:val="-19"/>
        </w:rPr>
        <w:t> </w:t>
      </w:r>
      <w:r>
        <w:rPr/>
        <w:t>Patarrá</w:t>
      </w:r>
      <w:r>
        <w:rPr>
          <w:spacing w:val="-17"/>
        </w:rPr>
        <w:t> </w:t>
      </w:r>
      <w:r>
        <w:rPr/>
        <w:t>hacia Guatuso.</w:t>
      </w:r>
      <w:r>
        <w:rPr>
          <w:spacing w:val="-13"/>
        </w:rPr>
        <w:t> </w:t>
      </w:r>
      <w:r>
        <w:rPr/>
        <w:t>El</w:t>
      </w:r>
      <w:r>
        <w:rPr>
          <w:spacing w:val="-16"/>
        </w:rPr>
        <w:t> </w:t>
      </w:r>
      <w:r>
        <w:rPr/>
        <w:t>rango</w:t>
      </w:r>
      <w:r>
        <w:rPr>
          <w:spacing w:val="-16"/>
        </w:rPr>
        <w:t> </w:t>
      </w:r>
      <w:r>
        <w:rPr/>
        <w:t>incluye</w:t>
      </w:r>
      <w:r>
        <w:rPr>
          <w:spacing w:val="-12"/>
        </w:rPr>
        <w:t> </w:t>
      </w:r>
      <w:r>
        <w:rPr/>
        <w:t>los</w:t>
      </w:r>
      <w:r>
        <w:rPr>
          <w:spacing w:val="-14"/>
        </w:rPr>
        <w:t> </w:t>
      </w:r>
      <w:r>
        <w:rPr/>
        <w:t>distritos</w:t>
      </w:r>
      <w:r>
        <w:rPr>
          <w:spacing w:val="-10"/>
        </w:rPr>
        <w:t> </w:t>
      </w:r>
      <w:r>
        <w:rPr/>
        <w:t>de</w:t>
      </w:r>
      <w:r>
        <w:rPr>
          <w:spacing w:val="-16"/>
        </w:rPr>
        <w:t> </w:t>
      </w:r>
      <w:r>
        <w:rPr/>
        <w:t>La</w:t>
      </w:r>
      <w:r>
        <w:rPr>
          <w:spacing w:val="-16"/>
        </w:rPr>
        <w:t> </w:t>
      </w:r>
      <w:r>
        <w:rPr/>
        <w:t>Unión</w:t>
      </w:r>
      <w:r>
        <w:rPr>
          <w:spacing w:val="-12"/>
        </w:rPr>
        <w:t> </w:t>
      </w:r>
      <w:r>
        <w:rPr/>
        <w:t>y</w:t>
      </w:r>
      <w:r>
        <w:rPr>
          <w:spacing w:val="-17"/>
        </w:rPr>
        <w:t> </w:t>
      </w:r>
      <w:r>
        <w:rPr/>
        <w:t>San</w:t>
      </w:r>
      <w:r>
        <w:rPr>
          <w:spacing w:val="-16"/>
        </w:rPr>
        <w:t> </w:t>
      </w:r>
      <w:r>
        <w:rPr/>
        <w:t>Diego</w:t>
      </w:r>
      <w:r>
        <w:rPr>
          <w:spacing w:val="-16"/>
        </w:rPr>
        <w:t> </w:t>
      </w:r>
      <w:r>
        <w:rPr/>
        <w:t>de</w:t>
      </w:r>
      <w:r>
        <w:rPr>
          <w:spacing w:val="-16"/>
        </w:rPr>
        <w:t> </w:t>
      </w:r>
      <w:r>
        <w:rPr/>
        <w:t>La</w:t>
      </w:r>
      <w:r>
        <w:rPr>
          <w:spacing w:val="-14"/>
        </w:rPr>
        <w:t> </w:t>
      </w:r>
      <w:r>
        <w:rPr/>
        <w:t>Unión,</w:t>
      </w:r>
      <w:r>
        <w:rPr>
          <w:spacing w:val="-9"/>
        </w:rPr>
        <w:t> </w:t>
      </w:r>
      <w:r>
        <w:rPr/>
        <w:t>Sánchez, Tirrases, Curridabat y Patarrá en Desamparados. Se trata de una cuenca donde fundamentalmente los usos residenciales urbanos limitan directamente con la</w:t>
      </w:r>
      <w:r>
        <w:rPr>
          <w:spacing w:val="-20"/>
        </w:rPr>
        <w:t> </w:t>
      </w:r>
      <w:r>
        <w:rPr/>
        <w:t>ZP.</w:t>
      </w:r>
    </w:p>
    <w:p>
      <w:pPr>
        <w:pStyle w:val="BodyText"/>
        <w:spacing w:line="360" w:lineRule="auto" w:before="201"/>
        <w:ind w:left="220" w:right="638"/>
        <w:jc w:val="both"/>
      </w:pPr>
      <w:r>
        <w:rPr/>
        <w:t>La</w:t>
      </w:r>
      <w:r>
        <w:rPr>
          <w:spacing w:val="-11"/>
        </w:rPr>
        <w:t> </w:t>
      </w:r>
      <w:r>
        <w:rPr/>
        <w:t>cuenca</w:t>
      </w:r>
      <w:r>
        <w:rPr>
          <w:spacing w:val="-7"/>
        </w:rPr>
        <w:t> </w:t>
      </w:r>
      <w:r>
        <w:rPr/>
        <w:t>hacia</w:t>
      </w:r>
      <w:r>
        <w:rPr>
          <w:spacing w:val="-11"/>
        </w:rPr>
        <w:t> </w:t>
      </w:r>
      <w:r>
        <w:rPr/>
        <w:t>el</w:t>
      </w:r>
      <w:r>
        <w:rPr>
          <w:spacing w:val="-9"/>
        </w:rPr>
        <w:t> </w:t>
      </w:r>
      <w:r>
        <w:rPr/>
        <w:t>sureste</w:t>
      </w:r>
      <w:r>
        <w:rPr>
          <w:spacing w:val="-9"/>
        </w:rPr>
        <w:t> </w:t>
      </w:r>
      <w:r>
        <w:rPr/>
        <w:t>(Figura</w:t>
      </w:r>
      <w:r>
        <w:rPr>
          <w:spacing w:val="-7"/>
        </w:rPr>
        <w:t> </w:t>
      </w:r>
      <w:r>
        <w:rPr/>
        <w:t>27)</w:t>
      </w:r>
      <w:r>
        <w:rPr>
          <w:spacing w:val="-4"/>
        </w:rPr>
        <w:t> </w:t>
      </w:r>
      <w:r>
        <w:rPr/>
        <w:t>se</w:t>
      </w:r>
      <w:r>
        <w:rPr>
          <w:spacing w:val="-11"/>
        </w:rPr>
        <w:t> </w:t>
      </w:r>
      <w:r>
        <w:rPr/>
        <w:t>ubica</w:t>
      </w:r>
      <w:r>
        <w:rPr>
          <w:spacing w:val="-10"/>
        </w:rPr>
        <w:t> </w:t>
      </w:r>
      <w:r>
        <w:rPr/>
        <w:t>en</w:t>
      </w:r>
      <w:r>
        <w:rPr>
          <w:spacing w:val="-11"/>
        </w:rPr>
        <w:t> </w:t>
      </w:r>
      <w:r>
        <w:rPr/>
        <w:t>el</w:t>
      </w:r>
      <w:r>
        <w:rPr>
          <w:spacing w:val="-10"/>
        </w:rPr>
        <w:t> </w:t>
      </w:r>
      <w:r>
        <w:rPr/>
        <w:t>cantón</w:t>
      </w:r>
      <w:r>
        <w:rPr>
          <w:spacing w:val="-7"/>
        </w:rPr>
        <w:t> </w:t>
      </w:r>
      <w:r>
        <w:rPr/>
        <w:t>de</w:t>
      </w:r>
      <w:r>
        <w:rPr>
          <w:spacing w:val="-10"/>
        </w:rPr>
        <w:t> </w:t>
      </w:r>
      <w:r>
        <w:rPr/>
        <w:t>Cartago,</w:t>
      </w:r>
      <w:r>
        <w:rPr>
          <w:spacing w:val="-8"/>
        </w:rPr>
        <w:t> </w:t>
      </w:r>
      <w:r>
        <w:rPr/>
        <w:t>con</w:t>
      </w:r>
      <w:r>
        <w:rPr>
          <w:spacing w:val="-7"/>
        </w:rPr>
        <w:t> </w:t>
      </w:r>
      <w:r>
        <w:rPr/>
        <w:t>un</w:t>
      </w:r>
      <w:r>
        <w:rPr>
          <w:spacing w:val="-11"/>
        </w:rPr>
        <w:t> </w:t>
      </w:r>
      <w:r>
        <w:rPr/>
        <w:t>límite que corre hacia el este casi en paralelo de la vía principal de entrada a Taras de Cartago. La línea limítrofe hacia el sureste va paralela a las estribaciones de la cordillera de Talamanca hacia el extremo sur del Tejar del Guarco. En esta vista se da una gradación de usos de la tierra que van de este a oeste desde el uso urbano hasta un uso marcadamente industrial y posteriormente agrícola hasta el límite de la ZP. Algunas zonas cercanas o </w:t>
      </w:r>
      <w:r>
        <w:rPr>
          <w:spacing w:val="-2"/>
        </w:rPr>
        <w:t>más </w:t>
      </w:r>
      <w:r>
        <w:rPr/>
        <w:t>hacia el sur se han comenzado a transformar en zonas residenciales.</w:t>
      </w:r>
    </w:p>
    <w:p>
      <w:pPr>
        <w:pStyle w:val="BodyText"/>
        <w:spacing w:before="10"/>
        <w:rPr>
          <w:sz w:val="18"/>
        </w:rPr>
      </w:pPr>
      <w:r>
        <w:rPr/>
        <w:drawing>
          <wp:anchor distT="0" distB="0" distL="0" distR="0" allowOverlap="1" layoutInCell="1" locked="0" behindDoc="0" simplePos="0" relativeHeight="78">
            <wp:simplePos x="0" y="0"/>
            <wp:positionH relativeFrom="page">
              <wp:posOffset>1009650</wp:posOffset>
            </wp:positionH>
            <wp:positionV relativeFrom="paragraph">
              <wp:posOffset>162700</wp:posOffset>
            </wp:positionV>
            <wp:extent cx="6107097" cy="3294887"/>
            <wp:effectExtent l="0" t="0" r="0" b="0"/>
            <wp:wrapTopAndBottom/>
            <wp:docPr id="65" name="image58.jpeg"/>
            <wp:cNvGraphicFramePr>
              <a:graphicFrameLocks noChangeAspect="1"/>
            </wp:cNvGraphicFramePr>
            <a:graphic>
              <a:graphicData uri="http://schemas.openxmlformats.org/drawingml/2006/picture">
                <pic:pic>
                  <pic:nvPicPr>
                    <pic:cNvPr id="66" name="image58.jpeg"/>
                    <pic:cNvPicPr/>
                  </pic:nvPicPr>
                  <pic:blipFill>
                    <a:blip r:embed="rId80" cstate="print"/>
                    <a:stretch>
                      <a:fillRect/>
                    </a:stretch>
                  </pic:blipFill>
                  <pic:spPr>
                    <a:xfrm>
                      <a:off x="0" y="0"/>
                      <a:ext cx="6107097" cy="3294887"/>
                    </a:xfrm>
                    <a:prstGeom prst="rect">
                      <a:avLst/>
                    </a:prstGeom>
                  </pic:spPr>
                </pic:pic>
              </a:graphicData>
            </a:graphic>
          </wp:anchor>
        </w:drawing>
      </w:r>
    </w:p>
    <w:p>
      <w:pPr>
        <w:spacing w:before="18"/>
        <w:ind w:left="243" w:right="663" w:firstLine="0"/>
        <w:jc w:val="center"/>
        <w:rPr>
          <w:i/>
          <w:sz w:val="20"/>
        </w:rPr>
      </w:pPr>
      <w:bookmarkStart w:name="_bookmark39" w:id="54"/>
      <w:bookmarkEnd w:id="54"/>
      <w:r>
        <w:rPr/>
      </w:r>
      <w:r>
        <w:rPr>
          <w:i/>
          <w:sz w:val="20"/>
        </w:rPr>
        <w:t>Figura 27- Ubicación Aproximada de la Cuenca de Vista Sureste de la ZP La Carpintera.</w:t>
      </w:r>
    </w:p>
    <w:p>
      <w:pPr>
        <w:spacing w:before="0"/>
        <w:ind w:left="240" w:right="663" w:firstLine="0"/>
        <w:jc w:val="center"/>
        <w:rPr>
          <w:sz w:val="24"/>
        </w:rPr>
      </w:pPr>
      <w:r>
        <w:rPr>
          <w:i/>
          <w:sz w:val="20"/>
        </w:rPr>
        <w:t>Fuente: Elaboración Propia con base en imagen de Google Earth</w:t>
      </w:r>
      <w:r>
        <w:rPr>
          <w:sz w:val="24"/>
        </w:rPr>
        <w:t>.</w:t>
      </w:r>
    </w:p>
    <w:p>
      <w:pPr>
        <w:pStyle w:val="BodyText"/>
        <w:spacing w:before="6"/>
        <w:rPr>
          <w:sz w:val="29"/>
        </w:rPr>
      </w:pPr>
    </w:p>
    <w:p>
      <w:pPr>
        <w:pStyle w:val="BodyText"/>
        <w:spacing w:line="360" w:lineRule="auto" w:before="1"/>
        <w:ind w:left="220" w:right="649"/>
        <w:jc w:val="both"/>
      </w:pPr>
      <w:r>
        <w:rPr/>
        <w:t>Con el fin de poder controlar mejor los factores que afectan la calidad del servicio, se seleccionó</w:t>
      </w:r>
      <w:r>
        <w:rPr>
          <w:spacing w:val="-20"/>
        </w:rPr>
        <w:t> </w:t>
      </w:r>
      <w:r>
        <w:rPr/>
        <w:t>la</w:t>
      </w:r>
      <w:r>
        <w:rPr>
          <w:spacing w:val="-20"/>
        </w:rPr>
        <w:t> </w:t>
      </w:r>
      <w:r>
        <w:rPr/>
        <w:t>cuenca</w:t>
      </w:r>
      <w:r>
        <w:rPr>
          <w:spacing w:val="-20"/>
        </w:rPr>
        <w:t> </w:t>
      </w:r>
      <w:r>
        <w:rPr/>
        <w:t>noroeste</w:t>
      </w:r>
      <w:r>
        <w:rPr>
          <w:spacing w:val="-20"/>
        </w:rPr>
        <w:t> </w:t>
      </w:r>
      <w:r>
        <w:rPr/>
        <w:t>para</w:t>
      </w:r>
      <w:r>
        <w:rPr>
          <w:spacing w:val="-16"/>
        </w:rPr>
        <w:t> </w:t>
      </w:r>
      <w:r>
        <w:rPr/>
        <w:t>la</w:t>
      </w:r>
      <w:r>
        <w:rPr>
          <w:spacing w:val="-16"/>
        </w:rPr>
        <w:t> </w:t>
      </w:r>
      <w:r>
        <w:rPr/>
        <w:t>muestra.</w:t>
      </w:r>
      <w:r>
        <w:rPr>
          <w:spacing w:val="-17"/>
        </w:rPr>
        <w:t> </w:t>
      </w:r>
      <w:r>
        <w:rPr/>
        <w:t>Asimismo,</w:t>
      </w:r>
      <w:r>
        <w:rPr>
          <w:spacing w:val="-17"/>
        </w:rPr>
        <w:t> </w:t>
      </w:r>
      <w:r>
        <w:rPr/>
        <w:t>dado</w:t>
      </w:r>
      <w:r>
        <w:rPr>
          <w:spacing w:val="-20"/>
        </w:rPr>
        <w:t> </w:t>
      </w:r>
      <w:r>
        <w:rPr/>
        <w:t>que</w:t>
      </w:r>
      <w:r>
        <w:rPr>
          <w:spacing w:val="-20"/>
        </w:rPr>
        <w:t> </w:t>
      </w:r>
      <w:r>
        <w:rPr/>
        <w:t>la</w:t>
      </w:r>
      <w:r>
        <w:rPr>
          <w:spacing w:val="-20"/>
        </w:rPr>
        <w:t> </w:t>
      </w:r>
      <w:r>
        <w:rPr/>
        <w:t>distancia</w:t>
      </w:r>
      <w:r>
        <w:rPr>
          <w:spacing w:val="-20"/>
        </w:rPr>
        <w:t> </w:t>
      </w:r>
      <w:r>
        <w:rPr/>
        <w:t>afecta la calidad visual de paisaje, se definió un mínimo de 2 kilómetros y máximo de</w:t>
      </w:r>
      <w:r>
        <w:rPr>
          <w:spacing w:val="35"/>
        </w:rPr>
        <w:t> </w:t>
      </w:r>
      <w:r>
        <w:rPr/>
        <w:t>8</w:t>
      </w:r>
    </w:p>
    <w:p>
      <w:pPr>
        <w:spacing w:after="0" w:line="360" w:lineRule="auto"/>
        <w:jc w:val="both"/>
        <w:sectPr>
          <w:pgSz w:w="12240" w:h="15840"/>
          <w:pgMar w:header="0" w:footer="1062" w:top="1340" w:bottom="1260" w:left="1480" w:right="820"/>
        </w:sectPr>
      </w:pPr>
    </w:p>
    <w:p>
      <w:pPr>
        <w:pStyle w:val="BodyText"/>
        <w:spacing w:line="360" w:lineRule="auto" w:before="75"/>
        <w:ind w:left="220" w:right="647"/>
        <w:jc w:val="both"/>
      </w:pPr>
      <w:r>
        <w:rPr/>
        <w:t>kilómetros de distancia desde el Cerro La Carpintera como criterio para informar la selección.</w:t>
      </w:r>
      <w:r>
        <w:rPr>
          <w:spacing w:val="-3"/>
        </w:rPr>
        <w:t> </w:t>
      </w:r>
      <w:r>
        <w:rPr/>
        <w:t>La</w:t>
      </w:r>
      <w:r>
        <w:rPr>
          <w:spacing w:val="-4"/>
        </w:rPr>
        <w:t> </w:t>
      </w:r>
      <w:r>
        <w:rPr/>
        <w:t>distancia</w:t>
      </w:r>
      <w:r>
        <w:rPr>
          <w:spacing w:val="-4"/>
        </w:rPr>
        <w:t> </w:t>
      </w:r>
      <w:r>
        <w:rPr/>
        <w:t>de</w:t>
      </w:r>
      <w:r>
        <w:rPr>
          <w:spacing w:val="-4"/>
        </w:rPr>
        <w:t> </w:t>
      </w:r>
      <w:r>
        <w:rPr/>
        <w:t>8</w:t>
      </w:r>
      <w:r>
        <w:rPr>
          <w:spacing w:val="-4"/>
        </w:rPr>
        <w:t> </w:t>
      </w:r>
      <w:r>
        <w:rPr/>
        <w:t>km</w:t>
      </w:r>
      <w:r>
        <w:rPr>
          <w:spacing w:val="-6"/>
        </w:rPr>
        <w:t> </w:t>
      </w:r>
      <w:r>
        <w:rPr/>
        <w:t>se</w:t>
      </w:r>
      <w:r>
        <w:rPr>
          <w:spacing w:val="-4"/>
        </w:rPr>
        <w:t> </w:t>
      </w:r>
      <w:r>
        <w:rPr/>
        <w:t>usa</w:t>
      </w:r>
      <w:r>
        <w:rPr>
          <w:spacing w:val="-4"/>
        </w:rPr>
        <w:t> </w:t>
      </w:r>
      <w:r>
        <w:rPr/>
        <w:t>en</w:t>
      </w:r>
      <w:r>
        <w:rPr>
          <w:spacing w:val="-4"/>
        </w:rPr>
        <w:t> </w:t>
      </w:r>
      <w:r>
        <w:rPr/>
        <w:t>la</w:t>
      </w:r>
      <w:r>
        <w:rPr>
          <w:spacing w:val="-4"/>
        </w:rPr>
        <w:t> </w:t>
      </w:r>
      <w:r>
        <w:rPr/>
        <w:t>literatura</w:t>
      </w:r>
      <w:r>
        <w:rPr>
          <w:spacing w:val="-4"/>
        </w:rPr>
        <w:t> </w:t>
      </w:r>
      <w:r>
        <w:rPr/>
        <w:t>como</w:t>
      </w:r>
      <w:r>
        <w:rPr>
          <w:spacing w:val="-4"/>
        </w:rPr>
        <w:t> </w:t>
      </w:r>
      <w:r>
        <w:rPr/>
        <w:t>la</w:t>
      </w:r>
      <w:r>
        <w:rPr>
          <w:spacing w:val="-4"/>
        </w:rPr>
        <w:t> </w:t>
      </w:r>
      <w:r>
        <w:rPr/>
        <w:t>máxima</w:t>
      </w:r>
      <w:r>
        <w:rPr>
          <w:spacing w:val="-4"/>
        </w:rPr>
        <w:t> </w:t>
      </w:r>
      <w:r>
        <w:rPr/>
        <w:t>para distinguir los</w:t>
      </w:r>
      <w:r>
        <w:rPr>
          <w:spacing w:val="-18"/>
        </w:rPr>
        <w:t> </w:t>
      </w:r>
      <w:r>
        <w:rPr/>
        <w:t>detalles</w:t>
      </w:r>
      <w:r>
        <w:rPr>
          <w:spacing w:val="-17"/>
        </w:rPr>
        <w:t> </w:t>
      </w:r>
      <w:r>
        <w:rPr/>
        <w:t>del</w:t>
      </w:r>
      <w:r>
        <w:rPr>
          <w:spacing w:val="-18"/>
        </w:rPr>
        <w:t> </w:t>
      </w:r>
      <w:r>
        <w:rPr/>
        <w:t>paisaje</w:t>
      </w:r>
      <w:r>
        <w:rPr>
          <w:spacing w:val="-20"/>
        </w:rPr>
        <w:t> </w:t>
      </w:r>
      <w:r>
        <w:rPr/>
        <w:t>de</w:t>
      </w:r>
      <w:r>
        <w:rPr>
          <w:spacing w:val="-19"/>
        </w:rPr>
        <w:t> </w:t>
      </w:r>
      <w:r>
        <w:rPr/>
        <w:t>un</w:t>
      </w:r>
      <w:r>
        <w:rPr>
          <w:spacing w:val="-19"/>
        </w:rPr>
        <w:t> </w:t>
      </w:r>
      <w:r>
        <w:rPr/>
        <w:t>edificio</w:t>
      </w:r>
      <w:r>
        <w:rPr>
          <w:spacing w:val="-20"/>
        </w:rPr>
        <w:t> </w:t>
      </w:r>
      <w:r>
        <w:rPr/>
        <w:t>alto,</w:t>
      </w:r>
      <w:r>
        <w:rPr>
          <w:spacing w:val="-16"/>
        </w:rPr>
        <w:t> </w:t>
      </w:r>
      <w:r>
        <w:rPr/>
        <w:t>siendo</w:t>
      </w:r>
      <w:r>
        <w:rPr>
          <w:spacing w:val="-19"/>
        </w:rPr>
        <w:t> </w:t>
      </w:r>
      <w:r>
        <w:rPr/>
        <w:t>la</w:t>
      </w:r>
      <w:r>
        <w:rPr>
          <w:spacing w:val="-19"/>
        </w:rPr>
        <w:t> </w:t>
      </w:r>
      <w:r>
        <w:rPr/>
        <w:t>distancia</w:t>
      </w:r>
      <w:r>
        <w:rPr>
          <w:spacing w:val="-20"/>
        </w:rPr>
        <w:t> </w:t>
      </w:r>
      <w:r>
        <w:rPr/>
        <w:t>de</w:t>
      </w:r>
      <w:r>
        <w:rPr>
          <w:spacing w:val="-19"/>
        </w:rPr>
        <w:t> </w:t>
      </w:r>
      <w:r>
        <w:rPr/>
        <w:t>5</w:t>
      </w:r>
      <w:r>
        <w:rPr>
          <w:spacing w:val="-19"/>
        </w:rPr>
        <w:t> </w:t>
      </w:r>
      <w:r>
        <w:rPr/>
        <w:t>km</w:t>
      </w:r>
      <w:r>
        <w:rPr>
          <w:spacing w:val="-21"/>
        </w:rPr>
        <w:t> </w:t>
      </w:r>
      <w:r>
        <w:rPr/>
        <w:t>donde</w:t>
      </w:r>
      <w:r>
        <w:rPr>
          <w:spacing w:val="-20"/>
        </w:rPr>
        <w:t> </w:t>
      </w:r>
      <w:r>
        <w:rPr/>
        <w:t>los</w:t>
      </w:r>
      <w:r>
        <w:rPr>
          <w:spacing w:val="-17"/>
        </w:rPr>
        <w:t> </w:t>
      </w:r>
      <w:r>
        <w:rPr/>
        <w:t>efectos de la curvatura del planeta y otros factores empiezan a afectar la calidad de la vista gradualmente</w:t>
      </w:r>
      <w:r>
        <w:rPr>
          <w:spacing w:val="-7"/>
        </w:rPr>
        <w:t> </w:t>
      </w:r>
      <w:r>
        <w:rPr/>
        <w:t>(Felleman,</w:t>
      </w:r>
      <w:r>
        <w:rPr>
          <w:spacing w:val="-5"/>
        </w:rPr>
        <w:t> </w:t>
      </w:r>
      <w:r>
        <w:rPr/>
        <w:t>1979;</w:t>
      </w:r>
      <w:r>
        <w:rPr>
          <w:spacing w:val="-9"/>
        </w:rPr>
        <w:t> </w:t>
      </w:r>
      <w:r>
        <w:rPr>
          <w:spacing w:val="2"/>
        </w:rPr>
        <w:t>Wu,</w:t>
      </w:r>
      <w:r>
        <w:rPr>
          <w:spacing w:val="-5"/>
        </w:rPr>
        <w:t> </w:t>
      </w:r>
      <w:r>
        <w:rPr/>
        <w:t>et</w:t>
      </w:r>
      <w:r>
        <w:rPr>
          <w:spacing w:val="-6"/>
        </w:rPr>
        <w:t> </w:t>
      </w:r>
      <w:r>
        <w:rPr/>
        <w:t>al.,</w:t>
      </w:r>
      <w:r>
        <w:rPr>
          <w:spacing w:val="-5"/>
        </w:rPr>
        <w:t> </w:t>
      </w:r>
      <w:r>
        <w:rPr/>
        <w:t>2006;</w:t>
      </w:r>
      <w:r>
        <w:rPr>
          <w:spacing w:val="-5"/>
        </w:rPr>
        <w:t> </w:t>
      </w:r>
      <w:r>
        <w:rPr/>
        <w:t>Huang,</w:t>
      </w:r>
      <w:r>
        <w:rPr>
          <w:spacing w:val="-5"/>
        </w:rPr>
        <w:t> </w:t>
      </w:r>
      <w:r>
        <w:rPr/>
        <w:t>2015;</w:t>
      </w:r>
      <w:r>
        <w:rPr>
          <w:spacing w:val="-6"/>
        </w:rPr>
        <w:t> </w:t>
      </w:r>
      <w:r>
        <w:rPr/>
        <w:t>Nutsford,</w:t>
      </w:r>
      <w:r>
        <w:rPr>
          <w:spacing w:val="-5"/>
        </w:rPr>
        <w:t> </w:t>
      </w:r>
      <w:r>
        <w:rPr/>
        <w:t>et</w:t>
      </w:r>
      <w:r>
        <w:rPr>
          <w:spacing w:val="-5"/>
        </w:rPr>
        <w:t> </w:t>
      </w:r>
      <w:r>
        <w:rPr/>
        <w:t>al.,</w:t>
      </w:r>
      <w:r>
        <w:rPr>
          <w:spacing w:val="-6"/>
        </w:rPr>
        <w:t> </w:t>
      </w:r>
      <w:r>
        <w:rPr/>
        <w:t>2015).</w:t>
      </w:r>
    </w:p>
    <w:p>
      <w:pPr>
        <w:pStyle w:val="BodyText"/>
        <w:spacing w:line="360" w:lineRule="auto" w:before="203"/>
        <w:ind w:left="220" w:right="642"/>
        <w:jc w:val="both"/>
      </w:pPr>
      <w:r>
        <w:rPr/>
        <w:t>Se puede observar en la Figura 28 la ubicación de las comunidades deudoras para las que se recopilaron datos en relación con la ZPLC y el Cerro La Carpintera como punto de referencia. Se observa que todas las comunidades/barrios de la muestra se encuentran dentro del espacio entre el radio de 2 y 8 km desde el cerro, según lo indican el círculo morado y el rojo.</w:t>
      </w:r>
    </w:p>
    <w:p>
      <w:pPr>
        <w:pStyle w:val="BodyText"/>
        <w:spacing w:before="10"/>
        <w:rPr>
          <w:sz w:val="13"/>
        </w:rPr>
      </w:pPr>
      <w:r>
        <w:rPr/>
        <w:drawing>
          <wp:anchor distT="0" distB="0" distL="0" distR="0" allowOverlap="1" layoutInCell="1" locked="0" behindDoc="0" simplePos="0" relativeHeight="79">
            <wp:simplePos x="0" y="0"/>
            <wp:positionH relativeFrom="page">
              <wp:posOffset>1080135</wp:posOffset>
            </wp:positionH>
            <wp:positionV relativeFrom="paragraph">
              <wp:posOffset>126334</wp:posOffset>
            </wp:positionV>
            <wp:extent cx="5751312" cy="2950464"/>
            <wp:effectExtent l="0" t="0" r="0" b="0"/>
            <wp:wrapTopAndBottom/>
            <wp:docPr id="67" name="image59.jpeg"/>
            <wp:cNvGraphicFramePr>
              <a:graphicFrameLocks noChangeAspect="1"/>
            </wp:cNvGraphicFramePr>
            <a:graphic>
              <a:graphicData uri="http://schemas.openxmlformats.org/drawingml/2006/picture">
                <pic:pic>
                  <pic:nvPicPr>
                    <pic:cNvPr id="68" name="image59.jpeg"/>
                    <pic:cNvPicPr/>
                  </pic:nvPicPr>
                  <pic:blipFill>
                    <a:blip r:embed="rId81" cstate="print"/>
                    <a:stretch>
                      <a:fillRect/>
                    </a:stretch>
                  </pic:blipFill>
                  <pic:spPr>
                    <a:xfrm>
                      <a:off x="0" y="0"/>
                      <a:ext cx="5751312" cy="2950464"/>
                    </a:xfrm>
                    <a:prstGeom prst="rect">
                      <a:avLst/>
                    </a:prstGeom>
                  </pic:spPr>
                </pic:pic>
              </a:graphicData>
            </a:graphic>
          </wp:anchor>
        </w:drawing>
      </w:r>
    </w:p>
    <w:p>
      <w:pPr>
        <w:pStyle w:val="BodyText"/>
        <w:spacing w:before="4"/>
        <w:rPr>
          <w:sz w:val="27"/>
        </w:rPr>
      </w:pPr>
    </w:p>
    <w:p>
      <w:pPr>
        <w:spacing w:line="242" w:lineRule="auto" w:before="0"/>
        <w:ind w:left="229" w:right="663" w:firstLine="0"/>
        <w:jc w:val="center"/>
        <w:rPr>
          <w:i/>
          <w:sz w:val="20"/>
        </w:rPr>
      </w:pPr>
      <w:bookmarkStart w:name="_bookmark40" w:id="55"/>
      <w:bookmarkEnd w:id="55"/>
      <w:r>
        <w:rPr/>
      </w:r>
      <w:r>
        <w:rPr>
          <w:i/>
          <w:sz w:val="20"/>
        </w:rPr>
        <w:t>Figura 28-Ubicación de las Comunidades/Barrios Seleccionados para Obtener la Muestra de </w:t>
      </w:r>
      <w:r>
        <w:rPr>
          <w:i/>
          <w:sz w:val="20"/>
        </w:rPr>
        <w:t>Inmuebles en Comunidades Potencialmente Deudoras</w:t>
      </w:r>
      <w:r>
        <w:rPr>
          <w:i/>
          <w:sz w:val="20"/>
          <w:vertAlign w:val="superscript"/>
        </w:rPr>
        <w:t>23</w:t>
      </w:r>
      <w:r>
        <w:rPr>
          <w:i/>
          <w:sz w:val="20"/>
          <w:vertAlign w:val="baseline"/>
        </w:rPr>
        <w:t>.</w:t>
      </w:r>
    </w:p>
    <w:p>
      <w:pPr>
        <w:spacing w:line="226" w:lineRule="exact" w:before="0"/>
        <w:ind w:left="237" w:right="663" w:firstLine="0"/>
        <w:jc w:val="center"/>
        <w:rPr>
          <w:i/>
          <w:sz w:val="20"/>
        </w:rPr>
      </w:pPr>
      <w:r>
        <w:rPr>
          <w:i/>
          <w:sz w:val="20"/>
        </w:rPr>
        <w:t>Fuente: Elaboración Propia</w:t>
      </w:r>
    </w:p>
    <w:p>
      <w:pPr>
        <w:pStyle w:val="BodyText"/>
        <w:spacing w:before="6"/>
        <w:rPr>
          <w:i/>
          <w:sz w:val="27"/>
        </w:rPr>
      </w:pPr>
    </w:p>
    <w:p>
      <w:pPr>
        <w:pStyle w:val="BodyText"/>
        <w:spacing w:line="360" w:lineRule="auto"/>
        <w:ind w:left="220" w:right="651"/>
        <w:jc w:val="both"/>
      </w:pPr>
      <w:r>
        <w:rPr/>
        <w:t>Se busca utilizar los datos de las fuentes comerciales de venta de bienes raíces. Por accesibilidad se optó por los sitios disponibles en línea. Específicamente se</w:t>
      </w:r>
      <w:r>
        <w:rPr>
          <w:spacing w:val="-43"/>
        </w:rPr>
        <w:t> </w:t>
      </w:r>
      <w:r>
        <w:rPr/>
        <w:t>utilizaron 7</w:t>
      </w:r>
      <w:r>
        <w:rPr>
          <w:spacing w:val="4"/>
        </w:rPr>
        <w:t> </w:t>
      </w:r>
      <w:r>
        <w:rPr/>
        <w:t>sitios</w:t>
      </w:r>
      <w:r>
        <w:rPr>
          <w:spacing w:val="10"/>
        </w:rPr>
        <w:t> </w:t>
      </w:r>
      <w:r>
        <w:rPr/>
        <w:t>de</w:t>
      </w:r>
      <w:r>
        <w:rPr>
          <w:spacing w:val="5"/>
        </w:rPr>
        <w:t> </w:t>
      </w:r>
      <w:r>
        <w:rPr/>
        <w:t>bienes</w:t>
      </w:r>
      <w:r>
        <w:rPr>
          <w:spacing w:val="6"/>
        </w:rPr>
        <w:t> </w:t>
      </w:r>
      <w:r>
        <w:rPr/>
        <w:t>raíces</w:t>
      </w:r>
      <w:r>
        <w:rPr>
          <w:spacing w:val="10"/>
        </w:rPr>
        <w:t> </w:t>
      </w:r>
      <w:r>
        <w:rPr/>
        <w:t>en</w:t>
      </w:r>
      <w:r>
        <w:rPr>
          <w:spacing w:val="5"/>
        </w:rPr>
        <w:t> </w:t>
      </w:r>
      <w:r>
        <w:rPr/>
        <w:t>línea</w:t>
      </w:r>
      <w:r>
        <w:rPr>
          <w:spacing w:val="8"/>
        </w:rPr>
        <w:t> </w:t>
      </w:r>
      <w:r>
        <w:rPr/>
        <w:t>para</w:t>
      </w:r>
      <w:r>
        <w:rPr>
          <w:spacing w:val="4"/>
        </w:rPr>
        <w:t> </w:t>
      </w:r>
      <w:r>
        <w:rPr/>
        <w:t>efectos</w:t>
      </w:r>
      <w:r>
        <w:rPr>
          <w:spacing w:val="7"/>
        </w:rPr>
        <w:t> </w:t>
      </w:r>
      <w:r>
        <w:rPr/>
        <w:t>de</w:t>
      </w:r>
      <w:r>
        <w:rPr>
          <w:spacing w:val="4"/>
        </w:rPr>
        <w:t> </w:t>
      </w:r>
      <w:r>
        <w:rPr/>
        <w:t>completar</w:t>
      </w:r>
      <w:r>
        <w:rPr>
          <w:spacing w:val="10"/>
        </w:rPr>
        <w:t> </w:t>
      </w:r>
      <w:r>
        <w:rPr/>
        <w:t>la</w:t>
      </w:r>
      <w:r>
        <w:rPr>
          <w:spacing w:val="9"/>
        </w:rPr>
        <w:t> </w:t>
      </w:r>
      <w:r>
        <w:rPr/>
        <w:t>muestra</w:t>
      </w:r>
      <w:r>
        <w:rPr>
          <w:spacing w:val="4"/>
        </w:rPr>
        <w:t> </w:t>
      </w:r>
      <w:r>
        <w:rPr/>
        <w:t>requerida</w:t>
      </w:r>
      <w:r>
        <w:rPr>
          <w:spacing w:val="5"/>
        </w:rPr>
        <w:t> </w:t>
      </w:r>
      <w:r>
        <w:rPr/>
        <w:t>de</w:t>
      </w:r>
    </w:p>
    <w:p>
      <w:pPr>
        <w:pStyle w:val="BodyText"/>
        <w:rPr>
          <w:sz w:val="20"/>
        </w:rPr>
      </w:pPr>
    </w:p>
    <w:p>
      <w:pPr>
        <w:pStyle w:val="BodyText"/>
        <w:spacing w:before="5"/>
        <w:rPr>
          <w:sz w:val="13"/>
        </w:rPr>
      </w:pPr>
      <w:r>
        <w:rPr/>
        <w:pict>
          <v:rect style="position:absolute;margin-left:85.025002pt;margin-top:9.709885pt;width:144.050pt;height:.599980pt;mso-position-horizontal-relative:page;mso-position-vertical-relative:paragraph;z-index:-15687680;mso-wrap-distance-left:0;mso-wrap-distance-right:0" filled="true" fillcolor="#000000" stroked="false">
            <v:fill type="solid"/>
            <w10:wrap type="topAndBottom"/>
          </v:rect>
        </w:pict>
      </w:r>
    </w:p>
    <w:p>
      <w:pPr>
        <w:spacing w:line="240" w:lineRule="auto" w:before="71"/>
        <w:ind w:left="220" w:right="501" w:firstLine="0"/>
        <w:jc w:val="left"/>
        <w:rPr>
          <w:sz w:val="20"/>
        </w:rPr>
      </w:pPr>
      <w:r>
        <w:rPr>
          <w:sz w:val="20"/>
          <w:vertAlign w:val="superscript"/>
        </w:rPr>
        <w:t>23</w:t>
      </w:r>
      <w:r>
        <w:rPr>
          <w:sz w:val="20"/>
          <w:vertAlign w:val="baseline"/>
        </w:rPr>
        <w:t> La línea continua amarilla representa los límites de la ZP. El círculo morado representa la distancia del radio de 2km desde el punto más alto de la ZP, el círculo rojo la distancia de 8km. La ubicación de las comunidades se representa con íconos de casas identificándolas por su nombre.</w:t>
      </w:r>
    </w:p>
    <w:p>
      <w:pPr>
        <w:spacing w:after="0" w:line="240" w:lineRule="auto"/>
        <w:jc w:val="left"/>
        <w:rPr>
          <w:sz w:val="20"/>
        </w:rPr>
        <w:sectPr>
          <w:pgSz w:w="12240" w:h="15840"/>
          <w:pgMar w:header="0" w:footer="1062" w:top="1340" w:bottom="1260" w:left="1480" w:right="820"/>
        </w:sectPr>
      </w:pPr>
    </w:p>
    <w:p>
      <w:pPr>
        <w:pStyle w:val="BodyText"/>
        <w:spacing w:line="360" w:lineRule="auto" w:before="75"/>
        <w:ind w:left="220" w:right="636"/>
        <w:jc w:val="both"/>
      </w:pPr>
      <w:r>
        <w:rPr/>
        <w:t>inmuebles. Se obtuvieron 303 observaciones entre el 15 de abril del 2016 y el 9 de marzo</w:t>
      </w:r>
      <w:r>
        <w:rPr>
          <w:spacing w:val="-9"/>
        </w:rPr>
        <w:t> </w:t>
      </w:r>
      <w:r>
        <w:rPr/>
        <w:t>del</w:t>
      </w:r>
      <w:r>
        <w:rPr>
          <w:spacing w:val="-8"/>
        </w:rPr>
        <w:t> </w:t>
      </w:r>
      <w:r>
        <w:rPr/>
        <w:t>2017.</w:t>
      </w:r>
      <w:r>
        <w:rPr>
          <w:spacing w:val="-5"/>
        </w:rPr>
        <w:t> </w:t>
      </w:r>
      <w:r>
        <w:rPr/>
        <w:t>El</w:t>
      </w:r>
      <w:r>
        <w:rPr>
          <w:spacing w:val="-9"/>
        </w:rPr>
        <w:t> </w:t>
      </w:r>
      <w:r>
        <w:rPr/>
        <w:t>margen</w:t>
      </w:r>
      <w:r>
        <w:rPr>
          <w:spacing w:val="-9"/>
        </w:rPr>
        <w:t> </w:t>
      </w:r>
      <w:r>
        <w:rPr/>
        <w:t>de</w:t>
      </w:r>
      <w:r>
        <w:rPr>
          <w:spacing w:val="-8"/>
        </w:rPr>
        <w:t> </w:t>
      </w:r>
      <w:r>
        <w:rPr/>
        <w:t>error,</w:t>
      </w:r>
      <w:r>
        <w:rPr>
          <w:spacing w:val="-6"/>
        </w:rPr>
        <w:t> </w:t>
      </w:r>
      <w:r>
        <w:rPr/>
        <w:t>según</w:t>
      </w:r>
      <w:r>
        <w:rPr>
          <w:spacing w:val="-6"/>
        </w:rPr>
        <w:t> </w:t>
      </w:r>
      <w:hyperlink r:id="rId82">
        <w:r>
          <w:rPr>
            <w:rFonts w:ascii="Carlito" w:hAnsi="Carlito"/>
            <w:color w:val="0000FF"/>
            <w:u w:val="single" w:color="0000FF"/>
          </w:rPr>
          <w:t>http://www.raosoft.com/samplesize.html</w:t>
        </w:r>
      </w:hyperlink>
      <w:r>
        <w:rPr/>
        <w:t>,</w:t>
      </w:r>
      <w:r>
        <w:rPr>
          <w:spacing w:val="-9"/>
        </w:rPr>
        <w:t> </w:t>
      </w:r>
      <w:r>
        <w:rPr/>
        <w:t>se estimó en un</w:t>
      </w:r>
      <w:r>
        <w:rPr>
          <w:spacing w:val="-4"/>
        </w:rPr>
        <w:t> </w:t>
      </w:r>
      <w:r>
        <w:rPr/>
        <w:t>5.59%.</w:t>
      </w:r>
    </w:p>
    <w:p>
      <w:pPr>
        <w:pStyle w:val="BodyText"/>
        <w:spacing w:line="360" w:lineRule="auto" w:before="201"/>
        <w:ind w:left="220" w:right="646"/>
        <w:jc w:val="both"/>
      </w:pPr>
      <w:r>
        <w:rPr/>
        <w:t>La información para el modelo presentado en la ecuación 7 se completó con</w:t>
      </w:r>
      <w:r>
        <w:rPr>
          <w:spacing w:val="-48"/>
        </w:rPr>
        <w:t> </w:t>
      </w:r>
      <w:r>
        <w:rPr/>
        <w:t>diversas fuentes.</w:t>
      </w:r>
      <w:r>
        <w:rPr>
          <w:spacing w:val="-13"/>
        </w:rPr>
        <w:t> </w:t>
      </w:r>
      <w:r>
        <w:rPr/>
        <w:t>Las</w:t>
      </w:r>
      <w:r>
        <w:rPr>
          <w:spacing w:val="-10"/>
        </w:rPr>
        <w:t> </w:t>
      </w:r>
      <w:r>
        <w:rPr/>
        <w:t>mismas</w:t>
      </w:r>
      <w:r>
        <w:rPr>
          <w:spacing w:val="-14"/>
        </w:rPr>
        <w:t> </w:t>
      </w:r>
      <w:r>
        <w:rPr/>
        <w:t>se</w:t>
      </w:r>
      <w:r>
        <w:rPr>
          <w:spacing w:val="-16"/>
        </w:rPr>
        <w:t> </w:t>
      </w:r>
      <w:r>
        <w:rPr/>
        <w:t>sintetizan</w:t>
      </w:r>
      <w:r>
        <w:rPr>
          <w:spacing w:val="-16"/>
        </w:rPr>
        <w:t> </w:t>
      </w:r>
      <w:r>
        <w:rPr/>
        <w:t>en</w:t>
      </w:r>
      <w:r>
        <w:rPr>
          <w:spacing w:val="-12"/>
        </w:rPr>
        <w:t> </w:t>
      </w:r>
      <w:r>
        <w:rPr/>
        <w:t>el</w:t>
      </w:r>
      <w:r>
        <w:rPr>
          <w:spacing w:val="-14"/>
        </w:rPr>
        <w:t> </w:t>
      </w:r>
      <w:r>
        <w:rPr/>
        <w:t>Cuadro</w:t>
      </w:r>
      <w:r>
        <w:rPr>
          <w:spacing w:val="-11"/>
        </w:rPr>
        <w:t> </w:t>
      </w:r>
      <w:r>
        <w:rPr/>
        <w:t>12.</w:t>
      </w:r>
      <w:r>
        <w:rPr>
          <w:spacing w:val="-13"/>
        </w:rPr>
        <w:t> </w:t>
      </w:r>
      <w:r>
        <w:rPr/>
        <w:t>La</w:t>
      </w:r>
      <w:r>
        <w:rPr>
          <w:spacing w:val="-12"/>
        </w:rPr>
        <w:t> </w:t>
      </w:r>
      <w:r>
        <w:rPr/>
        <w:t>naturaleza</w:t>
      </w:r>
      <w:r>
        <w:rPr>
          <w:spacing w:val="-16"/>
        </w:rPr>
        <w:t> </w:t>
      </w:r>
      <w:r>
        <w:rPr/>
        <w:t>de</w:t>
      </w:r>
      <w:r>
        <w:rPr>
          <w:spacing w:val="-12"/>
        </w:rPr>
        <w:t> </w:t>
      </w:r>
      <w:r>
        <w:rPr/>
        <w:t>las</w:t>
      </w:r>
      <w:r>
        <w:rPr>
          <w:spacing w:val="-14"/>
        </w:rPr>
        <w:t> </w:t>
      </w:r>
      <w:r>
        <w:rPr/>
        <w:t>variables</w:t>
      </w:r>
      <w:r>
        <w:rPr>
          <w:spacing w:val="-14"/>
        </w:rPr>
        <w:t> </w:t>
      </w:r>
      <w:r>
        <w:rPr/>
        <w:t>tuvo que</w:t>
      </w:r>
      <w:r>
        <w:rPr>
          <w:spacing w:val="-8"/>
        </w:rPr>
        <w:t> </w:t>
      </w:r>
      <w:r>
        <w:rPr/>
        <w:t>adaptarse</w:t>
      </w:r>
      <w:r>
        <w:rPr>
          <w:spacing w:val="-8"/>
        </w:rPr>
        <w:t> </w:t>
      </w:r>
      <w:r>
        <w:rPr/>
        <w:t>de</w:t>
      </w:r>
      <w:r>
        <w:rPr>
          <w:spacing w:val="-4"/>
        </w:rPr>
        <w:t> </w:t>
      </w:r>
      <w:r>
        <w:rPr/>
        <w:t>acuerdo</w:t>
      </w:r>
      <w:r>
        <w:rPr>
          <w:spacing w:val="-8"/>
        </w:rPr>
        <w:t> </w:t>
      </w:r>
      <w:r>
        <w:rPr/>
        <w:t>con</w:t>
      </w:r>
      <w:r>
        <w:rPr>
          <w:spacing w:val="-8"/>
        </w:rPr>
        <w:t> </w:t>
      </w:r>
      <w:r>
        <w:rPr/>
        <w:t>la</w:t>
      </w:r>
      <w:r>
        <w:rPr>
          <w:spacing w:val="-4"/>
        </w:rPr>
        <w:t> </w:t>
      </w:r>
      <w:r>
        <w:rPr/>
        <w:t>disponibilidad</w:t>
      </w:r>
      <w:r>
        <w:rPr>
          <w:spacing w:val="-8"/>
        </w:rPr>
        <w:t> </w:t>
      </w:r>
      <w:r>
        <w:rPr/>
        <w:t>de</w:t>
      </w:r>
      <w:r>
        <w:rPr>
          <w:spacing w:val="-8"/>
        </w:rPr>
        <w:t> </w:t>
      </w:r>
      <w:r>
        <w:rPr/>
        <w:t>datos.</w:t>
      </w:r>
      <w:r>
        <w:rPr>
          <w:spacing w:val="-4"/>
        </w:rPr>
        <w:t> </w:t>
      </w:r>
      <w:r>
        <w:rPr/>
        <w:t>Uno</w:t>
      </w:r>
      <w:r>
        <w:rPr>
          <w:spacing w:val="-5"/>
        </w:rPr>
        <w:t> </w:t>
      </w:r>
      <w:r>
        <w:rPr/>
        <w:t>de</w:t>
      </w:r>
      <w:r>
        <w:rPr>
          <w:spacing w:val="-7"/>
        </w:rPr>
        <w:t> </w:t>
      </w:r>
      <w:r>
        <w:rPr/>
        <w:t>los</w:t>
      </w:r>
      <w:r>
        <w:rPr>
          <w:spacing w:val="-6"/>
        </w:rPr>
        <w:t> </w:t>
      </w:r>
      <w:r>
        <w:rPr/>
        <w:t>principales</w:t>
      </w:r>
      <w:r>
        <w:rPr>
          <w:spacing w:val="-6"/>
        </w:rPr>
        <w:t> </w:t>
      </w:r>
      <w:r>
        <w:rPr/>
        <w:t>retos que se tuvo que enfrentar en primera instancia fue la renuencia de los agentes de bienes raíces de proporcionar las direcciones exactas de los inmuebles y otros datos en los anuncios comerciales o por teléfono a menos que se hiciese una cita para ver el inmueble con intención de</w:t>
      </w:r>
      <w:r>
        <w:rPr>
          <w:spacing w:val="-6"/>
        </w:rPr>
        <w:t> </w:t>
      </w:r>
      <w:r>
        <w:rPr/>
        <w:t>compra</w:t>
      </w:r>
    </w:p>
    <w:p>
      <w:pPr>
        <w:pStyle w:val="BodyText"/>
        <w:spacing w:line="360" w:lineRule="auto" w:before="203"/>
        <w:ind w:left="220" w:right="651"/>
        <w:jc w:val="both"/>
      </w:pPr>
      <w:r>
        <w:rPr/>
        <w:t>Lo</w:t>
      </w:r>
      <w:r>
        <w:rPr>
          <w:spacing w:val="-13"/>
        </w:rPr>
        <w:t> </w:t>
      </w:r>
      <w:r>
        <w:rPr/>
        <w:t>anterior</w:t>
      </w:r>
      <w:r>
        <w:rPr>
          <w:spacing w:val="-6"/>
        </w:rPr>
        <w:t> </w:t>
      </w:r>
      <w:r>
        <w:rPr/>
        <w:t>implicó</w:t>
      </w:r>
      <w:r>
        <w:rPr>
          <w:spacing w:val="-12"/>
        </w:rPr>
        <w:t> </w:t>
      </w:r>
      <w:r>
        <w:rPr/>
        <w:t>que</w:t>
      </w:r>
      <w:r>
        <w:rPr>
          <w:spacing w:val="-12"/>
        </w:rPr>
        <w:t> </w:t>
      </w:r>
      <w:r>
        <w:rPr/>
        <w:t>no</w:t>
      </w:r>
      <w:r>
        <w:rPr>
          <w:spacing w:val="-12"/>
        </w:rPr>
        <w:t> </w:t>
      </w:r>
      <w:r>
        <w:rPr/>
        <w:t>fue</w:t>
      </w:r>
      <w:r>
        <w:rPr>
          <w:spacing w:val="-8"/>
        </w:rPr>
        <w:t> </w:t>
      </w:r>
      <w:r>
        <w:rPr/>
        <w:t>posible,</w:t>
      </w:r>
      <w:r>
        <w:rPr>
          <w:spacing w:val="-6"/>
        </w:rPr>
        <w:t> </w:t>
      </w:r>
      <w:r>
        <w:rPr/>
        <w:t>como</w:t>
      </w:r>
      <w:r>
        <w:rPr>
          <w:spacing w:val="-12"/>
        </w:rPr>
        <w:t> </w:t>
      </w:r>
      <w:r>
        <w:rPr/>
        <w:t>se</w:t>
      </w:r>
      <w:r>
        <w:rPr>
          <w:spacing w:val="-12"/>
        </w:rPr>
        <w:t> </w:t>
      </w:r>
      <w:r>
        <w:rPr/>
        <w:t>esperaba</w:t>
      </w:r>
      <w:r>
        <w:rPr>
          <w:spacing w:val="-8"/>
        </w:rPr>
        <w:t> </w:t>
      </w:r>
      <w:r>
        <w:rPr/>
        <w:t>en</w:t>
      </w:r>
      <w:r>
        <w:rPr>
          <w:spacing w:val="-12"/>
        </w:rPr>
        <w:t> </w:t>
      </w:r>
      <w:r>
        <w:rPr/>
        <w:t>principio,</w:t>
      </w:r>
      <w:r>
        <w:rPr>
          <w:spacing w:val="-6"/>
        </w:rPr>
        <w:t> </w:t>
      </w:r>
      <w:r>
        <w:rPr/>
        <w:t>medir</w:t>
      </w:r>
      <w:r>
        <w:rPr>
          <w:spacing w:val="-6"/>
        </w:rPr>
        <w:t> </w:t>
      </w:r>
      <w:r>
        <w:rPr/>
        <w:t>varias</w:t>
      </w:r>
      <w:r>
        <w:rPr>
          <w:spacing w:val="-10"/>
        </w:rPr>
        <w:t> </w:t>
      </w:r>
      <w:r>
        <w:rPr/>
        <w:t>de las variables sobre el entorno desde los inmuebles. Asimismo, esta limitante implicó que los datos para las variables del tiempo de construcción tuvieran que</w:t>
      </w:r>
      <w:r>
        <w:rPr>
          <w:spacing w:val="-32"/>
        </w:rPr>
        <w:t> </w:t>
      </w:r>
      <w:r>
        <w:rPr/>
        <w:t>estimarse.</w:t>
      </w:r>
    </w:p>
    <w:p>
      <w:pPr>
        <w:pStyle w:val="BodyText"/>
        <w:spacing w:line="360" w:lineRule="auto" w:before="199"/>
        <w:ind w:left="220" w:right="651"/>
        <w:jc w:val="both"/>
      </w:pPr>
      <w:r>
        <w:rPr/>
        <w:t>En sustitución de la información de distancias propiamente desde los inmuebles se buscó seleccionar puntos representativos que dieran características promedio para las comunidades. En el caso de ZRiesgo, se estimó la ubicación de conformidad con los</w:t>
      </w:r>
      <w:r>
        <w:rPr>
          <w:spacing w:val="-15"/>
        </w:rPr>
        <w:t> </w:t>
      </w:r>
      <w:r>
        <w:rPr/>
        <w:t>mapas</w:t>
      </w:r>
      <w:r>
        <w:rPr>
          <w:spacing w:val="-17"/>
        </w:rPr>
        <w:t> </w:t>
      </w:r>
      <w:r>
        <w:rPr/>
        <w:t>cantonales</w:t>
      </w:r>
      <w:r>
        <w:rPr>
          <w:spacing w:val="-18"/>
        </w:rPr>
        <w:t> </w:t>
      </w:r>
      <w:r>
        <w:rPr/>
        <w:t>de</w:t>
      </w:r>
      <w:r>
        <w:rPr>
          <w:spacing w:val="-16"/>
        </w:rPr>
        <w:t> </w:t>
      </w:r>
      <w:r>
        <w:rPr/>
        <w:t>la</w:t>
      </w:r>
      <w:r>
        <w:rPr>
          <w:spacing w:val="-20"/>
        </w:rPr>
        <w:t> </w:t>
      </w:r>
      <w:r>
        <w:rPr/>
        <w:t>Comisión</w:t>
      </w:r>
      <w:r>
        <w:rPr>
          <w:spacing w:val="-20"/>
        </w:rPr>
        <w:t> </w:t>
      </w:r>
      <w:r>
        <w:rPr/>
        <w:t>de</w:t>
      </w:r>
      <w:r>
        <w:rPr>
          <w:spacing w:val="-19"/>
        </w:rPr>
        <w:t> </w:t>
      </w:r>
      <w:r>
        <w:rPr/>
        <w:t>Emergencia</w:t>
      </w:r>
      <w:r>
        <w:rPr>
          <w:spacing w:val="-16"/>
        </w:rPr>
        <w:t> </w:t>
      </w:r>
      <w:r>
        <w:rPr/>
        <w:t>y</w:t>
      </w:r>
      <w:r>
        <w:rPr>
          <w:spacing w:val="-18"/>
        </w:rPr>
        <w:t> </w:t>
      </w:r>
      <w:r>
        <w:rPr/>
        <w:t>del</w:t>
      </w:r>
      <w:r>
        <w:rPr>
          <w:spacing w:val="-19"/>
        </w:rPr>
        <w:t> </w:t>
      </w:r>
      <w:r>
        <w:rPr/>
        <w:t>Plan</w:t>
      </w:r>
      <w:r>
        <w:rPr>
          <w:spacing w:val="-16"/>
        </w:rPr>
        <w:t> </w:t>
      </w:r>
      <w:r>
        <w:rPr/>
        <w:t>de</w:t>
      </w:r>
      <w:r>
        <w:rPr>
          <w:spacing w:val="-16"/>
        </w:rPr>
        <w:t> </w:t>
      </w:r>
      <w:r>
        <w:rPr/>
        <w:t>Manejo</w:t>
      </w:r>
      <w:r>
        <w:rPr>
          <w:spacing w:val="-19"/>
        </w:rPr>
        <w:t> </w:t>
      </w:r>
      <w:r>
        <w:rPr/>
        <w:t>de</w:t>
      </w:r>
      <w:r>
        <w:rPr>
          <w:spacing w:val="-16"/>
        </w:rPr>
        <w:t> </w:t>
      </w:r>
      <w:r>
        <w:rPr/>
        <w:t>la</w:t>
      </w:r>
      <w:r>
        <w:rPr>
          <w:spacing w:val="-20"/>
        </w:rPr>
        <w:t> </w:t>
      </w:r>
      <w:r>
        <w:rPr/>
        <w:t>ZPLC. Este procedimiento se realizó por inspección visual de los</w:t>
      </w:r>
      <w:r>
        <w:rPr>
          <w:spacing w:val="-8"/>
        </w:rPr>
        <w:t> </w:t>
      </w:r>
      <w:r>
        <w:rPr/>
        <w:t>mapas.</w:t>
      </w:r>
    </w:p>
    <w:p>
      <w:pPr>
        <w:pStyle w:val="BodyText"/>
        <w:spacing w:line="360" w:lineRule="auto" w:before="198"/>
        <w:ind w:left="220" w:right="648"/>
        <w:jc w:val="both"/>
      </w:pPr>
      <w:r>
        <w:rPr/>
        <w:t>El Anexo 3 sintetiza las mediciones realizadas para las variables de calidad del entorno. La única no incluida, perteneciente a la ecuación 7, es la binomial de existencia del servicio de vista de acuerdo con los anuncios comerciales. El Anexo 4 presenta el set de datos recopilado de acuerdo con las prescripciones presentadas hasta aquí.</w:t>
      </w:r>
    </w:p>
    <w:p>
      <w:pPr>
        <w:spacing w:after="0" w:line="360" w:lineRule="auto"/>
        <w:jc w:val="both"/>
        <w:sectPr>
          <w:pgSz w:w="12240" w:h="15840"/>
          <w:pgMar w:header="0" w:footer="1062" w:top="1340" w:bottom="1260" w:left="1480" w:right="820"/>
        </w:sectPr>
      </w:pPr>
    </w:p>
    <w:p>
      <w:pPr>
        <w:pStyle w:val="BodyText"/>
        <w:rPr>
          <w:sz w:val="20"/>
        </w:rPr>
      </w:pPr>
    </w:p>
    <w:p>
      <w:pPr>
        <w:pStyle w:val="BodyText"/>
        <w:rPr>
          <w:sz w:val="20"/>
        </w:rPr>
      </w:pPr>
    </w:p>
    <w:p>
      <w:pPr>
        <w:pStyle w:val="BodyText"/>
        <w:spacing w:before="1"/>
        <w:rPr>
          <w:sz w:val="19"/>
        </w:rPr>
      </w:pPr>
    </w:p>
    <w:p>
      <w:pPr>
        <w:spacing w:before="0"/>
        <w:ind w:left="100" w:right="0" w:firstLine="0"/>
        <w:jc w:val="left"/>
        <w:rPr>
          <w:i/>
          <w:sz w:val="18"/>
        </w:rPr>
      </w:pPr>
      <w:r>
        <w:rPr>
          <w:i/>
          <w:color w:val="44536A"/>
          <w:w w:val="100"/>
          <w:sz w:val="18"/>
        </w:rPr>
        <w:t>.</w:t>
      </w:r>
    </w:p>
    <w:p>
      <w:pPr>
        <w:pStyle w:val="BodyText"/>
        <w:spacing w:before="7"/>
        <w:rPr>
          <w:i/>
          <w:sz w:val="17"/>
        </w:rPr>
      </w:pPr>
    </w:p>
    <w:p>
      <w:pPr>
        <w:spacing w:line="229" w:lineRule="exact" w:before="0"/>
        <w:ind w:left="1957" w:right="2730" w:firstLine="0"/>
        <w:jc w:val="center"/>
        <w:rPr>
          <w:i/>
          <w:sz w:val="20"/>
        </w:rPr>
      </w:pPr>
      <w:bookmarkStart w:name="_bookmark41" w:id="56"/>
      <w:bookmarkEnd w:id="56"/>
      <w:r>
        <w:rPr/>
      </w:r>
      <w:r>
        <w:rPr>
          <w:i/>
          <w:sz w:val="20"/>
        </w:rPr>
        <w:t>Cuadro 12- Variables de los Modelos de Estimación Propuestos, Descripción y Fuentes de Datos.</w:t>
      </w:r>
    </w:p>
    <w:p>
      <w:pPr>
        <w:spacing w:line="229" w:lineRule="exact" w:before="0"/>
        <w:ind w:left="1957" w:right="2720" w:firstLine="0"/>
        <w:jc w:val="center"/>
        <w:rPr>
          <w:i/>
          <w:sz w:val="20"/>
        </w:rPr>
      </w:pPr>
      <w:r>
        <w:rPr>
          <w:i/>
          <w:sz w:val="20"/>
        </w:rPr>
        <w:t>Fuente: Elaboración propia</w:t>
      </w:r>
    </w:p>
    <w:p>
      <w:pPr>
        <w:pStyle w:val="BodyText"/>
        <w:spacing w:before="7"/>
        <w:rPr>
          <w:i/>
          <w:sz w:val="27"/>
        </w:rPr>
      </w:pPr>
    </w:p>
    <w:tbl>
      <w:tblPr>
        <w:tblW w:w="0" w:type="auto"/>
        <w:jc w:val="left"/>
        <w:tblInd w:w="113"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3020"/>
        <w:gridCol w:w="3645"/>
        <w:gridCol w:w="6522"/>
      </w:tblGrid>
      <w:tr>
        <w:trPr>
          <w:trHeight w:val="348" w:hRule="atLeast"/>
        </w:trPr>
        <w:tc>
          <w:tcPr>
            <w:tcW w:w="3020" w:type="dxa"/>
            <w:tcBorders>
              <w:top w:val="nil"/>
              <w:left w:val="nil"/>
              <w:bottom w:val="nil"/>
              <w:right w:val="nil"/>
            </w:tcBorders>
            <w:shd w:val="clear" w:color="auto" w:fill="000000"/>
          </w:tcPr>
          <w:p>
            <w:pPr>
              <w:pStyle w:val="TableParagraph"/>
              <w:spacing w:line="240" w:lineRule="auto" w:before="12"/>
              <w:ind w:left="111"/>
              <w:jc w:val="left"/>
              <w:rPr>
                <w:rFonts w:ascii="Carlito"/>
                <w:b/>
                <w:sz w:val="18"/>
              </w:rPr>
            </w:pPr>
            <w:r>
              <w:rPr>
                <w:rFonts w:ascii="Carlito"/>
                <w:b/>
                <w:color w:val="FFFFFF"/>
                <w:sz w:val="18"/>
              </w:rPr>
              <w:t>Variable</w:t>
            </w:r>
          </w:p>
        </w:tc>
        <w:tc>
          <w:tcPr>
            <w:tcW w:w="3645" w:type="dxa"/>
            <w:tcBorders>
              <w:top w:val="nil"/>
              <w:left w:val="nil"/>
              <w:bottom w:val="nil"/>
              <w:right w:val="nil"/>
            </w:tcBorders>
            <w:shd w:val="clear" w:color="auto" w:fill="000000"/>
          </w:tcPr>
          <w:p>
            <w:pPr>
              <w:pStyle w:val="TableParagraph"/>
              <w:spacing w:line="240" w:lineRule="auto" w:before="12"/>
              <w:ind w:left="112"/>
              <w:jc w:val="left"/>
              <w:rPr>
                <w:rFonts w:ascii="Carlito" w:hAnsi="Carlito"/>
                <w:b/>
                <w:sz w:val="18"/>
              </w:rPr>
            </w:pPr>
            <w:r>
              <w:rPr>
                <w:rFonts w:ascii="Carlito" w:hAnsi="Carlito"/>
                <w:b/>
                <w:color w:val="FFFFFF"/>
                <w:sz w:val="18"/>
              </w:rPr>
              <w:t>Descripción</w:t>
            </w:r>
          </w:p>
        </w:tc>
        <w:tc>
          <w:tcPr>
            <w:tcW w:w="6522" w:type="dxa"/>
            <w:tcBorders>
              <w:top w:val="nil"/>
              <w:left w:val="nil"/>
              <w:bottom w:val="nil"/>
              <w:right w:val="nil"/>
            </w:tcBorders>
            <w:shd w:val="clear" w:color="auto" w:fill="000000"/>
          </w:tcPr>
          <w:p>
            <w:pPr>
              <w:pStyle w:val="TableParagraph"/>
              <w:spacing w:line="240" w:lineRule="auto" w:before="12"/>
              <w:ind w:left="112"/>
              <w:jc w:val="left"/>
              <w:rPr>
                <w:rFonts w:ascii="Carlito"/>
                <w:b/>
                <w:sz w:val="18"/>
              </w:rPr>
            </w:pPr>
            <w:r>
              <w:rPr>
                <w:rFonts w:ascii="Carlito"/>
                <w:b/>
                <w:color w:val="FFFFFF"/>
                <w:sz w:val="18"/>
              </w:rPr>
              <w:t>Fuente</w:t>
            </w:r>
          </w:p>
        </w:tc>
      </w:tr>
      <w:tr>
        <w:trPr>
          <w:trHeight w:val="991" w:hRule="atLeast"/>
        </w:trPr>
        <w:tc>
          <w:tcPr>
            <w:tcW w:w="3020" w:type="dxa"/>
            <w:tcBorders>
              <w:top w:val="nil"/>
            </w:tcBorders>
            <w:shd w:val="clear" w:color="auto" w:fill="CCCCCC"/>
          </w:tcPr>
          <w:p>
            <w:pPr>
              <w:pStyle w:val="TableParagraph"/>
              <w:spacing w:line="240" w:lineRule="auto" w:before="4"/>
              <w:ind w:left="106"/>
              <w:jc w:val="left"/>
              <w:rPr>
                <w:rFonts w:ascii="Carlito"/>
                <w:b/>
                <w:sz w:val="18"/>
              </w:rPr>
            </w:pPr>
            <w:r>
              <w:rPr>
                <w:rFonts w:ascii="Carlito"/>
                <w:b/>
                <w:sz w:val="18"/>
              </w:rPr>
              <w:t>Precio</w:t>
            </w:r>
          </w:p>
        </w:tc>
        <w:tc>
          <w:tcPr>
            <w:tcW w:w="3645" w:type="dxa"/>
            <w:tcBorders>
              <w:top w:val="nil"/>
            </w:tcBorders>
            <w:shd w:val="clear" w:color="auto" w:fill="CCCCCC"/>
          </w:tcPr>
          <w:p>
            <w:pPr>
              <w:pStyle w:val="TableParagraph"/>
              <w:tabs>
                <w:tab w:pos="894" w:val="left" w:leader="none"/>
                <w:tab w:pos="1450" w:val="left" w:leader="none"/>
                <w:tab w:pos="2473" w:val="left" w:leader="none"/>
                <w:tab w:pos="2988" w:val="left" w:leader="none"/>
              </w:tabs>
              <w:spacing w:line="357" w:lineRule="auto" w:before="4"/>
              <w:ind w:left="107" w:right="102"/>
              <w:jc w:val="left"/>
              <w:rPr>
                <w:rFonts w:ascii="Carlito" w:hAnsi="Carlito"/>
                <w:sz w:val="18"/>
              </w:rPr>
            </w:pPr>
            <w:r>
              <w:rPr>
                <w:rFonts w:ascii="Carlito" w:hAnsi="Carlito"/>
                <w:sz w:val="18"/>
              </w:rPr>
              <w:t>Precio</w:t>
              <w:tab/>
              <w:t>del</w:t>
              <w:tab/>
              <w:t>inmueble</w:t>
              <w:tab/>
              <w:t>en</w:t>
              <w:tab/>
            </w:r>
            <w:r>
              <w:rPr>
                <w:rFonts w:ascii="Carlito" w:hAnsi="Carlito"/>
                <w:spacing w:val="-3"/>
                <w:sz w:val="18"/>
              </w:rPr>
              <w:t>dólares </w:t>
            </w:r>
            <w:r>
              <w:rPr>
                <w:rFonts w:ascii="Carlito" w:hAnsi="Carlito"/>
                <w:sz w:val="18"/>
              </w:rPr>
              <w:t>estadounidenses.</w:t>
            </w:r>
          </w:p>
        </w:tc>
        <w:tc>
          <w:tcPr>
            <w:tcW w:w="6522" w:type="dxa"/>
            <w:tcBorders>
              <w:top w:val="nil"/>
            </w:tcBorders>
            <w:shd w:val="clear" w:color="auto" w:fill="CCCCCC"/>
          </w:tcPr>
          <w:p>
            <w:pPr>
              <w:pStyle w:val="TableParagraph"/>
              <w:spacing w:line="357" w:lineRule="auto" w:before="4"/>
              <w:ind w:left="107"/>
              <w:jc w:val="left"/>
              <w:rPr>
                <w:rFonts w:ascii="Carlito"/>
                <w:sz w:val="18"/>
              </w:rPr>
            </w:pPr>
            <w:r>
              <w:rPr>
                <w:rFonts w:ascii="Carlito"/>
                <w:sz w:val="18"/>
              </w:rPr>
              <w:t>Sitios web: </w:t>
            </w:r>
            <w:hyperlink r:id="rId84">
              <w:r>
                <w:rPr>
                  <w:rFonts w:ascii="Carlito"/>
                  <w:color w:val="0000FF"/>
                  <w:sz w:val="18"/>
                  <w:u w:val="single" w:color="0000FF"/>
                </w:rPr>
                <w:t>http://curridabat.olx.co.cr</w:t>
              </w:r>
              <w:r>
                <w:rPr>
                  <w:rFonts w:ascii="Carlito"/>
                  <w:color w:val="0000FF"/>
                  <w:sz w:val="18"/>
                </w:rPr>
                <w:t> </w:t>
              </w:r>
            </w:hyperlink>
            <w:r>
              <w:rPr>
                <w:rFonts w:ascii="Carlito"/>
                <w:sz w:val="18"/>
              </w:rPr>
              <w:t>; </w:t>
            </w:r>
            <w:hyperlink r:id="rId85">
              <w:r>
                <w:rPr>
                  <w:rFonts w:ascii="Carlito"/>
                  <w:color w:val="0000FF"/>
                  <w:sz w:val="18"/>
                  <w:u w:val="single" w:color="0000FF"/>
                </w:rPr>
                <w:t>http://desamparados.olx.co.cr</w:t>
              </w:r>
              <w:r>
                <w:rPr>
                  <w:rFonts w:ascii="Carlito"/>
                  <w:sz w:val="18"/>
                </w:rPr>
                <w:t>;</w:t>
              </w:r>
            </w:hyperlink>
            <w:r>
              <w:rPr>
                <w:rFonts w:ascii="Carlito"/>
                <w:sz w:val="18"/>
              </w:rPr>
              <w:t> </w:t>
            </w:r>
            <w:hyperlink r:id="rId86">
              <w:r>
                <w:rPr>
                  <w:rFonts w:ascii="Carlito"/>
                  <w:color w:val="0000FF"/>
                  <w:sz w:val="18"/>
                  <w:u w:val="single" w:color="0000FF"/>
                </w:rPr>
                <w:t>http://www.encuentra24.com/</w:t>
              </w:r>
              <w:r>
                <w:rPr>
                  <w:rFonts w:ascii="Carlito"/>
                  <w:color w:val="0000FF"/>
                  <w:sz w:val="18"/>
                </w:rPr>
                <w:t> </w:t>
              </w:r>
            </w:hyperlink>
            <w:r>
              <w:rPr>
                <w:rFonts w:ascii="Carlito"/>
                <w:sz w:val="18"/>
              </w:rPr>
              <w:t>; </w:t>
            </w:r>
            <w:hyperlink r:id="rId87">
              <w:r>
                <w:rPr>
                  <w:rFonts w:ascii="Carlito"/>
                  <w:color w:val="0000FF"/>
                  <w:sz w:val="18"/>
                  <w:u w:val="single" w:color="0000FF"/>
                </w:rPr>
                <w:t>http://www.compreoalquile.co.cr/</w:t>
              </w:r>
              <w:r>
                <w:rPr>
                  <w:rFonts w:ascii="Carlito"/>
                  <w:color w:val="0000FF"/>
                  <w:sz w:val="18"/>
                </w:rPr>
                <w:t> </w:t>
              </w:r>
            </w:hyperlink>
            <w:r>
              <w:rPr>
                <w:rFonts w:ascii="Carlito"/>
                <w:sz w:val="18"/>
              </w:rPr>
              <w:t>;</w:t>
            </w:r>
          </w:p>
          <w:p>
            <w:pPr>
              <w:pStyle w:val="TableParagraph"/>
              <w:spacing w:line="240" w:lineRule="auto" w:before="6"/>
              <w:ind w:left="107"/>
              <w:jc w:val="left"/>
              <w:rPr>
                <w:rFonts w:ascii="Carlito"/>
                <w:sz w:val="18"/>
              </w:rPr>
            </w:pPr>
            <w:hyperlink r:id="rId88">
              <w:r>
                <w:rPr>
                  <w:rFonts w:ascii="Carlito"/>
                  <w:color w:val="0000FF"/>
                  <w:sz w:val="18"/>
                  <w:u w:val="single" w:color="0000FF"/>
                </w:rPr>
                <w:t>http://www.inmotico.com/</w:t>
              </w:r>
              <w:r>
                <w:rPr>
                  <w:rFonts w:ascii="Carlito"/>
                  <w:color w:val="0000FF"/>
                  <w:sz w:val="18"/>
                </w:rPr>
                <w:t> </w:t>
              </w:r>
            </w:hyperlink>
            <w:r>
              <w:rPr>
                <w:rFonts w:ascii="Carlito"/>
                <w:sz w:val="18"/>
              </w:rPr>
              <w:t>; </w:t>
            </w:r>
            <w:hyperlink r:id="rId89">
              <w:r>
                <w:rPr>
                  <w:rFonts w:ascii="Carlito"/>
                  <w:color w:val="0000FF"/>
                  <w:sz w:val="18"/>
                  <w:u w:val="single" w:color="0000FF"/>
                </w:rPr>
                <w:t>http://search.viviendabac.com/</w:t>
              </w:r>
              <w:r>
                <w:rPr>
                  <w:rFonts w:ascii="Carlito"/>
                  <w:color w:val="0000FF"/>
                  <w:sz w:val="18"/>
                </w:rPr>
                <w:t> </w:t>
              </w:r>
            </w:hyperlink>
            <w:r>
              <w:rPr>
                <w:rFonts w:ascii="Carlito"/>
                <w:sz w:val="18"/>
              </w:rPr>
              <w:t>.</w:t>
            </w:r>
          </w:p>
        </w:tc>
      </w:tr>
      <w:tr>
        <w:trPr>
          <w:trHeight w:val="330" w:hRule="atLeast"/>
        </w:trPr>
        <w:tc>
          <w:tcPr>
            <w:tcW w:w="3020" w:type="dxa"/>
          </w:tcPr>
          <w:p>
            <w:pPr>
              <w:pStyle w:val="TableParagraph"/>
              <w:spacing w:line="240" w:lineRule="auto" w:before="3"/>
              <w:ind w:left="106"/>
              <w:jc w:val="left"/>
              <w:rPr>
                <w:rFonts w:ascii="Carlito" w:hAnsi="Carlito"/>
                <w:b/>
                <w:sz w:val="18"/>
              </w:rPr>
            </w:pPr>
            <w:r>
              <w:rPr>
                <w:rFonts w:ascii="Carlito" w:hAnsi="Carlito"/>
                <w:b/>
                <w:sz w:val="18"/>
              </w:rPr>
              <w:t>Área</w:t>
            </w:r>
          </w:p>
        </w:tc>
        <w:tc>
          <w:tcPr>
            <w:tcW w:w="3645" w:type="dxa"/>
          </w:tcPr>
          <w:p>
            <w:pPr>
              <w:pStyle w:val="TableParagraph"/>
              <w:spacing w:line="240" w:lineRule="auto" w:before="3"/>
              <w:ind w:left="107"/>
              <w:jc w:val="left"/>
              <w:rPr>
                <w:rFonts w:ascii="Carlito" w:hAnsi="Carlito"/>
                <w:sz w:val="18"/>
              </w:rPr>
            </w:pPr>
            <w:r>
              <w:rPr>
                <w:rFonts w:ascii="Carlito" w:hAnsi="Carlito"/>
                <w:sz w:val="18"/>
              </w:rPr>
              <w:t>Área de construcción en metros cuadrados.</w:t>
            </w:r>
          </w:p>
        </w:tc>
        <w:tc>
          <w:tcPr>
            <w:tcW w:w="6522" w:type="dxa"/>
          </w:tcPr>
          <w:p>
            <w:pPr>
              <w:pStyle w:val="TableParagraph"/>
              <w:spacing w:line="240" w:lineRule="auto" w:before="3"/>
              <w:ind w:left="107"/>
              <w:jc w:val="left"/>
              <w:rPr>
                <w:rFonts w:ascii="Carlito"/>
                <w:sz w:val="18"/>
              </w:rPr>
            </w:pPr>
            <w:r>
              <w:rPr>
                <w:rFonts w:ascii="Carlito"/>
                <w:sz w:val="18"/>
              </w:rPr>
              <w:t>Sitios web.</w:t>
            </w:r>
          </w:p>
        </w:tc>
      </w:tr>
      <w:tr>
        <w:trPr>
          <w:trHeight w:val="330" w:hRule="atLeast"/>
        </w:trPr>
        <w:tc>
          <w:tcPr>
            <w:tcW w:w="3020" w:type="dxa"/>
            <w:shd w:val="clear" w:color="auto" w:fill="CCCCCC"/>
          </w:tcPr>
          <w:p>
            <w:pPr>
              <w:pStyle w:val="TableParagraph"/>
              <w:spacing w:line="219" w:lineRule="exact" w:before="0"/>
              <w:ind w:left="106"/>
              <w:jc w:val="left"/>
              <w:rPr>
                <w:rFonts w:ascii="Carlito" w:hAnsi="Carlito"/>
                <w:b/>
                <w:sz w:val="18"/>
              </w:rPr>
            </w:pPr>
            <w:r>
              <w:rPr>
                <w:rFonts w:ascii="Carlito" w:hAnsi="Carlito"/>
                <w:b/>
                <w:sz w:val="18"/>
              </w:rPr>
              <w:t>AñoC</w:t>
            </w:r>
          </w:p>
        </w:tc>
        <w:tc>
          <w:tcPr>
            <w:tcW w:w="3645" w:type="dxa"/>
            <w:shd w:val="clear" w:color="auto" w:fill="CCCCCC"/>
          </w:tcPr>
          <w:p>
            <w:pPr>
              <w:pStyle w:val="TableParagraph"/>
              <w:spacing w:line="219" w:lineRule="exact" w:before="0"/>
              <w:ind w:left="107"/>
              <w:jc w:val="left"/>
              <w:rPr>
                <w:rFonts w:ascii="Carlito" w:hAnsi="Carlito"/>
                <w:sz w:val="18"/>
              </w:rPr>
            </w:pPr>
            <w:r>
              <w:rPr>
                <w:rFonts w:ascii="Carlito" w:hAnsi="Carlito"/>
                <w:sz w:val="18"/>
              </w:rPr>
              <w:t>Año de construcción.</w:t>
            </w:r>
          </w:p>
        </w:tc>
        <w:tc>
          <w:tcPr>
            <w:tcW w:w="6522" w:type="dxa"/>
            <w:shd w:val="clear" w:color="auto" w:fill="CCCCCC"/>
          </w:tcPr>
          <w:p>
            <w:pPr>
              <w:pStyle w:val="TableParagraph"/>
              <w:spacing w:line="219" w:lineRule="exact" w:before="0"/>
              <w:ind w:left="107"/>
              <w:jc w:val="left"/>
              <w:rPr>
                <w:rFonts w:ascii="Carlito" w:hAnsi="Carlito"/>
                <w:sz w:val="18"/>
              </w:rPr>
            </w:pPr>
            <w:r>
              <w:rPr>
                <w:rFonts w:ascii="Carlito" w:hAnsi="Carlito"/>
                <w:sz w:val="18"/>
              </w:rPr>
              <w:t>Sitios web, llamadas a los agentes de bienes raíces y estimación de promedios.</w:t>
            </w:r>
          </w:p>
        </w:tc>
      </w:tr>
      <w:tr>
        <w:trPr>
          <w:trHeight w:val="329" w:hRule="atLeast"/>
        </w:trPr>
        <w:tc>
          <w:tcPr>
            <w:tcW w:w="3020" w:type="dxa"/>
          </w:tcPr>
          <w:p>
            <w:pPr>
              <w:pStyle w:val="TableParagraph"/>
              <w:spacing w:line="219" w:lineRule="exact" w:before="0"/>
              <w:ind w:left="106"/>
              <w:jc w:val="left"/>
              <w:rPr>
                <w:rFonts w:ascii="Carlito"/>
                <w:b/>
                <w:sz w:val="18"/>
              </w:rPr>
            </w:pPr>
            <w:r>
              <w:rPr>
                <w:rFonts w:ascii="Carlito"/>
                <w:b/>
                <w:sz w:val="18"/>
              </w:rPr>
              <w:t>Hab</w:t>
            </w:r>
          </w:p>
        </w:tc>
        <w:tc>
          <w:tcPr>
            <w:tcW w:w="3645" w:type="dxa"/>
          </w:tcPr>
          <w:p>
            <w:pPr>
              <w:pStyle w:val="TableParagraph"/>
              <w:spacing w:line="219" w:lineRule="exact" w:before="0"/>
              <w:ind w:left="107"/>
              <w:jc w:val="left"/>
              <w:rPr>
                <w:rFonts w:ascii="Carlito" w:hAnsi="Carlito"/>
                <w:sz w:val="18"/>
              </w:rPr>
            </w:pPr>
            <w:r>
              <w:rPr>
                <w:rFonts w:ascii="Carlito" w:hAnsi="Carlito"/>
                <w:sz w:val="18"/>
              </w:rPr>
              <w:t>Número de habitaciones en el inmueble.</w:t>
            </w:r>
          </w:p>
        </w:tc>
        <w:tc>
          <w:tcPr>
            <w:tcW w:w="6522" w:type="dxa"/>
          </w:tcPr>
          <w:p>
            <w:pPr>
              <w:pStyle w:val="TableParagraph"/>
              <w:spacing w:line="219" w:lineRule="exact" w:before="0"/>
              <w:ind w:left="107"/>
              <w:jc w:val="left"/>
              <w:rPr>
                <w:rFonts w:ascii="Carlito"/>
                <w:sz w:val="18"/>
              </w:rPr>
            </w:pPr>
            <w:r>
              <w:rPr>
                <w:rFonts w:ascii="Carlito"/>
                <w:sz w:val="18"/>
              </w:rPr>
              <w:t>Sitios web.</w:t>
            </w:r>
          </w:p>
        </w:tc>
      </w:tr>
      <w:tr>
        <w:trPr>
          <w:trHeight w:val="330" w:hRule="atLeast"/>
        </w:trPr>
        <w:tc>
          <w:tcPr>
            <w:tcW w:w="3020" w:type="dxa"/>
            <w:shd w:val="clear" w:color="auto" w:fill="CCCCCC"/>
          </w:tcPr>
          <w:p>
            <w:pPr>
              <w:pStyle w:val="TableParagraph"/>
              <w:spacing w:line="219" w:lineRule="exact" w:before="0"/>
              <w:ind w:left="106"/>
              <w:jc w:val="left"/>
              <w:rPr>
                <w:rFonts w:ascii="Carlito" w:hAnsi="Carlito"/>
                <w:b/>
                <w:sz w:val="18"/>
              </w:rPr>
            </w:pPr>
            <w:r>
              <w:rPr>
                <w:rFonts w:ascii="Carlito" w:hAnsi="Carlito"/>
                <w:b/>
                <w:sz w:val="18"/>
              </w:rPr>
              <w:t>Baños</w:t>
            </w:r>
          </w:p>
        </w:tc>
        <w:tc>
          <w:tcPr>
            <w:tcW w:w="3645" w:type="dxa"/>
            <w:shd w:val="clear" w:color="auto" w:fill="CCCCCC"/>
          </w:tcPr>
          <w:p>
            <w:pPr>
              <w:pStyle w:val="TableParagraph"/>
              <w:spacing w:line="219" w:lineRule="exact" w:before="0"/>
              <w:ind w:left="107"/>
              <w:jc w:val="left"/>
              <w:rPr>
                <w:rFonts w:ascii="Carlito" w:hAnsi="Carlito"/>
                <w:sz w:val="18"/>
              </w:rPr>
            </w:pPr>
            <w:r>
              <w:rPr>
                <w:rFonts w:ascii="Carlito" w:hAnsi="Carlito"/>
                <w:sz w:val="18"/>
              </w:rPr>
              <w:t>Número de baños en el inmueble.</w:t>
            </w:r>
          </w:p>
        </w:tc>
        <w:tc>
          <w:tcPr>
            <w:tcW w:w="6522" w:type="dxa"/>
            <w:shd w:val="clear" w:color="auto" w:fill="CCCCCC"/>
          </w:tcPr>
          <w:p>
            <w:pPr>
              <w:pStyle w:val="TableParagraph"/>
              <w:spacing w:line="219" w:lineRule="exact" w:before="0"/>
              <w:ind w:left="107"/>
              <w:jc w:val="left"/>
              <w:rPr>
                <w:rFonts w:ascii="Carlito"/>
                <w:sz w:val="18"/>
              </w:rPr>
            </w:pPr>
            <w:r>
              <w:rPr>
                <w:rFonts w:ascii="Carlito"/>
                <w:sz w:val="18"/>
              </w:rPr>
              <w:t>Sitios web.</w:t>
            </w:r>
          </w:p>
        </w:tc>
      </w:tr>
      <w:tr>
        <w:trPr>
          <w:trHeight w:val="330" w:hRule="atLeast"/>
        </w:trPr>
        <w:tc>
          <w:tcPr>
            <w:tcW w:w="3020" w:type="dxa"/>
          </w:tcPr>
          <w:p>
            <w:pPr>
              <w:pStyle w:val="TableParagraph"/>
              <w:spacing w:line="219" w:lineRule="exact" w:before="0"/>
              <w:ind w:left="106"/>
              <w:jc w:val="left"/>
              <w:rPr>
                <w:rFonts w:ascii="Carlito"/>
                <w:b/>
                <w:sz w:val="18"/>
              </w:rPr>
            </w:pPr>
            <w:r>
              <w:rPr>
                <w:rFonts w:ascii="Carlito"/>
                <w:b/>
                <w:sz w:val="18"/>
              </w:rPr>
              <w:t>Plantas</w:t>
            </w:r>
          </w:p>
        </w:tc>
        <w:tc>
          <w:tcPr>
            <w:tcW w:w="3645" w:type="dxa"/>
          </w:tcPr>
          <w:p>
            <w:pPr>
              <w:pStyle w:val="TableParagraph"/>
              <w:spacing w:line="219" w:lineRule="exact" w:before="0"/>
              <w:ind w:left="107"/>
              <w:jc w:val="left"/>
              <w:rPr>
                <w:rFonts w:ascii="Carlito" w:hAnsi="Carlito"/>
                <w:sz w:val="18"/>
              </w:rPr>
            </w:pPr>
            <w:r>
              <w:rPr>
                <w:rFonts w:ascii="Carlito" w:hAnsi="Carlito"/>
                <w:sz w:val="18"/>
              </w:rPr>
              <w:t>Número de plantas (pisos) en el inmueble.</w:t>
            </w:r>
          </w:p>
        </w:tc>
        <w:tc>
          <w:tcPr>
            <w:tcW w:w="6522" w:type="dxa"/>
          </w:tcPr>
          <w:p>
            <w:pPr>
              <w:pStyle w:val="TableParagraph"/>
              <w:spacing w:line="219" w:lineRule="exact" w:before="0"/>
              <w:ind w:left="107"/>
              <w:jc w:val="left"/>
              <w:rPr>
                <w:rFonts w:ascii="Carlito"/>
                <w:sz w:val="18"/>
              </w:rPr>
            </w:pPr>
            <w:r>
              <w:rPr>
                <w:rFonts w:ascii="Carlito"/>
                <w:sz w:val="18"/>
              </w:rPr>
              <w:t>Sitios web.</w:t>
            </w:r>
          </w:p>
        </w:tc>
      </w:tr>
      <w:tr>
        <w:trPr>
          <w:trHeight w:val="658" w:hRule="atLeast"/>
        </w:trPr>
        <w:tc>
          <w:tcPr>
            <w:tcW w:w="3020" w:type="dxa"/>
            <w:shd w:val="clear" w:color="auto" w:fill="CCCCCC"/>
          </w:tcPr>
          <w:p>
            <w:pPr>
              <w:pStyle w:val="TableParagraph"/>
              <w:spacing w:line="219" w:lineRule="exact" w:before="0"/>
              <w:ind w:left="106"/>
              <w:jc w:val="left"/>
              <w:rPr>
                <w:rFonts w:ascii="Carlito"/>
                <w:b/>
                <w:sz w:val="18"/>
              </w:rPr>
            </w:pPr>
            <w:r>
              <w:rPr>
                <w:rFonts w:ascii="Carlito"/>
                <w:b/>
                <w:sz w:val="18"/>
              </w:rPr>
              <w:t>DSanJose</w:t>
            </w:r>
          </w:p>
        </w:tc>
        <w:tc>
          <w:tcPr>
            <w:tcW w:w="3645" w:type="dxa"/>
            <w:shd w:val="clear" w:color="auto" w:fill="CCCCCC"/>
          </w:tcPr>
          <w:p>
            <w:pPr>
              <w:pStyle w:val="TableParagraph"/>
              <w:spacing w:line="219" w:lineRule="exact" w:before="0"/>
              <w:ind w:left="107"/>
              <w:jc w:val="left"/>
              <w:rPr>
                <w:rFonts w:ascii="Carlito" w:hAnsi="Carlito"/>
                <w:sz w:val="18"/>
              </w:rPr>
            </w:pPr>
            <w:r>
              <w:rPr>
                <w:rFonts w:ascii="Carlito" w:hAnsi="Carlito"/>
                <w:sz w:val="18"/>
              </w:rPr>
              <w:t>Distancia más corta de la comunidad al Parque</w:t>
            </w:r>
          </w:p>
          <w:p>
            <w:pPr>
              <w:pStyle w:val="TableParagraph"/>
              <w:spacing w:line="240" w:lineRule="auto" w:before="108"/>
              <w:ind w:left="107"/>
              <w:jc w:val="left"/>
              <w:rPr>
                <w:rFonts w:ascii="Carlito" w:hAnsi="Carlito"/>
                <w:sz w:val="18"/>
              </w:rPr>
            </w:pPr>
            <w:r>
              <w:rPr>
                <w:rFonts w:ascii="Carlito" w:hAnsi="Carlito"/>
                <w:sz w:val="18"/>
              </w:rPr>
              <w:t>Central de San José.</w:t>
            </w:r>
          </w:p>
        </w:tc>
        <w:tc>
          <w:tcPr>
            <w:tcW w:w="6522" w:type="dxa"/>
            <w:shd w:val="clear" w:color="auto" w:fill="CCCCCC"/>
          </w:tcPr>
          <w:p>
            <w:pPr>
              <w:pStyle w:val="TableParagraph"/>
              <w:spacing w:line="219" w:lineRule="exact" w:before="0"/>
              <w:ind w:left="107"/>
              <w:jc w:val="left"/>
              <w:rPr>
                <w:rFonts w:ascii="Carlito" w:hAnsi="Carlito"/>
                <w:sz w:val="18"/>
              </w:rPr>
            </w:pPr>
            <w:r>
              <w:rPr>
                <w:rFonts w:ascii="Carlito" w:hAnsi="Carlito"/>
                <w:sz w:val="18"/>
              </w:rPr>
              <w:t>Medición en kilómetros utilizando las herramientas de Google Earth.</w:t>
            </w:r>
          </w:p>
        </w:tc>
      </w:tr>
      <w:tr>
        <w:trPr>
          <w:trHeight w:val="658" w:hRule="atLeast"/>
        </w:trPr>
        <w:tc>
          <w:tcPr>
            <w:tcW w:w="3020" w:type="dxa"/>
          </w:tcPr>
          <w:p>
            <w:pPr>
              <w:pStyle w:val="TableParagraph"/>
              <w:spacing w:line="219" w:lineRule="exact" w:before="0"/>
              <w:ind w:left="106"/>
              <w:jc w:val="left"/>
              <w:rPr>
                <w:rFonts w:ascii="Carlito"/>
                <w:b/>
                <w:sz w:val="18"/>
              </w:rPr>
            </w:pPr>
            <w:r>
              <w:rPr>
                <w:rFonts w:ascii="Carlito"/>
                <w:b/>
                <w:sz w:val="18"/>
              </w:rPr>
              <w:t>DAglomP</w:t>
            </w:r>
          </w:p>
        </w:tc>
        <w:tc>
          <w:tcPr>
            <w:tcW w:w="3645" w:type="dxa"/>
          </w:tcPr>
          <w:p>
            <w:pPr>
              <w:pStyle w:val="TableParagraph"/>
              <w:spacing w:line="219" w:lineRule="exact" w:before="0"/>
              <w:ind w:left="107"/>
              <w:jc w:val="left"/>
              <w:rPr>
                <w:rFonts w:ascii="Carlito" w:hAnsi="Carlito"/>
                <w:sz w:val="18"/>
              </w:rPr>
            </w:pPr>
            <w:r>
              <w:rPr>
                <w:rFonts w:ascii="Carlito" w:hAnsi="Carlito"/>
                <w:sz w:val="18"/>
              </w:rPr>
              <w:t>Distancia más corta de la comunidad al</w:t>
            </w:r>
          </w:p>
          <w:p>
            <w:pPr>
              <w:pStyle w:val="TableParagraph"/>
              <w:spacing w:line="240" w:lineRule="auto" w:before="112"/>
              <w:ind w:left="107"/>
              <w:jc w:val="left"/>
              <w:rPr>
                <w:rFonts w:ascii="Carlito" w:hAnsi="Carlito"/>
                <w:sz w:val="18"/>
              </w:rPr>
            </w:pPr>
            <w:r>
              <w:rPr>
                <w:rFonts w:ascii="Carlito" w:hAnsi="Carlito"/>
                <w:sz w:val="18"/>
              </w:rPr>
              <w:t>conglomerado de pobreza más cercano.</w:t>
            </w:r>
          </w:p>
        </w:tc>
        <w:tc>
          <w:tcPr>
            <w:tcW w:w="6522" w:type="dxa"/>
          </w:tcPr>
          <w:p>
            <w:pPr>
              <w:pStyle w:val="TableParagraph"/>
              <w:spacing w:line="219" w:lineRule="exact" w:before="0"/>
              <w:ind w:left="107"/>
              <w:jc w:val="left"/>
              <w:rPr>
                <w:rFonts w:ascii="Carlito" w:hAnsi="Carlito"/>
                <w:sz w:val="18"/>
              </w:rPr>
            </w:pPr>
            <w:r>
              <w:rPr>
                <w:rFonts w:ascii="Carlito" w:hAnsi="Carlito"/>
                <w:sz w:val="18"/>
              </w:rPr>
              <w:t>Medición en kilómetros utilizando las herramientas de Google Earth hasta el</w:t>
            </w:r>
          </w:p>
          <w:p>
            <w:pPr>
              <w:pStyle w:val="TableParagraph"/>
              <w:spacing w:line="240" w:lineRule="auto" w:before="112"/>
              <w:ind w:left="107"/>
              <w:jc w:val="left"/>
              <w:rPr>
                <w:rFonts w:ascii="Carlito" w:hAnsi="Carlito"/>
                <w:sz w:val="18"/>
              </w:rPr>
            </w:pPr>
            <w:r>
              <w:rPr>
                <w:rFonts w:ascii="Carlito" w:hAnsi="Carlito"/>
                <w:sz w:val="18"/>
              </w:rPr>
              <w:t>conglomerado de pobreza más cercano según Sánchez &amp; Trejos (2014).</w:t>
            </w:r>
          </w:p>
        </w:tc>
      </w:tr>
      <w:tr>
        <w:trPr>
          <w:trHeight w:val="990" w:hRule="atLeast"/>
        </w:trPr>
        <w:tc>
          <w:tcPr>
            <w:tcW w:w="3020" w:type="dxa"/>
            <w:shd w:val="clear" w:color="auto" w:fill="CCCCCC"/>
          </w:tcPr>
          <w:p>
            <w:pPr>
              <w:pStyle w:val="TableParagraph"/>
              <w:spacing w:line="240" w:lineRule="auto" w:before="3"/>
              <w:ind w:left="106"/>
              <w:jc w:val="left"/>
              <w:rPr>
                <w:rFonts w:ascii="Carlito"/>
                <w:b/>
                <w:sz w:val="18"/>
              </w:rPr>
            </w:pPr>
            <w:r>
              <w:rPr>
                <w:rFonts w:ascii="Carlito"/>
                <w:b/>
                <w:sz w:val="18"/>
              </w:rPr>
              <w:t>ZRiesgo</w:t>
            </w:r>
          </w:p>
        </w:tc>
        <w:tc>
          <w:tcPr>
            <w:tcW w:w="3645" w:type="dxa"/>
            <w:shd w:val="clear" w:color="auto" w:fill="CCCCCC"/>
          </w:tcPr>
          <w:p>
            <w:pPr>
              <w:pStyle w:val="TableParagraph"/>
              <w:spacing w:line="240" w:lineRule="auto" w:before="3"/>
              <w:ind w:left="107"/>
              <w:jc w:val="left"/>
              <w:rPr>
                <w:rFonts w:ascii="Carlito" w:hAnsi="Carlito"/>
                <w:sz w:val="18"/>
              </w:rPr>
            </w:pPr>
            <w:r>
              <w:rPr>
                <w:rFonts w:ascii="Carlito" w:hAnsi="Carlito"/>
                <w:sz w:val="18"/>
              </w:rPr>
              <w:t>Binaria (1= sí; 0= no) de si el inmueble se</w:t>
            </w:r>
          </w:p>
          <w:p>
            <w:pPr>
              <w:pStyle w:val="TableParagraph"/>
              <w:spacing w:line="320" w:lineRule="atLeast" w:before="9"/>
              <w:ind w:left="107" w:right="102"/>
              <w:jc w:val="left"/>
              <w:rPr>
                <w:rFonts w:ascii="Carlito"/>
                <w:sz w:val="18"/>
              </w:rPr>
            </w:pPr>
            <w:r>
              <w:rPr>
                <w:rFonts w:ascii="Carlito"/>
                <w:sz w:val="18"/>
              </w:rPr>
              <w:t>encuentra en una zona donde hay terrenos vulnerables a riesgos naturales.</w:t>
            </w:r>
          </w:p>
        </w:tc>
        <w:tc>
          <w:tcPr>
            <w:tcW w:w="6522" w:type="dxa"/>
            <w:shd w:val="clear" w:color="auto" w:fill="CCCCCC"/>
          </w:tcPr>
          <w:p>
            <w:pPr>
              <w:pStyle w:val="TableParagraph"/>
              <w:spacing w:line="240" w:lineRule="auto" w:before="3"/>
              <w:ind w:left="107"/>
              <w:jc w:val="left"/>
              <w:rPr>
                <w:rFonts w:ascii="Carlito" w:hAnsi="Carlito"/>
                <w:sz w:val="18"/>
              </w:rPr>
            </w:pPr>
            <w:r>
              <w:rPr>
                <w:rFonts w:ascii="Carlito" w:hAnsi="Carlito"/>
                <w:sz w:val="18"/>
              </w:rPr>
              <w:t>Identificación de las zonas de conformidad con los mapas cantonales de amenazas</w:t>
            </w:r>
          </w:p>
          <w:p>
            <w:pPr>
              <w:pStyle w:val="TableParagraph"/>
              <w:spacing w:line="320" w:lineRule="atLeast" w:before="9"/>
              <w:ind w:left="107" w:right="38"/>
              <w:jc w:val="left"/>
              <w:rPr>
                <w:rFonts w:ascii="Carlito" w:hAnsi="Carlito"/>
                <w:sz w:val="18"/>
              </w:rPr>
            </w:pPr>
            <w:r>
              <w:rPr>
                <w:rFonts w:ascii="Carlito" w:hAnsi="Carlito"/>
                <w:sz w:val="18"/>
              </w:rPr>
              <w:t>naturales potenciales más recientes de la Comisión Nacional de Emergencias y del Plan de Manejo de la ZPLC.</w:t>
            </w:r>
          </w:p>
        </w:tc>
      </w:tr>
      <w:tr>
        <w:trPr>
          <w:trHeight w:val="990" w:hRule="atLeast"/>
        </w:trPr>
        <w:tc>
          <w:tcPr>
            <w:tcW w:w="3020" w:type="dxa"/>
          </w:tcPr>
          <w:p>
            <w:pPr>
              <w:pStyle w:val="TableParagraph"/>
              <w:spacing w:line="219" w:lineRule="exact" w:before="0"/>
              <w:ind w:left="106"/>
              <w:jc w:val="left"/>
              <w:rPr>
                <w:rFonts w:ascii="Carlito"/>
                <w:b/>
                <w:sz w:val="18"/>
              </w:rPr>
            </w:pPr>
            <w:r>
              <w:rPr>
                <w:rFonts w:ascii="Carlito"/>
                <w:b/>
                <w:sz w:val="18"/>
              </w:rPr>
              <w:t>VistaLC</w:t>
            </w:r>
          </w:p>
        </w:tc>
        <w:tc>
          <w:tcPr>
            <w:tcW w:w="3645" w:type="dxa"/>
          </w:tcPr>
          <w:p>
            <w:pPr>
              <w:pStyle w:val="TableParagraph"/>
              <w:spacing w:line="219" w:lineRule="exact" w:before="0"/>
              <w:ind w:left="107"/>
              <w:jc w:val="left"/>
              <w:rPr>
                <w:rFonts w:ascii="Carlito" w:hAnsi="Carlito"/>
                <w:sz w:val="18"/>
              </w:rPr>
            </w:pPr>
            <w:r>
              <w:rPr>
                <w:rFonts w:ascii="Carlito" w:hAnsi="Carlito"/>
                <w:sz w:val="18"/>
              </w:rPr>
              <w:t>Binaria (1= sí; 0= no) de si el inmueble identifica</w:t>
            </w:r>
          </w:p>
          <w:p>
            <w:pPr>
              <w:pStyle w:val="TableParagraph"/>
              <w:spacing w:line="320" w:lineRule="atLeast" w:before="12"/>
              <w:ind w:left="107"/>
              <w:jc w:val="left"/>
              <w:rPr>
                <w:rFonts w:ascii="Carlito"/>
                <w:sz w:val="18"/>
              </w:rPr>
            </w:pPr>
            <w:r>
              <w:rPr>
                <w:rFonts w:ascii="Carlito"/>
                <w:sz w:val="18"/>
              </w:rPr>
              <w:t>en su anuncio de venta la vista ce Cerros de La Carpintera como amenidad del inmueble.</w:t>
            </w:r>
          </w:p>
        </w:tc>
        <w:tc>
          <w:tcPr>
            <w:tcW w:w="6522" w:type="dxa"/>
          </w:tcPr>
          <w:p>
            <w:pPr>
              <w:pStyle w:val="TableParagraph"/>
              <w:spacing w:line="219" w:lineRule="exact" w:before="0"/>
              <w:ind w:left="107"/>
              <w:jc w:val="left"/>
              <w:rPr>
                <w:rFonts w:ascii="Carlito"/>
                <w:sz w:val="18"/>
              </w:rPr>
            </w:pPr>
            <w:r>
              <w:rPr>
                <w:rFonts w:ascii="Carlito"/>
                <w:sz w:val="18"/>
              </w:rPr>
              <w:t>Sitios web.</w:t>
            </w:r>
          </w:p>
        </w:tc>
      </w:tr>
    </w:tbl>
    <w:p>
      <w:pPr>
        <w:spacing w:after="0" w:line="219" w:lineRule="exact"/>
        <w:jc w:val="left"/>
        <w:rPr>
          <w:rFonts w:ascii="Carlito"/>
          <w:sz w:val="18"/>
        </w:rPr>
        <w:sectPr>
          <w:footerReference w:type="default" r:id="rId83"/>
          <w:pgSz w:w="15840" w:h="12240" w:orient="landscape"/>
          <w:pgMar w:footer="1062" w:header="0" w:top="1140" w:bottom="1260" w:left="1600" w:right="840"/>
        </w:sectPr>
      </w:pPr>
    </w:p>
    <w:p>
      <w:pPr>
        <w:pStyle w:val="BodyText"/>
        <w:spacing w:line="357" w:lineRule="auto" w:before="79"/>
        <w:ind w:left="940" w:right="933"/>
        <w:jc w:val="both"/>
      </w:pPr>
      <w:r>
        <w:rPr/>
        <w:t>Según lo asegura la literatura, este tipo de modelos de estimación pueden presentar típicamente problemas de multicolinealidad (MCD)</w:t>
      </w:r>
      <w:r>
        <w:rPr>
          <w:position w:val="8"/>
          <w:sz w:val="16"/>
        </w:rPr>
        <w:t>24</w:t>
      </w:r>
      <w:r>
        <w:rPr/>
        <w:t>. No es rara la presencia de heterocedasticidad (HCD) y en algunos casos de autocorrelación (ACR)</w:t>
      </w:r>
      <w:r>
        <w:rPr>
          <w:position w:val="8"/>
          <w:sz w:val="16"/>
        </w:rPr>
        <w:t>25 </w:t>
      </w:r>
      <w:r>
        <w:rPr/>
        <w:t>(Lever, s.f.; Núñez &amp; Schovelin, 2002).</w:t>
      </w:r>
    </w:p>
    <w:p>
      <w:pPr>
        <w:pStyle w:val="BodyText"/>
        <w:spacing w:line="360" w:lineRule="auto" w:before="202"/>
        <w:ind w:left="940" w:right="935"/>
        <w:jc w:val="both"/>
      </w:pPr>
      <w:r>
        <w:rPr/>
        <w:t>Examinando las matrices de correlación entre las diversas variables en los modelos, permite detectar problemas de </w:t>
      </w:r>
      <w:r>
        <w:rPr>
          <w:spacing w:val="-2"/>
        </w:rPr>
        <w:t>MCD </w:t>
      </w:r>
      <w:r>
        <w:rPr/>
        <w:t>que afectarían la especificación del modelo</w:t>
      </w:r>
      <w:r>
        <w:rPr>
          <w:spacing w:val="-43"/>
        </w:rPr>
        <w:t> </w:t>
      </w:r>
      <w:r>
        <w:rPr/>
        <w:t>(Núñez &amp; Salas, 2010). También son signos de preocupación un R</w:t>
      </w:r>
      <w:r>
        <w:rPr>
          <w:position w:val="8"/>
          <w:sz w:val="16"/>
        </w:rPr>
        <w:t>2 </w:t>
      </w:r>
      <w:r>
        <w:rPr/>
        <w:t>alto acompañado de una mayoría</w:t>
      </w:r>
      <w:r>
        <w:rPr>
          <w:spacing w:val="-21"/>
        </w:rPr>
        <w:t> </w:t>
      </w:r>
      <w:r>
        <w:rPr/>
        <w:t>de</w:t>
      </w:r>
      <w:r>
        <w:rPr>
          <w:spacing w:val="-20"/>
        </w:rPr>
        <w:t> </w:t>
      </w:r>
      <w:r>
        <w:rPr/>
        <w:t>valores</w:t>
      </w:r>
      <w:r>
        <w:rPr>
          <w:spacing w:val="-18"/>
        </w:rPr>
        <w:t> </w:t>
      </w:r>
      <w:r>
        <w:rPr/>
        <w:t>de</w:t>
      </w:r>
      <w:r>
        <w:rPr>
          <w:spacing w:val="-20"/>
        </w:rPr>
        <w:t> </w:t>
      </w:r>
      <w:r>
        <w:rPr/>
        <w:t>t</w:t>
      </w:r>
      <w:r>
        <w:rPr>
          <w:spacing w:val="-17"/>
        </w:rPr>
        <w:t> </w:t>
      </w:r>
      <w:r>
        <w:rPr/>
        <w:t>bajos</w:t>
      </w:r>
      <w:r>
        <w:rPr>
          <w:spacing w:val="-14"/>
        </w:rPr>
        <w:t> </w:t>
      </w:r>
      <w:r>
        <w:rPr/>
        <w:t>y</w:t>
      </w:r>
      <w:r>
        <w:rPr>
          <w:spacing w:val="-22"/>
        </w:rPr>
        <w:t> </w:t>
      </w:r>
      <w:r>
        <w:rPr/>
        <w:t>no</w:t>
      </w:r>
      <w:r>
        <w:rPr>
          <w:spacing w:val="-20"/>
        </w:rPr>
        <w:t> </w:t>
      </w:r>
      <w:r>
        <w:rPr/>
        <w:t>significativos</w:t>
      </w:r>
      <w:r>
        <w:rPr>
          <w:spacing w:val="-18"/>
        </w:rPr>
        <w:t> </w:t>
      </w:r>
      <w:r>
        <w:rPr/>
        <w:t>mientras</w:t>
      </w:r>
      <w:r>
        <w:rPr>
          <w:spacing w:val="-19"/>
        </w:rPr>
        <w:t> </w:t>
      </w:r>
      <w:r>
        <w:rPr/>
        <w:t>la</w:t>
      </w:r>
      <w:r>
        <w:rPr>
          <w:spacing w:val="-16"/>
        </w:rPr>
        <w:t> </w:t>
      </w:r>
      <w:r>
        <w:rPr/>
        <w:t>estadística</w:t>
      </w:r>
      <w:r>
        <w:rPr>
          <w:spacing w:val="-20"/>
        </w:rPr>
        <w:t> </w:t>
      </w:r>
      <w:r>
        <w:rPr/>
        <w:t>F</w:t>
      </w:r>
      <w:r>
        <w:rPr>
          <w:spacing w:val="-17"/>
        </w:rPr>
        <w:t> </w:t>
      </w:r>
      <w:r>
        <w:rPr/>
        <w:t>es</w:t>
      </w:r>
      <w:r>
        <w:rPr>
          <w:spacing w:val="-18"/>
        </w:rPr>
        <w:t> </w:t>
      </w:r>
      <w:r>
        <w:rPr/>
        <w:t>alta</w:t>
      </w:r>
      <w:r>
        <w:rPr>
          <w:spacing w:val="-14"/>
        </w:rPr>
        <w:t> </w:t>
      </w:r>
      <w:r>
        <w:rPr/>
        <w:t>(Gujarati, 1992; Suárez &amp; Sequeira,</w:t>
      </w:r>
      <w:r>
        <w:rPr>
          <w:spacing w:val="-2"/>
        </w:rPr>
        <w:t> </w:t>
      </w:r>
      <w:r>
        <w:rPr/>
        <w:t>2000).</w:t>
      </w:r>
    </w:p>
    <w:p>
      <w:pPr>
        <w:pStyle w:val="BodyText"/>
        <w:spacing w:line="360" w:lineRule="auto" w:before="193"/>
        <w:ind w:left="940" w:right="937"/>
        <w:jc w:val="both"/>
      </w:pPr>
      <w:r>
        <w:rPr/>
        <w:t>Para la estimación de los parámetros por la vía del método de regresión, los estudios antecedentes encontrados en la literatura aplicada en Costa Rica utilizaron una formulación simple y otra logarítmica para atender el problema usual de los modelos de estimación de precios hedónicos de mostrar problemas de MCD (Suárez &amp; Sequeira, 2000; Núñez &amp; Salas, 2010). Se hizo lo mismo en este estudio conforme se muestra en la sección de resultados en el Capítulo IV.</w:t>
      </w:r>
    </w:p>
    <w:p>
      <w:pPr>
        <w:pStyle w:val="BodyText"/>
        <w:spacing w:line="360" w:lineRule="auto" w:before="201"/>
        <w:ind w:left="940" w:right="939"/>
        <w:jc w:val="both"/>
      </w:pPr>
      <w:r>
        <w:rPr/>
        <w:t>Se debe examinar si la posible MCD es tan grave como para afectar en forma definitiva la definición del modelo. Conforme lo sugiere la literatura se puede aplicar una prueba de inflación de varianza y regla práctica de Klein con regresiones adicionales de la variable dependiente con cada una de las independientes (Gujarati, 1992; Núñez &amp; Salas, 2010; Pujol, et al., 2013).</w:t>
      </w:r>
    </w:p>
    <w:p>
      <w:pPr>
        <w:pStyle w:val="BodyText"/>
        <w:spacing w:line="360" w:lineRule="auto" w:before="203"/>
        <w:ind w:left="940" w:right="940"/>
        <w:jc w:val="both"/>
      </w:pPr>
      <w:r>
        <w:rPr/>
        <w:t>Según la literatura no existe una prueba única de HCD. El análisis puede hacerse detectando</w:t>
      </w:r>
      <w:r>
        <w:rPr>
          <w:spacing w:val="-13"/>
        </w:rPr>
        <w:t> </w:t>
      </w:r>
      <w:r>
        <w:rPr/>
        <w:t>los</w:t>
      </w:r>
      <w:r>
        <w:rPr>
          <w:spacing w:val="-7"/>
        </w:rPr>
        <w:t> </w:t>
      </w:r>
      <w:r>
        <w:rPr/>
        <w:t>patrones</w:t>
      </w:r>
      <w:r>
        <w:rPr>
          <w:spacing w:val="-11"/>
        </w:rPr>
        <w:t> </w:t>
      </w:r>
      <w:r>
        <w:rPr/>
        <w:t>de</w:t>
      </w:r>
      <w:r>
        <w:rPr>
          <w:spacing w:val="-12"/>
        </w:rPr>
        <w:t> </w:t>
      </w:r>
      <w:r>
        <w:rPr/>
        <w:t>distribución</w:t>
      </w:r>
      <w:r>
        <w:rPr>
          <w:spacing w:val="-13"/>
        </w:rPr>
        <w:t> </w:t>
      </w:r>
      <w:r>
        <w:rPr/>
        <w:t>de</w:t>
      </w:r>
      <w:r>
        <w:rPr>
          <w:spacing w:val="-12"/>
        </w:rPr>
        <w:t> </w:t>
      </w:r>
      <w:r>
        <w:rPr/>
        <w:t>los</w:t>
      </w:r>
      <w:r>
        <w:rPr>
          <w:spacing w:val="-11"/>
        </w:rPr>
        <w:t> </w:t>
      </w:r>
      <w:r>
        <w:rPr/>
        <w:t>residuales</w:t>
      </w:r>
      <w:r>
        <w:rPr>
          <w:spacing w:val="-11"/>
        </w:rPr>
        <w:t> </w:t>
      </w:r>
      <w:r>
        <w:rPr/>
        <w:t>al</w:t>
      </w:r>
      <w:r>
        <w:rPr>
          <w:spacing w:val="-11"/>
        </w:rPr>
        <w:t> </w:t>
      </w:r>
      <w:r>
        <w:rPr/>
        <w:t>cuadrado</w:t>
      </w:r>
      <w:r>
        <w:rPr>
          <w:spacing w:val="-13"/>
        </w:rPr>
        <w:t> </w:t>
      </w:r>
      <w:r>
        <w:rPr/>
        <w:t>frente</w:t>
      </w:r>
      <w:r>
        <w:rPr>
          <w:spacing w:val="-9"/>
        </w:rPr>
        <w:t> </w:t>
      </w:r>
      <w:r>
        <w:rPr/>
        <w:t>a</w:t>
      </w:r>
      <w:r>
        <w:rPr>
          <w:spacing w:val="-12"/>
        </w:rPr>
        <w:t> </w:t>
      </w:r>
      <w:r>
        <w:rPr/>
        <w:t>los</w:t>
      </w:r>
      <w:r>
        <w:rPr>
          <w:spacing w:val="-11"/>
        </w:rPr>
        <w:t> </w:t>
      </w:r>
      <w:r>
        <w:rPr/>
        <w:t>valores estimados por el modelo de la variable dependiente (Gujarati, 1992). Los estudios antecedentes</w:t>
      </w:r>
      <w:r>
        <w:rPr>
          <w:spacing w:val="14"/>
        </w:rPr>
        <w:t> </w:t>
      </w:r>
      <w:r>
        <w:rPr/>
        <w:t>sugieren</w:t>
      </w:r>
      <w:r>
        <w:rPr>
          <w:spacing w:val="15"/>
        </w:rPr>
        <w:t> </w:t>
      </w:r>
      <w:r>
        <w:rPr/>
        <w:t>aplicar</w:t>
      </w:r>
      <w:r>
        <w:rPr>
          <w:spacing w:val="14"/>
        </w:rPr>
        <w:t> </w:t>
      </w:r>
      <w:r>
        <w:rPr/>
        <w:t>la</w:t>
      </w:r>
      <w:r>
        <w:rPr>
          <w:spacing w:val="13"/>
        </w:rPr>
        <w:t> </w:t>
      </w:r>
      <w:r>
        <w:rPr/>
        <w:t>prueba</w:t>
      </w:r>
      <w:r>
        <w:rPr>
          <w:spacing w:val="12"/>
        </w:rPr>
        <w:t> </w:t>
      </w:r>
      <w:r>
        <w:rPr/>
        <w:t>de</w:t>
      </w:r>
      <w:r>
        <w:rPr>
          <w:spacing w:val="8"/>
        </w:rPr>
        <w:t> </w:t>
      </w:r>
      <w:r>
        <w:rPr/>
        <w:t>White</w:t>
      </w:r>
      <w:r>
        <w:rPr>
          <w:spacing w:val="16"/>
        </w:rPr>
        <w:t> </w:t>
      </w:r>
      <w:r>
        <w:rPr/>
        <w:t>(Suárez</w:t>
      </w:r>
      <w:r>
        <w:rPr>
          <w:spacing w:val="10"/>
        </w:rPr>
        <w:t> </w:t>
      </w:r>
      <w:r>
        <w:rPr/>
        <w:t>&amp;</w:t>
      </w:r>
      <w:r>
        <w:rPr>
          <w:spacing w:val="14"/>
        </w:rPr>
        <w:t> </w:t>
      </w:r>
      <w:r>
        <w:rPr/>
        <w:t>Sequeira,</w:t>
      </w:r>
      <w:r>
        <w:rPr>
          <w:spacing w:val="16"/>
        </w:rPr>
        <w:t> </w:t>
      </w:r>
      <w:r>
        <w:rPr/>
        <w:t>2000;</w:t>
      </w:r>
      <w:r>
        <w:rPr>
          <w:spacing w:val="15"/>
        </w:rPr>
        <w:t> </w:t>
      </w:r>
      <w:r>
        <w:rPr/>
        <w:t>Núñez</w:t>
      </w:r>
      <w:r>
        <w:rPr>
          <w:spacing w:val="10"/>
        </w:rPr>
        <w:t> </w:t>
      </w:r>
      <w:r>
        <w:rPr/>
        <w:t>&amp;</w:t>
      </w:r>
    </w:p>
    <w:p>
      <w:pPr>
        <w:pStyle w:val="BodyText"/>
        <w:spacing w:before="1"/>
        <w:rPr>
          <w:sz w:val="20"/>
        </w:rPr>
      </w:pPr>
      <w:r>
        <w:rPr/>
        <w:pict>
          <v:rect style="position:absolute;margin-left:72.025002pt;margin-top:13.50002pt;width:144.050pt;height:.599980pt;mso-position-horizontal-relative:page;mso-position-vertical-relative:paragraph;z-index:-15687168;mso-wrap-distance-left:0;mso-wrap-distance-right:0" filled="true" fillcolor="#000000" stroked="false">
            <v:fill type="solid"/>
            <w10:wrap type="topAndBottom"/>
          </v:rect>
        </w:pict>
      </w:r>
    </w:p>
    <w:p>
      <w:pPr>
        <w:spacing w:line="240" w:lineRule="auto" w:before="71"/>
        <w:ind w:left="940" w:right="943" w:firstLine="0"/>
        <w:jc w:val="both"/>
        <w:rPr>
          <w:sz w:val="20"/>
        </w:rPr>
      </w:pPr>
      <w:r>
        <w:rPr>
          <w:sz w:val="20"/>
          <w:vertAlign w:val="superscript"/>
        </w:rPr>
        <w:t>24</w:t>
      </w:r>
      <w:r>
        <w:rPr>
          <w:sz w:val="20"/>
          <w:vertAlign w:val="baseline"/>
        </w:rPr>
        <w:t> La multicolinealidad se refiere a la correlación entre las variables independientes en forma perfecta (100%)</w:t>
      </w:r>
      <w:r>
        <w:rPr>
          <w:spacing w:val="-6"/>
          <w:sz w:val="20"/>
          <w:vertAlign w:val="baseline"/>
        </w:rPr>
        <w:t> </w:t>
      </w:r>
      <w:r>
        <w:rPr>
          <w:sz w:val="20"/>
          <w:vertAlign w:val="baseline"/>
        </w:rPr>
        <w:t>o</w:t>
      </w:r>
      <w:r>
        <w:rPr>
          <w:spacing w:val="-10"/>
          <w:sz w:val="20"/>
          <w:vertAlign w:val="baseline"/>
        </w:rPr>
        <w:t> </w:t>
      </w:r>
      <w:r>
        <w:rPr>
          <w:sz w:val="20"/>
          <w:vertAlign w:val="baseline"/>
        </w:rPr>
        <w:t>menos</w:t>
      </w:r>
      <w:r>
        <w:rPr>
          <w:spacing w:val="-7"/>
          <w:sz w:val="20"/>
          <w:vertAlign w:val="baseline"/>
        </w:rPr>
        <w:t> </w:t>
      </w:r>
      <w:r>
        <w:rPr>
          <w:sz w:val="20"/>
          <w:vertAlign w:val="baseline"/>
        </w:rPr>
        <w:t>que</w:t>
      </w:r>
      <w:r>
        <w:rPr>
          <w:spacing w:val="-6"/>
          <w:sz w:val="20"/>
          <w:vertAlign w:val="baseline"/>
        </w:rPr>
        <w:t> </w:t>
      </w:r>
      <w:r>
        <w:rPr>
          <w:sz w:val="20"/>
          <w:vertAlign w:val="baseline"/>
        </w:rPr>
        <w:t>perfecta</w:t>
      </w:r>
      <w:r>
        <w:rPr>
          <w:spacing w:val="-6"/>
          <w:sz w:val="20"/>
          <w:vertAlign w:val="baseline"/>
        </w:rPr>
        <w:t> </w:t>
      </w:r>
      <w:r>
        <w:rPr>
          <w:sz w:val="20"/>
          <w:vertAlign w:val="baseline"/>
        </w:rPr>
        <w:t>(muy</w:t>
      </w:r>
      <w:r>
        <w:rPr>
          <w:spacing w:val="-7"/>
          <w:sz w:val="20"/>
          <w:vertAlign w:val="baseline"/>
        </w:rPr>
        <w:t> </w:t>
      </w:r>
      <w:r>
        <w:rPr>
          <w:sz w:val="20"/>
          <w:vertAlign w:val="baseline"/>
        </w:rPr>
        <w:t>alta,</w:t>
      </w:r>
      <w:r>
        <w:rPr>
          <w:spacing w:val="-6"/>
          <w:sz w:val="20"/>
          <w:vertAlign w:val="baseline"/>
        </w:rPr>
        <w:t> </w:t>
      </w:r>
      <w:r>
        <w:rPr>
          <w:sz w:val="20"/>
          <w:vertAlign w:val="baseline"/>
        </w:rPr>
        <w:t>alta,</w:t>
      </w:r>
      <w:r>
        <w:rPr>
          <w:spacing w:val="-11"/>
          <w:sz w:val="20"/>
          <w:vertAlign w:val="baseline"/>
        </w:rPr>
        <w:t> </w:t>
      </w:r>
      <w:r>
        <w:rPr>
          <w:sz w:val="20"/>
          <w:vertAlign w:val="baseline"/>
        </w:rPr>
        <w:t>moderada,</w:t>
      </w:r>
      <w:r>
        <w:rPr>
          <w:spacing w:val="-7"/>
          <w:sz w:val="20"/>
          <w:vertAlign w:val="baseline"/>
        </w:rPr>
        <w:t> </w:t>
      </w:r>
      <w:r>
        <w:rPr>
          <w:sz w:val="20"/>
          <w:vertAlign w:val="baseline"/>
        </w:rPr>
        <w:t>etc.).</w:t>
      </w:r>
      <w:r>
        <w:rPr>
          <w:spacing w:val="39"/>
          <w:sz w:val="20"/>
          <w:vertAlign w:val="baseline"/>
        </w:rPr>
        <w:t> </w:t>
      </w:r>
      <w:r>
        <w:rPr>
          <w:spacing w:val="-3"/>
          <w:sz w:val="20"/>
          <w:vertAlign w:val="baseline"/>
        </w:rPr>
        <w:t>Si</w:t>
      </w:r>
      <w:r>
        <w:rPr>
          <w:spacing w:val="-4"/>
          <w:sz w:val="20"/>
          <w:vertAlign w:val="baseline"/>
        </w:rPr>
        <w:t> </w:t>
      </w:r>
      <w:r>
        <w:rPr>
          <w:sz w:val="20"/>
          <w:vertAlign w:val="baseline"/>
        </w:rPr>
        <w:t>fuese</w:t>
      </w:r>
      <w:r>
        <w:rPr>
          <w:spacing w:val="-6"/>
          <w:sz w:val="20"/>
          <w:vertAlign w:val="baseline"/>
        </w:rPr>
        <w:t> </w:t>
      </w:r>
      <w:r>
        <w:rPr>
          <w:sz w:val="20"/>
          <w:vertAlign w:val="baseline"/>
        </w:rPr>
        <w:t>perfecta</w:t>
      </w:r>
      <w:r>
        <w:rPr>
          <w:spacing w:val="-6"/>
          <w:sz w:val="20"/>
          <w:vertAlign w:val="baseline"/>
        </w:rPr>
        <w:t> </w:t>
      </w:r>
      <w:r>
        <w:rPr>
          <w:sz w:val="20"/>
          <w:vertAlign w:val="baseline"/>
        </w:rPr>
        <w:t>haría</w:t>
      </w:r>
      <w:r>
        <w:rPr>
          <w:spacing w:val="-9"/>
          <w:sz w:val="20"/>
          <w:vertAlign w:val="baseline"/>
        </w:rPr>
        <w:t> </w:t>
      </w:r>
      <w:r>
        <w:rPr>
          <w:sz w:val="20"/>
          <w:vertAlign w:val="baseline"/>
        </w:rPr>
        <w:t>que</w:t>
      </w:r>
      <w:r>
        <w:rPr>
          <w:spacing w:val="-10"/>
          <w:sz w:val="20"/>
          <w:vertAlign w:val="baseline"/>
        </w:rPr>
        <w:t> </w:t>
      </w:r>
      <w:r>
        <w:rPr>
          <w:sz w:val="20"/>
          <w:vertAlign w:val="baseline"/>
        </w:rPr>
        <w:t>los</w:t>
      </w:r>
      <w:r>
        <w:rPr>
          <w:spacing w:val="-7"/>
          <w:sz w:val="20"/>
          <w:vertAlign w:val="baseline"/>
        </w:rPr>
        <w:t> </w:t>
      </w:r>
      <w:r>
        <w:rPr>
          <w:sz w:val="20"/>
          <w:vertAlign w:val="baseline"/>
        </w:rPr>
        <w:t>coeficientes de la regresión sean indeterminados y sus errores estándar infinitos. No posee según la literatura una prueba única y decisiva sino múltiples y es una violación a las presunciones del modelo de ordinarios mínimos cuadrados que es problemática dependiendo del grado (Gujarati,</w:t>
      </w:r>
      <w:r>
        <w:rPr>
          <w:spacing w:val="-9"/>
          <w:sz w:val="20"/>
          <w:vertAlign w:val="baseline"/>
        </w:rPr>
        <w:t> </w:t>
      </w:r>
      <w:r>
        <w:rPr>
          <w:sz w:val="20"/>
          <w:vertAlign w:val="baseline"/>
        </w:rPr>
        <w:t>1992)</w:t>
      </w:r>
    </w:p>
    <w:p>
      <w:pPr>
        <w:spacing w:line="240" w:lineRule="auto" w:before="3"/>
        <w:ind w:left="940" w:right="931" w:firstLine="0"/>
        <w:jc w:val="both"/>
        <w:rPr>
          <w:sz w:val="20"/>
        </w:rPr>
      </w:pPr>
      <w:r>
        <w:rPr>
          <w:sz w:val="20"/>
          <w:vertAlign w:val="superscript"/>
        </w:rPr>
        <w:t>25</w:t>
      </w:r>
      <w:r>
        <w:rPr>
          <w:sz w:val="20"/>
          <w:vertAlign w:val="baseline"/>
        </w:rPr>
        <w:t> La heterocedasticidad se refiere a la violación del supuesto de que la varianza de los residuales es constante u homocedástica. La autocorrelación se da cuando hay covarianza significativa entre las perturbaciones/residuales. (Kmenta, 1986; Gujarati, 1992).</w:t>
      </w:r>
    </w:p>
    <w:p>
      <w:pPr>
        <w:spacing w:after="0" w:line="240" w:lineRule="auto"/>
        <w:jc w:val="both"/>
        <w:rPr>
          <w:sz w:val="20"/>
        </w:rPr>
        <w:sectPr>
          <w:footerReference w:type="default" r:id="rId90"/>
          <w:pgSz w:w="12240" w:h="15840"/>
          <w:pgMar w:footer="1062" w:header="0" w:top="1360" w:bottom="1260" w:left="500" w:right="500"/>
          <w:pgNumType w:start="95"/>
        </w:sectPr>
      </w:pPr>
    </w:p>
    <w:p>
      <w:pPr>
        <w:pStyle w:val="BodyText"/>
        <w:spacing w:line="357" w:lineRule="auto" w:before="79"/>
        <w:ind w:left="940" w:right="937"/>
        <w:jc w:val="both"/>
      </w:pPr>
      <w:r>
        <w:rPr/>
        <w:t>Salas, 2010). En otros casos se sugiere la aplicación de la prueba de Breusch-Pagan (Pujol, et al., 2011; Valencia, 2012; Lisi,</w:t>
      </w:r>
      <w:r>
        <w:rPr>
          <w:spacing w:val="3"/>
        </w:rPr>
        <w:t> </w:t>
      </w:r>
      <w:r>
        <w:rPr/>
        <w:t>2013).</w:t>
      </w:r>
    </w:p>
    <w:p>
      <w:pPr>
        <w:pStyle w:val="BodyText"/>
        <w:spacing w:line="360" w:lineRule="auto" w:before="206"/>
        <w:ind w:left="940" w:right="935"/>
        <w:jc w:val="both"/>
      </w:pPr>
      <w:r>
        <w:rPr/>
        <w:t>En el caso de la ACR, la prueba más conocida para detectar este problema de los supuestos es la prueba de Durbin-Watson (Gujarati, 1992). Ahora bien, debe aceptarse que por falta de recursos y tiempo este trabajo no aborda la estimación mediante un enfoque</w:t>
      </w:r>
      <w:r>
        <w:rPr>
          <w:spacing w:val="-9"/>
        </w:rPr>
        <w:t> </w:t>
      </w:r>
      <w:r>
        <w:rPr/>
        <w:t>de</w:t>
      </w:r>
      <w:r>
        <w:rPr>
          <w:spacing w:val="-6"/>
        </w:rPr>
        <w:t> </w:t>
      </w:r>
      <w:r>
        <w:rPr/>
        <w:t>econometría</w:t>
      </w:r>
      <w:r>
        <w:rPr>
          <w:spacing w:val="-9"/>
        </w:rPr>
        <w:t> </w:t>
      </w:r>
      <w:r>
        <w:rPr/>
        <w:t>espacial</w:t>
      </w:r>
      <w:r>
        <w:rPr>
          <w:spacing w:val="-6"/>
        </w:rPr>
        <w:t> </w:t>
      </w:r>
      <w:r>
        <w:rPr/>
        <w:t>(Pujol,</w:t>
      </w:r>
      <w:r>
        <w:rPr>
          <w:spacing w:val="-6"/>
        </w:rPr>
        <w:t> </w:t>
      </w:r>
      <w:r>
        <w:rPr/>
        <w:t>et</w:t>
      </w:r>
      <w:r>
        <w:rPr>
          <w:spacing w:val="-6"/>
        </w:rPr>
        <w:t> </w:t>
      </w:r>
      <w:r>
        <w:rPr/>
        <w:t>al.,</w:t>
      </w:r>
      <w:r>
        <w:rPr>
          <w:spacing w:val="-6"/>
        </w:rPr>
        <w:t> </w:t>
      </w:r>
      <w:r>
        <w:rPr/>
        <w:t>2011;</w:t>
      </w:r>
      <w:r>
        <w:rPr>
          <w:spacing w:val="-6"/>
        </w:rPr>
        <w:t> </w:t>
      </w:r>
      <w:r>
        <w:rPr/>
        <w:t>Valencia,</w:t>
      </w:r>
      <w:r>
        <w:rPr>
          <w:spacing w:val="-6"/>
        </w:rPr>
        <w:t> </w:t>
      </w:r>
      <w:r>
        <w:rPr/>
        <w:t>2012;</w:t>
      </w:r>
      <w:r>
        <w:rPr>
          <w:spacing w:val="-6"/>
        </w:rPr>
        <w:t> </w:t>
      </w:r>
      <w:r>
        <w:rPr/>
        <w:t>Pujol,</w:t>
      </w:r>
      <w:r>
        <w:rPr>
          <w:spacing w:val="-7"/>
        </w:rPr>
        <w:t> </w:t>
      </w:r>
      <w:r>
        <w:rPr/>
        <w:t>et</w:t>
      </w:r>
      <w:r>
        <w:rPr>
          <w:spacing w:val="-6"/>
        </w:rPr>
        <w:t> </w:t>
      </w:r>
      <w:r>
        <w:rPr/>
        <w:t>al.,</w:t>
      </w:r>
      <w:r>
        <w:rPr>
          <w:spacing w:val="-6"/>
        </w:rPr>
        <w:t> </w:t>
      </w:r>
      <w:r>
        <w:rPr/>
        <w:t>2013). Ello</w:t>
      </w:r>
      <w:r>
        <w:rPr>
          <w:spacing w:val="-13"/>
        </w:rPr>
        <w:t> </w:t>
      </w:r>
      <w:r>
        <w:rPr/>
        <w:t>fundamentalmente</w:t>
      </w:r>
      <w:r>
        <w:rPr>
          <w:spacing w:val="-12"/>
        </w:rPr>
        <w:t> </w:t>
      </w:r>
      <w:r>
        <w:rPr/>
        <w:t>hubiese</w:t>
      </w:r>
      <w:r>
        <w:rPr>
          <w:spacing w:val="-12"/>
        </w:rPr>
        <w:t> </w:t>
      </w:r>
      <w:r>
        <w:rPr/>
        <w:t>significado</w:t>
      </w:r>
      <w:r>
        <w:rPr>
          <w:spacing w:val="-12"/>
        </w:rPr>
        <w:t> </w:t>
      </w:r>
      <w:r>
        <w:rPr/>
        <w:t>la</w:t>
      </w:r>
      <w:r>
        <w:rPr>
          <w:spacing w:val="-13"/>
        </w:rPr>
        <w:t> </w:t>
      </w:r>
      <w:r>
        <w:rPr/>
        <w:t>utilización</w:t>
      </w:r>
      <w:r>
        <w:rPr>
          <w:spacing w:val="-12"/>
        </w:rPr>
        <w:t> </w:t>
      </w:r>
      <w:r>
        <w:rPr/>
        <w:t>mayor</w:t>
      </w:r>
      <w:r>
        <w:rPr>
          <w:spacing w:val="-10"/>
        </w:rPr>
        <w:t> </w:t>
      </w:r>
      <w:r>
        <w:rPr/>
        <w:t>de</w:t>
      </w:r>
      <w:r>
        <w:rPr>
          <w:spacing w:val="-12"/>
        </w:rPr>
        <w:t> </w:t>
      </w:r>
      <w:r>
        <w:rPr/>
        <w:t>software</w:t>
      </w:r>
      <w:r>
        <w:rPr>
          <w:spacing w:val="-9"/>
        </w:rPr>
        <w:t> </w:t>
      </w:r>
      <w:r>
        <w:rPr/>
        <w:t>y</w:t>
      </w:r>
      <w:r>
        <w:rPr>
          <w:spacing w:val="-10"/>
        </w:rPr>
        <w:t> </w:t>
      </w:r>
      <w:r>
        <w:rPr/>
        <w:t>técnicas</w:t>
      </w:r>
      <w:r>
        <w:rPr>
          <w:spacing w:val="-10"/>
        </w:rPr>
        <w:t> </w:t>
      </w:r>
      <w:r>
        <w:rPr/>
        <w:t>de sistemas de información geográfica no accesibles para el autor por el momento. Una profundización y refinamiento de este análisis podría incluir estas herramientas. En los análisis realizados se utilizaron los programas estadísticos Minitab V. 17, Eviews V. 10, SPSS V. 21, Statistica V. 10 y Genstat V.</w:t>
      </w:r>
      <w:r>
        <w:rPr>
          <w:spacing w:val="-4"/>
        </w:rPr>
        <w:t> </w:t>
      </w:r>
      <w:r>
        <w:rPr/>
        <w:t>18</w:t>
      </w:r>
      <w:r>
        <w:rPr>
          <w:position w:val="8"/>
          <w:sz w:val="16"/>
        </w:rPr>
        <w:t>26</w:t>
      </w:r>
      <w:r>
        <w:rPr/>
        <w:t>.</w:t>
      </w:r>
    </w:p>
    <w:p>
      <w:pPr>
        <w:pStyle w:val="Heading2"/>
        <w:numPr>
          <w:ilvl w:val="0"/>
          <w:numId w:val="6"/>
        </w:numPr>
        <w:tabs>
          <w:tab w:pos="1661" w:val="left" w:leader="none"/>
        </w:tabs>
        <w:spacing w:line="362" w:lineRule="auto" w:before="230" w:after="0"/>
        <w:ind w:left="940" w:right="951" w:firstLine="0"/>
        <w:jc w:val="both"/>
      </w:pPr>
      <w:bookmarkStart w:name="_bookmark42" w:id="57"/>
      <w:bookmarkEnd w:id="57"/>
      <w:r>
        <w:rPr>
          <w:b w:val="0"/>
        </w:rPr>
      </w:r>
      <w:bookmarkStart w:name="_bookmark42" w:id="58"/>
      <w:bookmarkEnd w:id="58"/>
      <w:r>
        <w:rPr/>
        <w:t>T</w:t>
      </w:r>
      <w:r>
        <w:rPr/>
        <w:t>aller de Presentación a Actores Comunales y Planteamiento del Proceso Multicriterial de Consulta de Alternativas de</w:t>
      </w:r>
      <w:r>
        <w:rPr>
          <w:spacing w:val="-4"/>
        </w:rPr>
        <w:t> </w:t>
      </w:r>
      <w:r>
        <w:rPr/>
        <w:t>Política.</w:t>
      </w:r>
    </w:p>
    <w:p>
      <w:pPr>
        <w:pStyle w:val="BodyText"/>
        <w:spacing w:line="360" w:lineRule="auto" w:before="199"/>
        <w:ind w:left="940" w:right="936"/>
        <w:jc w:val="both"/>
      </w:pPr>
      <w:r>
        <w:rPr/>
        <w:t>Dentro de espíritu del reconocimiento participativo de los diversos lenguajes de valoración que se ha planteado como premisa de este trabajo, se consideró deseable que la información recopilada en torno a la evidencia biofísica y monetaria de la Deuda Ecológica en la ZPLC pudiese ser sometida a un proceso de participativo de análisis de múltiples</w:t>
      </w:r>
      <w:r>
        <w:rPr>
          <w:spacing w:val="-13"/>
        </w:rPr>
        <w:t> </w:t>
      </w:r>
      <w:r>
        <w:rPr/>
        <w:t>criterios</w:t>
      </w:r>
      <w:r>
        <w:rPr>
          <w:spacing w:val="-13"/>
        </w:rPr>
        <w:t> </w:t>
      </w:r>
      <w:r>
        <w:rPr/>
        <w:t>que</w:t>
      </w:r>
      <w:r>
        <w:rPr>
          <w:spacing w:val="-15"/>
        </w:rPr>
        <w:t> </w:t>
      </w:r>
      <w:r>
        <w:rPr/>
        <w:t>permitiese</w:t>
      </w:r>
      <w:r>
        <w:rPr>
          <w:spacing w:val="-15"/>
        </w:rPr>
        <w:t> </w:t>
      </w:r>
      <w:r>
        <w:rPr/>
        <w:t>explorar</w:t>
      </w:r>
      <w:r>
        <w:rPr>
          <w:spacing w:val="-13"/>
        </w:rPr>
        <w:t> </w:t>
      </w:r>
      <w:r>
        <w:rPr/>
        <w:t>posibilidades</w:t>
      </w:r>
      <w:r>
        <w:rPr>
          <w:spacing w:val="-12"/>
        </w:rPr>
        <w:t> </w:t>
      </w:r>
      <w:r>
        <w:rPr/>
        <w:t>dentro</w:t>
      </w:r>
      <w:r>
        <w:rPr>
          <w:spacing w:val="-15"/>
        </w:rPr>
        <w:t> </w:t>
      </w:r>
      <w:r>
        <w:rPr/>
        <w:t>de</w:t>
      </w:r>
      <w:r>
        <w:rPr>
          <w:spacing w:val="-15"/>
        </w:rPr>
        <w:t> </w:t>
      </w:r>
      <w:r>
        <w:rPr/>
        <w:t>los</w:t>
      </w:r>
      <w:r>
        <w:rPr>
          <w:spacing w:val="-13"/>
        </w:rPr>
        <w:t> </w:t>
      </w:r>
      <w:r>
        <w:rPr/>
        <w:t>marcos</w:t>
      </w:r>
      <w:r>
        <w:rPr>
          <w:spacing w:val="-13"/>
        </w:rPr>
        <w:t> </w:t>
      </w:r>
      <w:r>
        <w:rPr/>
        <w:t>específicos de</w:t>
      </w:r>
      <w:r>
        <w:rPr>
          <w:spacing w:val="-13"/>
        </w:rPr>
        <w:t> </w:t>
      </w:r>
      <w:r>
        <w:rPr/>
        <w:t>políticas</w:t>
      </w:r>
      <w:r>
        <w:rPr>
          <w:spacing w:val="-10"/>
        </w:rPr>
        <w:t> </w:t>
      </w:r>
      <w:r>
        <w:rPr/>
        <w:t>ambientales</w:t>
      </w:r>
      <w:r>
        <w:rPr>
          <w:spacing w:val="-10"/>
        </w:rPr>
        <w:t> </w:t>
      </w:r>
      <w:r>
        <w:rPr/>
        <w:t>costarricenses.</w:t>
      </w:r>
      <w:r>
        <w:rPr>
          <w:spacing w:val="-9"/>
        </w:rPr>
        <w:t> </w:t>
      </w:r>
      <w:r>
        <w:rPr/>
        <w:t>En</w:t>
      </w:r>
      <w:r>
        <w:rPr>
          <w:spacing w:val="-12"/>
        </w:rPr>
        <w:t> </w:t>
      </w:r>
      <w:r>
        <w:rPr/>
        <w:t>Costa</w:t>
      </w:r>
      <w:r>
        <w:rPr>
          <w:spacing w:val="-13"/>
        </w:rPr>
        <w:t> </w:t>
      </w:r>
      <w:r>
        <w:rPr/>
        <w:t>Rica</w:t>
      </w:r>
      <w:r>
        <w:rPr>
          <w:spacing w:val="-12"/>
        </w:rPr>
        <w:t> </w:t>
      </w:r>
      <w:r>
        <w:rPr/>
        <w:t>hay</w:t>
      </w:r>
      <w:r>
        <w:rPr>
          <w:spacing w:val="-14"/>
        </w:rPr>
        <w:t> </w:t>
      </w:r>
      <w:r>
        <w:rPr/>
        <w:t>procesos</w:t>
      </w:r>
      <w:r>
        <w:rPr>
          <w:spacing w:val="-10"/>
        </w:rPr>
        <w:t> </w:t>
      </w:r>
      <w:r>
        <w:rPr/>
        <w:t>regulados</w:t>
      </w:r>
      <w:r>
        <w:rPr>
          <w:spacing w:val="-10"/>
        </w:rPr>
        <w:t> </w:t>
      </w:r>
      <w:r>
        <w:rPr/>
        <w:t>como</w:t>
      </w:r>
      <w:r>
        <w:rPr>
          <w:spacing w:val="-12"/>
        </w:rPr>
        <w:t> </w:t>
      </w:r>
      <w:r>
        <w:rPr/>
        <w:t>es el caso de la Evaluación Ambiental Estratégica que podrían utilizarse en forma</w:t>
      </w:r>
      <w:r>
        <w:rPr>
          <w:spacing w:val="-38"/>
        </w:rPr>
        <w:t> </w:t>
      </w:r>
      <w:r>
        <w:rPr/>
        <w:t>análoga.</w:t>
      </w:r>
    </w:p>
    <w:p>
      <w:pPr>
        <w:pStyle w:val="BodyText"/>
        <w:spacing w:line="360" w:lineRule="auto" w:before="203"/>
        <w:ind w:left="940" w:right="937"/>
        <w:jc w:val="both"/>
      </w:pPr>
      <w:r>
        <w:rPr/>
        <w:t>Sin embargo, la realización de todo este proceso sobrepasa los recursos disponibles para</w:t>
      </w:r>
      <w:r>
        <w:rPr>
          <w:spacing w:val="-13"/>
        </w:rPr>
        <w:t> </w:t>
      </w:r>
      <w:r>
        <w:rPr/>
        <w:t>esta</w:t>
      </w:r>
      <w:r>
        <w:rPr>
          <w:spacing w:val="-8"/>
        </w:rPr>
        <w:t> </w:t>
      </w:r>
      <w:r>
        <w:rPr/>
        <w:t>investigación.</w:t>
      </w:r>
      <w:r>
        <w:rPr>
          <w:spacing w:val="-10"/>
        </w:rPr>
        <w:t> </w:t>
      </w:r>
      <w:r>
        <w:rPr/>
        <w:t>Por</w:t>
      </w:r>
      <w:r>
        <w:rPr>
          <w:spacing w:val="-11"/>
        </w:rPr>
        <w:t> </w:t>
      </w:r>
      <w:r>
        <w:rPr/>
        <w:t>ello,</w:t>
      </w:r>
      <w:r>
        <w:rPr>
          <w:spacing w:val="-9"/>
        </w:rPr>
        <w:t> </w:t>
      </w:r>
      <w:r>
        <w:rPr/>
        <w:t>se</w:t>
      </w:r>
      <w:r>
        <w:rPr>
          <w:spacing w:val="-12"/>
        </w:rPr>
        <w:t> </w:t>
      </w:r>
      <w:r>
        <w:rPr/>
        <w:t>ha</w:t>
      </w:r>
      <w:r>
        <w:rPr>
          <w:spacing w:val="-9"/>
        </w:rPr>
        <w:t> </w:t>
      </w:r>
      <w:r>
        <w:rPr/>
        <w:t>desarrollado</w:t>
      </w:r>
      <w:r>
        <w:rPr>
          <w:spacing w:val="-10"/>
        </w:rPr>
        <w:t> </w:t>
      </w:r>
      <w:r>
        <w:rPr/>
        <w:t>un</w:t>
      </w:r>
      <w:r>
        <w:rPr>
          <w:spacing w:val="-12"/>
        </w:rPr>
        <w:t> </w:t>
      </w:r>
      <w:r>
        <w:rPr/>
        <w:t>proceso</w:t>
      </w:r>
      <w:r>
        <w:rPr>
          <w:spacing w:val="-12"/>
        </w:rPr>
        <w:t> </w:t>
      </w:r>
      <w:r>
        <w:rPr/>
        <w:t>antecedente</w:t>
      </w:r>
      <w:r>
        <w:rPr>
          <w:spacing w:val="-9"/>
        </w:rPr>
        <w:t> </w:t>
      </w:r>
      <w:r>
        <w:rPr/>
        <w:t>de</w:t>
      </w:r>
      <w:r>
        <w:rPr>
          <w:spacing w:val="-12"/>
        </w:rPr>
        <w:t> </w:t>
      </w:r>
      <w:r>
        <w:rPr/>
        <w:t>consulta y un diseño que podría ser seguido por ese proceso de conformidad con las prescripciones de la literatura que se han aplicado en otros espacios de conflictividad (Munda, et al., 1994; Giampietro, et al., 2006; Aguilar-González &amp; Moulaert,</w:t>
      </w:r>
      <w:r>
        <w:rPr>
          <w:spacing w:val="-23"/>
        </w:rPr>
        <w:t> </w:t>
      </w:r>
      <w:r>
        <w:rPr/>
        <w:t>2013).</w:t>
      </w:r>
    </w:p>
    <w:p>
      <w:pPr>
        <w:pStyle w:val="BodyText"/>
        <w:rPr>
          <w:sz w:val="20"/>
        </w:rPr>
      </w:pPr>
    </w:p>
    <w:p>
      <w:pPr>
        <w:pStyle w:val="BodyText"/>
        <w:spacing w:before="8"/>
        <w:rPr>
          <w:sz w:val="20"/>
        </w:rPr>
      </w:pPr>
      <w:r>
        <w:rPr/>
        <w:pict>
          <v:rect style="position:absolute;margin-left:72.025002pt;margin-top:13.896895pt;width:144.050pt;height:.599980pt;mso-position-horizontal-relative:page;mso-position-vertical-relative:paragraph;z-index:-15686656;mso-wrap-distance-left:0;mso-wrap-distance-right:0" filled="true" fillcolor="#000000" stroked="false">
            <v:fill type="solid"/>
            <w10:wrap type="topAndBottom"/>
          </v:rect>
        </w:pict>
      </w:r>
    </w:p>
    <w:p>
      <w:pPr>
        <w:spacing w:line="240" w:lineRule="auto" w:before="71"/>
        <w:ind w:left="940" w:right="1029" w:firstLine="0"/>
        <w:jc w:val="left"/>
        <w:rPr>
          <w:sz w:val="20"/>
        </w:rPr>
      </w:pPr>
      <w:r>
        <w:rPr>
          <w:sz w:val="20"/>
          <w:vertAlign w:val="superscript"/>
        </w:rPr>
        <w:t>26</w:t>
      </w:r>
      <w:r>
        <w:rPr>
          <w:sz w:val="20"/>
          <w:vertAlign w:val="baseline"/>
        </w:rPr>
        <w:t> Todos los programas con licencias de uso de estudiante, personales de prueba por 30 días y manejadas o donadas a la Fundación Neotrópica. Se agradece a la Fundación Neotrópica por su colaboración con este estudio como parte de su trabajo en la Zona Protectora La Carpintera y a VSN International Ltd por su donación de licencia a la Fundación Neotrópica que hizo posible algunos de los análisis de este estudio.</w:t>
      </w:r>
    </w:p>
    <w:p>
      <w:pPr>
        <w:spacing w:after="0" w:line="240" w:lineRule="auto"/>
        <w:jc w:val="left"/>
        <w:rPr>
          <w:sz w:val="20"/>
        </w:rPr>
        <w:sectPr>
          <w:pgSz w:w="12240" w:h="15840"/>
          <w:pgMar w:header="0" w:footer="1062" w:top="1360" w:bottom="1260" w:left="500" w:right="500"/>
        </w:sectPr>
      </w:pPr>
    </w:p>
    <w:p>
      <w:pPr>
        <w:pStyle w:val="BodyText"/>
        <w:spacing w:line="360" w:lineRule="auto" w:before="79"/>
        <w:ind w:left="940" w:right="934"/>
        <w:jc w:val="both"/>
      </w:pPr>
      <w:r>
        <w:rPr/>
        <w:t>Se realizó un taller participativo en el que se presentaron los resultados de los procesos metodológicos anteriormente desarrollados el día 2 de febrero del 2018 en las instalaciones de la Fundación Neotrópica en San Pedro de Montes de Oca. Se invitaron como</w:t>
      </w:r>
      <w:r>
        <w:rPr>
          <w:spacing w:val="-10"/>
        </w:rPr>
        <w:t> </w:t>
      </w:r>
      <w:r>
        <w:rPr/>
        <w:t>participantes</w:t>
      </w:r>
      <w:r>
        <w:rPr>
          <w:spacing w:val="-8"/>
        </w:rPr>
        <w:t> </w:t>
      </w:r>
      <w:r>
        <w:rPr/>
        <w:t>diversos</w:t>
      </w:r>
      <w:r>
        <w:rPr>
          <w:spacing w:val="-9"/>
        </w:rPr>
        <w:t> </w:t>
      </w:r>
      <w:r>
        <w:rPr/>
        <w:t>sectores</w:t>
      </w:r>
      <w:r>
        <w:rPr>
          <w:spacing w:val="-8"/>
        </w:rPr>
        <w:t> </w:t>
      </w:r>
      <w:r>
        <w:rPr/>
        <w:t>de</w:t>
      </w:r>
      <w:r>
        <w:rPr>
          <w:spacing w:val="-9"/>
        </w:rPr>
        <w:t> </w:t>
      </w:r>
      <w:r>
        <w:rPr/>
        <w:t>actores</w:t>
      </w:r>
      <w:r>
        <w:rPr>
          <w:spacing w:val="-7"/>
        </w:rPr>
        <w:t> </w:t>
      </w:r>
      <w:r>
        <w:rPr/>
        <w:t>claves</w:t>
      </w:r>
      <w:r>
        <w:rPr>
          <w:spacing w:val="-8"/>
        </w:rPr>
        <w:t> </w:t>
      </w:r>
      <w:r>
        <w:rPr/>
        <w:t>importantes</w:t>
      </w:r>
      <w:r>
        <w:rPr>
          <w:spacing w:val="-8"/>
        </w:rPr>
        <w:t> </w:t>
      </w:r>
      <w:r>
        <w:rPr/>
        <w:t>para</w:t>
      </w:r>
      <w:r>
        <w:rPr>
          <w:spacing w:val="-10"/>
        </w:rPr>
        <w:t> </w:t>
      </w:r>
      <w:r>
        <w:rPr/>
        <w:t>la</w:t>
      </w:r>
      <w:r>
        <w:rPr>
          <w:spacing w:val="-9"/>
        </w:rPr>
        <w:t> </w:t>
      </w:r>
      <w:r>
        <w:rPr/>
        <w:t>gestión</w:t>
      </w:r>
      <w:r>
        <w:rPr>
          <w:spacing w:val="-10"/>
        </w:rPr>
        <w:t> </w:t>
      </w:r>
      <w:r>
        <w:rPr/>
        <w:t>de</w:t>
      </w:r>
      <w:r>
        <w:rPr>
          <w:spacing w:val="-10"/>
        </w:rPr>
        <w:t> </w:t>
      </w:r>
      <w:r>
        <w:rPr/>
        <w:t>la ZPLC incluyendo: el Consejo Regional del Área de Conservación Central (CORAC</w:t>
      </w:r>
      <w:r>
        <w:rPr>
          <w:spacing w:val="-37"/>
        </w:rPr>
        <w:t> </w:t>
      </w:r>
      <w:r>
        <w:rPr/>
        <w:t>ACC</w:t>
      </w:r>
    </w:p>
    <w:p>
      <w:pPr>
        <w:pStyle w:val="BodyText"/>
        <w:spacing w:line="360" w:lineRule="auto"/>
        <w:ind w:left="940" w:right="938"/>
        <w:jc w:val="both"/>
      </w:pPr>
      <w:r>
        <w:rPr/>
        <w:t>- al cual pertenece el área protegida), el Consejo Local de Área y representantes de las Asociaciones de Desarrollo Comunal de las comunidades que se han denominado acreedoras. Del primero se contó con representación del sector privado y de la Fundación Neotrópica. En el caso del Consejo Local se apersonaron representantes de la oficina regional de SINAC de Cartago, ASOPROCA, ASMOCICU, el Parque La Libertad</w:t>
      </w:r>
      <w:r>
        <w:rPr>
          <w:spacing w:val="-8"/>
        </w:rPr>
        <w:t> </w:t>
      </w:r>
      <w:r>
        <w:rPr/>
        <w:t>y</w:t>
      </w:r>
      <w:r>
        <w:rPr>
          <w:spacing w:val="-9"/>
        </w:rPr>
        <w:t> </w:t>
      </w:r>
      <w:r>
        <w:rPr/>
        <w:t>la</w:t>
      </w:r>
      <w:r>
        <w:rPr>
          <w:spacing w:val="-8"/>
        </w:rPr>
        <w:t> </w:t>
      </w:r>
      <w:r>
        <w:rPr/>
        <w:t>Municipalidad</w:t>
      </w:r>
      <w:r>
        <w:rPr>
          <w:spacing w:val="-8"/>
        </w:rPr>
        <w:t> </w:t>
      </w:r>
      <w:r>
        <w:rPr/>
        <w:t>de</w:t>
      </w:r>
      <w:r>
        <w:rPr>
          <w:spacing w:val="-8"/>
        </w:rPr>
        <w:t> </w:t>
      </w:r>
      <w:r>
        <w:rPr/>
        <w:t>La</w:t>
      </w:r>
      <w:r>
        <w:rPr>
          <w:spacing w:val="-8"/>
        </w:rPr>
        <w:t> </w:t>
      </w:r>
      <w:r>
        <w:rPr/>
        <w:t>Unión.</w:t>
      </w:r>
      <w:r>
        <w:rPr>
          <w:spacing w:val="-5"/>
        </w:rPr>
        <w:t> </w:t>
      </w:r>
      <w:r>
        <w:rPr/>
        <w:t>La</w:t>
      </w:r>
      <w:r>
        <w:rPr>
          <w:spacing w:val="-8"/>
        </w:rPr>
        <w:t> </w:t>
      </w:r>
      <w:r>
        <w:rPr/>
        <w:t>ADI</w:t>
      </w:r>
      <w:r>
        <w:rPr>
          <w:spacing w:val="-9"/>
        </w:rPr>
        <w:t> </w:t>
      </w:r>
      <w:r>
        <w:rPr/>
        <w:t>de</w:t>
      </w:r>
      <w:r>
        <w:rPr>
          <w:spacing w:val="-6"/>
        </w:rPr>
        <w:t> </w:t>
      </w:r>
      <w:r>
        <w:rPr/>
        <w:t>Linda</w:t>
      </w:r>
      <w:r>
        <w:rPr>
          <w:spacing w:val="-8"/>
        </w:rPr>
        <w:t> </w:t>
      </w:r>
      <w:r>
        <w:rPr/>
        <w:t>Vista</w:t>
      </w:r>
      <w:r>
        <w:rPr>
          <w:spacing w:val="-8"/>
        </w:rPr>
        <w:t> </w:t>
      </w:r>
      <w:r>
        <w:rPr/>
        <w:t>y</w:t>
      </w:r>
      <w:r>
        <w:rPr>
          <w:spacing w:val="-10"/>
        </w:rPr>
        <w:t> </w:t>
      </w:r>
      <w:r>
        <w:rPr/>
        <w:t>una</w:t>
      </w:r>
      <w:r>
        <w:rPr>
          <w:spacing w:val="-8"/>
        </w:rPr>
        <w:t> </w:t>
      </w:r>
      <w:r>
        <w:rPr/>
        <w:t>representante</w:t>
      </w:r>
      <w:r>
        <w:rPr>
          <w:spacing w:val="-8"/>
        </w:rPr>
        <w:t> </w:t>
      </w:r>
      <w:r>
        <w:rPr/>
        <w:t>de</w:t>
      </w:r>
      <w:r>
        <w:rPr>
          <w:spacing w:val="-8"/>
        </w:rPr>
        <w:t> </w:t>
      </w:r>
      <w:r>
        <w:rPr/>
        <w:t>la Escuela Pública de Linda Vista representaron a las comunidades acreedoras. Por cuestión de inmediatez y conocimiento de la problemática de la ZPLC no se invitaron representantes estrictamente de comunidades deudoras. Su participación se contempla como parte del proceso multicriterial aquí propuesto e implica un proceso de sensibilización sobre la problemática en</w:t>
      </w:r>
      <w:r>
        <w:rPr>
          <w:spacing w:val="-3"/>
        </w:rPr>
        <w:t> </w:t>
      </w:r>
      <w:r>
        <w:rPr/>
        <w:t>examen.</w:t>
      </w:r>
    </w:p>
    <w:p>
      <w:pPr>
        <w:pStyle w:val="BodyText"/>
        <w:spacing w:line="360" w:lineRule="auto" w:before="202"/>
        <w:ind w:left="940" w:right="936"/>
        <w:jc w:val="both"/>
      </w:pPr>
      <w:r>
        <w:rPr/>
        <w:t>Aparte de presentar los resultados preliminares de esta investigación, en el taller se aplicó</w:t>
      </w:r>
      <w:r>
        <w:rPr>
          <w:spacing w:val="-14"/>
        </w:rPr>
        <w:t> </w:t>
      </w:r>
      <w:r>
        <w:rPr/>
        <w:t>un</w:t>
      </w:r>
      <w:r>
        <w:rPr>
          <w:spacing w:val="-13"/>
        </w:rPr>
        <w:t> </w:t>
      </w:r>
      <w:r>
        <w:rPr/>
        <w:t>instrumento</w:t>
      </w:r>
      <w:r>
        <w:rPr>
          <w:spacing w:val="-14"/>
        </w:rPr>
        <w:t> </w:t>
      </w:r>
      <w:r>
        <w:rPr/>
        <w:t>de</w:t>
      </w:r>
      <w:r>
        <w:rPr>
          <w:spacing w:val="-13"/>
        </w:rPr>
        <w:t> </w:t>
      </w:r>
      <w:r>
        <w:rPr/>
        <w:t>recolección</w:t>
      </w:r>
      <w:r>
        <w:rPr>
          <w:spacing w:val="-13"/>
        </w:rPr>
        <w:t> </w:t>
      </w:r>
      <w:r>
        <w:rPr/>
        <w:t>de</w:t>
      </w:r>
      <w:r>
        <w:rPr>
          <w:spacing w:val="-14"/>
        </w:rPr>
        <w:t> </w:t>
      </w:r>
      <w:r>
        <w:rPr/>
        <w:t>opiniones</w:t>
      </w:r>
      <w:r>
        <w:rPr>
          <w:spacing w:val="-8"/>
        </w:rPr>
        <w:t> </w:t>
      </w:r>
      <w:r>
        <w:rPr/>
        <w:t>respecto</w:t>
      </w:r>
      <w:r>
        <w:rPr>
          <w:spacing w:val="-14"/>
        </w:rPr>
        <w:t> </w:t>
      </w:r>
      <w:r>
        <w:rPr/>
        <w:t>a</w:t>
      </w:r>
      <w:r>
        <w:rPr>
          <w:spacing w:val="-13"/>
        </w:rPr>
        <w:t> </w:t>
      </w:r>
      <w:r>
        <w:rPr/>
        <w:t>los</w:t>
      </w:r>
      <w:r>
        <w:rPr>
          <w:spacing w:val="-12"/>
        </w:rPr>
        <w:t> </w:t>
      </w:r>
      <w:r>
        <w:rPr/>
        <w:t>resultados</w:t>
      </w:r>
      <w:r>
        <w:rPr>
          <w:spacing w:val="-11"/>
        </w:rPr>
        <w:t> </w:t>
      </w:r>
      <w:r>
        <w:rPr/>
        <w:t>y</w:t>
      </w:r>
      <w:r>
        <w:rPr>
          <w:spacing w:val="-10"/>
        </w:rPr>
        <w:t> </w:t>
      </w:r>
      <w:r>
        <w:rPr/>
        <w:t>en</w:t>
      </w:r>
      <w:r>
        <w:rPr>
          <w:spacing w:val="-13"/>
        </w:rPr>
        <w:t> </w:t>
      </w:r>
      <w:r>
        <w:rPr/>
        <w:t>relación a la participación en el potencial proceso futuro que se ha planteado aquí. La memoria del taller y el instrumento utilizado se presentan en el Anexo</w:t>
      </w:r>
      <w:r>
        <w:rPr>
          <w:spacing w:val="-17"/>
        </w:rPr>
        <w:t> </w:t>
      </w:r>
      <w:r>
        <w:rPr/>
        <w:t>6.</w:t>
      </w:r>
    </w:p>
    <w:p>
      <w:pPr>
        <w:pStyle w:val="BodyText"/>
        <w:spacing w:line="360" w:lineRule="auto" w:before="201"/>
        <w:ind w:left="940" w:right="937"/>
        <w:jc w:val="both"/>
      </w:pPr>
      <w:r>
        <w:rPr/>
        <w:t>En primer lugar, se consultó si como representantes de un grupo de actores que de una u</w:t>
      </w:r>
      <w:r>
        <w:rPr>
          <w:spacing w:val="-16"/>
        </w:rPr>
        <w:t> </w:t>
      </w:r>
      <w:r>
        <w:rPr/>
        <w:t>otra</w:t>
      </w:r>
      <w:r>
        <w:rPr>
          <w:spacing w:val="-15"/>
        </w:rPr>
        <w:t> </w:t>
      </w:r>
      <w:r>
        <w:rPr/>
        <w:t>forma</w:t>
      </w:r>
      <w:r>
        <w:rPr>
          <w:spacing w:val="-15"/>
        </w:rPr>
        <w:t> </w:t>
      </w:r>
      <w:r>
        <w:rPr/>
        <w:t>dependen</w:t>
      </w:r>
      <w:r>
        <w:rPr>
          <w:spacing w:val="-15"/>
        </w:rPr>
        <w:t> </w:t>
      </w:r>
      <w:r>
        <w:rPr/>
        <w:t>del</w:t>
      </w:r>
      <w:r>
        <w:rPr>
          <w:spacing w:val="-10"/>
        </w:rPr>
        <w:t> </w:t>
      </w:r>
      <w:r>
        <w:rPr/>
        <w:t>manejo</w:t>
      </w:r>
      <w:r>
        <w:rPr>
          <w:spacing w:val="-16"/>
        </w:rPr>
        <w:t> </w:t>
      </w:r>
      <w:r>
        <w:rPr/>
        <w:t>sostenible</w:t>
      </w:r>
      <w:r>
        <w:rPr>
          <w:spacing w:val="-11"/>
        </w:rPr>
        <w:t> </w:t>
      </w:r>
      <w:r>
        <w:rPr/>
        <w:t>y</w:t>
      </w:r>
      <w:r>
        <w:rPr>
          <w:spacing w:val="-18"/>
        </w:rPr>
        <w:t> </w:t>
      </w:r>
      <w:r>
        <w:rPr/>
        <w:t>la</w:t>
      </w:r>
      <w:r>
        <w:rPr>
          <w:spacing w:val="-15"/>
        </w:rPr>
        <w:t> </w:t>
      </w:r>
      <w:r>
        <w:rPr/>
        <w:t>conservación</w:t>
      </w:r>
      <w:r>
        <w:rPr>
          <w:spacing w:val="-15"/>
        </w:rPr>
        <w:t> </w:t>
      </w:r>
      <w:r>
        <w:rPr/>
        <w:t>de</w:t>
      </w:r>
      <w:r>
        <w:rPr>
          <w:spacing w:val="-10"/>
        </w:rPr>
        <w:t> </w:t>
      </w:r>
      <w:r>
        <w:rPr/>
        <w:t>la</w:t>
      </w:r>
      <w:r>
        <w:rPr>
          <w:spacing w:val="-15"/>
        </w:rPr>
        <w:t> </w:t>
      </w:r>
      <w:r>
        <w:rPr/>
        <w:t>ZPLC</w:t>
      </w:r>
      <w:r>
        <w:rPr>
          <w:spacing w:val="-15"/>
        </w:rPr>
        <w:t> </w:t>
      </w:r>
      <w:r>
        <w:rPr/>
        <w:t>consideraban que el servicio de vista que provee la zona es importante. En segundo lugar, se les consultó si consideraban que algún otro servicio ecosistémico era importante para el grupo de actores que representaron en el taller. La tercera pregunta directamente les preguntó su opinión sobre la posibilidad de mejorar la situación social de las comunidades</w:t>
      </w:r>
      <w:r>
        <w:rPr>
          <w:spacing w:val="-19"/>
        </w:rPr>
        <w:t> </w:t>
      </w:r>
      <w:r>
        <w:rPr/>
        <w:t>que</w:t>
      </w:r>
      <w:r>
        <w:rPr>
          <w:spacing w:val="-20"/>
        </w:rPr>
        <w:t> </w:t>
      </w:r>
      <w:r>
        <w:rPr/>
        <w:t>están</w:t>
      </w:r>
      <w:r>
        <w:rPr>
          <w:spacing w:val="-20"/>
        </w:rPr>
        <w:t> </w:t>
      </w:r>
      <w:r>
        <w:rPr/>
        <w:t>dentro</w:t>
      </w:r>
      <w:r>
        <w:rPr>
          <w:spacing w:val="-20"/>
        </w:rPr>
        <w:t> </w:t>
      </w:r>
      <w:r>
        <w:rPr/>
        <w:t>de</w:t>
      </w:r>
      <w:r>
        <w:rPr>
          <w:spacing w:val="-20"/>
        </w:rPr>
        <w:t> </w:t>
      </w:r>
      <w:r>
        <w:rPr/>
        <w:t>la</w:t>
      </w:r>
      <w:r>
        <w:rPr>
          <w:spacing w:val="-20"/>
        </w:rPr>
        <w:t> </w:t>
      </w:r>
      <w:r>
        <w:rPr/>
        <w:t>ZPLC</w:t>
      </w:r>
      <w:r>
        <w:rPr>
          <w:spacing w:val="-19"/>
        </w:rPr>
        <w:t> </w:t>
      </w:r>
      <w:r>
        <w:rPr/>
        <w:t>con</w:t>
      </w:r>
      <w:r>
        <w:rPr>
          <w:spacing w:val="-20"/>
        </w:rPr>
        <w:t> </w:t>
      </w:r>
      <w:r>
        <w:rPr/>
        <w:t>recursos</w:t>
      </w:r>
      <w:r>
        <w:rPr>
          <w:spacing w:val="-18"/>
        </w:rPr>
        <w:t> </w:t>
      </w:r>
      <w:r>
        <w:rPr/>
        <w:t>provenientes</w:t>
      </w:r>
      <w:r>
        <w:rPr>
          <w:spacing w:val="-18"/>
        </w:rPr>
        <w:t> </w:t>
      </w:r>
      <w:r>
        <w:rPr/>
        <w:t>del</w:t>
      </w:r>
      <w:r>
        <w:rPr>
          <w:spacing w:val="-19"/>
        </w:rPr>
        <w:t> </w:t>
      </w:r>
      <w:r>
        <w:rPr/>
        <w:t>valor</w:t>
      </w:r>
      <w:r>
        <w:rPr>
          <w:spacing w:val="-18"/>
        </w:rPr>
        <w:t> </w:t>
      </w:r>
      <w:r>
        <w:rPr/>
        <w:t>monetario del servicio de vista que se les presentó. En la última pregunta se les consultó a los actores si estarían de acuerdo en participar en un proceso de diálogo entre diferentes actores</w:t>
      </w:r>
      <w:r>
        <w:rPr>
          <w:spacing w:val="-4"/>
        </w:rPr>
        <w:t> </w:t>
      </w:r>
      <w:r>
        <w:rPr/>
        <w:t>con</w:t>
      </w:r>
      <w:r>
        <w:rPr>
          <w:spacing w:val="-5"/>
        </w:rPr>
        <w:t> </w:t>
      </w:r>
      <w:r>
        <w:rPr/>
        <w:t>el</w:t>
      </w:r>
      <w:r>
        <w:rPr>
          <w:spacing w:val="-5"/>
        </w:rPr>
        <w:t> </w:t>
      </w:r>
      <w:r>
        <w:rPr/>
        <w:t>fin</w:t>
      </w:r>
      <w:r>
        <w:rPr>
          <w:spacing w:val="-5"/>
        </w:rPr>
        <w:t> </w:t>
      </w:r>
      <w:r>
        <w:rPr/>
        <w:t>de</w:t>
      </w:r>
      <w:r>
        <w:rPr>
          <w:spacing w:val="-6"/>
        </w:rPr>
        <w:t> </w:t>
      </w:r>
      <w:r>
        <w:rPr/>
        <w:t>explorar</w:t>
      </w:r>
      <w:r>
        <w:rPr>
          <w:spacing w:val="-3"/>
        </w:rPr>
        <w:t> </w:t>
      </w:r>
      <w:r>
        <w:rPr/>
        <w:t>mecanismos</w:t>
      </w:r>
      <w:r>
        <w:rPr>
          <w:spacing w:val="-3"/>
        </w:rPr>
        <w:t> </w:t>
      </w:r>
      <w:r>
        <w:rPr/>
        <w:t>por medio</w:t>
      </w:r>
      <w:r>
        <w:rPr>
          <w:spacing w:val="-5"/>
        </w:rPr>
        <w:t> </w:t>
      </w:r>
      <w:r>
        <w:rPr/>
        <w:t>de</w:t>
      </w:r>
      <w:r>
        <w:rPr>
          <w:spacing w:val="-5"/>
        </w:rPr>
        <w:t> </w:t>
      </w:r>
      <w:r>
        <w:rPr/>
        <w:t>los</w:t>
      </w:r>
      <w:r>
        <w:rPr>
          <w:spacing w:val="-4"/>
        </w:rPr>
        <w:t> </w:t>
      </w:r>
      <w:r>
        <w:rPr/>
        <w:t>cuales</w:t>
      </w:r>
      <w:r>
        <w:rPr>
          <w:spacing w:val="-3"/>
        </w:rPr>
        <w:t> </w:t>
      </w:r>
      <w:r>
        <w:rPr/>
        <w:t>se</w:t>
      </w:r>
      <w:r>
        <w:rPr>
          <w:spacing w:val="-5"/>
        </w:rPr>
        <w:t> </w:t>
      </w:r>
      <w:r>
        <w:rPr/>
        <w:t>puedan</w:t>
      </w:r>
      <w:r>
        <w:rPr>
          <w:spacing w:val="-5"/>
        </w:rPr>
        <w:t> </w:t>
      </w:r>
      <w:r>
        <w:rPr/>
        <w:t>identificar</w:t>
      </w:r>
    </w:p>
    <w:p>
      <w:pPr>
        <w:spacing w:after="0" w:line="360" w:lineRule="auto"/>
        <w:jc w:val="both"/>
        <w:sectPr>
          <w:pgSz w:w="12240" w:h="15840"/>
          <w:pgMar w:header="0" w:footer="1062" w:top="1360" w:bottom="1260" w:left="500" w:right="500"/>
        </w:sectPr>
      </w:pPr>
    </w:p>
    <w:p>
      <w:pPr>
        <w:pStyle w:val="BodyText"/>
        <w:spacing w:line="360" w:lineRule="auto" w:before="79"/>
        <w:ind w:left="940" w:right="944"/>
        <w:jc w:val="both"/>
      </w:pPr>
      <w:r>
        <w:rPr/>
        <w:t>recursos provenientes de este servicio de vista por ejemplo (impuestos que se están cobrando) que puedan orientarse no solo a mejorar las condiciones sociales de esas comunidades, sino también a mejorar la conservación de la ZPLC.</w:t>
      </w:r>
    </w:p>
    <w:p>
      <w:pPr>
        <w:pStyle w:val="BodyText"/>
        <w:spacing w:line="360" w:lineRule="auto" w:before="199"/>
        <w:ind w:left="940" w:right="935"/>
        <w:jc w:val="both"/>
      </w:pPr>
      <w:r>
        <w:rPr/>
        <w:t>Para el proceso de diseño metodológico de un futuro proceso multicriterial, se adapta la metodología utilizada para el desarrollo y discusión de escenarios de desarrollo y conservación en consultas realizadas en Costa Rica a las comunidades circundantes al Humedal Nacional Térraba-Sierpe. Ese proceso, dentro del marco del proyecto ECOTICOS, combinó consultas a expertos nacionales (metodología Delphi), talleres focales y talleres de visión. El procesamiento de los datos se diseña de acuerdo con las prescripciones</w:t>
      </w:r>
      <w:r>
        <w:rPr>
          <w:spacing w:val="-11"/>
        </w:rPr>
        <w:t> </w:t>
      </w:r>
      <w:r>
        <w:rPr/>
        <w:t>del</w:t>
      </w:r>
      <w:r>
        <w:rPr>
          <w:spacing w:val="-12"/>
        </w:rPr>
        <w:t> </w:t>
      </w:r>
      <w:r>
        <w:rPr/>
        <w:t>software</w:t>
      </w:r>
      <w:r>
        <w:rPr>
          <w:spacing w:val="-9"/>
        </w:rPr>
        <w:t> </w:t>
      </w:r>
      <w:r>
        <w:rPr/>
        <w:t>analítico</w:t>
      </w:r>
      <w:r>
        <w:rPr>
          <w:spacing w:val="-12"/>
        </w:rPr>
        <w:t> </w:t>
      </w:r>
      <w:r>
        <w:rPr/>
        <w:t>para</w:t>
      </w:r>
      <w:r>
        <w:rPr>
          <w:spacing w:val="-13"/>
        </w:rPr>
        <w:t> </w:t>
      </w:r>
      <w:r>
        <w:rPr/>
        <w:t>procesos</w:t>
      </w:r>
      <w:r>
        <w:rPr>
          <w:spacing w:val="-10"/>
        </w:rPr>
        <w:t> </w:t>
      </w:r>
      <w:r>
        <w:rPr/>
        <w:t>de</w:t>
      </w:r>
      <w:r>
        <w:rPr>
          <w:spacing w:val="-9"/>
        </w:rPr>
        <w:t> </w:t>
      </w:r>
      <w:r>
        <w:rPr/>
        <w:t>Multicrierio</w:t>
      </w:r>
      <w:r>
        <w:rPr>
          <w:spacing w:val="-10"/>
        </w:rPr>
        <w:t> </w:t>
      </w:r>
      <w:r>
        <w:rPr/>
        <w:t>NAIADE.</w:t>
      </w:r>
      <w:r>
        <w:rPr>
          <w:spacing w:val="-10"/>
        </w:rPr>
        <w:t> </w:t>
      </w:r>
      <w:r>
        <w:rPr/>
        <w:t>Se</w:t>
      </w:r>
      <w:r>
        <w:rPr>
          <w:spacing w:val="-12"/>
        </w:rPr>
        <w:t> </w:t>
      </w:r>
      <w:r>
        <w:rPr/>
        <w:t>explicará </w:t>
      </w:r>
      <w:r>
        <w:rPr>
          <w:spacing w:val="-2"/>
        </w:rPr>
        <w:t>más </w:t>
      </w:r>
      <w:r>
        <w:rPr/>
        <w:t>en detalle en la sección de resultados (Aguilar-González &amp; Moulaert,</w:t>
      </w:r>
      <w:r>
        <w:rPr>
          <w:spacing w:val="-12"/>
        </w:rPr>
        <w:t> </w:t>
      </w:r>
      <w:r>
        <w:rPr/>
        <w:t>2013).</w:t>
      </w:r>
    </w:p>
    <w:p>
      <w:pPr>
        <w:pStyle w:val="Heading2"/>
        <w:numPr>
          <w:ilvl w:val="0"/>
          <w:numId w:val="2"/>
        </w:numPr>
        <w:tabs>
          <w:tab w:pos="1661" w:val="left" w:leader="none"/>
        </w:tabs>
        <w:spacing w:line="240" w:lineRule="auto" w:before="196" w:after="0"/>
        <w:ind w:left="1660" w:right="0" w:hanging="721"/>
        <w:jc w:val="both"/>
      </w:pPr>
      <w:bookmarkStart w:name="_bookmark43" w:id="59"/>
      <w:bookmarkEnd w:id="59"/>
      <w:r>
        <w:rPr>
          <w:b w:val="0"/>
        </w:rPr>
      </w:r>
      <w:bookmarkStart w:name="_bookmark43" w:id="60"/>
      <w:bookmarkEnd w:id="60"/>
      <w:r>
        <w:rPr/>
        <w:t>R</w:t>
      </w:r>
      <w:r>
        <w:rPr/>
        <w:t>esultados y</w:t>
      </w:r>
      <w:r>
        <w:rPr>
          <w:spacing w:val="-7"/>
        </w:rPr>
        <w:t> </w:t>
      </w:r>
      <w:r>
        <w:rPr/>
        <w:t>Discusión</w:t>
      </w:r>
    </w:p>
    <w:p>
      <w:pPr>
        <w:pStyle w:val="BodyText"/>
        <w:spacing w:line="360" w:lineRule="auto" w:before="204"/>
        <w:ind w:left="940" w:right="937" w:firstLine="68"/>
        <w:jc w:val="both"/>
      </w:pPr>
      <w:r>
        <w:rPr/>
        <w:t>Se divide este capítulo en tres secciones. En primera instancia se muestran los resultados del modelo teórico de Deuda Ecológica según la composición conceptual de elementos definida hasta donde la recopilación y evaluación de hechos lo permite en primera instancia. Esa presentación es seguida de la presentación y discusión de los resultados de los elementos cuantitativos estimados de acuerdo con la metodología presentada en el capítulo III. En la segunda sección se presentan los resultados comparativos de la estimación de huellas ecológicas comunitarias de las comunidades deudoras y acreedoras según la muestra determinada. Con el fin de realizar una evaluación</w:t>
      </w:r>
      <w:r>
        <w:rPr>
          <w:spacing w:val="-10"/>
        </w:rPr>
        <w:t> </w:t>
      </w:r>
      <w:r>
        <w:rPr/>
        <w:t>de</w:t>
      </w:r>
      <w:r>
        <w:rPr>
          <w:spacing w:val="-9"/>
        </w:rPr>
        <w:t> </w:t>
      </w:r>
      <w:r>
        <w:rPr/>
        <w:t>justicia</w:t>
      </w:r>
      <w:r>
        <w:rPr>
          <w:spacing w:val="-10"/>
        </w:rPr>
        <w:t> </w:t>
      </w:r>
      <w:r>
        <w:rPr/>
        <w:t>distributiva</w:t>
      </w:r>
      <w:r>
        <w:rPr>
          <w:spacing w:val="-9"/>
        </w:rPr>
        <w:t> </w:t>
      </w:r>
      <w:r>
        <w:rPr/>
        <w:t>se</w:t>
      </w:r>
      <w:r>
        <w:rPr>
          <w:spacing w:val="-10"/>
        </w:rPr>
        <w:t> </w:t>
      </w:r>
      <w:r>
        <w:rPr/>
        <w:t>comparan</w:t>
      </w:r>
      <w:r>
        <w:rPr>
          <w:spacing w:val="-9"/>
        </w:rPr>
        <w:t> </w:t>
      </w:r>
      <w:r>
        <w:rPr/>
        <w:t>esos</w:t>
      </w:r>
      <w:r>
        <w:rPr>
          <w:spacing w:val="-8"/>
        </w:rPr>
        <w:t> </w:t>
      </w:r>
      <w:r>
        <w:rPr/>
        <w:t>indicadores</w:t>
      </w:r>
      <w:r>
        <w:rPr>
          <w:spacing w:val="-7"/>
        </w:rPr>
        <w:t> </w:t>
      </w:r>
      <w:r>
        <w:rPr/>
        <w:t>de</w:t>
      </w:r>
      <w:r>
        <w:rPr>
          <w:spacing w:val="-10"/>
        </w:rPr>
        <w:t> </w:t>
      </w:r>
      <w:r>
        <w:rPr/>
        <w:t>impacto</w:t>
      </w:r>
      <w:r>
        <w:rPr>
          <w:spacing w:val="-6"/>
        </w:rPr>
        <w:t> </w:t>
      </w:r>
      <w:r>
        <w:rPr/>
        <w:t>ambiental</w:t>
      </w:r>
      <w:r>
        <w:rPr>
          <w:spacing w:val="-8"/>
        </w:rPr>
        <w:t> </w:t>
      </w:r>
      <w:r>
        <w:rPr/>
        <w:t>al país con los valores fiscales que el Estado estima para las propiedades dentro de esas comunidades. En la tercera sección se presentan los resultados del modelo de estimación del servicio de vista, cuyo valor monetario no es compensado en forma específica para la</w:t>
      </w:r>
      <w:r>
        <w:rPr>
          <w:spacing w:val="-4"/>
        </w:rPr>
        <w:t> </w:t>
      </w:r>
      <w:r>
        <w:rPr/>
        <w:t>ZPLC.</w:t>
      </w:r>
    </w:p>
    <w:p>
      <w:pPr>
        <w:pStyle w:val="BodyText"/>
        <w:spacing w:before="10"/>
        <w:rPr>
          <w:sz w:val="20"/>
        </w:rPr>
      </w:pPr>
    </w:p>
    <w:p>
      <w:pPr>
        <w:pStyle w:val="Heading2"/>
        <w:numPr>
          <w:ilvl w:val="0"/>
          <w:numId w:val="8"/>
        </w:numPr>
        <w:tabs>
          <w:tab w:pos="1660" w:val="left" w:leader="none"/>
          <w:tab w:pos="1661" w:val="left" w:leader="none"/>
        </w:tabs>
        <w:spacing w:line="240" w:lineRule="auto" w:before="0" w:after="0"/>
        <w:ind w:left="1660" w:right="0" w:hanging="721"/>
        <w:jc w:val="left"/>
      </w:pPr>
      <w:bookmarkStart w:name="_bookmark44" w:id="61"/>
      <w:bookmarkEnd w:id="61"/>
      <w:r>
        <w:rPr>
          <w:b w:val="0"/>
        </w:rPr>
      </w:r>
      <w:bookmarkStart w:name="_bookmark44" w:id="62"/>
      <w:bookmarkEnd w:id="62"/>
      <w:r>
        <w:rPr/>
        <w:t>El</w:t>
      </w:r>
      <w:r>
        <w:rPr/>
        <w:t>ementos de la Deuda Ecológica en la Zona Protectora La</w:t>
      </w:r>
      <w:r>
        <w:rPr>
          <w:spacing w:val="-10"/>
        </w:rPr>
        <w:t> </w:t>
      </w:r>
      <w:r>
        <w:rPr/>
        <w:t>Carpintera</w:t>
      </w:r>
    </w:p>
    <w:p>
      <w:pPr>
        <w:pStyle w:val="BodyText"/>
        <w:spacing w:line="362" w:lineRule="auto" w:before="200"/>
        <w:ind w:left="940" w:right="938"/>
        <w:jc w:val="both"/>
      </w:pPr>
      <w:r>
        <w:rPr/>
        <w:t>En</w:t>
      </w:r>
      <w:r>
        <w:rPr>
          <w:spacing w:val="-6"/>
        </w:rPr>
        <w:t> </w:t>
      </w:r>
      <w:r>
        <w:rPr/>
        <w:t>consecuencia,</w:t>
      </w:r>
      <w:r>
        <w:rPr>
          <w:spacing w:val="-3"/>
        </w:rPr>
        <w:t> </w:t>
      </w:r>
      <w:r>
        <w:rPr/>
        <w:t>con</w:t>
      </w:r>
      <w:r>
        <w:rPr>
          <w:spacing w:val="-5"/>
        </w:rPr>
        <w:t> </w:t>
      </w:r>
      <w:r>
        <w:rPr/>
        <w:t>los</w:t>
      </w:r>
      <w:r>
        <w:rPr>
          <w:spacing w:val="-4"/>
        </w:rPr>
        <w:t> </w:t>
      </w:r>
      <w:r>
        <w:rPr/>
        <w:t>hechos</w:t>
      </w:r>
      <w:r>
        <w:rPr>
          <w:spacing w:val="-3"/>
        </w:rPr>
        <w:t> </w:t>
      </w:r>
      <w:r>
        <w:rPr/>
        <w:t>y</w:t>
      </w:r>
      <w:r>
        <w:rPr>
          <w:spacing w:val="-8"/>
        </w:rPr>
        <w:t> </w:t>
      </w:r>
      <w:r>
        <w:rPr/>
        <w:t>análisis</w:t>
      </w:r>
      <w:r>
        <w:rPr>
          <w:spacing w:val="-3"/>
        </w:rPr>
        <w:t> </w:t>
      </w:r>
      <w:r>
        <w:rPr/>
        <w:t>presentados</w:t>
      </w:r>
      <w:r>
        <w:rPr>
          <w:spacing w:val="-4"/>
        </w:rPr>
        <w:t> </w:t>
      </w:r>
      <w:r>
        <w:rPr/>
        <w:t>hasta</w:t>
      </w:r>
      <w:r>
        <w:rPr>
          <w:spacing w:val="-5"/>
        </w:rPr>
        <w:t> </w:t>
      </w:r>
      <w:r>
        <w:rPr/>
        <w:t>aquí</w:t>
      </w:r>
      <w:r>
        <w:rPr>
          <w:spacing w:val="-3"/>
        </w:rPr>
        <w:t> </w:t>
      </w:r>
      <w:r>
        <w:rPr/>
        <w:t>se</w:t>
      </w:r>
      <w:r>
        <w:rPr>
          <w:spacing w:val="-6"/>
        </w:rPr>
        <w:t> </w:t>
      </w:r>
      <w:r>
        <w:rPr/>
        <w:t>puede</w:t>
      </w:r>
      <w:r>
        <w:rPr>
          <w:spacing w:val="-5"/>
        </w:rPr>
        <w:t> </w:t>
      </w:r>
      <w:r>
        <w:rPr/>
        <w:t>hacer</w:t>
      </w:r>
      <w:r>
        <w:rPr>
          <w:spacing w:val="-3"/>
        </w:rPr>
        <w:t> </w:t>
      </w:r>
      <w:r>
        <w:rPr/>
        <w:t>una descomposición inicial de los elementos que constituyen la Deuda Ecológica que</w:t>
      </w:r>
      <w:r>
        <w:rPr>
          <w:spacing w:val="-16"/>
        </w:rPr>
        <w:t> </w:t>
      </w:r>
      <w:r>
        <w:rPr/>
        <w:t>tienen</w:t>
      </w:r>
    </w:p>
    <w:p>
      <w:pPr>
        <w:spacing w:after="0" w:line="362" w:lineRule="auto"/>
        <w:jc w:val="both"/>
        <w:sectPr>
          <w:pgSz w:w="12240" w:h="15840"/>
          <w:pgMar w:header="0" w:footer="1062" w:top="1360" w:bottom="1260" w:left="500" w:right="500"/>
        </w:sectPr>
      </w:pPr>
    </w:p>
    <w:p>
      <w:pPr>
        <w:pStyle w:val="BodyText"/>
        <w:spacing w:line="357" w:lineRule="auto" w:before="79"/>
        <w:ind w:left="940" w:right="943"/>
        <w:jc w:val="both"/>
      </w:pPr>
      <w:r>
        <w:rPr/>
        <w:t>las zonas circundantes con la ZPLC conforme ha sido conceptualizada en este trabajo. El Cuadro 13 sintetiza la deconstrucción propuesta.</w:t>
      </w:r>
    </w:p>
    <w:p>
      <w:pPr>
        <w:spacing w:before="203"/>
        <w:ind w:left="994" w:right="990" w:firstLine="0"/>
        <w:jc w:val="center"/>
        <w:rPr>
          <w:i/>
          <w:sz w:val="20"/>
        </w:rPr>
      </w:pPr>
      <w:bookmarkStart w:name="_bookmark45" w:id="63"/>
      <w:bookmarkEnd w:id="63"/>
      <w:r>
        <w:rPr/>
      </w:r>
      <w:r>
        <w:rPr>
          <w:i/>
          <w:sz w:val="20"/>
        </w:rPr>
        <w:t>Cuadro 13- Deconstrucción Mejorada de los Elementos Constitutivos de la Deuda Ecológica en la </w:t>
      </w:r>
      <w:r>
        <w:rPr>
          <w:i/>
          <w:sz w:val="20"/>
        </w:rPr>
        <w:t>Conflictividad Socio-Ecológico Distributiva de la Zona Protectora La Carpintera.</w:t>
      </w:r>
    </w:p>
    <w:p>
      <w:pPr>
        <w:spacing w:before="1"/>
        <w:ind w:left="994" w:right="995" w:firstLine="0"/>
        <w:jc w:val="center"/>
        <w:rPr>
          <w:i/>
          <w:sz w:val="20"/>
        </w:rPr>
      </w:pPr>
      <w:r>
        <w:rPr>
          <w:i/>
          <w:sz w:val="20"/>
        </w:rPr>
        <w:t>Fuente: Modificado de Aguilar González (2015)</w:t>
      </w:r>
    </w:p>
    <w:p>
      <w:pPr>
        <w:pStyle w:val="BodyText"/>
        <w:spacing w:before="7"/>
        <w:rPr>
          <w:i/>
          <w:sz w:val="21"/>
        </w:rPr>
      </w:pPr>
    </w:p>
    <w:tbl>
      <w:tblPr>
        <w:tblW w:w="0" w:type="auto"/>
        <w:jc w:val="left"/>
        <w:tblInd w:w="107"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713"/>
        <w:gridCol w:w="2381"/>
        <w:gridCol w:w="2973"/>
        <w:gridCol w:w="2160"/>
        <w:gridCol w:w="1800"/>
      </w:tblGrid>
      <w:tr>
        <w:trPr>
          <w:trHeight w:val="547" w:hRule="atLeast"/>
        </w:trPr>
        <w:tc>
          <w:tcPr>
            <w:tcW w:w="1713" w:type="dxa"/>
            <w:tcBorders>
              <w:top w:val="nil"/>
              <w:left w:val="nil"/>
              <w:right w:val="nil"/>
            </w:tcBorders>
          </w:tcPr>
          <w:p>
            <w:pPr>
              <w:pStyle w:val="TableParagraph"/>
              <w:spacing w:line="179" w:lineRule="exact" w:before="0"/>
              <w:ind w:left="912"/>
              <w:jc w:val="left"/>
              <w:rPr>
                <w:b/>
                <w:i/>
                <w:sz w:val="16"/>
              </w:rPr>
            </w:pPr>
            <w:r>
              <w:rPr>
                <w:b/>
                <w:i/>
                <w:sz w:val="16"/>
              </w:rPr>
              <w:t>Contexto</w:t>
            </w:r>
          </w:p>
          <w:p>
            <w:pPr>
              <w:pStyle w:val="TableParagraph"/>
              <w:spacing w:line="240" w:lineRule="auto" w:before="92"/>
              <w:ind w:left="756"/>
              <w:jc w:val="left"/>
              <w:rPr>
                <w:b/>
                <w:i/>
                <w:sz w:val="16"/>
              </w:rPr>
            </w:pPr>
            <w:r>
              <w:rPr>
                <w:b/>
                <w:i/>
                <w:sz w:val="16"/>
              </w:rPr>
              <w:t>Geográfico</w:t>
            </w:r>
          </w:p>
        </w:tc>
        <w:tc>
          <w:tcPr>
            <w:tcW w:w="2381" w:type="dxa"/>
            <w:tcBorders>
              <w:top w:val="nil"/>
              <w:left w:val="nil"/>
              <w:right w:val="nil"/>
            </w:tcBorders>
          </w:tcPr>
          <w:p>
            <w:pPr>
              <w:pStyle w:val="TableParagraph"/>
              <w:spacing w:line="179" w:lineRule="exact" w:before="0"/>
              <w:ind w:left="107"/>
              <w:jc w:val="left"/>
              <w:rPr>
                <w:b/>
                <w:sz w:val="16"/>
              </w:rPr>
            </w:pPr>
            <w:r>
              <w:rPr>
                <w:b/>
                <w:sz w:val="16"/>
              </w:rPr>
              <w:t>Acreedor/Deudor</w:t>
            </w:r>
          </w:p>
        </w:tc>
        <w:tc>
          <w:tcPr>
            <w:tcW w:w="2973" w:type="dxa"/>
            <w:tcBorders>
              <w:top w:val="nil"/>
              <w:left w:val="nil"/>
              <w:right w:val="nil"/>
            </w:tcBorders>
          </w:tcPr>
          <w:p>
            <w:pPr>
              <w:pStyle w:val="TableParagraph"/>
              <w:spacing w:line="179" w:lineRule="exact" w:before="0"/>
              <w:ind w:left="107"/>
              <w:jc w:val="left"/>
              <w:rPr>
                <w:b/>
                <w:sz w:val="16"/>
              </w:rPr>
            </w:pPr>
            <w:r>
              <w:rPr>
                <w:b/>
                <w:sz w:val="16"/>
              </w:rPr>
              <w:t>Hecho Causante</w:t>
            </w:r>
          </w:p>
        </w:tc>
        <w:tc>
          <w:tcPr>
            <w:tcW w:w="2160" w:type="dxa"/>
            <w:tcBorders>
              <w:top w:val="nil"/>
              <w:left w:val="nil"/>
              <w:right w:val="nil"/>
            </w:tcBorders>
          </w:tcPr>
          <w:p>
            <w:pPr>
              <w:pStyle w:val="TableParagraph"/>
              <w:spacing w:line="179" w:lineRule="exact" w:before="0"/>
              <w:ind w:left="107"/>
              <w:jc w:val="left"/>
              <w:rPr>
                <w:b/>
                <w:sz w:val="16"/>
              </w:rPr>
            </w:pPr>
            <w:r>
              <w:rPr>
                <w:b/>
                <w:sz w:val="16"/>
              </w:rPr>
              <w:t>Evaluación de Justicia</w:t>
            </w:r>
          </w:p>
          <w:p>
            <w:pPr>
              <w:pStyle w:val="TableParagraph"/>
              <w:spacing w:line="240" w:lineRule="auto" w:before="92"/>
              <w:ind w:left="107"/>
              <w:jc w:val="left"/>
              <w:rPr>
                <w:b/>
                <w:sz w:val="16"/>
              </w:rPr>
            </w:pPr>
            <w:r>
              <w:rPr>
                <w:b/>
                <w:sz w:val="16"/>
              </w:rPr>
              <w:t>Distributiva</w:t>
            </w:r>
          </w:p>
        </w:tc>
        <w:tc>
          <w:tcPr>
            <w:tcW w:w="1800" w:type="dxa"/>
            <w:tcBorders>
              <w:top w:val="nil"/>
              <w:left w:val="nil"/>
              <w:right w:val="nil"/>
            </w:tcBorders>
          </w:tcPr>
          <w:p>
            <w:pPr>
              <w:pStyle w:val="TableParagraph"/>
              <w:spacing w:line="179" w:lineRule="exact" w:before="0"/>
              <w:ind w:left="107"/>
              <w:jc w:val="left"/>
              <w:rPr>
                <w:b/>
                <w:sz w:val="16"/>
              </w:rPr>
            </w:pPr>
            <w:r>
              <w:rPr>
                <w:b/>
                <w:sz w:val="16"/>
              </w:rPr>
              <w:t>Evaluación</w:t>
            </w:r>
          </w:p>
          <w:p>
            <w:pPr>
              <w:pStyle w:val="TableParagraph"/>
              <w:spacing w:line="240" w:lineRule="auto" w:before="92"/>
              <w:ind w:left="107"/>
              <w:jc w:val="left"/>
              <w:rPr>
                <w:b/>
                <w:sz w:val="16"/>
              </w:rPr>
            </w:pPr>
            <w:r>
              <w:rPr>
                <w:b/>
                <w:sz w:val="16"/>
              </w:rPr>
              <w:t>Compensatoria</w:t>
            </w:r>
          </w:p>
        </w:tc>
      </w:tr>
      <w:tr>
        <w:trPr>
          <w:trHeight w:val="4971" w:hRule="atLeast"/>
        </w:trPr>
        <w:tc>
          <w:tcPr>
            <w:tcW w:w="1713" w:type="dxa"/>
            <w:tcBorders>
              <w:left w:val="nil"/>
              <w:bottom w:val="nil"/>
            </w:tcBorders>
          </w:tcPr>
          <w:p>
            <w:pPr>
              <w:pStyle w:val="TableParagraph"/>
              <w:spacing w:line="360" w:lineRule="auto" w:before="0"/>
              <w:ind w:left="324" w:right="105" w:hanging="12"/>
              <w:rPr>
                <w:i/>
                <w:sz w:val="16"/>
              </w:rPr>
            </w:pPr>
            <w:r>
              <w:rPr>
                <w:i/>
                <w:sz w:val="16"/>
              </w:rPr>
              <w:t>ZPLC en</w:t>
            </w:r>
            <w:r>
              <w:rPr>
                <w:i/>
                <w:spacing w:val="-3"/>
                <w:sz w:val="16"/>
              </w:rPr>
              <w:t> </w:t>
            </w:r>
            <w:r>
              <w:rPr>
                <w:i/>
                <w:sz w:val="16"/>
              </w:rPr>
              <w:t>la</w:t>
            </w:r>
            <w:r>
              <w:rPr>
                <w:i/>
                <w:spacing w:val="2"/>
                <w:sz w:val="16"/>
              </w:rPr>
              <w:t> </w:t>
            </w:r>
            <w:r>
              <w:rPr>
                <w:i/>
                <w:spacing w:val="-3"/>
                <w:sz w:val="16"/>
              </w:rPr>
              <w:t>región</w:t>
            </w:r>
            <w:r>
              <w:rPr>
                <w:i/>
                <w:w w:val="99"/>
                <w:sz w:val="16"/>
              </w:rPr>
              <w:t> </w:t>
            </w:r>
            <w:r>
              <w:rPr>
                <w:i/>
                <w:sz w:val="16"/>
              </w:rPr>
              <w:t>este</w:t>
            </w:r>
            <w:r>
              <w:rPr>
                <w:i/>
                <w:spacing w:val="-5"/>
                <w:sz w:val="16"/>
              </w:rPr>
              <w:t> </w:t>
            </w:r>
            <w:r>
              <w:rPr>
                <w:i/>
                <w:sz w:val="16"/>
              </w:rPr>
              <w:t>del</w:t>
            </w:r>
            <w:r>
              <w:rPr>
                <w:i/>
                <w:spacing w:val="-3"/>
                <w:sz w:val="16"/>
              </w:rPr>
              <w:t> </w:t>
            </w:r>
            <w:r>
              <w:rPr>
                <w:i/>
                <w:sz w:val="16"/>
              </w:rPr>
              <w:t>Valle</w:t>
            </w:r>
            <w:r>
              <w:rPr>
                <w:i/>
                <w:w w:val="99"/>
                <w:sz w:val="16"/>
              </w:rPr>
              <w:t> </w:t>
            </w:r>
            <w:r>
              <w:rPr>
                <w:i/>
                <w:sz w:val="16"/>
              </w:rPr>
              <w:t>Central</w:t>
            </w:r>
            <w:r>
              <w:rPr>
                <w:i/>
                <w:spacing w:val="-3"/>
                <w:sz w:val="16"/>
              </w:rPr>
              <w:t> </w:t>
            </w:r>
            <w:r>
              <w:rPr>
                <w:i/>
                <w:sz w:val="16"/>
              </w:rPr>
              <w:t>de</w:t>
            </w:r>
            <w:r>
              <w:rPr>
                <w:i/>
                <w:spacing w:val="-4"/>
                <w:sz w:val="16"/>
              </w:rPr>
              <w:t> </w:t>
            </w:r>
            <w:r>
              <w:rPr>
                <w:i/>
                <w:sz w:val="16"/>
              </w:rPr>
              <w:t>Costa</w:t>
            </w:r>
            <w:r>
              <w:rPr>
                <w:i/>
                <w:w w:val="99"/>
                <w:sz w:val="16"/>
              </w:rPr>
              <w:t> </w:t>
            </w:r>
            <w:r>
              <w:rPr>
                <w:i/>
                <w:sz w:val="16"/>
              </w:rPr>
              <w:t>Rica, cantones</w:t>
            </w:r>
            <w:r>
              <w:rPr>
                <w:i/>
                <w:spacing w:val="-4"/>
                <w:sz w:val="16"/>
              </w:rPr>
              <w:t> </w:t>
            </w:r>
            <w:r>
              <w:rPr>
                <w:i/>
                <w:spacing w:val="-9"/>
                <w:sz w:val="16"/>
              </w:rPr>
              <w:t>de</w:t>
            </w:r>
          </w:p>
          <w:p>
            <w:pPr>
              <w:pStyle w:val="TableParagraph"/>
              <w:spacing w:line="360" w:lineRule="auto" w:before="0"/>
              <w:ind w:left="120" w:right="105" w:firstLine="800"/>
              <w:rPr>
                <w:i/>
                <w:sz w:val="16"/>
              </w:rPr>
            </w:pPr>
            <w:r>
              <w:rPr>
                <w:i/>
                <w:sz w:val="16"/>
              </w:rPr>
              <w:t>La</w:t>
            </w:r>
            <w:r>
              <w:rPr>
                <w:i/>
                <w:spacing w:val="2"/>
                <w:sz w:val="16"/>
              </w:rPr>
              <w:t> </w:t>
            </w:r>
            <w:r>
              <w:rPr>
                <w:i/>
                <w:spacing w:val="-4"/>
                <w:sz w:val="16"/>
              </w:rPr>
              <w:t>Unión,</w:t>
            </w:r>
            <w:r>
              <w:rPr>
                <w:i/>
                <w:w w:val="100"/>
                <w:sz w:val="16"/>
              </w:rPr>
              <w:t> </w:t>
            </w:r>
            <w:r>
              <w:rPr>
                <w:i/>
                <w:spacing w:val="-1"/>
                <w:sz w:val="16"/>
              </w:rPr>
              <w:t>Desamparados, </w:t>
            </w:r>
            <w:r>
              <w:rPr>
                <w:i/>
                <w:sz w:val="16"/>
              </w:rPr>
              <w:t>Curridabat y</w:t>
            </w:r>
            <w:r>
              <w:rPr>
                <w:i/>
                <w:spacing w:val="-2"/>
                <w:sz w:val="16"/>
              </w:rPr>
              <w:t> </w:t>
            </w:r>
            <w:r>
              <w:rPr>
                <w:i/>
                <w:spacing w:val="-3"/>
                <w:sz w:val="16"/>
              </w:rPr>
              <w:t>Cartago</w:t>
            </w:r>
          </w:p>
          <w:p>
            <w:pPr>
              <w:pStyle w:val="TableParagraph"/>
              <w:spacing w:line="360" w:lineRule="auto" w:before="0"/>
              <w:ind w:left="648" w:right="105" w:firstLine="112"/>
              <w:rPr>
                <w:i/>
                <w:sz w:val="16"/>
              </w:rPr>
            </w:pPr>
            <w:r>
              <w:rPr>
                <w:i/>
                <w:sz w:val="16"/>
              </w:rPr>
              <w:t>y</w:t>
            </w:r>
            <w:r>
              <w:rPr>
                <w:i/>
                <w:spacing w:val="1"/>
                <w:sz w:val="16"/>
              </w:rPr>
              <w:t> </w:t>
            </w:r>
            <w:r>
              <w:rPr>
                <w:i/>
                <w:sz w:val="16"/>
              </w:rPr>
              <w:t>sus</w:t>
            </w:r>
            <w:r>
              <w:rPr>
                <w:i/>
                <w:spacing w:val="2"/>
                <w:sz w:val="16"/>
              </w:rPr>
              <w:t> </w:t>
            </w:r>
            <w:r>
              <w:rPr>
                <w:i/>
                <w:spacing w:val="-5"/>
                <w:sz w:val="16"/>
              </w:rPr>
              <w:t>zonas</w:t>
            </w:r>
            <w:r>
              <w:rPr>
                <w:i/>
                <w:sz w:val="16"/>
              </w:rPr>
              <w:t> </w:t>
            </w:r>
            <w:r>
              <w:rPr>
                <w:i/>
                <w:spacing w:val="-1"/>
                <w:sz w:val="16"/>
              </w:rPr>
              <w:t>circundantes.</w:t>
            </w:r>
          </w:p>
        </w:tc>
        <w:tc>
          <w:tcPr>
            <w:tcW w:w="2381" w:type="dxa"/>
            <w:shd w:val="clear" w:color="auto" w:fill="CCCCCC"/>
          </w:tcPr>
          <w:p>
            <w:pPr>
              <w:pStyle w:val="TableParagraph"/>
              <w:spacing w:line="360" w:lineRule="auto" w:before="0"/>
              <w:ind w:left="102" w:right="123"/>
              <w:jc w:val="left"/>
              <w:rPr>
                <w:sz w:val="16"/>
              </w:rPr>
            </w:pPr>
            <w:r>
              <w:rPr>
                <w:sz w:val="16"/>
              </w:rPr>
              <w:t>ZPLC, propietarios y comunidades dentro de la misma, Estado como propietario de algunas fincas y como responsable del manejo y conservación de las funciones ecosistémicas de la ZPLC/ Comunidades fuera </w:t>
            </w:r>
            <w:r>
              <w:rPr>
                <w:spacing w:val="-7"/>
                <w:sz w:val="16"/>
              </w:rPr>
              <w:t>de </w:t>
            </w:r>
            <w:r>
              <w:rPr>
                <w:sz w:val="16"/>
              </w:rPr>
              <w:t>la ZPLC, empresa privada y comunidad nacional que se benefician de los bienes y servicios ambientales sin compensar su uso o los costos sociales/económicos de su</w:t>
            </w:r>
            <w:r>
              <w:rPr>
                <w:spacing w:val="-4"/>
                <w:sz w:val="16"/>
              </w:rPr>
              <w:t> </w:t>
            </w:r>
            <w:r>
              <w:rPr>
                <w:sz w:val="16"/>
              </w:rPr>
              <w:t>conservación.</w:t>
            </w:r>
          </w:p>
        </w:tc>
        <w:tc>
          <w:tcPr>
            <w:tcW w:w="2973" w:type="dxa"/>
            <w:shd w:val="clear" w:color="auto" w:fill="CCCCCC"/>
          </w:tcPr>
          <w:p>
            <w:pPr>
              <w:pStyle w:val="TableParagraph"/>
              <w:spacing w:line="360" w:lineRule="auto" w:before="0"/>
              <w:ind w:left="102" w:right="137"/>
              <w:jc w:val="left"/>
              <w:rPr>
                <w:sz w:val="16"/>
              </w:rPr>
            </w:pPr>
            <w:r>
              <w:rPr>
                <w:sz w:val="16"/>
              </w:rPr>
              <w:t>Servicios ambientales asociados a limitaciones en las actividades humanas y limitaciones en usos de la tierra y desarrollo que no son ni han sido históricamente compensados. Se adicionan a ello cargas ambientales sufridas por las comunidades debidas al mal manejo de la zona y no compensadas históricamente junto con la conflictividad ambiental por el reconocimiento de los derechos ambientales de los habitantes de las comunidades urbano-marginales ubicadas dentro del área, mientras que actores sociales con poder económico han obtenido permisos para violentar las leyes de protección</w:t>
            </w:r>
          </w:p>
          <w:p>
            <w:pPr>
              <w:pStyle w:val="TableParagraph"/>
              <w:spacing w:line="240" w:lineRule="auto" w:before="0"/>
              <w:ind w:left="102"/>
              <w:jc w:val="left"/>
              <w:rPr>
                <w:sz w:val="16"/>
              </w:rPr>
            </w:pPr>
            <w:r>
              <w:rPr>
                <w:sz w:val="16"/>
              </w:rPr>
              <w:t>de la zona.</w:t>
            </w:r>
          </w:p>
        </w:tc>
        <w:tc>
          <w:tcPr>
            <w:tcW w:w="2160" w:type="dxa"/>
            <w:shd w:val="clear" w:color="auto" w:fill="CCCCCC"/>
          </w:tcPr>
          <w:p>
            <w:pPr>
              <w:pStyle w:val="TableParagraph"/>
              <w:spacing w:line="360" w:lineRule="auto" w:before="0"/>
              <w:ind w:left="102" w:right="66"/>
              <w:jc w:val="left"/>
              <w:rPr>
                <w:sz w:val="16"/>
              </w:rPr>
            </w:pPr>
            <w:r>
              <w:rPr>
                <w:sz w:val="16"/>
              </w:rPr>
              <w:t>Los costos y beneficios de la conservación y el desarrollo en las áreas silvestres protegidas y sus zonas de influencia deben estar equitativamente distribuidos entre los diversos actores sociales. Situación ilustrada en esta investigación por la estimación comparativa de huellas ecológicas comunitarias y de los valores fiscales.</w:t>
            </w:r>
          </w:p>
        </w:tc>
        <w:tc>
          <w:tcPr>
            <w:tcW w:w="1800" w:type="dxa"/>
            <w:shd w:val="clear" w:color="auto" w:fill="CCCCCC"/>
          </w:tcPr>
          <w:p>
            <w:pPr>
              <w:pStyle w:val="TableParagraph"/>
              <w:spacing w:line="360" w:lineRule="auto" w:before="0"/>
              <w:ind w:left="102" w:right="9"/>
              <w:jc w:val="left"/>
              <w:rPr>
                <w:sz w:val="16"/>
              </w:rPr>
            </w:pPr>
            <w:r>
              <w:rPr>
                <w:sz w:val="16"/>
              </w:rPr>
              <w:t>Aportada en esta investigación el valor del servicio ecosistémico de vista no compensado.</w:t>
            </w:r>
          </w:p>
        </w:tc>
      </w:tr>
    </w:tbl>
    <w:p>
      <w:pPr>
        <w:pStyle w:val="BodyText"/>
        <w:rPr>
          <w:i/>
          <w:sz w:val="22"/>
        </w:rPr>
      </w:pPr>
    </w:p>
    <w:p>
      <w:pPr>
        <w:pStyle w:val="BodyText"/>
        <w:spacing w:line="362" w:lineRule="auto" w:before="158"/>
        <w:ind w:left="940" w:right="939"/>
        <w:jc w:val="both"/>
      </w:pPr>
      <w:r>
        <w:rPr/>
        <w:t>Conforme se ha propuesto hasta aquí, el contexto geográfico es claramente la ZPLC. Está ubicada en 4 cantones de dos provincias y sus zonas circundantes.</w:t>
      </w:r>
    </w:p>
    <w:p>
      <w:pPr>
        <w:pStyle w:val="BodyText"/>
        <w:spacing w:line="360" w:lineRule="auto" w:before="195"/>
        <w:ind w:left="940" w:right="938"/>
        <w:jc w:val="both"/>
      </w:pPr>
      <w:r>
        <w:rPr/>
        <w:t>Se identifican como acreedores al área protegida como contexto biofísico y al Estado (SINAC) como propietario de algunas fincas y como responsable del manejo y conservación de las funciones ecosistémicas de la ZPLC. Dentro de su componente social se ubica a propietarios y comunidades dentro de la misma. Como deudores se considera a las comunidades fuera del área, empresas privadas y comunidad nacional que se benefician de los bienes y servicios ambientales sin compensar su uso o los costos sociales/económicos de su conservación.</w:t>
      </w:r>
    </w:p>
    <w:p>
      <w:pPr>
        <w:pStyle w:val="BodyText"/>
        <w:spacing w:line="357" w:lineRule="auto" w:before="203"/>
        <w:ind w:left="940" w:right="938"/>
        <w:jc w:val="both"/>
      </w:pPr>
      <w:r>
        <w:rPr/>
        <w:t>El hecho causante es cumulativo desde la creación de la zona hasta hoy. Se declara en la evaluación de justicia distributiva que los costos y beneficios de la conservación y el</w:t>
      </w:r>
    </w:p>
    <w:p>
      <w:pPr>
        <w:spacing w:after="0" w:line="357" w:lineRule="auto"/>
        <w:jc w:val="both"/>
        <w:sectPr>
          <w:pgSz w:w="12240" w:h="15840"/>
          <w:pgMar w:header="0" w:footer="1062" w:top="1360" w:bottom="1260" w:left="500" w:right="500"/>
        </w:sectPr>
      </w:pPr>
    </w:p>
    <w:p>
      <w:pPr>
        <w:pStyle w:val="BodyText"/>
        <w:spacing w:line="360" w:lineRule="auto" w:before="79"/>
        <w:ind w:left="940" w:right="941"/>
        <w:jc w:val="both"/>
      </w:pPr>
      <w:r>
        <w:rPr/>
        <w:t>desarrollo en el área silvestre protegida y su zona de influencia no han estado equitativamente distribuidos entre los diversos actores sociales. Entre los hechos de injusticia socioambiental se han mencionado las consecuencias del Relleno de Río Azul y las limitaciones infraestructurales propias del área protegida mientras que las comunidades</w:t>
      </w:r>
      <w:r>
        <w:rPr>
          <w:spacing w:val="-20"/>
        </w:rPr>
        <w:t> </w:t>
      </w:r>
      <w:r>
        <w:rPr/>
        <w:t>deudoras</w:t>
      </w:r>
      <w:r>
        <w:rPr>
          <w:spacing w:val="-20"/>
        </w:rPr>
        <w:t> </w:t>
      </w:r>
      <w:r>
        <w:rPr/>
        <w:t>han</w:t>
      </w:r>
      <w:r>
        <w:rPr>
          <w:spacing w:val="-22"/>
        </w:rPr>
        <w:t> </w:t>
      </w:r>
      <w:r>
        <w:rPr/>
        <w:t>disfrutado</w:t>
      </w:r>
      <w:r>
        <w:rPr>
          <w:spacing w:val="-18"/>
        </w:rPr>
        <w:t> </w:t>
      </w:r>
      <w:r>
        <w:rPr/>
        <w:t>sin</w:t>
      </w:r>
      <w:r>
        <w:rPr>
          <w:spacing w:val="-21"/>
        </w:rPr>
        <w:t> </w:t>
      </w:r>
      <w:r>
        <w:rPr/>
        <w:t>apropiada</w:t>
      </w:r>
      <w:r>
        <w:rPr>
          <w:spacing w:val="-22"/>
        </w:rPr>
        <w:t> </w:t>
      </w:r>
      <w:r>
        <w:rPr/>
        <w:t>compensación</w:t>
      </w:r>
      <w:r>
        <w:rPr>
          <w:spacing w:val="-21"/>
        </w:rPr>
        <w:t> </w:t>
      </w:r>
      <w:r>
        <w:rPr/>
        <w:t>de</w:t>
      </w:r>
      <w:r>
        <w:rPr>
          <w:spacing w:val="-22"/>
        </w:rPr>
        <w:t> </w:t>
      </w:r>
      <w:r>
        <w:rPr/>
        <w:t>los</w:t>
      </w:r>
      <w:r>
        <w:rPr>
          <w:spacing w:val="-20"/>
        </w:rPr>
        <w:t> </w:t>
      </w:r>
      <w:r>
        <w:rPr/>
        <w:t>beneficios</w:t>
      </w:r>
      <w:r>
        <w:rPr>
          <w:spacing w:val="-20"/>
        </w:rPr>
        <w:t> </w:t>
      </w:r>
      <w:r>
        <w:rPr/>
        <w:t>que han generado tanto las acciones voluntarias de los propietarios de la zona que han decidido conservar los bosques, como las acciones estatales en procura de regularizar la protección de la zona y los resultados de la contención al desarrollo que implican las limitaciones adoptadas en el Plan de</w:t>
      </w:r>
      <w:r>
        <w:rPr>
          <w:spacing w:val="-1"/>
        </w:rPr>
        <w:t> </w:t>
      </w:r>
      <w:r>
        <w:rPr/>
        <w:t>Manejo.</w:t>
      </w:r>
    </w:p>
    <w:p>
      <w:pPr>
        <w:pStyle w:val="BodyText"/>
        <w:spacing w:line="360" w:lineRule="auto" w:before="199"/>
        <w:ind w:left="940" w:right="938"/>
        <w:jc w:val="both"/>
      </w:pPr>
      <w:r>
        <w:rPr/>
        <w:t>La evaluación compensatoria se traduce en la cuantificación de la dimensión de las inequidades</w:t>
      </w:r>
      <w:r>
        <w:rPr>
          <w:spacing w:val="-6"/>
        </w:rPr>
        <w:t> </w:t>
      </w:r>
      <w:r>
        <w:rPr/>
        <w:t>con</w:t>
      </w:r>
      <w:r>
        <w:rPr>
          <w:spacing w:val="-8"/>
        </w:rPr>
        <w:t> </w:t>
      </w:r>
      <w:r>
        <w:rPr/>
        <w:t>el</w:t>
      </w:r>
      <w:r>
        <w:rPr>
          <w:spacing w:val="-7"/>
        </w:rPr>
        <w:t> </w:t>
      </w:r>
      <w:r>
        <w:rPr/>
        <w:t>fin</w:t>
      </w:r>
      <w:r>
        <w:rPr>
          <w:spacing w:val="-8"/>
        </w:rPr>
        <w:t> </w:t>
      </w:r>
      <w:r>
        <w:rPr/>
        <w:t>de</w:t>
      </w:r>
      <w:r>
        <w:rPr>
          <w:spacing w:val="-8"/>
        </w:rPr>
        <w:t> </w:t>
      </w:r>
      <w:r>
        <w:rPr/>
        <w:t>poder</w:t>
      </w:r>
      <w:r>
        <w:rPr>
          <w:spacing w:val="-6"/>
        </w:rPr>
        <w:t> </w:t>
      </w:r>
      <w:r>
        <w:rPr/>
        <w:t>estimar</w:t>
      </w:r>
      <w:r>
        <w:rPr>
          <w:spacing w:val="-6"/>
        </w:rPr>
        <w:t> </w:t>
      </w:r>
      <w:r>
        <w:rPr/>
        <w:t>si</w:t>
      </w:r>
      <w:r>
        <w:rPr>
          <w:spacing w:val="-7"/>
        </w:rPr>
        <w:t> </w:t>
      </w:r>
      <w:r>
        <w:rPr/>
        <w:t>es</w:t>
      </w:r>
      <w:r>
        <w:rPr>
          <w:spacing w:val="-6"/>
        </w:rPr>
        <w:t> </w:t>
      </w:r>
      <w:r>
        <w:rPr/>
        <w:t>posible</w:t>
      </w:r>
      <w:r>
        <w:rPr>
          <w:spacing w:val="-8"/>
        </w:rPr>
        <w:t> </w:t>
      </w:r>
      <w:r>
        <w:rPr/>
        <w:t>la</w:t>
      </w:r>
      <w:r>
        <w:rPr>
          <w:spacing w:val="-5"/>
        </w:rPr>
        <w:t> </w:t>
      </w:r>
      <w:r>
        <w:rPr/>
        <w:t>compensación</w:t>
      </w:r>
      <w:r>
        <w:rPr>
          <w:spacing w:val="-8"/>
        </w:rPr>
        <w:t> </w:t>
      </w:r>
      <w:r>
        <w:rPr/>
        <w:t>en</w:t>
      </w:r>
      <w:r>
        <w:rPr>
          <w:spacing w:val="-7"/>
        </w:rPr>
        <w:t> </w:t>
      </w:r>
      <w:r>
        <w:rPr/>
        <w:t>forma</w:t>
      </w:r>
      <w:r>
        <w:rPr>
          <w:spacing w:val="-8"/>
        </w:rPr>
        <w:t> </w:t>
      </w:r>
      <w:r>
        <w:rPr/>
        <w:t>punitiva, voluntaria, etc. Los resultados de las dos secciones siguientes de resultados ayudan a completar la evaluación de justicia distributiva y esta última</w:t>
      </w:r>
      <w:r>
        <w:rPr>
          <w:spacing w:val="-13"/>
        </w:rPr>
        <w:t> </w:t>
      </w:r>
      <w:r>
        <w:rPr/>
        <w:t>evaluación.</w:t>
      </w:r>
    </w:p>
    <w:p>
      <w:pPr>
        <w:pStyle w:val="BodyText"/>
        <w:spacing w:before="7"/>
        <w:rPr>
          <w:sz w:val="20"/>
        </w:rPr>
      </w:pPr>
    </w:p>
    <w:p>
      <w:pPr>
        <w:pStyle w:val="Heading2"/>
        <w:numPr>
          <w:ilvl w:val="0"/>
          <w:numId w:val="8"/>
        </w:numPr>
        <w:tabs>
          <w:tab w:pos="1661" w:val="left" w:leader="none"/>
        </w:tabs>
        <w:spacing w:line="362" w:lineRule="auto" w:before="0" w:after="0"/>
        <w:ind w:left="940" w:right="934" w:firstLine="0"/>
        <w:jc w:val="both"/>
      </w:pPr>
      <w:bookmarkStart w:name="_bookmark46" w:id="64"/>
      <w:bookmarkEnd w:id="64"/>
      <w:r>
        <w:rPr>
          <w:b w:val="0"/>
        </w:rPr>
      </w:r>
      <w:bookmarkStart w:name="_bookmark46" w:id="65"/>
      <w:bookmarkEnd w:id="65"/>
      <w:r>
        <w:rPr/>
        <w:t>L</w:t>
      </w:r>
      <w:r>
        <w:rPr/>
        <w:t>a</w:t>
      </w:r>
      <w:r>
        <w:rPr>
          <w:spacing w:val="-17"/>
        </w:rPr>
        <w:t> </w:t>
      </w:r>
      <w:r>
        <w:rPr/>
        <w:t>Deuda</w:t>
      </w:r>
      <w:r>
        <w:rPr>
          <w:spacing w:val="-18"/>
        </w:rPr>
        <w:t> </w:t>
      </w:r>
      <w:r>
        <w:rPr/>
        <w:t>Ecológica</w:t>
      </w:r>
      <w:r>
        <w:rPr>
          <w:spacing w:val="-16"/>
        </w:rPr>
        <w:t> </w:t>
      </w:r>
      <w:r>
        <w:rPr/>
        <w:t>en</w:t>
      </w:r>
      <w:r>
        <w:rPr>
          <w:spacing w:val="-15"/>
        </w:rPr>
        <w:t> </w:t>
      </w:r>
      <w:r>
        <w:rPr/>
        <w:t>la</w:t>
      </w:r>
      <w:r>
        <w:rPr>
          <w:spacing w:val="-18"/>
        </w:rPr>
        <w:t> </w:t>
      </w:r>
      <w:r>
        <w:rPr/>
        <w:t>Zona</w:t>
      </w:r>
      <w:r>
        <w:rPr>
          <w:spacing w:val="-18"/>
        </w:rPr>
        <w:t> </w:t>
      </w:r>
      <w:r>
        <w:rPr/>
        <w:t>Protectora</w:t>
      </w:r>
      <w:r>
        <w:rPr>
          <w:spacing w:val="-18"/>
        </w:rPr>
        <w:t> </w:t>
      </w:r>
      <w:r>
        <w:rPr/>
        <w:t>La</w:t>
      </w:r>
      <w:r>
        <w:rPr>
          <w:spacing w:val="-18"/>
        </w:rPr>
        <w:t> </w:t>
      </w:r>
      <w:r>
        <w:rPr/>
        <w:t>Carpintera</w:t>
      </w:r>
      <w:r>
        <w:rPr>
          <w:spacing w:val="-18"/>
        </w:rPr>
        <w:t> </w:t>
      </w:r>
      <w:r>
        <w:rPr/>
        <w:t>Medida</w:t>
      </w:r>
      <w:r>
        <w:rPr>
          <w:spacing w:val="-13"/>
        </w:rPr>
        <w:t> </w:t>
      </w:r>
      <w:r>
        <w:rPr/>
        <w:t>por</w:t>
      </w:r>
      <w:r>
        <w:rPr>
          <w:spacing w:val="-18"/>
        </w:rPr>
        <w:t> </w:t>
      </w:r>
      <w:r>
        <w:rPr/>
        <w:t>la</w:t>
      </w:r>
      <w:r>
        <w:rPr>
          <w:spacing w:val="-17"/>
        </w:rPr>
        <w:t> </w:t>
      </w:r>
      <w:r>
        <w:rPr/>
        <w:t>Huella Ecológica Comunitaria.</w:t>
      </w:r>
    </w:p>
    <w:p>
      <w:pPr>
        <w:pStyle w:val="BodyText"/>
        <w:spacing w:line="360" w:lineRule="auto" w:before="199"/>
        <w:ind w:left="940" w:right="938"/>
        <w:jc w:val="both"/>
      </w:pPr>
      <w:r>
        <w:rPr/>
        <w:t>El Cuadro 14 muestra los resultados sobre la Huella Ecológica de las comunidades deudoras/acreedoras y su relación con los valores fiscales de las propiedades de las zonas en cuestión. Al lado de las estimaciones se presentan los valores por metro cuadrado de sus propiedades en dólares estadounidenses según los valores fiscales estimados por el Ministerio de Hacienda de Costa Rica. El promedio que se presenta</w:t>
      </w:r>
      <w:r>
        <w:rPr>
          <w:spacing w:val="-41"/>
        </w:rPr>
        <w:t> </w:t>
      </w:r>
      <w:r>
        <w:rPr/>
        <w:t>es por comunidad.</w:t>
      </w:r>
    </w:p>
    <w:p>
      <w:pPr>
        <w:spacing w:line="242" w:lineRule="auto" w:before="198"/>
        <w:ind w:left="994" w:right="996" w:firstLine="0"/>
        <w:jc w:val="center"/>
        <w:rPr>
          <w:i/>
          <w:sz w:val="20"/>
        </w:rPr>
      </w:pPr>
      <w:bookmarkStart w:name="_bookmark47" w:id="66"/>
      <w:bookmarkEnd w:id="66"/>
      <w:r>
        <w:rPr/>
      </w:r>
      <w:r>
        <w:rPr>
          <w:i/>
          <w:sz w:val="20"/>
        </w:rPr>
        <w:t>Cuadro 14- Estimación de la Huella Ecológica en Hectáreas per Cápita por Año de las Comunidades </w:t>
      </w:r>
      <w:r>
        <w:rPr>
          <w:i/>
          <w:sz w:val="20"/>
        </w:rPr>
        <w:t>Deudoras y Acreedoras en la ZPLC y su Zonas Cercanas.</w:t>
      </w:r>
    </w:p>
    <w:p>
      <w:pPr>
        <w:spacing w:line="226" w:lineRule="exact" w:before="0"/>
        <w:ind w:left="994" w:right="997" w:firstLine="0"/>
        <w:jc w:val="center"/>
        <w:rPr>
          <w:i/>
          <w:sz w:val="20"/>
        </w:rPr>
      </w:pPr>
      <w:r>
        <w:rPr>
          <w:i/>
          <w:sz w:val="20"/>
        </w:rPr>
        <w:t>Fuente: Elaboración propia, Ministerio de Hacienda de Costa Rica y Aguilar González, (2015).</w:t>
      </w:r>
    </w:p>
    <w:p>
      <w:pPr>
        <w:pStyle w:val="BodyText"/>
        <w:spacing w:before="11"/>
        <w:rPr>
          <w:i/>
          <w:sz w:val="27"/>
        </w:rPr>
      </w:pPr>
    </w:p>
    <w:tbl>
      <w:tblPr>
        <w:tblW w:w="0" w:type="auto"/>
        <w:jc w:val="left"/>
        <w:tblInd w:w="9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130"/>
        <w:gridCol w:w="2639"/>
        <w:gridCol w:w="2511"/>
      </w:tblGrid>
      <w:tr>
        <w:trPr>
          <w:trHeight w:val="527" w:hRule="atLeast"/>
        </w:trPr>
        <w:tc>
          <w:tcPr>
            <w:tcW w:w="4130" w:type="dxa"/>
            <w:shd w:val="clear" w:color="auto" w:fill="000000"/>
          </w:tcPr>
          <w:p>
            <w:pPr>
              <w:pStyle w:val="TableParagraph"/>
              <w:spacing w:line="240" w:lineRule="auto" w:before="141"/>
              <w:ind w:left="123"/>
              <w:jc w:val="left"/>
              <w:rPr>
                <w:b/>
                <w:sz w:val="22"/>
              </w:rPr>
            </w:pPr>
            <w:r>
              <w:rPr>
                <w:b/>
                <w:color w:val="FFFFFF"/>
                <w:sz w:val="22"/>
              </w:rPr>
              <w:t>Zona</w:t>
            </w:r>
          </w:p>
        </w:tc>
        <w:tc>
          <w:tcPr>
            <w:tcW w:w="2639" w:type="dxa"/>
            <w:shd w:val="clear" w:color="auto" w:fill="000000"/>
          </w:tcPr>
          <w:p>
            <w:pPr>
              <w:pStyle w:val="TableParagraph"/>
              <w:spacing w:line="240" w:lineRule="auto" w:before="141"/>
              <w:ind w:left="539"/>
              <w:jc w:val="left"/>
              <w:rPr>
                <w:b/>
                <w:sz w:val="22"/>
              </w:rPr>
            </w:pPr>
            <w:r>
              <w:rPr>
                <w:b/>
                <w:color w:val="FFFFFF"/>
                <w:sz w:val="22"/>
              </w:rPr>
              <w:t>Huella Promedio</w:t>
            </w:r>
          </w:p>
        </w:tc>
        <w:tc>
          <w:tcPr>
            <w:tcW w:w="2511" w:type="dxa"/>
            <w:shd w:val="clear" w:color="auto" w:fill="000000"/>
          </w:tcPr>
          <w:p>
            <w:pPr>
              <w:pStyle w:val="TableParagraph"/>
              <w:spacing w:line="240" w:lineRule="auto" w:before="141"/>
              <w:ind w:left="388"/>
              <w:jc w:val="left"/>
              <w:rPr>
                <w:b/>
                <w:sz w:val="22"/>
              </w:rPr>
            </w:pPr>
            <w:r>
              <w:rPr>
                <w:b/>
                <w:color w:val="FFFFFF"/>
                <w:sz w:val="22"/>
              </w:rPr>
              <w:t>Valor m</w:t>
            </w:r>
            <w:r>
              <w:rPr>
                <w:b/>
                <w:color w:val="FFFFFF"/>
                <w:sz w:val="22"/>
                <w:vertAlign w:val="superscript"/>
              </w:rPr>
              <w:t>2</w:t>
            </w:r>
            <w:r>
              <w:rPr>
                <w:b/>
                <w:color w:val="FFFFFF"/>
                <w:sz w:val="22"/>
                <w:vertAlign w:val="baseline"/>
              </w:rPr>
              <w:t> $</w:t>
            </w:r>
          </w:p>
        </w:tc>
      </w:tr>
      <w:tr>
        <w:trPr>
          <w:trHeight w:val="497" w:hRule="atLeast"/>
        </w:trPr>
        <w:tc>
          <w:tcPr>
            <w:tcW w:w="4130" w:type="dxa"/>
            <w:tcBorders>
              <w:left w:val="single" w:sz="12" w:space="0" w:color="000000"/>
            </w:tcBorders>
          </w:tcPr>
          <w:p>
            <w:pPr>
              <w:pStyle w:val="TableParagraph"/>
              <w:spacing w:line="240" w:lineRule="auto" w:before="117"/>
              <w:ind w:left="108"/>
              <w:jc w:val="left"/>
              <w:rPr>
                <w:sz w:val="22"/>
              </w:rPr>
            </w:pPr>
            <w:r>
              <w:rPr>
                <w:sz w:val="22"/>
              </w:rPr>
              <w:t>Comunidades Deudoras (n = 116)</w:t>
            </w:r>
          </w:p>
        </w:tc>
        <w:tc>
          <w:tcPr>
            <w:tcW w:w="2639" w:type="dxa"/>
          </w:tcPr>
          <w:p>
            <w:pPr>
              <w:pStyle w:val="TableParagraph"/>
              <w:spacing w:line="240" w:lineRule="auto" w:before="117"/>
              <w:ind w:left="539"/>
              <w:jc w:val="left"/>
              <w:rPr>
                <w:sz w:val="22"/>
              </w:rPr>
            </w:pPr>
            <w:r>
              <w:rPr>
                <w:sz w:val="22"/>
              </w:rPr>
              <w:t>2,04</w:t>
            </w:r>
          </w:p>
        </w:tc>
        <w:tc>
          <w:tcPr>
            <w:tcW w:w="2511" w:type="dxa"/>
            <w:tcBorders>
              <w:right w:val="single" w:sz="12" w:space="0" w:color="000000"/>
            </w:tcBorders>
          </w:tcPr>
          <w:p>
            <w:pPr>
              <w:pStyle w:val="TableParagraph"/>
              <w:spacing w:line="240" w:lineRule="auto" w:before="117"/>
              <w:ind w:left="388"/>
              <w:jc w:val="left"/>
              <w:rPr>
                <w:sz w:val="22"/>
              </w:rPr>
            </w:pPr>
            <w:r>
              <w:rPr>
                <w:sz w:val="22"/>
              </w:rPr>
              <w:t>$92,5-$185</w:t>
            </w:r>
          </w:p>
        </w:tc>
      </w:tr>
      <w:tr>
        <w:trPr>
          <w:trHeight w:val="501" w:hRule="atLeast"/>
        </w:trPr>
        <w:tc>
          <w:tcPr>
            <w:tcW w:w="4130" w:type="dxa"/>
            <w:tcBorders>
              <w:left w:val="single" w:sz="12" w:space="0" w:color="000000"/>
              <w:bottom w:val="single" w:sz="12" w:space="0" w:color="000000"/>
            </w:tcBorders>
          </w:tcPr>
          <w:p>
            <w:pPr>
              <w:pStyle w:val="TableParagraph"/>
              <w:spacing w:line="240" w:lineRule="auto" w:before="120"/>
              <w:ind w:left="108"/>
              <w:jc w:val="left"/>
              <w:rPr>
                <w:sz w:val="22"/>
              </w:rPr>
            </w:pPr>
            <w:r>
              <w:rPr>
                <w:sz w:val="22"/>
              </w:rPr>
              <w:t>Comunidades Acreedoras (n = 165)</w:t>
            </w:r>
          </w:p>
        </w:tc>
        <w:tc>
          <w:tcPr>
            <w:tcW w:w="2639" w:type="dxa"/>
            <w:tcBorders>
              <w:bottom w:val="single" w:sz="12" w:space="0" w:color="000000"/>
            </w:tcBorders>
          </w:tcPr>
          <w:p>
            <w:pPr>
              <w:pStyle w:val="TableParagraph"/>
              <w:spacing w:line="240" w:lineRule="auto" w:before="120"/>
              <w:ind w:left="539"/>
              <w:jc w:val="left"/>
              <w:rPr>
                <w:sz w:val="22"/>
              </w:rPr>
            </w:pPr>
            <w:r>
              <w:rPr>
                <w:sz w:val="22"/>
              </w:rPr>
              <w:t>1,51</w:t>
            </w:r>
          </w:p>
        </w:tc>
        <w:tc>
          <w:tcPr>
            <w:tcW w:w="2511" w:type="dxa"/>
            <w:tcBorders>
              <w:bottom w:val="single" w:sz="12" w:space="0" w:color="000000"/>
              <w:right w:val="single" w:sz="12" w:space="0" w:color="000000"/>
            </w:tcBorders>
          </w:tcPr>
          <w:p>
            <w:pPr>
              <w:pStyle w:val="TableParagraph"/>
              <w:spacing w:line="240" w:lineRule="auto" w:before="120"/>
              <w:ind w:left="388"/>
              <w:jc w:val="left"/>
              <w:rPr>
                <w:sz w:val="22"/>
              </w:rPr>
            </w:pPr>
            <w:r>
              <w:rPr>
                <w:sz w:val="22"/>
              </w:rPr>
              <w:t>$12,5-$55,5</w:t>
            </w:r>
          </w:p>
        </w:tc>
      </w:tr>
    </w:tbl>
    <w:p>
      <w:pPr>
        <w:spacing w:after="0" w:line="240" w:lineRule="auto"/>
        <w:jc w:val="left"/>
        <w:rPr>
          <w:sz w:val="22"/>
        </w:rPr>
        <w:sectPr>
          <w:pgSz w:w="12240" w:h="15840"/>
          <w:pgMar w:header="0" w:footer="1062" w:top="1360" w:bottom="1260" w:left="500" w:right="500"/>
        </w:sectPr>
      </w:pPr>
    </w:p>
    <w:p>
      <w:pPr>
        <w:pStyle w:val="BodyText"/>
        <w:spacing w:line="360" w:lineRule="auto" w:before="79"/>
        <w:ind w:left="940" w:right="937"/>
        <w:jc w:val="both"/>
      </w:pPr>
      <w:r>
        <w:rPr/>
        <w:t>En el Cuadro 15 se observa el nivel de deuda o acreencia ecológica en hectáreas per cápita por año de las mismas comunidades</w:t>
      </w:r>
      <w:r>
        <w:rPr>
          <w:position w:val="8"/>
          <w:sz w:val="16"/>
        </w:rPr>
        <w:t>27</w:t>
      </w:r>
      <w:r>
        <w:rPr/>
        <w:t>. Para distinguirlo de la estimación monetaria</w:t>
      </w:r>
      <w:r>
        <w:rPr>
          <w:spacing w:val="-9"/>
        </w:rPr>
        <w:t> </w:t>
      </w:r>
      <w:r>
        <w:rPr/>
        <w:t>se</w:t>
      </w:r>
      <w:r>
        <w:rPr>
          <w:spacing w:val="-8"/>
        </w:rPr>
        <w:t> </w:t>
      </w:r>
      <w:r>
        <w:rPr/>
        <w:t>denomina</w:t>
      </w:r>
      <w:r>
        <w:rPr>
          <w:spacing w:val="-6"/>
        </w:rPr>
        <w:t> </w:t>
      </w:r>
      <w:r>
        <w:rPr/>
        <w:t>déficit</w:t>
      </w:r>
      <w:r>
        <w:rPr>
          <w:spacing w:val="-6"/>
        </w:rPr>
        <w:t> </w:t>
      </w:r>
      <w:r>
        <w:rPr/>
        <w:t>o</w:t>
      </w:r>
      <w:r>
        <w:rPr>
          <w:spacing w:val="-8"/>
        </w:rPr>
        <w:t> </w:t>
      </w:r>
      <w:r>
        <w:rPr/>
        <w:t>superávit</w:t>
      </w:r>
      <w:r>
        <w:rPr>
          <w:spacing w:val="-5"/>
        </w:rPr>
        <w:t> </w:t>
      </w:r>
      <w:r>
        <w:rPr/>
        <w:t>ecológico.</w:t>
      </w:r>
      <w:r>
        <w:rPr>
          <w:spacing w:val="-6"/>
        </w:rPr>
        <w:t> </w:t>
      </w:r>
      <w:r>
        <w:rPr/>
        <w:t>Se</w:t>
      </w:r>
      <w:r>
        <w:rPr>
          <w:spacing w:val="-8"/>
        </w:rPr>
        <w:t> </w:t>
      </w:r>
      <w:r>
        <w:rPr/>
        <w:t>muestra</w:t>
      </w:r>
      <w:r>
        <w:rPr>
          <w:spacing w:val="-8"/>
        </w:rPr>
        <w:t> </w:t>
      </w:r>
      <w:r>
        <w:rPr/>
        <w:t>el</w:t>
      </w:r>
      <w:r>
        <w:rPr>
          <w:spacing w:val="-7"/>
        </w:rPr>
        <w:t> </w:t>
      </w:r>
      <w:r>
        <w:rPr/>
        <w:t>déficit</w:t>
      </w:r>
      <w:r>
        <w:rPr>
          <w:spacing w:val="-6"/>
        </w:rPr>
        <w:t> </w:t>
      </w:r>
      <w:r>
        <w:rPr/>
        <w:t>o</w:t>
      </w:r>
      <w:r>
        <w:rPr>
          <w:spacing w:val="-4"/>
        </w:rPr>
        <w:t> </w:t>
      </w:r>
      <w:r>
        <w:rPr/>
        <w:t>superávit</w:t>
      </w:r>
      <w:r>
        <w:rPr>
          <w:spacing w:val="-6"/>
        </w:rPr>
        <w:t> </w:t>
      </w:r>
      <w:r>
        <w:rPr/>
        <w:t>en relación con la biocapacidad del mundo (1,8 ha/cápita) (1) y el déficit o superávit en relación con la biocapacidad de Costa Rica (1,9 ha/cápita) (2) de acuerdo con las cifras reportadas por la Global Footprint Network para el 2010, fecha disponible </w:t>
      </w:r>
      <w:r>
        <w:rPr>
          <w:spacing w:val="-2"/>
        </w:rPr>
        <w:t>más </w:t>
      </w:r>
      <w:r>
        <w:rPr/>
        <w:t>cercana a los resultados del muestreo</w:t>
      </w:r>
      <w:r>
        <w:rPr>
          <w:spacing w:val="4"/>
        </w:rPr>
        <w:t> </w:t>
      </w:r>
      <w:r>
        <w:rPr/>
        <w:t>realizado.</w:t>
      </w:r>
    </w:p>
    <w:p>
      <w:pPr>
        <w:spacing w:line="242" w:lineRule="auto" w:before="191"/>
        <w:ind w:left="994" w:right="994" w:firstLine="0"/>
        <w:jc w:val="center"/>
        <w:rPr>
          <w:i/>
          <w:sz w:val="20"/>
        </w:rPr>
      </w:pPr>
      <w:bookmarkStart w:name="_bookmark48" w:id="67"/>
      <w:bookmarkEnd w:id="67"/>
      <w:r>
        <w:rPr/>
      </w:r>
      <w:r>
        <w:rPr>
          <w:i/>
          <w:sz w:val="20"/>
        </w:rPr>
        <w:t>Cuadro 15- Estimación de la Deuda y Acreencia Ecológica en Hectáreas per Cápita por Año de las </w:t>
      </w:r>
      <w:r>
        <w:rPr>
          <w:i/>
          <w:sz w:val="20"/>
        </w:rPr>
        <w:t>Zonas Muestreadas.</w:t>
      </w:r>
    </w:p>
    <w:p>
      <w:pPr>
        <w:spacing w:line="242" w:lineRule="auto" w:before="0"/>
        <w:ind w:left="993" w:right="1004" w:firstLine="0"/>
        <w:jc w:val="center"/>
        <w:rPr>
          <w:i/>
          <w:sz w:val="20"/>
        </w:rPr>
      </w:pPr>
      <w:r>
        <w:rPr>
          <w:i/>
          <w:sz w:val="20"/>
        </w:rPr>
        <w:t>Fuente: Elaboración propia con base en encuestas y datos de la Global Footprint Network sobre </w:t>
      </w:r>
      <w:r>
        <w:rPr>
          <w:i/>
          <w:sz w:val="20"/>
        </w:rPr>
        <w:t>biocapacidad.</w:t>
      </w:r>
    </w:p>
    <w:p>
      <w:pPr>
        <w:pStyle w:val="BodyText"/>
        <w:rPr>
          <w:i/>
          <w:sz w:val="17"/>
        </w:rPr>
      </w:pPr>
    </w:p>
    <w:tbl>
      <w:tblPr>
        <w:tblW w:w="0" w:type="auto"/>
        <w:jc w:val="left"/>
        <w:tblInd w:w="9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008"/>
        <w:gridCol w:w="1629"/>
        <w:gridCol w:w="1400"/>
        <w:gridCol w:w="1398"/>
        <w:gridCol w:w="1456"/>
      </w:tblGrid>
      <w:tr>
        <w:trPr>
          <w:trHeight w:val="1224" w:hRule="atLeast"/>
        </w:trPr>
        <w:tc>
          <w:tcPr>
            <w:tcW w:w="4008" w:type="dxa"/>
            <w:shd w:val="clear" w:color="auto" w:fill="000000"/>
          </w:tcPr>
          <w:p>
            <w:pPr>
              <w:pStyle w:val="TableParagraph"/>
              <w:spacing w:line="240" w:lineRule="auto" w:before="149"/>
              <w:ind w:left="123"/>
              <w:jc w:val="left"/>
              <w:rPr>
                <w:b/>
                <w:sz w:val="22"/>
              </w:rPr>
            </w:pPr>
            <w:r>
              <w:rPr>
                <w:b/>
                <w:color w:val="FFFFFF"/>
                <w:sz w:val="22"/>
              </w:rPr>
              <w:t>Zona</w:t>
            </w:r>
          </w:p>
        </w:tc>
        <w:tc>
          <w:tcPr>
            <w:tcW w:w="1629" w:type="dxa"/>
            <w:shd w:val="clear" w:color="auto" w:fill="000000"/>
          </w:tcPr>
          <w:p>
            <w:pPr>
              <w:pStyle w:val="TableParagraph"/>
              <w:spacing w:line="276" w:lineRule="auto" w:before="149"/>
              <w:ind w:left="417" w:right="140"/>
              <w:jc w:val="left"/>
              <w:rPr>
                <w:b/>
                <w:sz w:val="22"/>
              </w:rPr>
            </w:pPr>
            <w:r>
              <w:rPr>
                <w:b/>
                <w:color w:val="FFFFFF"/>
                <w:sz w:val="22"/>
              </w:rPr>
              <w:t>Déficit Ecológico (1)</w:t>
            </w:r>
          </w:p>
        </w:tc>
        <w:tc>
          <w:tcPr>
            <w:tcW w:w="1400" w:type="dxa"/>
            <w:shd w:val="clear" w:color="auto" w:fill="000000"/>
          </w:tcPr>
          <w:p>
            <w:pPr>
              <w:pStyle w:val="TableParagraph"/>
              <w:spacing w:line="276" w:lineRule="auto" w:before="149"/>
              <w:ind w:left="185" w:right="143"/>
              <w:jc w:val="left"/>
              <w:rPr>
                <w:b/>
                <w:sz w:val="22"/>
              </w:rPr>
            </w:pPr>
            <w:r>
              <w:rPr>
                <w:b/>
                <w:color w:val="FFFFFF"/>
                <w:sz w:val="22"/>
              </w:rPr>
              <w:t>Déficit Ecológico (2)</w:t>
            </w:r>
          </w:p>
        </w:tc>
        <w:tc>
          <w:tcPr>
            <w:tcW w:w="1398" w:type="dxa"/>
            <w:shd w:val="clear" w:color="auto" w:fill="000000"/>
          </w:tcPr>
          <w:p>
            <w:pPr>
              <w:pStyle w:val="TableParagraph"/>
              <w:spacing w:line="276" w:lineRule="auto" w:before="149"/>
              <w:ind w:left="188" w:right="153"/>
              <w:jc w:val="both"/>
              <w:rPr>
                <w:b/>
                <w:sz w:val="22"/>
              </w:rPr>
            </w:pPr>
            <w:r>
              <w:rPr>
                <w:b/>
                <w:color w:val="FFFFFF"/>
                <w:sz w:val="22"/>
              </w:rPr>
              <w:t>Superávit Ecológico (1)</w:t>
            </w:r>
          </w:p>
        </w:tc>
        <w:tc>
          <w:tcPr>
            <w:tcW w:w="1456" w:type="dxa"/>
            <w:shd w:val="clear" w:color="auto" w:fill="000000"/>
          </w:tcPr>
          <w:p>
            <w:pPr>
              <w:pStyle w:val="TableParagraph"/>
              <w:spacing w:line="276" w:lineRule="auto" w:before="149"/>
              <w:ind w:left="183" w:right="216"/>
              <w:jc w:val="both"/>
              <w:rPr>
                <w:b/>
                <w:sz w:val="22"/>
              </w:rPr>
            </w:pPr>
            <w:r>
              <w:rPr>
                <w:b/>
                <w:color w:val="FFFFFF"/>
                <w:sz w:val="22"/>
              </w:rPr>
              <w:t>Superávit Ecológico (2)</w:t>
            </w:r>
          </w:p>
        </w:tc>
      </w:tr>
      <w:tr>
        <w:trPr>
          <w:trHeight w:val="557" w:hRule="atLeast"/>
        </w:trPr>
        <w:tc>
          <w:tcPr>
            <w:tcW w:w="4008" w:type="dxa"/>
            <w:tcBorders>
              <w:left w:val="single" w:sz="12" w:space="0" w:color="000000"/>
            </w:tcBorders>
          </w:tcPr>
          <w:p>
            <w:pPr>
              <w:pStyle w:val="TableParagraph"/>
              <w:spacing w:line="240" w:lineRule="auto" w:before="121"/>
              <w:ind w:left="108"/>
              <w:jc w:val="left"/>
              <w:rPr>
                <w:sz w:val="22"/>
              </w:rPr>
            </w:pPr>
            <w:r>
              <w:rPr>
                <w:sz w:val="22"/>
              </w:rPr>
              <w:t>Comunidades Deudoras (n = 116)</w:t>
            </w:r>
          </w:p>
        </w:tc>
        <w:tc>
          <w:tcPr>
            <w:tcW w:w="1629" w:type="dxa"/>
          </w:tcPr>
          <w:p>
            <w:pPr>
              <w:pStyle w:val="TableParagraph"/>
              <w:spacing w:line="240" w:lineRule="auto" w:before="121"/>
              <w:ind w:left="417"/>
              <w:jc w:val="left"/>
              <w:rPr>
                <w:sz w:val="22"/>
              </w:rPr>
            </w:pPr>
            <w:r>
              <w:rPr>
                <w:sz w:val="22"/>
              </w:rPr>
              <w:t>0,24</w:t>
            </w:r>
          </w:p>
        </w:tc>
        <w:tc>
          <w:tcPr>
            <w:tcW w:w="1400" w:type="dxa"/>
          </w:tcPr>
          <w:p>
            <w:pPr>
              <w:pStyle w:val="TableParagraph"/>
              <w:spacing w:line="240" w:lineRule="auto" w:before="121"/>
              <w:ind w:left="185"/>
              <w:jc w:val="left"/>
              <w:rPr>
                <w:sz w:val="22"/>
              </w:rPr>
            </w:pPr>
            <w:r>
              <w:rPr>
                <w:sz w:val="22"/>
              </w:rPr>
              <w:t>0,14</w:t>
            </w:r>
          </w:p>
        </w:tc>
        <w:tc>
          <w:tcPr>
            <w:tcW w:w="1398" w:type="dxa"/>
          </w:tcPr>
          <w:p>
            <w:pPr>
              <w:pStyle w:val="TableParagraph"/>
              <w:spacing w:line="240" w:lineRule="auto" w:before="121"/>
              <w:ind w:right="367"/>
              <w:jc w:val="center"/>
              <w:rPr>
                <w:sz w:val="22"/>
              </w:rPr>
            </w:pPr>
            <w:r>
              <w:rPr>
                <w:w w:val="99"/>
                <w:sz w:val="22"/>
              </w:rPr>
              <w:t>-</w:t>
            </w:r>
          </w:p>
        </w:tc>
        <w:tc>
          <w:tcPr>
            <w:tcW w:w="1456" w:type="dxa"/>
            <w:tcBorders>
              <w:right w:val="single" w:sz="12" w:space="0" w:color="000000"/>
            </w:tcBorders>
          </w:tcPr>
          <w:p>
            <w:pPr>
              <w:pStyle w:val="TableParagraph"/>
              <w:spacing w:line="240" w:lineRule="auto" w:before="121"/>
              <w:ind w:left="471"/>
              <w:jc w:val="left"/>
              <w:rPr>
                <w:sz w:val="22"/>
              </w:rPr>
            </w:pPr>
            <w:r>
              <w:rPr>
                <w:w w:val="99"/>
                <w:sz w:val="22"/>
              </w:rPr>
              <w:t>-</w:t>
            </w:r>
          </w:p>
        </w:tc>
      </w:tr>
      <w:tr>
        <w:trPr>
          <w:trHeight w:val="665" w:hRule="atLeast"/>
        </w:trPr>
        <w:tc>
          <w:tcPr>
            <w:tcW w:w="4008" w:type="dxa"/>
            <w:tcBorders>
              <w:left w:val="single" w:sz="12" w:space="0" w:color="000000"/>
              <w:bottom w:val="single" w:sz="12" w:space="0" w:color="000000"/>
            </w:tcBorders>
          </w:tcPr>
          <w:p>
            <w:pPr>
              <w:pStyle w:val="TableParagraph"/>
              <w:spacing w:line="240" w:lineRule="auto" w:before="176"/>
              <w:ind w:left="108"/>
              <w:jc w:val="left"/>
              <w:rPr>
                <w:sz w:val="22"/>
              </w:rPr>
            </w:pPr>
            <w:r>
              <w:rPr>
                <w:sz w:val="22"/>
              </w:rPr>
              <w:t>Comunidades Acreedoras (n = 165)</w:t>
            </w:r>
          </w:p>
        </w:tc>
        <w:tc>
          <w:tcPr>
            <w:tcW w:w="1629" w:type="dxa"/>
            <w:tcBorders>
              <w:bottom w:val="single" w:sz="12" w:space="0" w:color="000000"/>
            </w:tcBorders>
          </w:tcPr>
          <w:p>
            <w:pPr>
              <w:pStyle w:val="TableParagraph"/>
              <w:spacing w:line="240" w:lineRule="auto" w:before="176"/>
              <w:ind w:right="142"/>
              <w:jc w:val="center"/>
              <w:rPr>
                <w:sz w:val="22"/>
              </w:rPr>
            </w:pPr>
            <w:r>
              <w:rPr>
                <w:w w:val="99"/>
                <w:sz w:val="22"/>
              </w:rPr>
              <w:t>-</w:t>
            </w:r>
          </w:p>
        </w:tc>
        <w:tc>
          <w:tcPr>
            <w:tcW w:w="1400" w:type="dxa"/>
            <w:tcBorders>
              <w:bottom w:val="single" w:sz="12" w:space="0" w:color="000000"/>
            </w:tcBorders>
          </w:tcPr>
          <w:p>
            <w:pPr>
              <w:pStyle w:val="TableParagraph"/>
              <w:spacing w:line="240" w:lineRule="auto" w:before="176"/>
              <w:ind w:right="378"/>
              <w:jc w:val="center"/>
              <w:rPr>
                <w:sz w:val="22"/>
              </w:rPr>
            </w:pPr>
            <w:r>
              <w:rPr>
                <w:w w:val="99"/>
                <w:sz w:val="22"/>
              </w:rPr>
              <w:t>-</w:t>
            </w:r>
          </w:p>
        </w:tc>
        <w:tc>
          <w:tcPr>
            <w:tcW w:w="1398" w:type="dxa"/>
            <w:tcBorders>
              <w:bottom w:val="single" w:sz="12" w:space="0" w:color="000000"/>
            </w:tcBorders>
          </w:tcPr>
          <w:p>
            <w:pPr>
              <w:pStyle w:val="TableParagraph"/>
              <w:spacing w:line="240" w:lineRule="auto" w:before="176"/>
              <w:ind w:left="188"/>
              <w:jc w:val="left"/>
              <w:rPr>
                <w:sz w:val="22"/>
              </w:rPr>
            </w:pPr>
            <w:r>
              <w:rPr>
                <w:sz w:val="22"/>
              </w:rPr>
              <w:t>0,29</w:t>
            </w:r>
          </w:p>
        </w:tc>
        <w:tc>
          <w:tcPr>
            <w:tcW w:w="1456" w:type="dxa"/>
            <w:tcBorders>
              <w:bottom w:val="single" w:sz="12" w:space="0" w:color="000000"/>
              <w:right w:val="single" w:sz="12" w:space="0" w:color="000000"/>
            </w:tcBorders>
          </w:tcPr>
          <w:p>
            <w:pPr>
              <w:pStyle w:val="TableParagraph"/>
              <w:spacing w:line="240" w:lineRule="auto" w:before="176"/>
              <w:ind w:left="183"/>
              <w:jc w:val="left"/>
              <w:rPr>
                <w:sz w:val="22"/>
              </w:rPr>
            </w:pPr>
            <w:r>
              <w:rPr>
                <w:sz w:val="22"/>
              </w:rPr>
              <w:t>0,39</w:t>
            </w:r>
          </w:p>
        </w:tc>
      </w:tr>
    </w:tbl>
    <w:p>
      <w:pPr>
        <w:pStyle w:val="BodyText"/>
        <w:rPr>
          <w:i/>
          <w:sz w:val="22"/>
        </w:rPr>
      </w:pPr>
    </w:p>
    <w:p>
      <w:pPr>
        <w:pStyle w:val="BodyText"/>
        <w:spacing w:before="5"/>
        <w:rPr>
          <w:i/>
          <w:sz w:val="31"/>
        </w:rPr>
      </w:pPr>
    </w:p>
    <w:p>
      <w:pPr>
        <w:pStyle w:val="BodyText"/>
        <w:spacing w:line="360" w:lineRule="auto"/>
        <w:ind w:left="940" w:right="937"/>
        <w:jc w:val="both"/>
      </w:pPr>
      <w:r>
        <w:rPr/>
        <w:t>A la hora de interpretar el resultado se debe tomar en cuenta que el margen de error de la muestra de deudores es de un 9%, conforme se indicó en la sección metodológica. Asimismo, en el caso de los acreedores es de un 7%. Tomando en cuenta estos márgenes</w:t>
      </w:r>
      <w:r>
        <w:rPr>
          <w:spacing w:val="-15"/>
        </w:rPr>
        <w:t> </w:t>
      </w:r>
      <w:r>
        <w:rPr/>
        <w:t>de</w:t>
      </w:r>
      <w:r>
        <w:rPr>
          <w:spacing w:val="-17"/>
        </w:rPr>
        <w:t> </w:t>
      </w:r>
      <w:r>
        <w:rPr/>
        <w:t>error,</w:t>
      </w:r>
      <w:r>
        <w:rPr>
          <w:spacing w:val="-14"/>
        </w:rPr>
        <w:t> </w:t>
      </w:r>
      <w:r>
        <w:rPr/>
        <w:t>la</w:t>
      </w:r>
      <w:r>
        <w:rPr>
          <w:spacing w:val="-17"/>
        </w:rPr>
        <w:t> </w:t>
      </w:r>
      <w:r>
        <w:rPr/>
        <w:t>diferencia</w:t>
      </w:r>
      <w:r>
        <w:rPr>
          <w:spacing w:val="-17"/>
        </w:rPr>
        <w:t> </w:t>
      </w:r>
      <w:r>
        <w:rPr/>
        <w:t>aún</w:t>
      </w:r>
      <w:r>
        <w:rPr>
          <w:spacing w:val="-17"/>
        </w:rPr>
        <w:t> </w:t>
      </w:r>
      <w:r>
        <w:rPr/>
        <w:t>es</w:t>
      </w:r>
      <w:r>
        <w:rPr>
          <w:spacing w:val="-15"/>
        </w:rPr>
        <w:t> </w:t>
      </w:r>
      <w:r>
        <w:rPr/>
        <w:t>notable.</w:t>
      </w:r>
      <w:r>
        <w:rPr>
          <w:spacing w:val="-14"/>
        </w:rPr>
        <w:t> </w:t>
      </w:r>
      <w:r>
        <w:rPr/>
        <w:t>Se</w:t>
      </w:r>
      <w:r>
        <w:rPr>
          <w:spacing w:val="-16"/>
        </w:rPr>
        <w:t> </w:t>
      </w:r>
      <w:r>
        <w:rPr/>
        <w:t>puede</w:t>
      </w:r>
      <w:r>
        <w:rPr>
          <w:spacing w:val="-17"/>
        </w:rPr>
        <w:t> </w:t>
      </w:r>
      <w:r>
        <w:rPr/>
        <w:t>observar</w:t>
      </w:r>
      <w:r>
        <w:rPr>
          <w:spacing w:val="-15"/>
        </w:rPr>
        <w:t> </w:t>
      </w:r>
      <w:r>
        <w:rPr/>
        <w:t>que,</w:t>
      </w:r>
      <w:r>
        <w:rPr>
          <w:spacing w:val="-14"/>
        </w:rPr>
        <w:t> </w:t>
      </w:r>
      <w:r>
        <w:rPr/>
        <w:t>a</w:t>
      </w:r>
      <w:r>
        <w:rPr>
          <w:spacing w:val="-17"/>
        </w:rPr>
        <w:t> </w:t>
      </w:r>
      <w:r>
        <w:rPr/>
        <w:t>pesar</w:t>
      </w:r>
      <w:r>
        <w:rPr>
          <w:spacing w:val="-15"/>
        </w:rPr>
        <w:t> </w:t>
      </w:r>
      <w:r>
        <w:rPr/>
        <w:t>de</w:t>
      </w:r>
      <w:r>
        <w:rPr>
          <w:spacing w:val="-17"/>
        </w:rPr>
        <w:t> </w:t>
      </w:r>
      <w:r>
        <w:rPr/>
        <w:t>tener un déficit ecológico de entre un 7% y un 13% respecto a la biocapacidad del planeta y del</w:t>
      </w:r>
      <w:r>
        <w:rPr>
          <w:spacing w:val="-7"/>
        </w:rPr>
        <w:t> </w:t>
      </w:r>
      <w:r>
        <w:rPr/>
        <w:t>país,</w:t>
      </w:r>
      <w:r>
        <w:rPr>
          <w:spacing w:val="-6"/>
        </w:rPr>
        <w:t> </w:t>
      </w:r>
      <w:r>
        <w:rPr/>
        <w:t>los</w:t>
      </w:r>
      <w:r>
        <w:rPr>
          <w:spacing w:val="-6"/>
        </w:rPr>
        <w:t> </w:t>
      </w:r>
      <w:r>
        <w:rPr/>
        <w:t>valores</w:t>
      </w:r>
      <w:r>
        <w:rPr>
          <w:spacing w:val="-6"/>
        </w:rPr>
        <w:t> </w:t>
      </w:r>
      <w:r>
        <w:rPr/>
        <w:t>fiscales</w:t>
      </w:r>
      <w:r>
        <w:rPr>
          <w:spacing w:val="-6"/>
        </w:rPr>
        <w:t> </w:t>
      </w:r>
      <w:r>
        <w:rPr/>
        <w:t>del</w:t>
      </w:r>
      <w:r>
        <w:rPr>
          <w:spacing w:val="-7"/>
        </w:rPr>
        <w:t> </w:t>
      </w:r>
      <w:r>
        <w:rPr/>
        <w:t>metro</w:t>
      </w:r>
      <w:r>
        <w:rPr>
          <w:spacing w:val="-7"/>
        </w:rPr>
        <w:t> </w:t>
      </w:r>
      <w:r>
        <w:rPr/>
        <w:t>cuadrado</w:t>
      </w:r>
      <w:r>
        <w:rPr>
          <w:spacing w:val="-8"/>
        </w:rPr>
        <w:t> </w:t>
      </w:r>
      <w:r>
        <w:rPr/>
        <w:t>de</w:t>
      </w:r>
      <w:r>
        <w:rPr>
          <w:spacing w:val="-8"/>
        </w:rPr>
        <w:t> </w:t>
      </w:r>
      <w:r>
        <w:rPr/>
        <w:t>bienes</w:t>
      </w:r>
      <w:r>
        <w:rPr>
          <w:spacing w:val="-6"/>
        </w:rPr>
        <w:t> </w:t>
      </w:r>
      <w:r>
        <w:rPr/>
        <w:t>raíces</w:t>
      </w:r>
      <w:r>
        <w:rPr>
          <w:spacing w:val="-6"/>
        </w:rPr>
        <w:t> </w:t>
      </w:r>
      <w:r>
        <w:rPr/>
        <w:t>son</w:t>
      </w:r>
      <w:r>
        <w:rPr>
          <w:spacing w:val="-5"/>
        </w:rPr>
        <w:t> </w:t>
      </w:r>
      <w:r>
        <w:rPr/>
        <w:t>en</w:t>
      </w:r>
      <w:r>
        <w:rPr>
          <w:spacing w:val="-8"/>
        </w:rPr>
        <w:t> </w:t>
      </w:r>
      <w:r>
        <w:rPr/>
        <w:t>promedio</w:t>
      </w:r>
      <w:r>
        <w:rPr>
          <w:spacing w:val="-8"/>
        </w:rPr>
        <w:t> </w:t>
      </w:r>
      <w:r>
        <w:rPr/>
        <w:t>entre siete y medio a casi quince veces mayores en los inmuebles de esas comunidades. El superávit de las comunidades acreedoras está en un rango de entre el 16% y el 21% respecto a la biocapacidad del planeta y del</w:t>
      </w:r>
      <w:r>
        <w:rPr>
          <w:spacing w:val="-12"/>
        </w:rPr>
        <w:t> </w:t>
      </w:r>
      <w:r>
        <w:rPr/>
        <w:t>país.</w:t>
      </w:r>
    </w:p>
    <w:p>
      <w:pPr>
        <w:pStyle w:val="BodyText"/>
        <w:rPr>
          <w:sz w:val="20"/>
        </w:rPr>
      </w:pPr>
    </w:p>
    <w:p>
      <w:pPr>
        <w:pStyle w:val="BodyText"/>
        <w:rPr>
          <w:sz w:val="20"/>
        </w:rPr>
      </w:pPr>
    </w:p>
    <w:p>
      <w:pPr>
        <w:pStyle w:val="BodyText"/>
        <w:rPr>
          <w:sz w:val="20"/>
        </w:rPr>
      </w:pPr>
    </w:p>
    <w:p>
      <w:pPr>
        <w:pStyle w:val="BodyText"/>
        <w:spacing w:before="2"/>
        <w:rPr>
          <w:sz w:val="14"/>
        </w:rPr>
      </w:pPr>
      <w:r>
        <w:rPr/>
        <w:pict>
          <v:rect style="position:absolute;margin-left:72.025002pt;margin-top:10.146358pt;width:144.050pt;height:.599980pt;mso-position-horizontal-relative:page;mso-position-vertical-relative:paragraph;z-index:-15686144;mso-wrap-distance-left:0;mso-wrap-distance-right:0" filled="true" fillcolor="#000000" stroked="false">
            <v:fill type="solid"/>
            <w10:wrap type="topAndBottom"/>
          </v:rect>
        </w:pict>
      </w:r>
    </w:p>
    <w:p>
      <w:pPr>
        <w:spacing w:line="240" w:lineRule="auto" w:before="72"/>
        <w:ind w:left="940" w:right="1029" w:firstLine="0"/>
        <w:jc w:val="left"/>
        <w:rPr>
          <w:sz w:val="20"/>
        </w:rPr>
      </w:pPr>
      <w:r>
        <w:rPr>
          <w:sz w:val="20"/>
          <w:vertAlign w:val="superscript"/>
        </w:rPr>
        <w:t>27</w:t>
      </w:r>
      <w:r>
        <w:rPr>
          <w:sz w:val="20"/>
          <w:vertAlign w:val="baseline"/>
        </w:rPr>
        <w:t> Es decir, el déficit es la cantidad de hectáreas de Huella Ecológica por encima de la biocapacidad. Conforme antes se dijo, es lo que la literatura conoce como sobregiro (Rees &amp; Wackernagel, 1994). El superávit se da en la situación opuesta y se expresa en el número de hectáreas de Huella Ecológica por debajo de la biocapacidad.</w:t>
      </w:r>
    </w:p>
    <w:p>
      <w:pPr>
        <w:spacing w:after="0" w:line="240" w:lineRule="auto"/>
        <w:jc w:val="left"/>
        <w:rPr>
          <w:sz w:val="20"/>
        </w:rPr>
        <w:sectPr>
          <w:pgSz w:w="12240" w:h="15840"/>
          <w:pgMar w:header="0" w:footer="1062" w:top="1360" w:bottom="1260" w:left="500" w:right="500"/>
        </w:sectPr>
      </w:pPr>
    </w:p>
    <w:p>
      <w:pPr>
        <w:pStyle w:val="Heading2"/>
        <w:numPr>
          <w:ilvl w:val="0"/>
          <w:numId w:val="8"/>
        </w:numPr>
        <w:tabs>
          <w:tab w:pos="1661" w:val="left" w:leader="none"/>
        </w:tabs>
        <w:spacing w:line="357" w:lineRule="auto" w:before="75" w:after="0"/>
        <w:ind w:left="940" w:right="938" w:firstLine="0"/>
        <w:jc w:val="both"/>
      </w:pPr>
      <w:bookmarkStart w:name="_bookmark49" w:id="68"/>
      <w:bookmarkEnd w:id="68"/>
      <w:r>
        <w:rPr>
          <w:b w:val="0"/>
        </w:rPr>
      </w:r>
      <w:bookmarkStart w:name="_bookmark49" w:id="69"/>
      <w:bookmarkEnd w:id="69"/>
      <w:r>
        <w:rPr/>
        <w:t>L</w:t>
      </w:r>
      <w:r>
        <w:rPr/>
        <w:t>a</w:t>
      </w:r>
      <w:r>
        <w:rPr>
          <w:spacing w:val="-7"/>
        </w:rPr>
        <w:t> </w:t>
      </w:r>
      <w:r>
        <w:rPr/>
        <w:t>Deuda</w:t>
      </w:r>
      <w:r>
        <w:rPr>
          <w:spacing w:val="-7"/>
        </w:rPr>
        <w:t> </w:t>
      </w:r>
      <w:r>
        <w:rPr/>
        <w:t>Ecológica</w:t>
      </w:r>
      <w:r>
        <w:rPr>
          <w:spacing w:val="-5"/>
        </w:rPr>
        <w:t> </w:t>
      </w:r>
      <w:r>
        <w:rPr/>
        <w:t>en</w:t>
      </w:r>
      <w:r>
        <w:rPr>
          <w:spacing w:val="-5"/>
        </w:rPr>
        <w:t> </w:t>
      </w:r>
      <w:r>
        <w:rPr/>
        <w:t>la</w:t>
      </w:r>
      <w:r>
        <w:rPr>
          <w:spacing w:val="-11"/>
        </w:rPr>
        <w:t> </w:t>
      </w:r>
      <w:r>
        <w:rPr/>
        <w:t>Zona</w:t>
      </w:r>
      <w:r>
        <w:rPr>
          <w:spacing w:val="-7"/>
        </w:rPr>
        <w:t> </w:t>
      </w:r>
      <w:r>
        <w:rPr/>
        <w:t>Protectora</w:t>
      </w:r>
      <w:r>
        <w:rPr>
          <w:spacing w:val="-7"/>
        </w:rPr>
        <w:t> </w:t>
      </w:r>
      <w:r>
        <w:rPr/>
        <w:t>La</w:t>
      </w:r>
      <w:r>
        <w:rPr>
          <w:spacing w:val="-7"/>
        </w:rPr>
        <w:t> </w:t>
      </w:r>
      <w:r>
        <w:rPr/>
        <w:t>Carpintera</w:t>
      </w:r>
      <w:r>
        <w:rPr>
          <w:spacing w:val="-8"/>
        </w:rPr>
        <w:t> </w:t>
      </w:r>
      <w:r>
        <w:rPr/>
        <w:t>Medida</w:t>
      </w:r>
      <w:r>
        <w:rPr>
          <w:spacing w:val="-7"/>
        </w:rPr>
        <w:t> </w:t>
      </w:r>
      <w:r>
        <w:rPr/>
        <w:t>por</w:t>
      </w:r>
      <w:r>
        <w:rPr>
          <w:spacing w:val="-7"/>
        </w:rPr>
        <w:t> </w:t>
      </w:r>
      <w:r>
        <w:rPr/>
        <w:t>el</w:t>
      </w:r>
      <w:r>
        <w:rPr>
          <w:spacing w:val="-8"/>
        </w:rPr>
        <w:t> </w:t>
      </w:r>
      <w:r>
        <w:rPr/>
        <w:t>Valor No Compensado del Servicio Ecosistémico de</w:t>
      </w:r>
      <w:r>
        <w:rPr>
          <w:spacing w:val="5"/>
        </w:rPr>
        <w:t> </w:t>
      </w:r>
      <w:r>
        <w:rPr/>
        <w:t>Vista.</w:t>
      </w:r>
    </w:p>
    <w:p>
      <w:pPr>
        <w:pStyle w:val="BodyText"/>
        <w:spacing w:line="360" w:lineRule="auto" w:before="210"/>
        <w:ind w:left="940" w:right="941"/>
        <w:jc w:val="both"/>
      </w:pPr>
      <w:r>
        <w:rPr/>
        <w:t>Los resultados del modelo de estimación incluyen varias etapas de análisis estadístico. En primer lugar, se determinaron las medias del precio para las casas que incluyen el servicio de vista explícitamente como un elemento en el anuncio. En segundo lugar, se probó si las medias son significativamente diferentes mediante una prueba de t.</w:t>
      </w:r>
    </w:p>
    <w:p>
      <w:pPr>
        <w:pStyle w:val="BodyText"/>
        <w:spacing w:line="360" w:lineRule="auto" w:before="200"/>
        <w:ind w:left="940" w:right="943"/>
        <w:jc w:val="both"/>
      </w:pPr>
      <w:r>
        <w:rPr/>
        <w:t>El Cuadro 16, resume los resultados de este proceso. De conformidad con la muestra recopilada</w:t>
      </w:r>
      <w:r>
        <w:rPr>
          <w:spacing w:val="-17"/>
        </w:rPr>
        <w:t> </w:t>
      </w:r>
      <w:r>
        <w:rPr/>
        <w:t>puede</w:t>
      </w:r>
      <w:r>
        <w:rPr>
          <w:spacing w:val="-16"/>
        </w:rPr>
        <w:t> </w:t>
      </w:r>
      <w:r>
        <w:rPr/>
        <w:t>observarse</w:t>
      </w:r>
      <w:r>
        <w:rPr>
          <w:spacing w:val="-17"/>
        </w:rPr>
        <w:t> </w:t>
      </w:r>
      <w:r>
        <w:rPr/>
        <w:t>que</w:t>
      </w:r>
      <w:r>
        <w:rPr>
          <w:spacing w:val="-16"/>
        </w:rPr>
        <w:t> </w:t>
      </w:r>
      <w:r>
        <w:rPr/>
        <w:t>el</w:t>
      </w:r>
      <w:r>
        <w:rPr>
          <w:spacing w:val="-16"/>
        </w:rPr>
        <w:t> </w:t>
      </w:r>
      <w:r>
        <w:rPr/>
        <w:t>promedio</w:t>
      </w:r>
      <w:r>
        <w:rPr>
          <w:spacing w:val="-16"/>
        </w:rPr>
        <w:t> </w:t>
      </w:r>
      <w:r>
        <w:rPr/>
        <w:t>en</w:t>
      </w:r>
      <w:r>
        <w:rPr>
          <w:spacing w:val="-16"/>
        </w:rPr>
        <w:t> </w:t>
      </w:r>
      <w:r>
        <w:rPr/>
        <w:t>el</w:t>
      </w:r>
      <w:r>
        <w:rPr>
          <w:spacing w:val="-16"/>
        </w:rPr>
        <w:t> </w:t>
      </w:r>
      <w:r>
        <w:rPr/>
        <w:t>valor</w:t>
      </w:r>
      <w:r>
        <w:rPr>
          <w:spacing w:val="-15"/>
        </w:rPr>
        <w:t> </w:t>
      </w:r>
      <w:r>
        <w:rPr/>
        <w:t>de</w:t>
      </w:r>
      <w:r>
        <w:rPr>
          <w:spacing w:val="-16"/>
        </w:rPr>
        <w:t> </w:t>
      </w:r>
      <w:r>
        <w:rPr/>
        <w:t>los</w:t>
      </w:r>
      <w:r>
        <w:rPr>
          <w:spacing w:val="-15"/>
        </w:rPr>
        <w:t> </w:t>
      </w:r>
      <w:r>
        <w:rPr/>
        <w:t>inmuebles</w:t>
      </w:r>
      <w:r>
        <w:rPr>
          <w:spacing w:val="-14"/>
        </w:rPr>
        <w:t> </w:t>
      </w:r>
      <w:r>
        <w:rPr/>
        <w:t>que</w:t>
      </w:r>
      <w:r>
        <w:rPr>
          <w:spacing w:val="-16"/>
        </w:rPr>
        <w:t> </w:t>
      </w:r>
      <w:r>
        <w:rPr/>
        <w:t>no</w:t>
      </w:r>
      <w:r>
        <w:rPr>
          <w:spacing w:val="-17"/>
        </w:rPr>
        <w:t> </w:t>
      </w:r>
      <w:r>
        <w:rPr/>
        <w:t>utilizan la</w:t>
      </w:r>
      <w:r>
        <w:rPr>
          <w:spacing w:val="-4"/>
        </w:rPr>
        <w:t> </w:t>
      </w:r>
      <w:r>
        <w:rPr/>
        <w:t>vista</w:t>
      </w:r>
      <w:r>
        <w:rPr>
          <w:spacing w:val="-4"/>
        </w:rPr>
        <w:t> </w:t>
      </w:r>
      <w:r>
        <w:rPr/>
        <w:t>a</w:t>
      </w:r>
      <w:r>
        <w:rPr>
          <w:spacing w:val="-3"/>
        </w:rPr>
        <w:t> </w:t>
      </w:r>
      <w:r>
        <w:rPr/>
        <w:t>la</w:t>
      </w:r>
      <w:r>
        <w:rPr>
          <w:spacing w:val="-4"/>
        </w:rPr>
        <w:t> </w:t>
      </w:r>
      <w:r>
        <w:rPr/>
        <w:t>ZPLC</w:t>
      </w:r>
      <w:r>
        <w:rPr>
          <w:spacing w:val="-3"/>
        </w:rPr>
        <w:t> </w:t>
      </w:r>
      <w:r>
        <w:rPr/>
        <w:t>es</w:t>
      </w:r>
      <w:r>
        <w:rPr>
          <w:spacing w:val="-7"/>
        </w:rPr>
        <w:t> </w:t>
      </w:r>
      <w:r>
        <w:rPr/>
        <w:t>de</w:t>
      </w:r>
      <w:r>
        <w:rPr>
          <w:spacing w:val="-3"/>
        </w:rPr>
        <w:t> </w:t>
      </w:r>
      <w:r>
        <w:rPr/>
        <w:t>$</w:t>
      </w:r>
      <w:r>
        <w:rPr>
          <w:spacing w:val="-4"/>
        </w:rPr>
        <w:t> </w:t>
      </w:r>
      <w:r>
        <w:rPr/>
        <w:t>326.278,</w:t>
      </w:r>
      <w:r>
        <w:rPr>
          <w:spacing w:val="-1"/>
        </w:rPr>
        <w:t> </w:t>
      </w:r>
      <w:r>
        <w:rPr/>
        <w:t>mientras</w:t>
      </w:r>
      <w:r>
        <w:rPr>
          <w:spacing w:val="-2"/>
        </w:rPr>
        <w:t> </w:t>
      </w:r>
      <w:r>
        <w:rPr/>
        <w:t>que</w:t>
      </w:r>
      <w:r>
        <w:rPr>
          <w:spacing w:val="-3"/>
        </w:rPr>
        <w:t> </w:t>
      </w:r>
      <w:r>
        <w:rPr/>
        <w:t>el</w:t>
      </w:r>
      <w:r>
        <w:rPr>
          <w:spacing w:val="-4"/>
        </w:rPr>
        <w:t> </w:t>
      </w:r>
      <w:r>
        <w:rPr/>
        <w:t>de</w:t>
      </w:r>
      <w:r>
        <w:rPr>
          <w:spacing w:val="-3"/>
        </w:rPr>
        <w:t> </w:t>
      </w:r>
      <w:r>
        <w:rPr/>
        <w:t>aquellos</w:t>
      </w:r>
      <w:r>
        <w:rPr>
          <w:spacing w:val="-2"/>
        </w:rPr>
        <w:t> </w:t>
      </w:r>
      <w:r>
        <w:rPr/>
        <w:t>que</w:t>
      </w:r>
      <w:r>
        <w:rPr>
          <w:spacing w:val="-4"/>
        </w:rPr>
        <w:t> </w:t>
      </w:r>
      <w:r>
        <w:rPr/>
        <w:t>sí</w:t>
      </w:r>
      <w:r>
        <w:rPr>
          <w:spacing w:val="-1"/>
        </w:rPr>
        <w:t> </w:t>
      </w:r>
      <w:r>
        <w:rPr/>
        <w:t>lo</w:t>
      </w:r>
      <w:r>
        <w:rPr>
          <w:spacing w:val="-4"/>
        </w:rPr>
        <w:t> </w:t>
      </w:r>
      <w:r>
        <w:rPr/>
        <w:t>utilizan</w:t>
      </w:r>
      <w:r>
        <w:rPr>
          <w:spacing w:val="-3"/>
        </w:rPr>
        <w:t> </w:t>
      </w:r>
      <w:r>
        <w:rPr/>
        <w:t>es</w:t>
      </w:r>
      <w:r>
        <w:rPr>
          <w:spacing w:val="-2"/>
        </w:rPr>
        <w:t> </w:t>
      </w:r>
      <w:r>
        <w:rPr/>
        <w:t>de</w:t>
      </w:r>
      <w:r>
        <w:rPr>
          <w:spacing w:val="-3"/>
        </w:rPr>
        <w:t> </w:t>
      </w:r>
      <w:r>
        <w:rPr/>
        <w:t>$</w:t>
      </w:r>
    </w:p>
    <w:p>
      <w:pPr>
        <w:pStyle w:val="BodyText"/>
        <w:spacing w:line="362" w:lineRule="auto"/>
        <w:ind w:left="940" w:right="950"/>
        <w:jc w:val="both"/>
      </w:pPr>
      <w:r>
        <w:rPr/>
        <w:t>418.019. Los resultados de la estadística de T y de P sugieren que la diferencia es estadísticamente significativa.</w:t>
      </w:r>
    </w:p>
    <w:p>
      <w:pPr>
        <w:spacing w:line="240" w:lineRule="auto" w:before="191"/>
        <w:ind w:left="994" w:right="1004" w:firstLine="0"/>
        <w:jc w:val="center"/>
        <w:rPr>
          <w:i/>
          <w:sz w:val="20"/>
        </w:rPr>
      </w:pPr>
      <w:bookmarkStart w:name="_bookmark50" w:id="70"/>
      <w:bookmarkEnd w:id="70"/>
      <w:r>
        <w:rPr/>
      </w:r>
      <w:r>
        <w:rPr>
          <w:i/>
          <w:sz w:val="20"/>
        </w:rPr>
        <w:t>Cuadro 16- Análisis de T para las Medias de los Grupos de Viviendas que Anuncian el Servicio de Vista </w:t>
      </w:r>
      <w:r>
        <w:rPr>
          <w:i/>
          <w:sz w:val="20"/>
        </w:rPr>
        <w:t>de la ZPLC Frente a los que No en los Sitios Web de Ventas de Inmuebles Consultados Abril 2016 – Marzo 2017.</w:t>
      </w:r>
    </w:p>
    <w:p>
      <w:pPr>
        <w:spacing w:before="3"/>
        <w:ind w:left="994" w:right="991" w:firstLine="0"/>
        <w:jc w:val="center"/>
        <w:rPr>
          <w:i/>
          <w:sz w:val="20"/>
        </w:rPr>
      </w:pPr>
      <w:r>
        <w:rPr>
          <w:i/>
          <w:sz w:val="20"/>
        </w:rPr>
        <w:t>Fuente: Elaboración propia.</w:t>
      </w:r>
    </w:p>
    <w:p>
      <w:pPr>
        <w:pStyle w:val="BodyText"/>
        <w:spacing w:before="9" w:after="1"/>
        <w:rPr>
          <w:i/>
          <w:sz w:val="27"/>
        </w:rPr>
      </w:pPr>
    </w:p>
    <w:tbl>
      <w:tblPr>
        <w:tblW w:w="0" w:type="auto"/>
        <w:jc w:val="left"/>
        <w:tblInd w:w="1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30"/>
        <w:gridCol w:w="1710"/>
        <w:gridCol w:w="1344"/>
        <w:gridCol w:w="1377"/>
        <w:gridCol w:w="1711"/>
      </w:tblGrid>
      <w:tr>
        <w:trPr>
          <w:trHeight w:val="689" w:hRule="atLeast"/>
        </w:trPr>
        <w:tc>
          <w:tcPr>
            <w:tcW w:w="2430" w:type="dxa"/>
            <w:tcBorders>
              <w:bottom w:val="single" w:sz="24" w:space="0" w:color="000000"/>
            </w:tcBorders>
          </w:tcPr>
          <w:p>
            <w:pPr>
              <w:pStyle w:val="TableParagraph"/>
              <w:spacing w:line="223" w:lineRule="exact" w:before="0"/>
              <w:ind w:left="111"/>
              <w:jc w:val="left"/>
              <w:rPr>
                <w:sz w:val="20"/>
              </w:rPr>
            </w:pPr>
            <w:r>
              <w:rPr>
                <w:sz w:val="20"/>
              </w:rPr>
              <w:t>Vista a La Carpintera en</w:t>
            </w:r>
          </w:p>
          <w:p>
            <w:pPr>
              <w:pStyle w:val="TableParagraph"/>
              <w:spacing w:line="240" w:lineRule="auto" w:before="114"/>
              <w:ind w:left="111"/>
              <w:jc w:val="left"/>
              <w:rPr>
                <w:sz w:val="20"/>
              </w:rPr>
            </w:pPr>
            <w:r>
              <w:rPr>
                <w:sz w:val="20"/>
              </w:rPr>
              <w:t>el Anuncio</w:t>
            </w:r>
          </w:p>
        </w:tc>
        <w:tc>
          <w:tcPr>
            <w:tcW w:w="1710" w:type="dxa"/>
            <w:tcBorders>
              <w:bottom w:val="single" w:sz="24" w:space="0" w:color="000000"/>
            </w:tcBorders>
          </w:tcPr>
          <w:p>
            <w:pPr>
              <w:pStyle w:val="TableParagraph"/>
              <w:spacing w:line="223" w:lineRule="exact" w:before="0"/>
              <w:ind w:left="111"/>
              <w:jc w:val="left"/>
              <w:rPr>
                <w:sz w:val="20"/>
              </w:rPr>
            </w:pPr>
            <w:r>
              <w:rPr>
                <w:sz w:val="20"/>
              </w:rPr>
              <w:t>Número de</w:t>
            </w:r>
          </w:p>
          <w:p>
            <w:pPr>
              <w:pStyle w:val="TableParagraph"/>
              <w:spacing w:line="240" w:lineRule="auto" w:before="114"/>
              <w:ind w:left="111"/>
              <w:jc w:val="left"/>
              <w:rPr>
                <w:sz w:val="20"/>
              </w:rPr>
            </w:pPr>
            <w:r>
              <w:rPr>
                <w:sz w:val="20"/>
              </w:rPr>
              <w:t>Observaciones</w:t>
            </w:r>
          </w:p>
        </w:tc>
        <w:tc>
          <w:tcPr>
            <w:tcW w:w="1344" w:type="dxa"/>
            <w:tcBorders>
              <w:bottom w:val="single" w:sz="24" w:space="0" w:color="000000"/>
            </w:tcBorders>
          </w:tcPr>
          <w:p>
            <w:pPr>
              <w:pStyle w:val="TableParagraph"/>
              <w:spacing w:line="223" w:lineRule="exact" w:before="0"/>
              <w:ind w:left="273"/>
              <w:jc w:val="left"/>
              <w:rPr>
                <w:sz w:val="20"/>
              </w:rPr>
            </w:pPr>
            <w:r>
              <w:rPr>
                <w:sz w:val="20"/>
              </w:rPr>
              <w:t>Media</w:t>
            </w:r>
          </w:p>
        </w:tc>
        <w:tc>
          <w:tcPr>
            <w:tcW w:w="1377" w:type="dxa"/>
            <w:tcBorders>
              <w:bottom w:val="single" w:sz="24" w:space="0" w:color="000000"/>
            </w:tcBorders>
          </w:tcPr>
          <w:p>
            <w:pPr>
              <w:pStyle w:val="TableParagraph"/>
              <w:spacing w:line="223" w:lineRule="exact" w:before="0"/>
              <w:ind w:left="137"/>
              <w:jc w:val="left"/>
              <w:rPr>
                <w:sz w:val="20"/>
              </w:rPr>
            </w:pPr>
            <w:r>
              <w:rPr>
                <w:sz w:val="20"/>
              </w:rPr>
              <w:t>Desviación</w:t>
            </w:r>
          </w:p>
          <w:p>
            <w:pPr>
              <w:pStyle w:val="TableParagraph"/>
              <w:spacing w:line="240" w:lineRule="auto" w:before="114"/>
              <w:ind w:left="137"/>
              <w:jc w:val="left"/>
              <w:rPr>
                <w:sz w:val="20"/>
              </w:rPr>
            </w:pPr>
            <w:r>
              <w:rPr>
                <w:sz w:val="20"/>
              </w:rPr>
              <w:t>Estándar</w:t>
            </w:r>
          </w:p>
        </w:tc>
        <w:tc>
          <w:tcPr>
            <w:tcW w:w="1711" w:type="dxa"/>
            <w:tcBorders>
              <w:bottom w:val="single" w:sz="24" w:space="0" w:color="000000"/>
            </w:tcBorders>
          </w:tcPr>
          <w:p>
            <w:pPr>
              <w:pStyle w:val="TableParagraph"/>
              <w:spacing w:line="223" w:lineRule="exact" w:before="0"/>
              <w:ind w:left="113"/>
              <w:jc w:val="left"/>
              <w:rPr>
                <w:sz w:val="20"/>
              </w:rPr>
            </w:pPr>
            <w:r>
              <w:rPr>
                <w:sz w:val="20"/>
              </w:rPr>
              <w:t>Error Estándar</w:t>
            </w:r>
          </w:p>
          <w:p>
            <w:pPr>
              <w:pStyle w:val="TableParagraph"/>
              <w:spacing w:line="240" w:lineRule="auto" w:before="114"/>
              <w:ind w:left="113"/>
              <w:jc w:val="left"/>
              <w:rPr>
                <w:sz w:val="20"/>
              </w:rPr>
            </w:pPr>
            <w:r>
              <w:rPr>
                <w:sz w:val="20"/>
              </w:rPr>
              <w:t>de la Media</w:t>
            </w:r>
          </w:p>
        </w:tc>
      </w:tr>
      <w:tr>
        <w:trPr>
          <w:trHeight w:val="344" w:hRule="atLeast"/>
        </w:trPr>
        <w:tc>
          <w:tcPr>
            <w:tcW w:w="2430" w:type="dxa"/>
            <w:tcBorders>
              <w:top w:val="single" w:sz="24" w:space="0" w:color="000000"/>
              <w:left w:val="single" w:sz="4" w:space="0" w:color="000000"/>
              <w:right w:val="single" w:sz="8" w:space="0" w:color="000000"/>
            </w:tcBorders>
          </w:tcPr>
          <w:p>
            <w:pPr>
              <w:pStyle w:val="TableParagraph"/>
              <w:spacing w:line="226" w:lineRule="exact" w:before="0"/>
              <w:ind w:left="1062" w:right="1056"/>
              <w:jc w:val="center"/>
              <w:rPr>
                <w:sz w:val="20"/>
              </w:rPr>
            </w:pPr>
            <w:r>
              <w:rPr>
                <w:sz w:val="20"/>
              </w:rPr>
              <w:t>No</w:t>
            </w:r>
          </w:p>
        </w:tc>
        <w:tc>
          <w:tcPr>
            <w:tcW w:w="1710" w:type="dxa"/>
            <w:tcBorders>
              <w:top w:val="single" w:sz="24" w:space="0" w:color="000000"/>
              <w:left w:val="single" w:sz="8" w:space="0" w:color="000000"/>
            </w:tcBorders>
            <w:shd w:val="clear" w:color="auto" w:fill="C0C0C0"/>
          </w:tcPr>
          <w:p>
            <w:pPr>
              <w:pStyle w:val="TableParagraph"/>
              <w:spacing w:line="226" w:lineRule="exact" w:before="0"/>
              <w:ind w:left="741" w:right="584"/>
              <w:jc w:val="center"/>
              <w:rPr>
                <w:sz w:val="20"/>
              </w:rPr>
            </w:pPr>
            <w:r>
              <w:rPr>
                <w:sz w:val="20"/>
              </w:rPr>
              <w:t>216</w:t>
            </w:r>
          </w:p>
        </w:tc>
        <w:tc>
          <w:tcPr>
            <w:tcW w:w="1344" w:type="dxa"/>
            <w:tcBorders>
              <w:top w:val="single" w:sz="24" w:space="0" w:color="000000"/>
            </w:tcBorders>
            <w:shd w:val="clear" w:color="auto" w:fill="C0C0C0"/>
          </w:tcPr>
          <w:p>
            <w:pPr>
              <w:pStyle w:val="TableParagraph"/>
              <w:spacing w:line="226" w:lineRule="exact" w:before="0"/>
              <w:ind w:left="325"/>
              <w:jc w:val="left"/>
              <w:rPr>
                <w:sz w:val="20"/>
              </w:rPr>
            </w:pPr>
            <w:r>
              <w:rPr>
                <w:sz w:val="20"/>
              </w:rPr>
              <w:t>$ 326.278</w:t>
            </w:r>
          </w:p>
        </w:tc>
        <w:tc>
          <w:tcPr>
            <w:tcW w:w="1377" w:type="dxa"/>
            <w:tcBorders>
              <w:top w:val="single" w:sz="24" w:space="0" w:color="000000"/>
              <w:right w:val="single" w:sz="4" w:space="0" w:color="000000"/>
            </w:tcBorders>
            <w:shd w:val="clear" w:color="auto" w:fill="C0C0C0"/>
          </w:tcPr>
          <w:p>
            <w:pPr>
              <w:pStyle w:val="TableParagraph"/>
              <w:spacing w:line="226" w:lineRule="exact" w:before="0"/>
              <w:ind w:left="323" w:right="285"/>
              <w:jc w:val="center"/>
              <w:rPr>
                <w:sz w:val="20"/>
              </w:rPr>
            </w:pPr>
            <w:r>
              <w:rPr>
                <w:sz w:val="20"/>
              </w:rPr>
              <w:t>182.067</w:t>
            </w:r>
          </w:p>
        </w:tc>
        <w:tc>
          <w:tcPr>
            <w:tcW w:w="1711" w:type="dxa"/>
            <w:tcBorders>
              <w:top w:val="single" w:sz="24" w:space="0" w:color="000000"/>
              <w:left w:val="single" w:sz="4" w:space="0" w:color="000000"/>
              <w:right w:val="single" w:sz="8" w:space="0" w:color="000000"/>
            </w:tcBorders>
            <w:shd w:val="clear" w:color="auto" w:fill="C0C0C0"/>
          </w:tcPr>
          <w:p>
            <w:pPr>
              <w:pStyle w:val="TableParagraph"/>
              <w:spacing w:line="226" w:lineRule="exact" w:before="0"/>
              <w:ind w:left="529" w:right="514"/>
              <w:jc w:val="center"/>
              <w:rPr>
                <w:sz w:val="20"/>
              </w:rPr>
            </w:pPr>
            <w:r>
              <w:rPr>
                <w:sz w:val="20"/>
              </w:rPr>
              <w:t>12.388</w:t>
            </w:r>
          </w:p>
        </w:tc>
      </w:tr>
      <w:tr>
        <w:trPr>
          <w:trHeight w:val="343" w:hRule="atLeast"/>
        </w:trPr>
        <w:tc>
          <w:tcPr>
            <w:tcW w:w="2430" w:type="dxa"/>
            <w:tcBorders>
              <w:left w:val="single" w:sz="4" w:space="0" w:color="000000"/>
              <w:bottom w:val="single" w:sz="4" w:space="0" w:color="000000"/>
              <w:right w:val="single" w:sz="8" w:space="0" w:color="000000"/>
            </w:tcBorders>
          </w:tcPr>
          <w:p>
            <w:pPr>
              <w:pStyle w:val="TableParagraph"/>
              <w:spacing w:line="226" w:lineRule="exact" w:before="0"/>
              <w:ind w:left="1062" w:right="1055"/>
              <w:jc w:val="center"/>
              <w:rPr>
                <w:sz w:val="20"/>
              </w:rPr>
            </w:pPr>
            <w:r>
              <w:rPr>
                <w:sz w:val="20"/>
              </w:rPr>
              <w:t>Si</w:t>
            </w:r>
          </w:p>
        </w:tc>
        <w:tc>
          <w:tcPr>
            <w:tcW w:w="1710" w:type="dxa"/>
            <w:tcBorders>
              <w:left w:val="single" w:sz="8" w:space="0" w:color="000000"/>
              <w:bottom w:val="single" w:sz="4" w:space="0" w:color="000000"/>
            </w:tcBorders>
          </w:tcPr>
          <w:p>
            <w:pPr>
              <w:pStyle w:val="TableParagraph"/>
              <w:spacing w:line="226" w:lineRule="exact" w:before="0"/>
              <w:ind w:left="733" w:right="584"/>
              <w:jc w:val="center"/>
              <w:rPr>
                <w:sz w:val="20"/>
              </w:rPr>
            </w:pPr>
            <w:r>
              <w:rPr>
                <w:sz w:val="20"/>
              </w:rPr>
              <w:t>87</w:t>
            </w:r>
          </w:p>
        </w:tc>
        <w:tc>
          <w:tcPr>
            <w:tcW w:w="1344" w:type="dxa"/>
            <w:tcBorders>
              <w:bottom w:val="single" w:sz="4" w:space="0" w:color="000000"/>
            </w:tcBorders>
          </w:tcPr>
          <w:p>
            <w:pPr>
              <w:pStyle w:val="TableParagraph"/>
              <w:spacing w:line="226" w:lineRule="exact" w:before="0"/>
              <w:ind w:left="325"/>
              <w:jc w:val="left"/>
              <w:rPr>
                <w:sz w:val="20"/>
              </w:rPr>
            </w:pPr>
            <w:r>
              <w:rPr>
                <w:sz w:val="20"/>
              </w:rPr>
              <w:t>$ 418.019</w:t>
            </w:r>
          </w:p>
        </w:tc>
        <w:tc>
          <w:tcPr>
            <w:tcW w:w="1377" w:type="dxa"/>
            <w:tcBorders>
              <w:bottom w:val="single" w:sz="4" w:space="0" w:color="000000"/>
              <w:right w:val="single" w:sz="4" w:space="0" w:color="000000"/>
            </w:tcBorders>
          </w:tcPr>
          <w:p>
            <w:pPr>
              <w:pStyle w:val="TableParagraph"/>
              <w:spacing w:line="226" w:lineRule="exact" w:before="0"/>
              <w:ind w:left="323" w:right="285"/>
              <w:jc w:val="center"/>
              <w:rPr>
                <w:sz w:val="20"/>
              </w:rPr>
            </w:pPr>
            <w:r>
              <w:rPr>
                <w:sz w:val="20"/>
              </w:rPr>
              <w:t>324.930</w:t>
            </w:r>
          </w:p>
        </w:tc>
        <w:tc>
          <w:tcPr>
            <w:tcW w:w="1711" w:type="dxa"/>
            <w:tcBorders>
              <w:left w:val="single" w:sz="4" w:space="0" w:color="000000"/>
              <w:bottom w:val="single" w:sz="4" w:space="0" w:color="000000"/>
              <w:right w:val="single" w:sz="8" w:space="0" w:color="000000"/>
            </w:tcBorders>
          </w:tcPr>
          <w:p>
            <w:pPr>
              <w:pStyle w:val="TableParagraph"/>
              <w:spacing w:line="226" w:lineRule="exact" w:before="0"/>
              <w:ind w:left="529" w:right="514"/>
              <w:jc w:val="center"/>
              <w:rPr>
                <w:sz w:val="20"/>
              </w:rPr>
            </w:pPr>
            <w:r>
              <w:rPr>
                <w:sz w:val="20"/>
              </w:rPr>
              <w:t>34.836</w:t>
            </w:r>
          </w:p>
        </w:tc>
      </w:tr>
      <w:tr>
        <w:trPr>
          <w:trHeight w:val="1382" w:hRule="atLeast"/>
        </w:trPr>
        <w:tc>
          <w:tcPr>
            <w:tcW w:w="8572" w:type="dxa"/>
            <w:gridSpan w:val="5"/>
            <w:tcBorders>
              <w:top w:val="single" w:sz="4" w:space="0" w:color="000000"/>
              <w:left w:val="single" w:sz="4" w:space="0" w:color="000000"/>
              <w:bottom w:val="single" w:sz="4" w:space="0" w:color="000000"/>
              <w:right w:val="single" w:sz="8" w:space="0" w:color="000000"/>
            </w:tcBorders>
          </w:tcPr>
          <w:p>
            <w:pPr>
              <w:pStyle w:val="TableParagraph"/>
              <w:spacing w:line="226" w:lineRule="exact" w:before="0"/>
              <w:ind w:left="106"/>
              <w:jc w:val="left"/>
              <w:rPr>
                <w:b/>
                <w:sz w:val="20"/>
              </w:rPr>
            </w:pPr>
            <w:r>
              <w:rPr>
                <w:b/>
                <w:sz w:val="20"/>
              </w:rPr>
              <w:t>Diferencia = μ (0) - μ (1)</w:t>
            </w:r>
          </w:p>
          <w:p>
            <w:pPr>
              <w:pStyle w:val="TableParagraph"/>
              <w:spacing w:line="240" w:lineRule="auto" w:before="114"/>
              <w:ind w:left="106"/>
              <w:jc w:val="left"/>
              <w:rPr>
                <w:b/>
                <w:sz w:val="20"/>
              </w:rPr>
            </w:pPr>
            <w:r>
              <w:rPr>
                <w:b/>
                <w:sz w:val="20"/>
              </w:rPr>
              <w:t>Estimación de la Diferencia: -91.741</w:t>
            </w:r>
          </w:p>
          <w:p>
            <w:pPr>
              <w:pStyle w:val="TableParagraph"/>
              <w:spacing w:line="240" w:lineRule="auto" w:before="114"/>
              <w:ind w:left="106"/>
              <w:jc w:val="left"/>
              <w:rPr>
                <w:b/>
                <w:sz w:val="20"/>
              </w:rPr>
            </w:pPr>
            <w:r>
              <w:rPr>
                <w:b/>
                <w:sz w:val="20"/>
              </w:rPr>
              <w:t>95% IC para la diferencia: (-165028, -18453)</w:t>
            </w:r>
          </w:p>
          <w:p>
            <w:pPr>
              <w:pStyle w:val="TableParagraph"/>
              <w:spacing w:line="240" w:lineRule="auto" w:before="114"/>
              <w:ind w:left="106"/>
              <w:jc w:val="left"/>
              <w:rPr>
                <w:b/>
                <w:sz w:val="20"/>
              </w:rPr>
            </w:pPr>
            <w:r>
              <w:rPr>
                <w:b/>
                <w:sz w:val="20"/>
              </w:rPr>
              <w:t>Prueba T para la Diferencia = 0 (vs ≠): T = -2.48 P = 0.015 DF = 108</w:t>
            </w:r>
          </w:p>
        </w:tc>
      </w:tr>
    </w:tbl>
    <w:p>
      <w:pPr>
        <w:pStyle w:val="BodyText"/>
        <w:rPr>
          <w:i/>
          <w:sz w:val="22"/>
        </w:rPr>
      </w:pPr>
    </w:p>
    <w:p>
      <w:pPr>
        <w:pStyle w:val="BodyText"/>
        <w:spacing w:before="5"/>
        <w:rPr>
          <w:i/>
          <w:sz w:val="31"/>
        </w:rPr>
      </w:pPr>
    </w:p>
    <w:p>
      <w:pPr>
        <w:pStyle w:val="BodyText"/>
        <w:spacing w:line="360" w:lineRule="auto" w:before="1"/>
        <w:ind w:left="940" w:right="937"/>
        <w:jc w:val="both"/>
      </w:pPr>
      <w:r>
        <w:rPr/>
        <w:t>Partiendo</w:t>
      </w:r>
      <w:r>
        <w:rPr>
          <w:spacing w:val="-8"/>
        </w:rPr>
        <w:t> </w:t>
      </w:r>
      <w:r>
        <w:rPr/>
        <w:t>del</w:t>
      </w:r>
      <w:r>
        <w:rPr>
          <w:spacing w:val="-6"/>
        </w:rPr>
        <w:t> </w:t>
      </w:r>
      <w:r>
        <w:rPr/>
        <w:t>modelo</w:t>
      </w:r>
      <w:r>
        <w:rPr>
          <w:spacing w:val="-7"/>
        </w:rPr>
        <w:t> </w:t>
      </w:r>
      <w:r>
        <w:rPr/>
        <w:t>base,</w:t>
      </w:r>
      <w:r>
        <w:rPr>
          <w:spacing w:val="-5"/>
        </w:rPr>
        <w:t> </w:t>
      </w:r>
      <w:r>
        <w:rPr/>
        <w:t>se</w:t>
      </w:r>
      <w:r>
        <w:rPr>
          <w:spacing w:val="-7"/>
        </w:rPr>
        <w:t> </w:t>
      </w:r>
      <w:r>
        <w:rPr/>
        <w:t>realiza</w:t>
      </w:r>
      <w:r>
        <w:rPr>
          <w:spacing w:val="-7"/>
        </w:rPr>
        <w:t> </w:t>
      </w:r>
      <w:r>
        <w:rPr/>
        <w:t>un</w:t>
      </w:r>
      <w:r>
        <w:rPr>
          <w:spacing w:val="-8"/>
        </w:rPr>
        <w:t> </w:t>
      </w:r>
      <w:r>
        <w:rPr/>
        <w:t>análisis</w:t>
      </w:r>
      <w:r>
        <w:rPr>
          <w:spacing w:val="-5"/>
        </w:rPr>
        <w:t> </w:t>
      </w:r>
      <w:r>
        <w:rPr/>
        <w:t>de</w:t>
      </w:r>
      <w:r>
        <w:rPr>
          <w:spacing w:val="-7"/>
        </w:rPr>
        <w:t> </w:t>
      </w:r>
      <w:r>
        <w:rPr/>
        <w:t>correlación</w:t>
      </w:r>
      <w:r>
        <w:rPr>
          <w:spacing w:val="-4"/>
        </w:rPr>
        <w:t> </w:t>
      </w:r>
      <w:r>
        <w:rPr/>
        <w:t>de</w:t>
      </w:r>
      <w:r>
        <w:rPr>
          <w:spacing w:val="-7"/>
        </w:rPr>
        <w:t> </w:t>
      </w:r>
      <w:r>
        <w:rPr/>
        <w:t>Pearson</w:t>
      </w:r>
      <w:r>
        <w:rPr>
          <w:spacing w:val="-4"/>
        </w:rPr>
        <w:t> </w:t>
      </w:r>
      <w:r>
        <w:rPr/>
        <w:t>conforme</w:t>
      </w:r>
      <w:r>
        <w:rPr>
          <w:spacing w:val="-7"/>
        </w:rPr>
        <w:t> </w:t>
      </w:r>
      <w:r>
        <w:rPr/>
        <w:t>lo presenta la matriz en el Cuadro 17. Gujarati (1992) nos dice que un nivel de correlación preocupante entre las variables independientes sería superior a 0.8, pudiendo significar una situación de multicolinealidad</w:t>
      </w:r>
      <w:r>
        <w:rPr>
          <w:position w:val="8"/>
          <w:sz w:val="16"/>
        </w:rPr>
        <w:t>28</w:t>
      </w:r>
      <w:r>
        <w:rPr/>
        <w:t>. Este criterio es compartido por otra importante literatura</w:t>
      </w:r>
      <w:r>
        <w:rPr>
          <w:spacing w:val="45"/>
        </w:rPr>
        <w:t> </w:t>
      </w:r>
      <w:r>
        <w:rPr/>
        <w:t>(Dohoo,</w:t>
      </w:r>
      <w:r>
        <w:rPr>
          <w:spacing w:val="46"/>
        </w:rPr>
        <w:t> </w:t>
      </w:r>
      <w:r>
        <w:rPr/>
        <w:t>et</w:t>
      </w:r>
      <w:r>
        <w:rPr>
          <w:spacing w:val="46"/>
        </w:rPr>
        <w:t> </w:t>
      </w:r>
      <w:r>
        <w:rPr/>
        <w:t>al.,</w:t>
      </w:r>
      <w:r>
        <w:rPr>
          <w:spacing w:val="46"/>
        </w:rPr>
        <w:t> </w:t>
      </w:r>
      <w:r>
        <w:rPr/>
        <w:t>1997;</w:t>
      </w:r>
      <w:r>
        <w:rPr>
          <w:spacing w:val="47"/>
        </w:rPr>
        <w:t> </w:t>
      </w:r>
      <w:r>
        <w:rPr/>
        <w:t>Chen</w:t>
      </w:r>
      <w:r>
        <w:rPr>
          <w:spacing w:val="47"/>
        </w:rPr>
        <w:t> </w:t>
      </w:r>
      <w:r>
        <w:rPr/>
        <w:t>&amp;</w:t>
      </w:r>
      <w:r>
        <w:rPr>
          <w:spacing w:val="45"/>
        </w:rPr>
        <w:t> </w:t>
      </w:r>
      <w:r>
        <w:rPr/>
        <w:t>Rotschild,</w:t>
      </w:r>
      <w:r>
        <w:rPr>
          <w:spacing w:val="46"/>
        </w:rPr>
        <w:t> </w:t>
      </w:r>
      <w:r>
        <w:rPr/>
        <w:t>2010).</w:t>
      </w:r>
      <w:r>
        <w:rPr>
          <w:spacing w:val="47"/>
        </w:rPr>
        <w:t> </w:t>
      </w:r>
      <w:r>
        <w:rPr/>
        <w:t>Otra</w:t>
      </w:r>
      <w:r>
        <w:rPr>
          <w:spacing w:val="43"/>
        </w:rPr>
        <w:t> </w:t>
      </w:r>
      <w:r>
        <w:rPr/>
        <w:t>alternativa</w:t>
      </w:r>
      <w:r>
        <w:rPr>
          <w:spacing w:val="47"/>
        </w:rPr>
        <w:t> </w:t>
      </w:r>
      <w:r>
        <w:rPr/>
        <w:t>es</w:t>
      </w:r>
      <w:r>
        <w:rPr>
          <w:spacing w:val="45"/>
        </w:rPr>
        <w:t> </w:t>
      </w:r>
      <w:r>
        <w:rPr/>
        <w:t>que</w:t>
      </w:r>
      <w:r>
        <w:rPr>
          <w:spacing w:val="44"/>
        </w:rPr>
        <w:t> </w:t>
      </w:r>
      <w:r>
        <w:rPr/>
        <w:t>se</w:t>
      </w:r>
    </w:p>
    <w:p>
      <w:pPr>
        <w:pStyle w:val="BodyText"/>
        <w:rPr>
          <w:sz w:val="20"/>
        </w:rPr>
      </w:pPr>
    </w:p>
    <w:p>
      <w:pPr>
        <w:pStyle w:val="BodyText"/>
        <w:rPr>
          <w:sz w:val="20"/>
        </w:rPr>
      </w:pPr>
    </w:p>
    <w:p>
      <w:pPr>
        <w:pStyle w:val="BodyText"/>
        <w:spacing w:before="4"/>
        <w:rPr>
          <w:sz w:val="17"/>
        </w:rPr>
      </w:pPr>
      <w:r>
        <w:rPr/>
        <w:pict>
          <v:rect style="position:absolute;margin-left:72.025002pt;margin-top:11.935303pt;width:144.050pt;height:.599980pt;mso-position-horizontal-relative:page;mso-position-vertical-relative:paragraph;z-index:-15685632;mso-wrap-distance-left:0;mso-wrap-distance-right:0" filled="true" fillcolor="#000000" stroked="false">
            <v:fill type="solid"/>
            <w10:wrap type="topAndBottom"/>
          </v:rect>
        </w:pict>
      </w:r>
    </w:p>
    <w:p>
      <w:pPr>
        <w:spacing w:before="71"/>
        <w:ind w:left="940" w:right="0" w:firstLine="0"/>
        <w:jc w:val="left"/>
        <w:rPr>
          <w:sz w:val="20"/>
        </w:rPr>
      </w:pPr>
      <w:r>
        <w:rPr>
          <w:sz w:val="20"/>
          <w:vertAlign w:val="superscript"/>
        </w:rPr>
        <w:t>28</w:t>
      </w:r>
      <w:r>
        <w:rPr>
          <w:sz w:val="20"/>
          <w:vertAlign w:val="baseline"/>
        </w:rPr>
        <w:t> Un problema directo de significancia.</w:t>
      </w:r>
    </w:p>
    <w:p>
      <w:pPr>
        <w:spacing w:after="0"/>
        <w:jc w:val="left"/>
        <w:rPr>
          <w:sz w:val="20"/>
        </w:rPr>
        <w:sectPr>
          <w:pgSz w:w="12240" w:h="15840"/>
          <w:pgMar w:header="0" w:footer="1062" w:top="1360" w:bottom="1260" w:left="500" w:right="500"/>
        </w:sectPr>
      </w:pPr>
    </w:p>
    <w:p>
      <w:pPr>
        <w:pStyle w:val="BodyText"/>
        <w:spacing w:line="357" w:lineRule="auto" w:before="74"/>
        <w:ind w:left="940" w:right="942"/>
        <w:jc w:val="both"/>
      </w:pPr>
      <w:r>
        <w:rPr/>
        <w:t>compare el coeficiente de determinación R</w:t>
      </w:r>
      <w:r>
        <w:rPr>
          <w:position w:val="8"/>
          <w:sz w:val="16"/>
        </w:rPr>
        <w:t>2 </w:t>
      </w:r>
      <w:r>
        <w:rPr/>
        <w:t>con la correlación y si la segunda es mayor, es posible que haya multicolinealidad.</w:t>
      </w:r>
    </w:p>
    <w:p>
      <w:pPr>
        <w:spacing w:line="229" w:lineRule="exact" w:before="203"/>
        <w:ind w:left="994" w:right="999" w:firstLine="0"/>
        <w:jc w:val="center"/>
        <w:rPr>
          <w:i/>
          <w:sz w:val="20"/>
        </w:rPr>
      </w:pPr>
      <w:bookmarkStart w:name="_bookmark51" w:id="71"/>
      <w:bookmarkEnd w:id="71"/>
      <w:r>
        <w:rPr/>
      </w:r>
      <w:r>
        <w:rPr>
          <w:i/>
          <w:sz w:val="20"/>
        </w:rPr>
        <w:t>Cuadro 17- -Matriz de Correlación de Pearson para las Variables del Modelo Original de Estimación.</w:t>
      </w:r>
    </w:p>
    <w:p>
      <w:pPr>
        <w:spacing w:line="229" w:lineRule="exact" w:before="0"/>
        <w:ind w:left="994" w:right="991" w:firstLine="0"/>
        <w:jc w:val="center"/>
        <w:rPr>
          <w:i/>
          <w:sz w:val="20"/>
        </w:rPr>
      </w:pPr>
      <w:r>
        <w:rPr>
          <w:i/>
          <w:sz w:val="20"/>
        </w:rPr>
        <w:t>Fuente: Elaboración propia.</w:t>
      </w:r>
    </w:p>
    <w:p>
      <w:pPr>
        <w:pStyle w:val="BodyText"/>
        <w:spacing w:before="3"/>
        <w:rPr>
          <w:i/>
          <w:sz w:val="28"/>
        </w:rPr>
      </w:pPr>
    </w:p>
    <w:tbl>
      <w:tblPr>
        <w:tblW w:w="0" w:type="auto"/>
        <w:jc w:val="left"/>
        <w:tblInd w:w="1303"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924"/>
        <w:gridCol w:w="624"/>
        <w:gridCol w:w="613"/>
        <w:gridCol w:w="636"/>
        <w:gridCol w:w="708"/>
        <w:gridCol w:w="728"/>
        <w:gridCol w:w="772"/>
        <w:gridCol w:w="861"/>
        <w:gridCol w:w="888"/>
        <w:gridCol w:w="960"/>
        <w:gridCol w:w="932"/>
      </w:tblGrid>
      <w:tr>
        <w:trPr>
          <w:trHeight w:val="271" w:hRule="atLeast"/>
        </w:trPr>
        <w:tc>
          <w:tcPr>
            <w:tcW w:w="924" w:type="dxa"/>
            <w:tcBorders>
              <w:top w:val="nil"/>
              <w:left w:val="nil"/>
              <w:right w:val="nil"/>
            </w:tcBorders>
          </w:tcPr>
          <w:p>
            <w:pPr>
              <w:pStyle w:val="TableParagraph"/>
              <w:spacing w:line="240" w:lineRule="auto" w:before="0"/>
              <w:jc w:val="left"/>
              <w:rPr>
                <w:rFonts w:ascii="Times New Roman"/>
                <w:sz w:val="20"/>
              </w:rPr>
            </w:pPr>
          </w:p>
        </w:tc>
        <w:tc>
          <w:tcPr>
            <w:tcW w:w="624" w:type="dxa"/>
            <w:tcBorders>
              <w:top w:val="nil"/>
              <w:left w:val="nil"/>
              <w:right w:val="nil"/>
            </w:tcBorders>
          </w:tcPr>
          <w:p>
            <w:pPr>
              <w:pStyle w:val="TableParagraph"/>
              <w:spacing w:line="179" w:lineRule="exact" w:before="0"/>
              <w:ind w:left="112"/>
              <w:jc w:val="left"/>
              <w:rPr>
                <w:b/>
                <w:sz w:val="16"/>
              </w:rPr>
            </w:pPr>
            <w:r>
              <w:rPr>
                <w:b/>
                <w:sz w:val="16"/>
              </w:rPr>
              <w:t>Tipo</w:t>
            </w:r>
          </w:p>
        </w:tc>
        <w:tc>
          <w:tcPr>
            <w:tcW w:w="613" w:type="dxa"/>
            <w:tcBorders>
              <w:top w:val="nil"/>
              <w:left w:val="nil"/>
              <w:right w:val="nil"/>
            </w:tcBorders>
          </w:tcPr>
          <w:p>
            <w:pPr>
              <w:pStyle w:val="TableParagraph"/>
              <w:spacing w:line="179" w:lineRule="exact" w:before="0"/>
              <w:ind w:left="108"/>
              <w:jc w:val="left"/>
              <w:rPr>
                <w:b/>
                <w:sz w:val="16"/>
              </w:rPr>
            </w:pPr>
            <w:r>
              <w:rPr>
                <w:b/>
                <w:w w:val="100"/>
                <w:sz w:val="16"/>
              </w:rPr>
              <w:t>P</w:t>
            </w:r>
          </w:p>
        </w:tc>
        <w:tc>
          <w:tcPr>
            <w:tcW w:w="636" w:type="dxa"/>
            <w:tcBorders>
              <w:top w:val="nil"/>
              <w:left w:val="nil"/>
              <w:right w:val="nil"/>
            </w:tcBorders>
          </w:tcPr>
          <w:p>
            <w:pPr>
              <w:pStyle w:val="TableParagraph"/>
              <w:spacing w:line="179" w:lineRule="exact" w:before="0"/>
              <w:ind w:left="89" w:right="150"/>
              <w:jc w:val="center"/>
              <w:rPr>
                <w:b/>
                <w:sz w:val="16"/>
              </w:rPr>
            </w:pPr>
            <w:r>
              <w:rPr>
                <w:b/>
                <w:sz w:val="16"/>
              </w:rPr>
              <w:t>Área</w:t>
            </w:r>
          </w:p>
        </w:tc>
        <w:tc>
          <w:tcPr>
            <w:tcW w:w="708" w:type="dxa"/>
            <w:tcBorders>
              <w:top w:val="nil"/>
              <w:left w:val="nil"/>
              <w:right w:val="nil"/>
            </w:tcBorders>
          </w:tcPr>
          <w:p>
            <w:pPr>
              <w:pStyle w:val="TableParagraph"/>
              <w:spacing w:line="179" w:lineRule="exact" w:before="0"/>
              <w:ind w:left="87" w:right="153"/>
              <w:jc w:val="center"/>
              <w:rPr>
                <w:b/>
                <w:sz w:val="16"/>
              </w:rPr>
            </w:pPr>
            <w:r>
              <w:rPr>
                <w:b/>
                <w:sz w:val="16"/>
              </w:rPr>
              <w:t>AñoC</w:t>
            </w:r>
          </w:p>
        </w:tc>
        <w:tc>
          <w:tcPr>
            <w:tcW w:w="728" w:type="dxa"/>
            <w:tcBorders>
              <w:top w:val="nil"/>
              <w:left w:val="nil"/>
              <w:right w:val="nil"/>
            </w:tcBorders>
          </w:tcPr>
          <w:p>
            <w:pPr>
              <w:pStyle w:val="TableParagraph"/>
              <w:spacing w:line="179" w:lineRule="exact" w:before="0"/>
              <w:ind w:left="108"/>
              <w:jc w:val="left"/>
              <w:rPr>
                <w:b/>
                <w:sz w:val="16"/>
              </w:rPr>
            </w:pPr>
            <w:r>
              <w:rPr>
                <w:b/>
                <w:sz w:val="16"/>
              </w:rPr>
              <w:t>Hab</w:t>
            </w:r>
          </w:p>
        </w:tc>
        <w:tc>
          <w:tcPr>
            <w:tcW w:w="772" w:type="dxa"/>
            <w:tcBorders>
              <w:top w:val="nil"/>
              <w:left w:val="nil"/>
              <w:right w:val="nil"/>
            </w:tcBorders>
          </w:tcPr>
          <w:p>
            <w:pPr>
              <w:pStyle w:val="TableParagraph"/>
              <w:spacing w:line="179" w:lineRule="exact" w:before="0"/>
              <w:ind w:right="176"/>
              <w:rPr>
                <w:b/>
                <w:sz w:val="16"/>
              </w:rPr>
            </w:pPr>
            <w:r>
              <w:rPr>
                <w:b/>
                <w:w w:val="95"/>
                <w:sz w:val="16"/>
              </w:rPr>
              <w:t>Baños</w:t>
            </w:r>
          </w:p>
        </w:tc>
        <w:tc>
          <w:tcPr>
            <w:tcW w:w="861" w:type="dxa"/>
            <w:tcBorders>
              <w:top w:val="nil"/>
              <w:left w:val="nil"/>
              <w:right w:val="nil"/>
            </w:tcBorders>
          </w:tcPr>
          <w:p>
            <w:pPr>
              <w:pStyle w:val="TableParagraph"/>
              <w:spacing w:line="179" w:lineRule="exact" w:before="0"/>
              <w:ind w:left="87" w:right="164"/>
              <w:jc w:val="center"/>
              <w:rPr>
                <w:b/>
                <w:sz w:val="16"/>
              </w:rPr>
            </w:pPr>
            <w:r>
              <w:rPr>
                <w:b/>
                <w:sz w:val="16"/>
              </w:rPr>
              <w:t>Plantas</w:t>
            </w:r>
          </w:p>
        </w:tc>
        <w:tc>
          <w:tcPr>
            <w:tcW w:w="888" w:type="dxa"/>
            <w:tcBorders>
              <w:top w:val="nil"/>
              <w:left w:val="nil"/>
              <w:right w:val="nil"/>
            </w:tcBorders>
          </w:tcPr>
          <w:p>
            <w:pPr>
              <w:pStyle w:val="TableParagraph"/>
              <w:spacing w:line="179" w:lineRule="exact" w:before="0"/>
              <w:ind w:left="87" w:right="103"/>
              <w:jc w:val="center"/>
              <w:rPr>
                <w:b/>
                <w:sz w:val="16"/>
              </w:rPr>
            </w:pPr>
            <w:r>
              <w:rPr>
                <w:b/>
                <w:sz w:val="16"/>
              </w:rPr>
              <w:t>DSjoséC</w:t>
            </w:r>
          </w:p>
        </w:tc>
        <w:tc>
          <w:tcPr>
            <w:tcW w:w="960" w:type="dxa"/>
            <w:tcBorders>
              <w:top w:val="nil"/>
              <w:left w:val="nil"/>
              <w:right w:val="nil"/>
            </w:tcBorders>
          </w:tcPr>
          <w:p>
            <w:pPr>
              <w:pStyle w:val="TableParagraph"/>
              <w:spacing w:line="179" w:lineRule="exact" w:before="0"/>
              <w:ind w:left="89" w:right="111"/>
              <w:jc w:val="center"/>
              <w:rPr>
                <w:b/>
                <w:sz w:val="16"/>
              </w:rPr>
            </w:pPr>
            <w:r>
              <w:rPr>
                <w:b/>
                <w:sz w:val="16"/>
              </w:rPr>
              <w:t>DAglomP</w:t>
            </w:r>
          </w:p>
        </w:tc>
        <w:tc>
          <w:tcPr>
            <w:tcW w:w="932" w:type="dxa"/>
            <w:tcBorders>
              <w:top w:val="nil"/>
              <w:left w:val="nil"/>
              <w:right w:val="nil"/>
            </w:tcBorders>
          </w:tcPr>
          <w:p>
            <w:pPr>
              <w:pStyle w:val="TableParagraph"/>
              <w:spacing w:line="179" w:lineRule="exact" w:before="0"/>
              <w:ind w:left="92" w:right="167"/>
              <w:jc w:val="center"/>
              <w:rPr>
                <w:b/>
                <w:sz w:val="16"/>
              </w:rPr>
            </w:pPr>
            <w:r>
              <w:rPr>
                <w:b/>
                <w:sz w:val="16"/>
              </w:rPr>
              <w:t>ZRiesgo</w:t>
            </w:r>
          </w:p>
        </w:tc>
      </w:tr>
      <w:tr>
        <w:trPr>
          <w:trHeight w:val="273" w:hRule="atLeast"/>
        </w:trPr>
        <w:tc>
          <w:tcPr>
            <w:tcW w:w="924" w:type="dxa"/>
            <w:tcBorders>
              <w:left w:val="nil"/>
              <w:bottom w:val="nil"/>
            </w:tcBorders>
          </w:tcPr>
          <w:p>
            <w:pPr>
              <w:pStyle w:val="TableParagraph"/>
              <w:spacing w:line="181" w:lineRule="exact" w:before="0"/>
              <w:ind w:right="101"/>
              <w:rPr>
                <w:i/>
                <w:sz w:val="16"/>
              </w:rPr>
            </w:pPr>
            <w:r>
              <w:rPr>
                <w:i/>
                <w:w w:val="100"/>
                <w:sz w:val="16"/>
              </w:rPr>
              <w:t>P</w:t>
            </w:r>
          </w:p>
        </w:tc>
        <w:tc>
          <w:tcPr>
            <w:tcW w:w="624" w:type="dxa"/>
            <w:shd w:val="clear" w:color="auto" w:fill="CCCCCC"/>
          </w:tcPr>
          <w:p>
            <w:pPr>
              <w:pStyle w:val="TableParagraph"/>
              <w:spacing w:line="181" w:lineRule="exact" w:before="0"/>
              <w:ind w:left="151"/>
              <w:jc w:val="left"/>
              <w:rPr>
                <w:sz w:val="16"/>
              </w:rPr>
            </w:pPr>
            <w:r>
              <w:rPr>
                <w:sz w:val="16"/>
              </w:rPr>
              <w:t>0.23</w:t>
            </w:r>
          </w:p>
        </w:tc>
        <w:tc>
          <w:tcPr>
            <w:tcW w:w="613" w:type="dxa"/>
            <w:shd w:val="clear" w:color="auto" w:fill="CCCCCC"/>
          </w:tcPr>
          <w:p>
            <w:pPr>
              <w:pStyle w:val="TableParagraph"/>
              <w:spacing w:line="240" w:lineRule="auto" w:before="0"/>
              <w:jc w:val="left"/>
              <w:rPr>
                <w:rFonts w:ascii="Times New Roman"/>
                <w:sz w:val="20"/>
              </w:rPr>
            </w:pPr>
          </w:p>
        </w:tc>
        <w:tc>
          <w:tcPr>
            <w:tcW w:w="636" w:type="dxa"/>
            <w:shd w:val="clear" w:color="auto" w:fill="CCCCCC"/>
          </w:tcPr>
          <w:p>
            <w:pPr>
              <w:pStyle w:val="TableParagraph"/>
              <w:spacing w:line="240" w:lineRule="auto" w:before="0"/>
              <w:jc w:val="left"/>
              <w:rPr>
                <w:rFonts w:ascii="Times New Roman"/>
                <w:sz w:val="20"/>
              </w:rPr>
            </w:pPr>
          </w:p>
        </w:tc>
        <w:tc>
          <w:tcPr>
            <w:tcW w:w="708" w:type="dxa"/>
            <w:shd w:val="clear" w:color="auto" w:fill="CCCCCC"/>
          </w:tcPr>
          <w:p>
            <w:pPr>
              <w:pStyle w:val="TableParagraph"/>
              <w:spacing w:line="240" w:lineRule="auto" w:before="0"/>
              <w:jc w:val="left"/>
              <w:rPr>
                <w:rFonts w:ascii="Times New Roman"/>
                <w:sz w:val="20"/>
              </w:rPr>
            </w:pPr>
          </w:p>
        </w:tc>
        <w:tc>
          <w:tcPr>
            <w:tcW w:w="728" w:type="dxa"/>
            <w:shd w:val="clear" w:color="auto" w:fill="CCCCCC"/>
          </w:tcPr>
          <w:p>
            <w:pPr>
              <w:pStyle w:val="TableParagraph"/>
              <w:spacing w:line="240" w:lineRule="auto" w:before="0"/>
              <w:jc w:val="left"/>
              <w:rPr>
                <w:rFonts w:ascii="Times New Roman"/>
                <w:sz w:val="20"/>
              </w:rPr>
            </w:pPr>
          </w:p>
        </w:tc>
        <w:tc>
          <w:tcPr>
            <w:tcW w:w="772" w:type="dxa"/>
            <w:shd w:val="clear" w:color="auto" w:fill="CCCCCC"/>
          </w:tcPr>
          <w:p>
            <w:pPr>
              <w:pStyle w:val="TableParagraph"/>
              <w:spacing w:line="240" w:lineRule="auto" w:before="0"/>
              <w:jc w:val="left"/>
              <w:rPr>
                <w:rFonts w:ascii="Times New Roman"/>
                <w:sz w:val="20"/>
              </w:rPr>
            </w:pPr>
          </w:p>
        </w:tc>
        <w:tc>
          <w:tcPr>
            <w:tcW w:w="861" w:type="dxa"/>
            <w:shd w:val="clear" w:color="auto" w:fill="CCCCCC"/>
          </w:tcPr>
          <w:p>
            <w:pPr>
              <w:pStyle w:val="TableParagraph"/>
              <w:spacing w:line="240" w:lineRule="auto" w:before="0"/>
              <w:jc w:val="left"/>
              <w:rPr>
                <w:rFonts w:ascii="Times New Roman"/>
                <w:sz w:val="20"/>
              </w:rPr>
            </w:pPr>
          </w:p>
        </w:tc>
        <w:tc>
          <w:tcPr>
            <w:tcW w:w="888" w:type="dxa"/>
            <w:shd w:val="clear" w:color="auto" w:fill="CCCCCC"/>
          </w:tcPr>
          <w:p>
            <w:pPr>
              <w:pStyle w:val="TableParagraph"/>
              <w:spacing w:line="240" w:lineRule="auto" w:before="0"/>
              <w:jc w:val="left"/>
              <w:rPr>
                <w:rFonts w:ascii="Times New Roman"/>
                <w:sz w:val="20"/>
              </w:rPr>
            </w:pPr>
          </w:p>
        </w:tc>
        <w:tc>
          <w:tcPr>
            <w:tcW w:w="960" w:type="dxa"/>
            <w:shd w:val="clear" w:color="auto" w:fill="CCCCCC"/>
          </w:tcPr>
          <w:p>
            <w:pPr>
              <w:pStyle w:val="TableParagraph"/>
              <w:spacing w:line="240" w:lineRule="auto" w:before="0"/>
              <w:jc w:val="left"/>
              <w:rPr>
                <w:rFonts w:ascii="Times New Roman"/>
                <w:sz w:val="20"/>
              </w:rPr>
            </w:pPr>
          </w:p>
        </w:tc>
        <w:tc>
          <w:tcPr>
            <w:tcW w:w="932" w:type="dxa"/>
            <w:shd w:val="clear" w:color="auto" w:fill="CCCCCC"/>
          </w:tcPr>
          <w:p>
            <w:pPr>
              <w:pStyle w:val="TableParagraph"/>
              <w:spacing w:line="240" w:lineRule="auto" w:before="0"/>
              <w:jc w:val="left"/>
              <w:rPr>
                <w:rFonts w:ascii="Times New Roman"/>
                <w:sz w:val="20"/>
              </w:rPr>
            </w:pPr>
          </w:p>
        </w:tc>
      </w:tr>
      <w:tr>
        <w:trPr>
          <w:trHeight w:val="278" w:hRule="atLeast"/>
        </w:trPr>
        <w:tc>
          <w:tcPr>
            <w:tcW w:w="924" w:type="dxa"/>
            <w:tcBorders>
              <w:top w:val="nil"/>
              <w:left w:val="nil"/>
              <w:bottom w:val="nil"/>
            </w:tcBorders>
          </w:tcPr>
          <w:p>
            <w:pPr>
              <w:pStyle w:val="TableParagraph"/>
              <w:spacing w:line="240" w:lineRule="auto" w:before="1"/>
              <w:ind w:right="100"/>
              <w:rPr>
                <w:i/>
                <w:sz w:val="16"/>
              </w:rPr>
            </w:pPr>
            <w:r>
              <w:rPr>
                <w:i/>
                <w:sz w:val="16"/>
              </w:rPr>
              <w:t>Área</w:t>
            </w:r>
          </w:p>
        </w:tc>
        <w:tc>
          <w:tcPr>
            <w:tcW w:w="624" w:type="dxa"/>
          </w:tcPr>
          <w:p>
            <w:pPr>
              <w:pStyle w:val="TableParagraph"/>
              <w:spacing w:line="240" w:lineRule="auto" w:before="1"/>
              <w:ind w:left="151"/>
              <w:jc w:val="left"/>
              <w:rPr>
                <w:sz w:val="16"/>
              </w:rPr>
            </w:pPr>
            <w:r>
              <w:rPr>
                <w:sz w:val="16"/>
              </w:rPr>
              <w:t>0.07</w:t>
            </w:r>
          </w:p>
        </w:tc>
        <w:tc>
          <w:tcPr>
            <w:tcW w:w="613" w:type="dxa"/>
          </w:tcPr>
          <w:p>
            <w:pPr>
              <w:pStyle w:val="TableParagraph"/>
              <w:spacing w:line="240" w:lineRule="auto" w:before="1"/>
              <w:ind w:left="143"/>
              <w:jc w:val="left"/>
              <w:rPr>
                <w:sz w:val="16"/>
              </w:rPr>
            </w:pPr>
            <w:r>
              <w:rPr>
                <w:sz w:val="16"/>
              </w:rPr>
              <w:t>0.18</w:t>
            </w:r>
          </w:p>
        </w:tc>
        <w:tc>
          <w:tcPr>
            <w:tcW w:w="636" w:type="dxa"/>
          </w:tcPr>
          <w:p>
            <w:pPr>
              <w:pStyle w:val="TableParagraph"/>
              <w:spacing w:line="240" w:lineRule="auto" w:before="0"/>
              <w:jc w:val="left"/>
              <w:rPr>
                <w:rFonts w:ascii="Times New Roman"/>
                <w:sz w:val="20"/>
              </w:rPr>
            </w:pPr>
          </w:p>
        </w:tc>
        <w:tc>
          <w:tcPr>
            <w:tcW w:w="708" w:type="dxa"/>
          </w:tcPr>
          <w:p>
            <w:pPr>
              <w:pStyle w:val="TableParagraph"/>
              <w:spacing w:line="240" w:lineRule="auto" w:before="0"/>
              <w:jc w:val="left"/>
              <w:rPr>
                <w:rFonts w:ascii="Times New Roman"/>
                <w:sz w:val="20"/>
              </w:rPr>
            </w:pPr>
          </w:p>
        </w:tc>
        <w:tc>
          <w:tcPr>
            <w:tcW w:w="728" w:type="dxa"/>
          </w:tcPr>
          <w:p>
            <w:pPr>
              <w:pStyle w:val="TableParagraph"/>
              <w:spacing w:line="240" w:lineRule="auto" w:before="0"/>
              <w:jc w:val="left"/>
              <w:rPr>
                <w:rFonts w:ascii="Times New Roman"/>
                <w:sz w:val="20"/>
              </w:rPr>
            </w:pPr>
          </w:p>
        </w:tc>
        <w:tc>
          <w:tcPr>
            <w:tcW w:w="772" w:type="dxa"/>
          </w:tcPr>
          <w:p>
            <w:pPr>
              <w:pStyle w:val="TableParagraph"/>
              <w:spacing w:line="240" w:lineRule="auto" w:before="0"/>
              <w:jc w:val="left"/>
              <w:rPr>
                <w:rFonts w:ascii="Times New Roman"/>
                <w:sz w:val="20"/>
              </w:rPr>
            </w:pPr>
          </w:p>
        </w:tc>
        <w:tc>
          <w:tcPr>
            <w:tcW w:w="861" w:type="dxa"/>
          </w:tcPr>
          <w:p>
            <w:pPr>
              <w:pStyle w:val="TableParagraph"/>
              <w:spacing w:line="240" w:lineRule="auto" w:before="0"/>
              <w:jc w:val="left"/>
              <w:rPr>
                <w:rFonts w:ascii="Times New Roman"/>
                <w:sz w:val="20"/>
              </w:rPr>
            </w:pPr>
          </w:p>
        </w:tc>
        <w:tc>
          <w:tcPr>
            <w:tcW w:w="888" w:type="dxa"/>
          </w:tcPr>
          <w:p>
            <w:pPr>
              <w:pStyle w:val="TableParagraph"/>
              <w:spacing w:line="240" w:lineRule="auto" w:before="0"/>
              <w:jc w:val="left"/>
              <w:rPr>
                <w:rFonts w:ascii="Times New Roman"/>
                <w:sz w:val="20"/>
              </w:rPr>
            </w:pPr>
          </w:p>
        </w:tc>
        <w:tc>
          <w:tcPr>
            <w:tcW w:w="960" w:type="dxa"/>
          </w:tcPr>
          <w:p>
            <w:pPr>
              <w:pStyle w:val="TableParagraph"/>
              <w:spacing w:line="240" w:lineRule="auto" w:before="0"/>
              <w:jc w:val="left"/>
              <w:rPr>
                <w:rFonts w:ascii="Times New Roman"/>
                <w:sz w:val="20"/>
              </w:rPr>
            </w:pPr>
          </w:p>
        </w:tc>
        <w:tc>
          <w:tcPr>
            <w:tcW w:w="932" w:type="dxa"/>
          </w:tcPr>
          <w:p>
            <w:pPr>
              <w:pStyle w:val="TableParagraph"/>
              <w:spacing w:line="240" w:lineRule="auto" w:before="0"/>
              <w:jc w:val="left"/>
              <w:rPr>
                <w:rFonts w:ascii="Times New Roman"/>
                <w:sz w:val="20"/>
              </w:rPr>
            </w:pPr>
          </w:p>
        </w:tc>
      </w:tr>
      <w:tr>
        <w:trPr>
          <w:trHeight w:val="274" w:hRule="atLeast"/>
        </w:trPr>
        <w:tc>
          <w:tcPr>
            <w:tcW w:w="924" w:type="dxa"/>
            <w:tcBorders>
              <w:top w:val="nil"/>
              <w:left w:val="nil"/>
              <w:bottom w:val="nil"/>
            </w:tcBorders>
          </w:tcPr>
          <w:p>
            <w:pPr>
              <w:pStyle w:val="TableParagraph"/>
              <w:spacing w:line="181" w:lineRule="exact" w:before="0"/>
              <w:ind w:right="101"/>
              <w:rPr>
                <w:i/>
                <w:sz w:val="16"/>
              </w:rPr>
            </w:pPr>
            <w:r>
              <w:rPr>
                <w:i/>
                <w:sz w:val="16"/>
              </w:rPr>
              <w:t>AñoC</w:t>
            </w:r>
          </w:p>
        </w:tc>
        <w:tc>
          <w:tcPr>
            <w:tcW w:w="624" w:type="dxa"/>
            <w:shd w:val="clear" w:color="auto" w:fill="CCCCCC"/>
          </w:tcPr>
          <w:p>
            <w:pPr>
              <w:pStyle w:val="TableParagraph"/>
              <w:spacing w:line="181" w:lineRule="exact" w:before="0"/>
              <w:ind w:left="127"/>
              <w:jc w:val="left"/>
              <w:rPr>
                <w:sz w:val="16"/>
              </w:rPr>
            </w:pPr>
            <w:r>
              <w:rPr>
                <w:sz w:val="16"/>
              </w:rPr>
              <w:t>-0.26</w:t>
            </w:r>
          </w:p>
        </w:tc>
        <w:tc>
          <w:tcPr>
            <w:tcW w:w="613" w:type="dxa"/>
            <w:shd w:val="clear" w:color="auto" w:fill="CCCCCC"/>
          </w:tcPr>
          <w:p>
            <w:pPr>
              <w:pStyle w:val="TableParagraph"/>
              <w:spacing w:line="181" w:lineRule="exact" w:before="0"/>
              <w:ind w:left="119"/>
              <w:jc w:val="left"/>
              <w:rPr>
                <w:sz w:val="16"/>
              </w:rPr>
            </w:pPr>
            <w:r>
              <w:rPr>
                <w:sz w:val="16"/>
              </w:rPr>
              <w:t>-0.23</w:t>
            </w:r>
          </w:p>
        </w:tc>
        <w:tc>
          <w:tcPr>
            <w:tcW w:w="636" w:type="dxa"/>
            <w:shd w:val="clear" w:color="auto" w:fill="CCCCCC"/>
          </w:tcPr>
          <w:p>
            <w:pPr>
              <w:pStyle w:val="TableParagraph"/>
              <w:spacing w:line="181" w:lineRule="exact" w:before="0"/>
              <w:ind w:left="110" w:right="111"/>
              <w:jc w:val="center"/>
              <w:rPr>
                <w:sz w:val="16"/>
              </w:rPr>
            </w:pPr>
            <w:r>
              <w:rPr>
                <w:sz w:val="16"/>
              </w:rPr>
              <w:t>-0.06</w:t>
            </w:r>
          </w:p>
        </w:tc>
        <w:tc>
          <w:tcPr>
            <w:tcW w:w="708" w:type="dxa"/>
            <w:shd w:val="clear" w:color="auto" w:fill="CCCCCC"/>
          </w:tcPr>
          <w:p>
            <w:pPr>
              <w:pStyle w:val="TableParagraph"/>
              <w:spacing w:line="240" w:lineRule="auto" w:before="0"/>
              <w:jc w:val="left"/>
              <w:rPr>
                <w:rFonts w:ascii="Times New Roman"/>
                <w:sz w:val="20"/>
              </w:rPr>
            </w:pPr>
          </w:p>
        </w:tc>
        <w:tc>
          <w:tcPr>
            <w:tcW w:w="728" w:type="dxa"/>
            <w:shd w:val="clear" w:color="auto" w:fill="CCCCCC"/>
          </w:tcPr>
          <w:p>
            <w:pPr>
              <w:pStyle w:val="TableParagraph"/>
              <w:spacing w:line="240" w:lineRule="auto" w:before="0"/>
              <w:jc w:val="left"/>
              <w:rPr>
                <w:rFonts w:ascii="Times New Roman"/>
                <w:sz w:val="20"/>
              </w:rPr>
            </w:pPr>
          </w:p>
        </w:tc>
        <w:tc>
          <w:tcPr>
            <w:tcW w:w="772" w:type="dxa"/>
            <w:shd w:val="clear" w:color="auto" w:fill="CCCCCC"/>
          </w:tcPr>
          <w:p>
            <w:pPr>
              <w:pStyle w:val="TableParagraph"/>
              <w:spacing w:line="240" w:lineRule="auto" w:before="0"/>
              <w:jc w:val="left"/>
              <w:rPr>
                <w:rFonts w:ascii="Times New Roman"/>
                <w:sz w:val="20"/>
              </w:rPr>
            </w:pPr>
          </w:p>
        </w:tc>
        <w:tc>
          <w:tcPr>
            <w:tcW w:w="861" w:type="dxa"/>
            <w:shd w:val="clear" w:color="auto" w:fill="CCCCCC"/>
          </w:tcPr>
          <w:p>
            <w:pPr>
              <w:pStyle w:val="TableParagraph"/>
              <w:spacing w:line="240" w:lineRule="auto" w:before="0"/>
              <w:jc w:val="left"/>
              <w:rPr>
                <w:rFonts w:ascii="Times New Roman"/>
                <w:sz w:val="20"/>
              </w:rPr>
            </w:pPr>
          </w:p>
        </w:tc>
        <w:tc>
          <w:tcPr>
            <w:tcW w:w="888" w:type="dxa"/>
            <w:shd w:val="clear" w:color="auto" w:fill="CCCCCC"/>
          </w:tcPr>
          <w:p>
            <w:pPr>
              <w:pStyle w:val="TableParagraph"/>
              <w:spacing w:line="240" w:lineRule="auto" w:before="0"/>
              <w:jc w:val="left"/>
              <w:rPr>
                <w:rFonts w:ascii="Times New Roman"/>
                <w:sz w:val="20"/>
              </w:rPr>
            </w:pPr>
          </w:p>
        </w:tc>
        <w:tc>
          <w:tcPr>
            <w:tcW w:w="960" w:type="dxa"/>
            <w:shd w:val="clear" w:color="auto" w:fill="CCCCCC"/>
          </w:tcPr>
          <w:p>
            <w:pPr>
              <w:pStyle w:val="TableParagraph"/>
              <w:spacing w:line="240" w:lineRule="auto" w:before="0"/>
              <w:jc w:val="left"/>
              <w:rPr>
                <w:rFonts w:ascii="Times New Roman"/>
                <w:sz w:val="20"/>
              </w:rPr>
            </w:pPr>
          </w:p>
        </w:tc>
        <w:tc>
          <w:tcPr>
            <w:tcW w:w="932" w:type="dxa"/>
            <w:shd w:val="clear" w:color="auto" w:fill="CCCCCC"/>
          </w:tcPr>
          <w:p>
            <w:pPr>
              <w:pStyle w:val="TableParagraph"/>
              <w:spacing w:line="240" w:lineRule="auto" w:before="0"/>
              <w:jc w:val="left"/>
              <w:rPr>
                <w:rFonts w:ascii="Times New Roman"/>
                <w:sz w:val="20"/>
              </w:rPr>
            </w:pPr>
          </w:p>
        </w:tc>
      </w:tr>
      <w:tr>
        <w:trPr>
          <w:trHeight w:val="277" w:hRule="atLeast"/>
        </w:trPr>
        <w:tc>
          <w:tcPr>
            <w:tcW w:w="924" w:type="dxa"/>
            <w:tcBorders>
              <w:top w:val="nil"/>
              <w:left w:val="nil"/>
              <w:bottom w:val="nil"/>
            </w:tcBorders>
          </w:tcPr>
          <w:p>
            <w:pPr>
              <w:pStyle w:val="TableParagraph"/>
              <w:spacing w:line="240" w:lineRule="auto" w:before="1"/>
              <w:ind w:right="100"/>
              <w:rPr>
                <w:i/>
                <w:sz w:val="16"/>
              </w:rPr>
            </w:pPr>
            <w:r>
              <w:rPr>
                <w:i/>
                <w:sz w:val="16"/>
              </w:rPr>
              <w:t>Hab</w:t>
            </w:r>
          </w:p>
        </w:tc>
        <w:tc>
          <w:tcPr>
            <w:tcW w:w="624" w:type="dxa"/>
          </w:tcPr>
          <w:p>
            <w:pPr>
              <w:pStyle w:val="TableParagraph"/>
              <w:spacing w:line="240" w:lineRule="auto" w:before="1"/>
              <w:ind w:left="151"/>
              <w:jc w:val="left"/>
              <w:rPr>
                <w:sz w:val="16"/>
              </w:rPr>
            </w:pPr>
            <w:r>
              <w:rPr>
                <w:sz w:val="16"/>
              </w:rPr>
              <w:t>0.28</w:t>
            </w:r>
          </w:p>
        </w:tc>
        <w:tc>
          <w:tcPr>
            <w:tcW w:w="613" w:type="dxa"/>
          </w:tcPr>
          <w:p>
            <w:pPr>
              <w:pStyle w:val="TableParagraph"/>
              <w:spacing w:line="240" w:lineRule="auto" w:before="1"/>
              <w:ind w:left="115"/>
              <w:jc w:val="left"/>
              <w:rPr>
                <w:sz w:val="16"/>
              </w:rPr>
            </w:pPr>
            <w:r>
              <w:rPr>
                <w:color w:val="FF0000"/>
                <w:sz w:val="16"/>
              </w:rPr>
              <w:t>0.51*</w:t>
            </w:r>
          </w:p>
        </w:tc>
        <w:tc>
          <w:tcPr>
            <w:tcW w:w="636" w:type="dxa"/>
          </w:tcPr>
          <w:p>
            <w:pPr>
              <w:pStyle w:val="TableParagraph"/>
              <w:spacing w:line="240" w:lineRule="auto" w:before="1"/>
              <w:ind w:left="107" w:right="111"/>
              <w:jc w:val="center"/>
              <w:rPr>
                <w:sz w:val="16"/>
              </w:rPr>
            </w:pPr>
            <w:r>
              <w:rPr>
                <w:sz w:val="16"/>
              </w:rPr>
              <w:t>0.17</w:t>
            </w:r>
          </w:p>
        </w:tc>
        <w:tc>
          <w:tcPr>
            <w:tcW w:w="708" w:type="dxa"/>
          </w:tcPr>
          <w:p>
            <w:pPr>
              <w:pStyle w:val="TableParagraph"/>
              <w:spacing w:line="240" w:lineRule="auto" w:before="1"/>
              <w:ind w:left="146" w:right="146"/>
              <w:jc w:val="center"/>
              <w:rPr>
                <w:sz w:val="16"/>
              </w:rPr>
            </w:pPr>
            <w:r>
              <w:rPr>
                <w:sz w:val="16"/>
              </w:rPr>
              <w:t>-0.19</w:t>
            </w:r>
          </w:p>
        </w:tc>
        <w:tc>
          <w:tcPr>
            <w:tcW w:w="728" w:type="dxa"/>
          </w:tcPr>
          <w:p>
            <w:pPr>
              <w:pStyle w:val="TableParagraph"/>
              <w:spacing w:line="240" w:lineRule="auto" w:before="0"/>
              <w:jc w:val="left"/>
              <w:rPr>
                <w:rFonts w:ascii="Times New Roman"/>
                <w:sz w:val="20"/>
              </w:rPr>
            </w:pPr>
          </w:p>
        </w:tc>
        <w:tc>
          <w:tcPr>
            <w:tcW w:w="772" w:type="dxa"/>
          </w:tcPr>
          <w:p>
            <w:pPr>
              <w:pStyle w:val="TableParagraph"/>
              <w:spacing w:line="240" w:lineRule="auto" w:before="0"/>
              <w:jc w:val="left"/>
              <w:rPr>
                <w:rFonts w:ascii="Times New Roman"/>
                <w:sz w:val="20"/>
              </w:rPr>
            </w:pPr>
          </w:p>
        </w:tc>
        <w:tc>
          <w:tcPr>
            <w:tcW w:w="861" w:type="dxa"/>
          </w:tcPr>
          <w:p>
            <w:pPr>
              <w:pStyle w:val="TableParagraph"/>
              <w:spacing w:line="240" w:lineRule="auto" w:before="0"/>
              <w:jc w:val="left"/>
              <w:rPr>
                <w:rFonts w:ascii="Times New Roman"/>
                <w:sz w:val="20"/>
              </w:rPr>
            </w:pPr>
          </w:p>
        </w:tc>
        <w:tc>
          <w:tcPr>
            <w:tcW w:w="888" w:type="dxa"/>
          </w:tcPr>
          <w:p>
            <w:pPr>
              <w:pStyle w:val="TableParagraph"/>
              <w:spacing w:line="240" w:lineRule="auto" w:before="0"/>
              <w:jc w:val="left"/>
              <w:rPr>
                <w:rFonts w:ascii="Times New Roman"/>
                <w:sz w:val="20"/>
              </w:rPr>
            </w:pPr>
          </w:p>
        </w:tc>
        <w:tc>
          <w:tcPr>
            <w:tcW w:w="960" w:type="dxa"/>
          </w:tcPr>
          <w:p>
            <w:pPr>
              <w:pStyle w:val="TableParagraph"/>
              <w:spacing w:line="240" w:lineRule="auto" w:before="0"/>
              <w:jc w:val="left"/>
              <w:rPr>
                <w:rFonts w:ascii="Times New Roman"/>
                <w:sz w:val="20"/>
              </w:rPr>
            </w:pPr>
          </w:p>
        </w:tc>
        <w:tc>
          <w:tcPr>
            <w:tcW w:w="932" w:type="dxa"/>
          </w:tcPr>
          <w:p>
            <w:pPr>
              <w:pStyle w:val="TableParagraph"/>
              <w:spacing w:line="240" w:lineRule="auto" w:before="0"/>
              <w:jc w:val="left"/>
              <w:rPr>
                <w:rFonts w:ascii="Times New Roman"/>
                <w:sz w:val="20"/>
              </w:rPr>
            </w:pPr>
          </w:p>
        </w:tc>
      </w:tr>
      <w:tr>
        <w:trPr>
          <w:trHeight w:val="274" w:hRule="atLeast"/>
        </w:trPr>
        <w:tc>
          <w:tcPr>
            <w:tcW w:w="924" w:type="dxa"/>
            <w:tcBorders>
              <w:top w:val="nil"/>
              <w:left w:val="nil"/>
              <w:bottom w:val="nil"/>
            </w:tcBorders>
          </w:tcPr>
          <w:p>
            <w:pPr>
              <w:pStyle w:val="TableParagraph"/>
              <w:spacing w:line="181" w:lineRule="exact" w:before="0"/>
              <w:ind w:right="101"/>
              <w:rPr>
                <w:i/>
                <w:sz w:val="16"/>
              </w:rPr>
            </w:pPr>
            <w:r>
              <w:rPr>
                <w:i/>
                <w:sz w:val="16"/>
              </w:rPr>
              <w:t>Baños</w:t>
            </w:r>
          </w:p>
        </w:tc>
        <w:tc>
          <w:tcPr>
            <w:tcW w:w="624" w:type="dxa"/>
            <w:shd w:val="clear" w:color="auto" w:fill="CCCCCC"/>
          </w:tcPr>
          <w:p>
            <w:pPr>
              <w:pStyle w:val="TableParagraph"/>
              <w:spacing w:line="181" w:lineRule="exact" w:before="0"/>
              <w:ind w:left="151"/>
              <w:jc w:val="left"/>
              <w:rPr>
                <w:sz w:val="16"/>
              </w:rPr>
            </w:pPr>
            <w:r>
              <w:rPr>
                <w:sz w:val="16"/>
              </w:rPr>
              <w:t>0.16</w:t>
            </w:r>
          </w:p>
        </w:tc>
        <w:tc>
          <w:tcPr>
            <w:tcW w:w="613" w:type="dxa"/>
            <w:shd w:val="clear" w:color="auto" w:fill="CCCCCC"/>
          </w:tcPr>
          <w:p>
            <w:pPr>
              <w:pStyle w:val="TableParagraph"/>
              <w:spacing w:line="181" w:lineRule="exact" w:before="0"/>
              <w:ind w:left="115"/>
              <w:jc w:val="left"/>
              <w:rPr>
                <w:sz w:val="16"/>
              </w:rPr>
            </w:pPr>
            <w:r>
              <w:rPr>
                <w:color w:val="FF0000"/>
                <w:sz w:val="16"/>
              </w:rPr>
              <w:t>0.62*</w:t>
            </w:r>
          </w:p>
        </w:tc>
        <w:tc>
          <w:tcPr>
            <w:tcW w:w="636" w:type="dxa"/>
            <w:shd w:val="clear" w:color="auto" w:fill="CCCCCC"/>
          </w:tcPr>
          <w:p>
            <w:pPr>
              <w:pStyle w:val="TableParagraph"/>
              <w:spacing w:line="181" w:lineRule="exact" w:before="0"/>
              <w:ind w:left="107" w:right="111"/>
              <w:jc w:val="center"/>
              <w:rPr>
                <w:sz w:val="16"/>
              </w:rPr>
            </w:pPr>
            <w:r>
              <w:rPr>
                <w:sz w:val="16"/>
              </w:rPr>
              <w:t>0.19</w:t>
            </w:r>
          </w:p>
        </w:tc>
        <w:tc>
          <w:tcPr>
            <w:tcW w:w="708" w:type="dxa"/>
            <w:shd w:val="clear" w:color="auto" w:fill="CCCCCC"/>
          </w:tcPr>
          <w:p>
            <w:pPr>
              <w:pStyle w:val="TableParagraph"/>
              <w:spacing w:line="181" w:lineRule="exact" w:before="0"/>
              <w:ind w:left="146" w:right="146"/>
              <w:jc w:val="center"/>
              <w:rPr>
                <w:sz w:val="16"/>
              </w:rPr>
            </w:pPr>
            <w:r>
              <w:rPr>
                <w:sz w:val="16"/>
              </w:rPr>
              <w:t>-0.20</w:t>
            </w:r>
          </w:p>
        </w:tc>
        <w:tc>
          <w:tcPr>
            <w:tcW w:w="728" w:type="dxa"/>
            <w:shd w:val="clear" w:color="auto" w:fill="CCCCCC"/>
          </w:tcPr>
          <w:p>
            <w:pPr>
              <w:pStyle w:val="TableParagraph"/>
              <w:spacing w:line="181" w:lineRule="exact" w:before="0"/>
              <w:ind w:left="171"/>
              <w:jc w:val="left"/>
              <w:rPr>
                <w:sz w:val="16"/>
              </w:rPr>
            </w:pPr>
            <w:r>
              <w:rPr>
                <w:color w:val="FF0000"/>
                <w:sz w:val="16"/>
              </w:rPr>
              <w:t>0.70*</w:t>
            </w:r>
          </w:p>
        </w:tc>
        <w:tc>
          <w:tcPr>
            <w:tcW w:w="772" w:type="dxa"/>
            <w:shd w:val="clear" w:color="auto" w:fill="CCCCCC"/>
          </w:tcPr>
          <w:p>
            <w:pPr>
              <w:pStyle w:val="TableParagraph"/>
              <w:spacing w:line="240" w:lineRule="auto" w:before="0"/>
              <w:jc w:val="left"/>
              <w:rPr>
                <w:rFonts w:ascii="Times New Roman"/>
                <w:sz w:val="20"/>
              </w:rPr>
            </w:pPr>
          </w:p>
        </w:tc>
        <w:tc>
          <w:tcPr>
            <w:tcW w:w="861" w:type="dxa"/>
            <w:shd w:val="clear" w:color="auto" w:fill="CCCCCC"/>
          </w:tcPr>
          <w:p>
            <w:pPr>
              <w:pStyle w:val="TableParagraph"/>
              <w:spacing w:line="240" w:lineRule="auto" w:before="0"/>
              <w:jc w:val="left"/>
              <w:rPr>
                <w:rFonts w:ascii="Times New Roman"/>
                <w:sz w:val="20"/>
              </w:rPr>
            </w:pPr>
          </w:p>
        </w:tc>
        <w:tc>
          <w:tcPr>
            <w:tcW w:w="888" w:type="dxa"/>
            <w:shd w:val="clear" w:color="auto" w:fill="CCCCCC"/>
          </w:tcPr>
          <w:p>
            <w:pPr>
              <w:pStyle w:val="TableParagraph"/>
              <w:spacing w:line="240" w:lineRule="auto" w:before="0"/>
              <w:jc w:val="left"/>
              <w:rPr>
                <w:rFonts w:ascii="Times New Roman"/>
                <w:sz w:val="20"/>
              </w:rPr>
            </w:pPr>
          </w:p>
        </w:tc>
        <w:tc>
          <w:tcPr>
            <w:tcW w:w="960" w:type="dxa"/>
            <w:shd w:val="clear" w:color="auto" w:fill="CCCCCC"/>
          </w:tcPr>
          <w:p>
            <w:pPr>
              <w:pStyle w:val="TableParagraph"/>
              <w:spacing w:line="240" w:lineRule="auto" w:before="0"/>
              <w:jc w:val="left"/>
              <w:rPr>
                <w:rFonts w:ascii="Times New Roman"/>
                <w:sz w:val="20"/>
              </w:rPr>
            </w:pPr>
          </w:p>
        </w:tc>
        <w:tc>
          <w:tcPr>
            <w:tcW w:w="932" w:type="dxa"/>
            <w:shd w:val="clear" w:color="auto" w:fill="CCCCCC"/>
          </w:tcPr>
          <w:p>
            <w:pPr>
              <w:pStyle w:val="TableParagraph"/>
              <w:spacing w:line="240" w:lineRule="auto" w:before="0"/>
              <w:jc w:val="left"/>
              <w:rPr>
                <w:rFonts w:ascii="Times New Roman"/>
                <w:sz w:val="20"/>
              </w:rPr>
            </w:pPr>
          </w:p>
        </w:tc>
      </w:tr>
      <w:tr>
        <w:trPr>
          <w:trHeight w:val="278" w:hRule="atLeast"/>
        </w:trPr>
        <w:tc>
          <w:tcPr>
            <w:tcW w:w="924" w:type="dxa"/>
            <w:tcBorders>
              <w:top w:val="nil"/>
              <w:left w:val="nil"/>
              <w:bottom w:val="nil"/>
            </w:tcBorders>
          </w:tcPr>
          <w:p>
            <w:pPr>
              <w:pStyle w:val="TableParagraph"/>
              <w:spacing w:line="240" w:lineRule="auto" w:before="1"/>
              <w:ind w:right="101"/>
              <w:rPr>
                <w:i/>
                <w:sz w:val="16"/>
              </w:rPr>
            </w:pPr>
            <w:r>
              <w:rPr>
                <w:i/>
                <w:sz w:val="16"/>
              </w:rPr>
              <w:t>Plantas</w:t>
            </w:r>
          </w:p>
        </w:tc>
        <w:tc>
          <w:tcPr>
            <w:tcW w:w="624" w:type="dxa"/>
          </w:tcPr>
          <w:p>
            <w:pPr>
              <w:pStyle w:val="TableParagraph"/>
              <w:spacing w:line="240" w:lineRule="auto" w:before="1"/>
              <w:ind w:left="127"/>
              <w:jc w:val="left"/>
              <w:rPr>
                <w:sz w:val="16"/>
              </w:rPr>
            </w:pPr>
            <w:r>
              <w:rPr>
                <w:sz w:val="16"/>
              </w:rPr>
              <w:t>-0.15</w:t>
            </w:r>
          </w:p>
        </w:tc>
        <w:tc>
          <w:tcPr>
            <w:tcW w:w="613" w:type="dxa"/>
          </w:tcPr>
          <w:p>
            <w:pPr>
              <w:pStyle w:val="TableParagraph"/>
              <w:spacing w:line="240" w:lineRule="auto" w:before="1"/>
              <w:ind w:left="143"/>
              <w:jc w:val="left"/>
              <w:rPr>
                <w:sz w:val="16"/>
              </w:rPr>
            </w:pPr>
            <w:r>
              <w:rPr>
                <w:sz w:val="16"/>
              </w:rPr>
              <w:t>0.02</w:t>
            </w:r>
          </w:p>
        </w:tc>
        <w:tc>
          <w:tcPr>
            <w:tcW w:w="636" w:type="dxa"/>
          </w:tcPr>
          <w:p>
            <w:pPr>
              <w:pStyle w:val="TableParagraph"/>
              <w:spacing w:line="240" w:lineRule="auto" w:before="1"/>
              <w:ind w:left="110" w:right="111"/>
              <w:jc w:val="center"/>
              <w:rPr>
                <w:sz w:val="16"/>
              </w:rPr>
            </w:pPr>
            <w:r>
              <w:rPr>
                <w:sz w:val="16"/>
              </w:rPr>
              <w:t>-0.15</w:t>
            </w:r>
          </w:p>
        </w:tc>
        <w:tc>
          <w:tcPr>
            <w:tcW w:w="708" w:type="dxa"/>
          </w:tcPr>
          <w:p>
            <w:pPr>
              <w:pStyle w:val="TableParagraph"/>
              <w:spacing w:line="240" w:lineRule="auto" w:before="1"/>
              <w:ind w:left="142" w:right="146"/>
              <w:jc w:val="center"/>
              <w:rPr>
                <w:sz w:val="16"/>
              </w:rPr>
            </w:pPr>
            <w:r>
              <w:rPr>
                <w:sz w:val="16"/>
              </w:rPr>
              <w:t>0.08</w:t>
            </w:r>
          </w:p>
        </w:tc>
        <w:tc>
          <w:tcPr>
            <w:tcW w:w="728" w:type="dxa"/>
          </w:tcPr>
          <w:p>
            <w:pPr>
              <w:pStyle w:val="TableParagraph"/>
              <w:spacing w:line="240" w:lineRule="auto" w:before="1"/>
              <w:ind w:left="203"/>
              <w:jc w:val="left"/>
              <w:rPr>
                <w:sz w:val="16"/>
              </w:rPr>
            </w:pPr>
            <w:r>
              <w:rPr>
                <w:sz w:val="16"/>
              </w:rPr>
              <w:t>0.21</w:t>
            </w:r>
          </w:p>
        </w:tc>
        <w:tc>
          <w:tcPr>
            <w:tcW w:w="772" w:type="dxa"/>
          </w:tcPr>
          <w:p>
            <w:pPr>
              <w:pStyle w:val="TableParagraph"/>
              <w:spacing w:line="240" w:lineRule="auto" w:before="1"/>
              <w:ind w:right="227"/>
              <w:rPr>
                <w:sz w:val="16"/>
              </w:rPr>
            </w:pPr>
            <w:r>
              <w:rPr>
                <w:sz w:val="16"/>
              </w:rPr>
              <w:t>0.25</w:t>
            </w:r>
          </w:p>
        </w:tc>
        <w:tc>
          <w:tcPr>
            <w:tcW w:w="861" w:type="dxa"/>
          </w:tcPr>
          <w:p>
            <w:pPr>
              <w:pStyle w:val="TableParagraph"/>
              <w:spacing w:line="240" w:lineRule="auto" w:before="0"/>
              <w:jc w:val="left"/>
              <w:rPr>
                <w:rFonts w:ascii="Times New Roman"/>
                <w:sz w:val="20"/>
              </w:rPr>
            </w:pPr>
          </w:p>
        </w:tc>
        <w:tc>
          <w:tcPr>
            <w:tcW w:w="888" w:type="dxa"/>
          </w:tcPr>
          <w:p>
            <w:pPr>
              <w:pStyle w:val="TableParagraph"/>
              <w:spacing w:line="240" w:lineRule="auto" w:before="0"/>
              <w:jc w:val="left"/>
              <w:rPr>
                <w:rFonts w:ascii="Times New Roman"/>
                <w:sz w:val="20"/>
              </w:rPr>
            </w:pPr>
          </w:p>
        </w:tc>
        <w:tc>
          <w:tcPr>
            <w:tcW w:w="960" w:type="dxa"/>
          </w:tcPr>
          <w:p>
            <w:pPr>
              <w:pStyle w:val="TableParagraph"/>
              <w:spacing w:line="240" w:lineRule="auto" w:before="0"/>
              <w:jc w:val="left"/>
              <w:rPr>
                <w:rFonts w:ascii="Times New Roman"/>
                <w:sz w:val="20"/>
              </w:rPr>
            </w:pPr>
          </w:p>
        </w:tc>
        <w:tc>
          <w:tcPr>
            <w:tcW w:w="932" w:type="dxa"/>
          </w:tcPr>
          <w:p>
            <w:pPr>
              <w:pStyle w:val="TableParagraph"/>
              <w:spacing w:line="240" w:lineRule="auto" w:before="0"/>
              <w:jc w:val="left"/>
              <w:rPr>
                <w:rFonts w:ascii="Times New Roman"/>
                <w:sz w:val="20"/>
              </w:rPr>
            </w:pPr>
          </w:p>
        </w:tc>
      </w:tr>
      <w:tr>
        <w:trPr>
          <w:trHeight w:val="273" w:hRule="atLeast"/>
        </w:trPr>
        <w:tc>
          <w:tcPr>
            <w:tcW w:w="924" w:type="dxa"/>
            <w:tcBorders>
              <w:top w:val="nil"/>
              <w:left w:val="nil"/>
              <w:bottom w:val="nil"/>
            </w:tcBorders>
          </w:tcPr>
          <w:p>
            <w:pPr>
              <w:pStyle w:val="TableParagraph"/>
              <w:spacing w:line="181" w:lineRule="exact" w:before="0"/>
              <w:ind w:right="101"/>
              <w:rPr>
                <w:i/>
                <w:sz w:val="16"/>
              </w:rPr>
            </w:pPr>
            <w:r>
              <w:rPr>
                <w:i/>
                <w:sz w:val="16"/>
              </w:rPr>
              <w:t>DSjoséC</w:t>
            </w:r>
          </w:p>
        </w:tc>
        <w:tc>
          <w:tcPr>
            <w:tcW w:w="624" w:type="dxa"/>
            <w:shd w:val="clear" w:color="auto" w:fill="CCCCCC"/>
          </w:tcPr>
          <w:p>
            <w:pPr>
              <w:pStyle w:val="TableParagraph"/>
              <w:spacing w:line="181" w:lineRule="exact" w:before="0"/>
              <w:ind w:left="127"/>
              <w:jc w:val="left"/>
              <w:rPr>
                <w:sz w:val="16"/>
              </w:rPr>
            </w:pPr>
            <w:r>
              <w:rPr>
                <w:sz w:val="16"/>
              </w:rPr>
              <w:t>-0.01</w:t>
            </w:r>
          </w:p>
        </w:tc>
        <w:tc>
          <w:tcPr>
            <w:tcW w:w="613" w:type="dxa"/>
            <w:shd w:val="clear" w:color="auto" w:fill="CCCCCC"/>
          </w:tcPr>
          <w:p>
            <w:pPr>
              <w:pStyle w:val="TableParagraph"/>
              <w:spacing w:line="181" w:lineRule="exact" w:before="0"/>
              <w:ind w:left="119"/>
              <w:jc w:val="left"/>
              <w:rPr>
                <w:sz w:val="16"/>
              </w:rPr>
            </w:pPr>
            <w:r>
              <w:rPr>
                <w:sz w:val="16"/>
              </w:rPr>
              <w:t>-0.23</w:t>
            </w:r>
          </w:p>
        </w:tc>
        <w:tc>
          <w:tcPr>
            <w:tcW w:w="636" w:type="dxa"/>
            <w:shd w:val="clear" w:color="auto" w:fill="CCCCCC"/>
          </w:tcPr>
          <w:p>
            <w:pPr>
              <w:pStyle w:val="TableParagraph"/>
              <w:spacing w:line="181" w:lineRule="exact" w:before="0"/>
              <w:ind w:left="110" w:right="111"/>
              <w:jc w:val="center"/>
              <w:rPr>
                <w:sz w:val="16"/>
              </w:rPr>
            </w:pPr>
            <w:r>
              <w:rPr>
                <w:sz w:val="16"/>
              </w:rPr>
              <w:t>-0.05</w:t>
            </w:r>
          </w:p>
        </w:tc>
        <w:tc>
          <w:tcPr>
            <w:tcW w:w="708" w:type="dxa"/>
            <w:shd w:val="clear" w:color="auto" w:fill="CCCCCC"/>
          </w:tcPr>
          <w:p>
            <w:pPr>
              <w:pStyle w:val="TableParagraph"/>
              <w:spacing w:line="181" w:lineRule="exact" w:before="0"/>
              <w:ind w:left="142" w:right="146"/>
              <w:jc w:val="center"/>
              <w:rPr>
                <w:sz w:val="16"/>
              </w:rPr>
            </w:pPr>
            <w:r>
              <w:rPr>
                <w:sz w:val="16"/>
              </w:rPr>
              <w:t>0.21</w:t>
            </w:r>
          </w:p>
        </w:tc>
        <w:tc>
          <w:tcPr>
            <w:tcW w:w="728" w:type="dxa"/>
            <w:shd w:val="clear" w:color="auto" w:fill="CCCCCC"/>
          </w:tcPr>
          <w:p>
            <w:pPr>
              <w:pStyle w:val="TableParagraph"/>
              <w:spacing w:line="181" w:lineRule="exact" w:before="0"/>
              <w:ind w:left="175"/>
              <w:jc w:val="left"/>
              <w:rPr>
                <w:sz w:val="16"/>
              </w:rPr>
            </w:pPr>
            <w:r>
              <w:rPr>
                <w:sz w:val="16"/>
              </w:rPr>
              <w:t>-0.16</w:t>
            </w:r>
          </w:p>
        </w:tc>
        <w:tc>
          <w:tcPr>
            <w:tcW w:w="772" w:type="dxa"/>
            <w:shd w:val="clear" w:color="auto" w:fill="CCCCCC"/>
          </w:tcPr>
          <w:p>
            <w:pPr>
              <w:pStyle w:val="TableParagraph"/>
              <w:spacing w:line="181" w:lineRule="exact" w:before="0"/>
              <w:ind w:right="199"/>
              <w:rPr>
                <w:sz w:val="16"/>
              </w:rPr>
            </w:pPr>
            <w:r>
              <w:rPr>
                <w:w w:val="95"/>
                <w:sz w:val="16"/>
              </w:rPr>
              <w:t>-0.20</w:t>
            </w:r>
          </w:p>
        </w:tc>
        <w:tc>
          <w:tcPr>
            <w:tcW w:w="861" w:type="dxa"/>
            <w:shd w:val="clear" w:color="auto" w:fill="CCCCCC"/>
          </w:tcPr>
          <w:p>
            <w:pPr>
              <w:pStyle w:val="TableParagraph"/>
              <w:spacing w:line="181" w:lineRule="exact" w:before="0"/>
              <w:ind w:left="222" w:right="223"/>
              <w:jc w:val="center"/>
              <w:rPr>
                <w:sz w:val="16"/>
              </w:rPr>
            </w:pPr>
            <w:r>
              <w:rPr>
                <w:sz w:val="16"/>
              </w:rPr>
              <w:t>-0.06</w:t>
            </w:r>
          </w:p>
        </w:tc>
        <w:tc>
          <w:tcPr>
            <w:tcW w:w="888" w:type="dxa"/>
            <w:shd w:val="clear" w:color="auto" w:fill="CCCCCC"/>
          </w:tcPr>
          <w:p>
            <w:pPr>
              <w:pStyle w:val="TableParagraph"/>
              <w:spacing w:line="240" w:lineRule="auto" w:before="0"/>
              <w:jc w:val="left"/>
              <w:rPr>
                <w:rFonts w:ascii="Times New Roman"/>
                <w:sz w:val="20"/>
              </w:rPr>
            </w:pPr>
          </w:p>
        </w:tc>
        <w:tc>
          <w:tcPr>
            <w:tcW w:w="960" w:type="dxa"/>
            <w:shd w:val="clear" w:color="auto" w:fill="CCCCCC"/>
          </w:tcPr>
          <w:p>
            <w:pPr>
              <w:pStyle w:val="TableParagraph"/>
              <w:spacing w:line="240" w:lineRule="auto" w:before="0"/>
              <w:jc w:val="left"/>
              <w:rPr>
                <w:rFonts w:ascii="Times New Roman"/>
                <w:sz w:val="20"/>
              </w:rPr>
            </w:pPr>
          </w:p>
        </w:tc>
        <w:tc>
          <w:tcPr>
            <w:tcW w:w="932" w:type="dxa"/>
            <w:shd w:val="clear" w:color="auto" w:fill="CCCCCC"/>
          </w:tcPr>
          <w:p>
            <w:pPr>
              <w:pStyle w:val="TableParagraph"/>
              <w:spacing w:line="240" w:lineRule="auto" w:before="0"/>
              <w:jc w:val="left"/>
              <w:rPr>
                <w:rFonts w:ascii="Times New Roman"/>
                <w:sz w:val="20"/>
              </w:rPr>
            </w:pPr>
          </w:p>
        </w:tc>
      </w:tr>
      <w:tr>
        <w:trPr>
          <w:trHeight w:val="277" w:hRule="atLeast"/>
        </w:trPr>
        <w:tc>
          <w:tcPr>
            <w:tcW w:w="924" w:type="dxa"/>
            <w:tcBorders>
              <w:top w:val="nil"/>
              <w:left w:val="nil"/>
              <w:bottom w:val="nil"/>
            </w:tcBorders>
          </w:tcPr>
          <w:p>
            <w:pPr>
              <w:pStyle w:val="TableParagraph"/>
              <w:spacing w:line="240" w:lineRule="auto" w:before="1"/>
              <w:ind w:right="102"/>
              <w:rPr>
                <w:i/>
                <w:sz w:val="16"/>
              </w:rPr>
            </w:pPr>
            <w:r>
              <w:rPr>
                <w:i/>
                <w:sz w:val="16"/>
              </w:rPr>
              <w:t>DAglomP</w:t>
            </w:r>
          </w:p>
        </w:tc>
        <w:tc>
          <w:tcPr>
            <w:tcW w:w="624" w:type="dxa"/>
          </w:tcPr>
          <w:p>
            <w:pPr>
              <w:pStyle w:val="TableParagraph"/>
              <w:spacing w:line="240" w:lineRule="auto" w:before="1"/>
              <w:ind w:left="127"/>
              <w:jc w:val="left"/>
              <w:rPr>
                <w:sz w:val="16"/>
              </w:rPr>
            </w:pPr>
            <w:r>
              <w:rPr>
                <w:sz w:val="16"/>
              </w:rPr>
              <w:t>-0.06</w:t>
            </w:r>
          </w:p>
        </w:tc>
        <w:tc>
          <w:tcPr>
            <w:tcW w:w="613" w:type="dxa"/>
          </w:tcPr>
          <w:p>
            <w:pPr>
              <w:pStyle w:val="TableParagraph"/>
              <w:spacing w:line="240" w:lineRule="auto" w:before="1"/>
              <w:ind w:left="143"/>
              <w:jc w:val="left"/>
              <w:rPr>
                <w:sz w:val="16"/>
              </w:rPr>
            </w:pPr>
            <w:r>
              <w:rPr>
                <w:sz w:val="16"/>
              </w:rPr>
              <w:t>0.21</w:t>
            </w:r>
          </w:p>
        </w:tc>
        <w:tc>
          <w:tcPr>
            <w:tcW w:w="636" w:type="dxa"/>
          </w:tcPr>
          <w:p>
            <w:pPr>
              <w:pStyle w:val="TableParagraph"/>
              <w:spacing w:line="240" w:lineRule="auto" w:before="1"/>
              <w:ind w:left="107" w:right="111"/>
              <w:jc w:val="center"/>
              <w:rPr>
                <w:sz w:val="16"/>
              </w:rPr>
            </w:pPr>
            <w:r>
              <w:rPr>
                <w:sz w:val="16"/>
              </w:rPr>
              <w:t>0.03</w:t>
            </w:r>
          </w:p>
        </w:tc>
        <w:tc>
          <w:tcPr>
            <w:tcW w:w="708" w:type="dxa"/>
          </w:tcPr>
          <w:p>
            <w:pPr>
              <w:pStyle w:val="TableParagraph"/>
              <w:spacing w:line="240" w:lineRule="auto" w:before="1"/>
              <w:ind w:left="146" w:right="146"/>
              <w:jc w:val="center"/>
              <w:rPr>
                <w:sz w:val="16"/>
              </w:rPr>
            </w:pPr>
            <w:r>
              <w:rPr>
                <w:sz w:val="16"/>
              </w:rPr>
              <w:t>-0.13</w:t>
            </w:r>
          </w:p>
        </w:tc>
        <w:tc>
          <w:tcPr>
            <w:tcW w:w="728" w:type="dxa"/>
          </w:tcPr>
          <w:p>
            <w:pPr>
              <w:pStyle w:val="TableParagraph"/>
              <w:spacing w:line="240" w:lineRule="auto" w:before="1"/>
              <w:ind w:left="203"/>
              <w:jc w:val="left"/>
              <w:rPr>
                <w:sz w:val="16"/>
              </w:rPr>
            </w:pPr>
            <w:r>
              <w:rPr>
                <w:sz w:val="16"/>
              </w:rPr>
              <w:t>0.08</w:t>
            </w:r>
          </w:p>
        </w:tc>
        <w:tc>
          <w:tcPr>
            <w:tcW w:w="772" w:type="dxa"/>
          </w:tcPr>
          <w:p>
            <w:pPr>
              <w:pStyle w:val="TableParagraph"/>
              <w:spacing w:line="240" w:lineRule="auto" w:before="1"/>
              <w:ind w:right="227"/>
              <w:rPr>
                <w:sz w:val="16"/>
              </w:rPr>
            </w:pPr>
            <w:r>
              <w:rPr>
                <w:sz w:val="16"/>
              </w:rPr>
              <w:t>0.13</w:t>
            </w:r>
          </w:p>
        </w:tc>
        <w:tc>
          <w:tcPr>
            <w:tcW w:w="861" w:type="dxa"/>
          </w:tcPr>
          <w:p>
            <w:pPr>
              <w:pStyle w:val="TableParagraph"/>
              <w:spacing w:line="240" w:lineRule="auto" w:before="1"/>
              <w:ind w:left="218" w:right="223"/>
              <w:jc w:val="center"/>
              <w:rPr>
                <w:sz w:val="16"/>
              </w:rPr>
            </w:pPr>
            <w:r>
              <w:rPr>
                <w:sz w:val="16"/>
              </w:rPr>
              <w:t>0.07</w:t>
            </w:r>
          </w:p>
        </w:tc>
        <w:tc>
          <w:tcPr>
            <w:tcW w:w="888" w:type="dxa"/>
          </w:tcPr>
          <w:p>
            <w:pPr>
              <w:pStyle w:val="TableParagraph"/>
              <w:spacing w:line="240" w:lineRule="auto" w:before="1"/>
              <w:ind w:left="233" w:right="240"/>
              <w:jc w:val="center"/>
              <w:rPr>
                <w:sz w:val="16"/>
              </w:rPr>
            </w:pPr>
            <w:r>
              <w:rPr>
                <w:sz w:val="16"/>
              </w:rPr>
              <w:t>-0.29</w:t>
            </w:r>
          </w:p>
        </w:tc>
        <w:tc>
          <w:tcPr>
            <w:tcW w:w="960" w:type="dxa"/>
          </w:tcPr>
          <w:p>
            <w:pPr>
              <w:pStyle w:val="TableParagraph"/>
              <w:spacing w:line="240" w:lineRule="auto" w:before="0"/>
              <w:jc w:val="left"/>
              <w:rPr>
                <w:rFonts w:ascii="Times New Roman"/>
                <w:sz w:val="20"/>
              </w:rPr>
            </w:pPr>
          </w:p>
        </w:tc>
        <w:tc>
          <w:tcPr>
            <w:tcW w:w="932" w:type="dxa"/>
          </w:tcPr>
          <w:p>
            <w:pPr>
              <w:pStyle w:val="TableParagraph"/>
              <w:spacing w:line="240" w:lineRule="auto" w:before="0"/>
              <w:jc w:val="left"/>
              <w:rPr>
                <w:rFonts w:ascii="Times New Roman"/>
                <w:sz w:val="20"/>
              </w:rPr>
            </w:pPr>
          </w:p>
        </w:tc>
      </w:tr>
      <w:tr>
        <w:trPr>
          <w:trHeight w:val="274" w:hRule="atLeast"/>
        </w:trPr>
        <w:tc>
          <w:tcPr>
            <w:tcW w:w="924" w:type="dxa"/>
            <w:tcBorders>
              <w:top w:val="nil"/>
              <w:left w:val="nil"/>
              <w:bottom w:val="nil"/>
            </w:tcBorders>
          </w:tcPr>
          <w:p>
            <w:pPr>
              <w:pStyle w:val="TableParagraph"/>
              <w:spacing w:line="181" w:lineRule="exact" w:before="0"/>
              <w:ind w:right="104"/>
              <w:rPr>
                <w:i/>
                <w:sz w:val="16"/>
              </w:rPr>
            </w:pPr>
            <w:r>
              <w:rPr>
                <w:i/>
                <w:sz w:val="16"/>
              </w:rPr>
              <w:t>ZRiesgo</w:t>
            </w:r>
          </w:p>
        </w:tc>
        <w:tc>
          <w:tcPr>
            <w:tcW w:w="624" w:type="dxa"/>
            <w:shd w:val="clear" w:color="auto" w:fill="CCCCCC"/>
          </w:tcPr>
          <w:p>
            <w:pPr>
              <w:pStyle w:val="TableParagraph"/>
              <w:spacing w:line="181" w:lineRule="exact" w:before="0"/>
              <w:ind w:left="127"/>
              <w:jc w:val="left"/>
              <w:rPr>
                <w:sz w:val="16"/>
              </w:rPr>
            </w:pPr>
            <w:r>
              <w:rPr>
                <w:sz w:val="16"/>
              </w:rPr>
              <w:t>-0.00</w:t>
            </w:r>
          </w:p>
        </w:tc>
        <w:tc>
          <w:tcPr>
            <w:tcW w:w="613" w:type="dxa"/>
            <w:shd w:val="clear" w:color="auto" w:fill="CCCCCC"/>
          </w:tcPr>
          <w:p>
            <w:pPr>
              <w:pStyle w:val="TableParagraph"/>
              <w:spacing w:line="181" w:lineRule="exact" w:before="0"/>
              <w:ind w:left="119"/>
              <w:jc w:val="left"/>
              <w:rPr>
                <w:sz w:val="16"/>
              </w:rPr>
            </w:pPr>
            <w:r>
              <w:rPr>
                <w:sz w:val="16"/>
              </w:rPr>
              <w:t>-0.03</w:t>
            </w:r>
          </w:p>
        </w:tc>
        <w:tc>
          <w:tcPr>
            <w:tcW w:w="636" w:type="dxa"/>
            <w:shd w:val="clear" w:color="auto" w:fill="CCCCCC"/>
          </w:tcPr>
          <w:p>
            <w:pPr>
              <w:pStyle w:val="TableParagraph"/>
              <w:spacing w:line="181" w:lineRule="exact" w:before="0"/>
              <w:ind w:left="110" w:right="111"/>
              <w:jc w:val="center"/>
              <w:rPr>
                <w:sz w:val="16"/>
              </w:rPr>
            </w:pPr>
            <w:r>
              <w:rPr>
                <w:sz w:val="16"/>
              </w:rPr>
              <w:t>-0.08</w:t>
            </w:r>
          </w:p>
        </w:tc>
        <w:tc>
          <w:tcPr>
            <w:tcW w:w="708" w:type="dxa"/>
            <w:shd w:val="clear" w:color="auto" w:fill="CCCCCC"/>
          </w:tcPr>
          <w:p>
            <w:pPr>
              <w:pStyle w:val="TableParagraph"/>
              <w:spacing w:line="181" w:lineRule="exact" w:before="0"/>
              <w:ind w:left="142" w:right="146"/>
              <w:jc w:val="center"/>
              <w:rPr>
                <w:sz w:val="16"/>
              </w:rPr>
            </w:pPr>
            <w:r>
              <w:rPr>
                <w:sz w:val="16"/>
              </w:rPr>
              <w:t>0.12</w:t>
            </w:r>
          </w:p>
        </w:tc>
        <w:tc>
          <w:tcPr>
            <w:tcW w:w="728" w:type="dxa"/>
            <w:shd w:val="clear" w:color="auto" w:fill="CCCCCC"/>
          </w:tcPr>
          <w:p>
            <w:pPr>
              <w:pStyle w:val="TableParagraph"/>
              <w:spacing w:line="181" w:lineRule="exact" w:before="0"/>
              <w:ind w:left="175"/>
              <w:jc w:val="left"/>
              <w:rPr>
                <w:sz w:val="16"/>
              </w:rPr>
            </w:pPr>
            <w:r>
              <w:rPr>
                <w:sz w:val="16"/>
              </w:rPr>
              <w:t>-0.02</w:t>
            </w:r>
          </w:p>
        </w:tc>
        <w:tc>
          <w:tcPr>
            <w:tcW w:w="772" w:type="dxa"/>
            <w:shd w:val="clear" w:color="auto" w:fill="CCCCCC"/>
          </w:tcPr>
          <w:p>
            <w:pPr>
              <w:pStyle w:val="TableParagraph"/>
              <w:spacing w:line="181" w:lineRule="exact" w:before="0"/>
              <w:ind w:right="227"/>
              <w:rPr>
                <w:sz w:val="16"/>
              </w:rPr>
            </w:pPr>
            <w:r>
              <w:rPr>
                <w:sz w:val="16"/>
              </w:rPr>
              <w:t>0.03</w:t>
            </w:r>
          </w:p>
        </w:tc>
        <w:tc>
          <w:tcPr>
            <w:tcW w:w="861" w:type="dxa"/>
            <w:shd w:val="clear" w:color="auto" w:fill="CCCCCC"/>
          </w:tcPr>
          <w:p>
            <w:pPr>
              <w:pStyle w:val="TableParagraph"/>
              <w:spacing w:line="181" w:lineRule="exact" w:before="0"/>
              <w:ind w:left="218" w:right="223"/>
              <w:jc w:val="center"/>
              <w:rPr>
                <w:sz w:val="16"/>
              </w:rPr>
            </w:pPr>
            <w:r>
              <w:rPr>
                <w:sz w:val="16"/>
              </w:rPr>
              <w:t>0.06</w:t>
            </w:r>
          </w:p>
        </w:tc>
        <w:tc>
          <w:tcPr>
            <w:tcW w:w="888" w:type="dxa"/>
            <w:shd w:val="clear" w:color="auto" w:fill="CCCCCC"/>
          </w:tcPr>
          <w:p>
            <w:pPr>
              <w:pStyle w:val="TableParagraph"/>
              <w:spacing w:line="181" w:lineRule="exact" w:before="0"/>
              <w:ind w:left="233" w:right="234"/>
              <w:jc w:val="center"/>
              <w:rPr>
                <w:sz w:val="16"/>
              </w:rPr>
            </w:pPr>
            <w:r>
              <w:rPr>
                <w:sz w:val="16"/>
              </w:rPr>
              <w:t>0.02</w:t>
            </w:r>
          </w:p>
        </w:tc>
        <w:tc>
          <w:tcPr>
            <w:tcW w:w="960" w:type="dxa"/>
            <w:shd w:val="clear" w:color="auto" w:fill="CCCCCC"/>
          </w:tcPr>
          <w:p>
            <w:pPr>
              <w:pStyle w:val="TableParagraph"/>
              <w:spacing w:line="181" w:lineRule="exact" w:before="0"/>
              <w:ind w:left="299" w:right="299"/>
              <w:jc w:val="center"/>
              <w:rPr>
                <w:sz w:val="16"/>
              </w:rPr>
            </w:pPr>
            <w:r>
              <w:rPr>
                <w:sz w:val="16"/>
              </w:rPr>
              <w:t>0.12</w:t>
            </w:r>
          </w:p>
        </w:tc>
        <w:tc>
          <w:tcPr>
            <w:tcW w:w="932" w:type="dxa"/>
            <w:shd w:val="clear" w:color="auto" w:fill="CCCCCC"/>
          </w:tcPr>
          <w:p>
            <w:pPr>
              <w:pStyle w:val="TableParagraph"/>
              <w:spacing w:line="240" w:lineRule="auto" w:before="0"/>
              <w:jc w:val="left"/>
              <w:rPr>
                <w:rFonts w:ascii="Times New Roman"/>
                <w:sz w:val="20"/>
              </w:rPr>
            </w:pPr>
          </w:p>
        </w:tc>
      </w:tr>
      <w:tr>
        <w:trPr>
          <w:trHeight w:val="278" w:hRule="atLeast"/>
        </w:trPr>
        <w:tc>
          <w:tcPr>
            <w:tcW w:w="924" w:type="dxa"/>
            <w:tcBorders>
              <w:top w:val="nil"/>
              <w:left w:val="nil"/>
              <w:bottom w:val="nil"/>
            </w:tcBorders>
          </w:tcPr>
          <w:p>
            <w:pPr>
              <w:pStyle w:val="TableParagraph"/>
              <w:spacing w:line="240" w:lineRule="auto" w:before="0"/>
              <w:ind w:right="101"/>
              <w:rPr>
                <w:i/>
                <w:sz w:val="16"/>
              </w:rPr>
            </w:pPr>
            <w:r>
              <w:rPr>
                <w:i/>
                <w:sz w:val="16"/>
              </w:rPr>
              <w:t>VistaLC</w:t>
            </w:r>
          </w:p>
        </w:tc>
        <w:tc>
          <w:tcPr>
            <w:tcW w:w="624" w:type="dxa"/>
          </w:tcPr>
          <w:p>
            <w:pPr>
              <w:pStyle w:val="TableParagraph"/>
              <w:spacing w:line="240" w:lineRule="auto" w:before="0"/>
              <w:ind w:left="127"/>
              <w:jc w:val="left"/>
              <w:rPr>
                <w:sz w:val="16"/>
              </w:rPr>
            </w:pPr>
            <w:r>
              <w:rPr>
                <w:sz w:val="16"/>
              </w:rPr>
              <w:t>-0.01</w:t>
            </w:r>
          </w:p>
        </w:tc>
        <w:tc>
          <w:tcPr>
            <w:tcW w:w="613" w:type="dxa"/>
          </w:tcPr>
          <w:p>
            <w:pPr>
              <w:pStyle w:val="TableParagraph"/>
              <w:spacing w:line="240" w:lineRule="auto" w:before="0"/>
              <w:ind w:left="143"/>
              <w:jc w:val="left"/>
              <w:rPr>
                <w:sz w:val="16"/>
              </w:rPr>
            </w:pPr>
            <w:r>
              <w:rPr>
                <w:sz w:val="16"/>
              </w:rPr>
              <w:t>0.18</w:t>
            </w:r>
          </w:p>
        </w:tc>
        <w:tc>
          <w:tcPr>
            <w:tcW w:w="636" w:type="dxa"/>
          </w:tcPr>
          <w:p>
            <w:pPr>
              <w:pStyle w:val="TableParagraph"/>
              <w:spacing w:line="240" w:lineRule="auto" w:before="0"/>
              <w:ind w:left="107" w:right="111"/>
              <w:jc w:val="center"/>
              <w:rPr>
                <w:sz w:val="16"/>
              </w:rPr>
            </w:pPr>
            <w:r>
              <w:rPr>
                <w:sz w:val="16"/>
              </w:rPr>
              <w:t>0.11</w:t>
            </w:r>
          </w:p>
        </w:tc>
        <w:tc>
          <w:tcPr>
            <w:tcW w:w="708" w:type="dxa"/>
          </w:tcPr>
          <w:p>
            <w:pPr>
              <w:pStyle w:val="TableParagraph"/>
              <w:spacing w:line="240" w:lineRule="auto" w:before="0"/>
              <w:ind w:left="142" w:right="146"/>
              <w:jc w:val="center"/>
              <w:rPr>
                <w:sz w:val="16"/>
              </w:rPr>
            </w:pPr>
            <w:r>
              <w:rPr>
                <w:sz w:val="16"/>
              </w:rPr>
              <w:t>0.02</w:t>
            </w:r>
          </w:p>
        </w:tc>
        <w:tc>
          <w:tcPr>
            <w:tcW w:w="728" w:type="dxa"/>
          </w:tcPr>
          <w:p>
            <w:pPr>
              <w:pStyle w:val="TableParagraph"/>
              <w:spacing w:line="240" w:lineRule="auto" w:before="0"/>
              <w:ind w:left="203"/>
              <w:jc w:val="left"/>
              <w:rPr>
                <w:sz w:val="16"/>
              </w:rPr>
            </w:pPr>
            <w:r>
              <w:rPr>
                <w:sz w:val="16"/>
              </w:rPr>
              <w:t>0.01</w:t>
            </w:r>
          </w:p>
        </w:tc>
        <w:tc>
          <w:tcPr>
            <w:tcW w:w="772" w:type="dxa"/>
          </w:tcPr>
          <w:p>
            <w:pPr>
              <w:pStyle w:val="TableParagraph"/>
              <w:spacing w:line="240" w:lineRule="auto" w:before="0"/>
              <w:ind w:right="227"/>
              <w:rPr>
                <w:sz w:val="16"/>
              </w:rPr>
            </w:pPr>
            <w:r>
              <w:rPr>
                <w:sz w:val="16"/>
              </w:rPr>
              <w:t>0.09</w:t>
            </w:r>
          </w:p>
        </w:tc>
        <w:tc>
          <w:tcPr>
            <w:tcW w:w="861" w:type="dxa"/>
          </w:tcPr>
          <w:p>
            <w:pPr>
              <w:pStyle w:val="TableParagraph"/>
              <w:spacing w:line="240" w:lineRule="auto" w:before="0"/>
              <w:ind w:left="218" w:right="223"/>
              <w:jc w:val="center"/>
              <w:rPr>
                <w:sz w:val="16"/>
              </w:rPr>
            </w:pPr>
            <w:r>
              <w:rPr>
                <w:sz w:val="16"/>
              </w:rPr>
              <w:t>0.08</w:t>
            </w:r>
          </w:p>
        </w:tc>
        <w:tc>
          <w:tcPr>
            <w:tcW w:w="888" w:type="dxa"/>
          </w:tcPr>
          <w:p>
            <w:pPr>
              <w:pStyle w:val="TableParagraph"/>
              <w:spacing w:line="240" w:lineRule="auto" w:before="0"/>
              <w:ind w:left="233" w:right="234"/>
              <w:jc w:val="center"/>
              <w:rPr>
                <w:sz w:val="16"/>
              </w:rPr>
            </w:pPr>
            <w:r>
              <w:rPr>
                <w:sz w:val="16"/>
              </w:rPr>
              <w:t>0.07</w:t>
            </w:r>
          </w:p>
        </w:tc>
        <w:tc>
          <w:tcPr>
            <w:tcW w:w="960" w:type="dxa"/>
          </w:tcPr>
          <w:p>
            <w:pPr>
              <w:pStyle w:val="TableParagraph"/>
              <w:spacing w:line="240" w:lineRule="auto" w:before="0"/>
              <w:ind w:left="299" w:right="299"/>
              <w:jc w:val="center"/>
              <w:rPr>
                <w:sz w:val="16"/>
              </w:rPr>
            </w:pPr>
            <w:r>
              <w:rPr>
                <w:sz w:val="16"/>
              </w:rPr>
              <w:t>0.16</w:t>
            </w:r>
          </w:p>
        </w:tc>
        <w:tc>
          <w:tcPr>
            <w:tcW w:w="932" w:type="dxa"/>
          </w:tcPr>
          <w:p>
            <w:pPr>
              <w:pStyle w:val="TableParagraph"/>
              <w:spacing w:line="240" w:lineRule="auto" w:before="0"/>
              <w:ind w:left="285" w:right="284"/>
              <w:jc w:val="center"/>
              <w:rPr>
                <w:sz w:val="16"/>
              </w:rPr>
            </w:pPr>
            <w:r>
              <w:rPr>
                <w:sz w:val="16"/>
              </w:rPr>
              <w:t>0.09</w:t>
            </w:r>
          </w:p>
        </w:tc>
      </w:tr>
    </w:tbl>
    <w:p>
      <w:pPr>
        <w:pStyle w:val="BodyText"/>
        <w:rPr>
          <w:i/>
          <w:sz w:val="22"/>
        </w:rPr>
      </w:pPr>
    </w:p>
    <w:p>
      <w:pPr>
        <w:pStyle w:val="BodyText"/>
        <w:spacing w:before="5"/>
        <w:rPr>
          <w:i/>
          <w:sz w:val="31"/>
        </w:rPr>
      </w:pPr>
    </w:p>
    <w:p>
      <w:pPr>
        <w:pStyle w:val="BodyText"/>
        <w:spacing w:line="360" w:lineRule="auto"/>
        <w:ind w:left="940" w:right="940"/>
        <w:jc w:val="both"/>
      </w:pPr>
      <w:r>
        <w:rPr/>
        <w:t>Estas reglas tienen varias críticas, entre ellas la incapacidad de capturar interacciones complejas entre tres o más variables (Judge, et al., 1988). Por encontrarse algunos de los niveles de R</w:t>
      </w:r>
      <w:r>
        <w:rPr>
          <w:position w:val="8"/>
          <w:sz w:val="16"/>
        </w:rPr>
        <w:t>2 </w:t>
      </w:r>
      <w:r>
        <w:rPr/>
        <w:t>por debajo de 0.50 en los estudios de referencia citados como antecedentes de este tipo de estimaciones en Costa Rica, se opta por señalar que las correlaciones superiores a ese nivel indicadas en el Cuadro 17 pueden justificar un análisis más profundo para detectar este problema. Nótese que las variables que aparentemente causan el problema son Hab y Baños.</w:t>
      </w:r>
    </w:p>
    <w:p>
      <w:pPr>
        <w:pStyle w:val="BodyText"/>
        <w:spacing w:line="360" w:lineRule="auto" w:before="194"/>
        <w:ind w:left="940" w:right="938"/>
        <w:jc w:val="both"/>
      </w:pPr>
      <w:r>
        <w:rPr/>
        <w:t>El Cuadro 18 sintetiza el trabajo hecho con el fin de poder seleccionar el modelo que garantice una mejor estimación del valor de los parámetros. Dada la posible presencia de MCD, se utilizó la formulación simple (modelos 1, 2, 3, 9 y 10) y la logarítmica (modelos 4, 5, 6, 7 y 8). Se intentaron varias combinaciones de variables manteniendo las esenciales para lograr los objetivos de la investigación manteniendo las condiciones mínimas necesarias para la caracterización recomendada por la literatura examinada (Suárez &amp; Sequeira, 2000; Hall, et al., 2008; Monge &amp; Rojas, 2009; Alfaro &amp; Navarro, 2009; Hall, et al., 2010; Lora, et al., 2010; Núñez &amp; Salas, 2010; Lora &amp; Powell, 2011).</w:t>
      </w:r>
    </w:p>
    <w:p>
      <w:pPr>
        <w:spacing w:after="0" w:line="360" w:lineRule="auto"/>
        <w:jc w:val="both"/>
        <w:sectPr>
          <w:pgSz w:w="12240" w:h="15840"/>
          <w:pgMar w:header="0" w:footer="1062" w:top="1360" w:bottom="1260" w:left="500" w:right="500"/>
        </w:sectPr>
      </w:pPr>
    </w:p>
    <w:p>
      <w:pPr>
        <w:pStyle w:val="BodyText"/>
        <w:spacing w:before="7"/>
        <w:rPr>
          <w:sz w:val="17"/>
        </w:rPr>
      </w:pPr>
    </w:p>
    <w:p>
      <w:pPr>
        <w:spacing w:before="94"/>
        <w:ind w:left="1117" w:right="1249" w:firstLine="0"/>
        <w:jc w:val="center"/>
        <w:rPr>
          <w:i/>
          <w:sz w:val="20"/>
        </w:rPr>
      </w:pPr>
      <w:bookmarkStart w:name="_bookmark52" w:id="72"/>
      <w:bookmarkEnd w:id="72"/>
      <w:r>
        <w:rPr/>
      </w:r>
      <w:r>
        <w:rPr>
          <w:i/>
          <w:sz w:val="20"/>
        </w:rPr>
        <w:t>Cuadro 18- Evaluación de Modelos de Estimación del Precio por Inmueble Incluyendo Coeficiente de Determinación y Evaluaciones de ACR, </w:t>
      </w:r>
      <w:r>
        <w:rPr>
          <w:i/>
          <w:sz w:val="20"/>
        </w:rPr>
        <w:t>MCD y HCD.</w:t>
      </w:r>
    </w:p>
    <w:p>
      <w:pPr>
        <w:spacing w:before="0"/>
        <w:ind w:left="1117" w:right="1232" w:firstLine="0"/>
        <w:jc w:val="center"/>
        <w:rPr>
          <w:i/>
          <w:sz w:val="20"/>
        </w:rPr>
      </w:pPr>
      <w:r>
        <w:rPr>
          <w:i/>
          <w:sz w:val="20"/>
        </w:rPr>
        <w:t>Fuente: Elaboración propia</w:t>
      </w:r>
    </w:p>
    <w:p>
      <w:pPr>
        <w:pStyle w:val="BodyText"/>
        <w:spacing w:before="8"/>
        <w:rPr>
          <w:i/>
          <w:sz w:val="27"/>
        </w:rPr>
      </w:pPr>
    </w:p>
    <w:tbl>
      <w:tblPr>
        <w:tblW w:w="0" w:type="auto"/>
        <w:jc w:val="left"/>
        <w:tblInd w:w="11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853"/>
        <w:gridCol w:w="840"/>
        <w:gridCol w:w="1725"/>
        <w:gridCol w:w="852"/>
        <w:gridCol w:w="865"/>
        <w:gridCol w:w="1436"/>
        <w:gridCol w:w="864"/>
        <w:gridCol w:w="1376"/>
        <w:gridCol w:w="1168"/>
        <w:gridCol w:w="997"/>
        <w:gridCol w:w="952"/>
        <w:gridCol w:w="1153"/>
        <w:gridCol w:w="1592"/>
      </w:tblGrid>
      <w:tr>
        <w:trPr>
          <w:trHeight w:val="1123" w:hRule="atLeast"/>
        </w:trPr>
        <w:tc>
          <w:tcPr>
            <w:tcW w:w="853" w:type="dxa"/>
            <w:tcBorders>
              <w:top w:val="nil"/>
              <w:left w:val="nil"/>
              <w:bottom w:val="nil"/>
              <w:right w:val="nil"/>
            </w:tcBorders>
            <w:shd w:val="clear" w:color="auto" w:fill="000000"/>
          </w:tcPr>
          <w:p>
            <w:pPr>
              <w:pStyle w:val="TableParagraph"/>
              <w:spacing w:line="240" w:lineRule="auto" w:before="10"/>
              <w:ind w:left="112"/>
              <w:jc w:val="left"/>
              <w:rPr>
                <w:b/>
                <w:sz w:val="16"/>
              </w:rPr>
            </w:pPr>
            <w:r>
              <w:rPr>
                <w:b/>
                <w:color w:val="FFFFFF"/>
                <w:sz w:val="16"/>
              </w:rPr>
              <w:t>Modelo</w:t>
            </w:r>
          </w:p>
        </w:tc>
        <w:tc>
          <w:tcPr>
            <w:tcW w:w="840" w:type="dxa"/>
            <w:tcBorders>
              <w:top w:val="nil"/>
              <w:left w:val="nil"/>
              <w:bottom w:val="nil"/>
              <w:right w:val="nil"/>
            </w:tcBorders>
            <w:shd w:val="clear" w:color="auto" w:fill="000000"/>
          </w:tcPr>
          <w:p>
            <w:pPr>
              <w:pStyle w:val="TableParagraph"/>
              <w:spacing w:line="360" w:lineRule="auto" w:before="10"/>
              <w:ind w:left="111" w:right="86"/>
              <w:jc w:val="left"/>
              <w:rPr>
                <w:b/>
                <w:sz w:val="16"/>
              </w:rPr>
            </w:pPr>
            <w:r>
              <w:rPr>
                <w:b/>
                <w:color w:val="FFFFFF"/>
                <w:sz w:val="16"/>
              </w:rPr>
              <w:t>Variable Indep.</w:t>
            </w:r>
          </w:p>
        </w:tc>
        <w:tc>
          <w:tcPr>
            <w:tcW w:w="1725" w:type="dxa"/>
            <w:tcBorders>
              <w:top w:val="nil"/>
              <w:left w:val="nil"/>
              <w:bottom w:val="nil"/>
              <w:right w:val="nil"/>
            </w:tcBorders>
            <w:shd w:val="clear" w:color="auto" w:fill="000000"/>
          </w:tcPr>
          <w:p>
            <w:pPr>
              <w:pStyle w:val="TableParagraph"/>
              <w:spacing w:line="360" w:lineRule="auto" w:before="10"/>
              <w:ind w:left="107"/>
              <w:jc w:val="left"/>
              <w:rPr>
                <w:b/>
                <w:sz w:val="16"/>
              </w:rPr>
            </w:pPr>
            <w:r>
              <w:rPr>
                <w:b/>
                <w:color w:val="FFFFFF"/>
                <w:sz w:val="16"/>
              </w:rPr>
              <w:t>Variables Dependientes</w:t>
            </w:r>
          </w:p>
        </w:tc>
        <w:tc>
          <w:tcPr>
            <w:tcW w:w="852" w:type="dxa"/>
            <w:tcBorders>
              <w:top w:val="nil"/>
              <w:left w:val="nil"/>
              <w:bottom w:val="nil"/>
              <w:right w:val="nil"/>
            </w:tcBorders>
            <w:shd w:val="clear" w:color="auto" w:fill="000000"/>
          </w:tcPr>
          <w:p>
            <w:pPr>
              <w:pStyle w:val="TableParagraph"/>
              <w:spacing w:line="240" w:lineRule="auto" w:before="8"/>
              <w:ind w:left="110"/>
              <w:jc w:val="left"/>
              <w:rPr>
                <w:b/>
                <w:sz w:val="10"/>
              </w:rPr>
            </w:pPr>
            <w:r>
              <w:rPr>
                <w:b/>
                <w:color w:val="FFFFFF"/>
                <w:position w:val="-4"/>
                <w:sz w:val="16"/>
              </w:rPr>
              <w:t>R</w:t>
            </w:r>
            <w:r>
              <w:rPr>
                <w:b/>
                <w:color w:val="FFFFFF"/>
                <w:sz w:val="10"/>
              </w:rPr>
              <w:t>2</w:t>
            </w:r>
          </w:p>
        </w:tc>
        <w:tc>
          <w:tcPr>
            <w:tcW w:w="865" w:type="dxa"/>
            <w:tcBorders>
              <w:top w:val="nil"/>
              <w:left w:val="nil"/>
              <w:bottom w:val="nil"/>
              <w:right w:val="nil"/>
            </w:tcBorders>
            <w:shd w:val="clear" w:color="auto" w:fill="000000"/>
          </w:tcPr>
          <w:p>
            <w:pPr>
              <w:pStyle w:val="TableParagraph"/>
              <w:spacing w:line="360" w:lineRule="auto" w:before="10"/>
              <w:ind w:left="106" w:right="161"/>
              <w:jc w:val="left"/>
              <w:rPr>
                <w:b/>
                <w:sz w:val="16"/>
              </w:rPr>
            </w:pPr>
            <w:r>
              <w:rPr>
                <w:b/>
                <w:color w:val="FFFFFF"/>
                <w:sz w:val="16"/>
              </w:rPr>
              <w:t>ANOVA F (P)</w:t>
            </w:r>
          </w:p>
        </w:tc>
        <w:tc>
          <w:tcPr>
            <w:tcW w:w="1436" w:type="dxa"/>
            <w:tcBorders>
              <w:top w:val="nil"/>
              <w:left w:val="nil"/>
              <w:bottom w:val="nil"/>
              <w:right w:val="nil"/>
            </w:tcBorders>
            <w:shd w:val="clear" w:color="auto" w:fill="000000"/>
          </w:tcPr>
          <w:p>
            <w:pPr>
              <w:pStyle w:val="TableParagraph"/>
              <w:spacing w:line="360" w:lineRule="auto" w:before="10"/>
              <w:ind w:left="110" w:right="594"/>
              <w:jc w:val="left"/>
              <w:rPr>
                <w:b/>
                <w:sz w:val="16"/>
              </w:rPr>
            </w:pPr>
            <w:r>
              <w:rPr>
                <w:b/>
                <w:color w:val="FFFFFF"/>
                <w:sz w:val="16"/>
              </w:rPr>
              <w:t>Variables Signif. y dirección</w:t>
            </w:r>
          </w:p>
          <w:p>
            <w:pPr>
              <w:pStyle w:val="TableParagraph"/>
              <w:spacing w:line="240" w:lineRule="auto" w:before="0"/>
              <w:ind w:left="110"/>
              <w:jc w:val="left"/>
              <w:rPr>
                <w:b/>
                <w:sz w:val="16"/>
              </w:rPr>
            </w:pPr>
            <w:r>
              <w:rPr>
                <w:b/>
                <w:color w:val="FFFFFF"/>
                <w:sz w:val="16"/>
              </w:rPr>
              <w:t>correlación</w:t>
            </w:r>
          </w:p>
        </w:tc>
        <w:tc>
          <w:tcPr>
            <w:tcW w:w="864" w:type="dxa"/>
            <w:tcBorders>
              <w:top w:val="nil"/>
              <w:left w:val="nil"/>
              <w:bottom w:val="nil"/>
              <w:right w:val="nil"/>
            </w:tcBorders>
            <w:shd w:val="clear" w:color="auto" w:fill="000000"/>
          </w:tcPr>
          <w:p>
            <w:pPr>
              <w:pStyle w:val="TableParagraph"/>
              <w:spacing w:line="360" w:lineRule="auto" w:before="10"/>
              <w:ind w:left="106" w:right="160"/>
              <w:jc w:val="left"/>
              <w:rPr>
                <w:b/>
                <w:sz w:val="16"/>
              </w:rPr>
            </w:pPr>
            <w:r>
              <w:rPr>
                <w:b/>
                <w:color w:val="FFFFFF"/>
                <w:sz w:val="16"/>
              </w:rPr>
              <w:t>Durbin Watson</w:t>
            </w:r>
          </w:p>
        </w:tc>
        <w:tc>
          <w:tcPr>
            <w:tcW w:w="1376" w:type="dxa"/>
            <w:tcBorders>
              <w:top w:val="nil"/>
              <w:left w:val="nil"/>
              <w:bottom w:val="nil"/>
              <w:right w:val="nil"/>
            </w:tcBorders>
            <w:shd w:val="clear" w:color="auto" w:fill="000000"/>
          </w:tcPr>
          <w:p>
            <w:pPr>
              <w:pStyle w:val="TableParagraph"/>
              <w:spacing w:line="360" w:lineRule="auto" w:before="10"/>
              <w:ind w:left="111"/>
              <w:jc w:val="left"/>
              <w:rPr>
                <w:b/>
                <w:sz w:val="16"/>
              </w:rPr>
            </w:pPr>
            <w:r>
              <w:rPr>
                <w:b/>
                <w:color w:val="FFFFFF"/>
                <w:sz w:val="16"/>
              </w:rPr>
              <w:t>Factor de Inflación de Varianza</w:t>
            </w:r>
          </w:p>
          <w:p>
            <w:pPr>
              <w:pStyle w:val="TableParagraph"/>
              <w:spacing w:line="240" w:lineRule="auto" w:before="0"/>
              <w:ind w:left="111"/>
              <w:jc w:val="left"/>
              <w:rPr>
                <w:b/>
                <w:sz w:val="16"/>
              </w:rPr>
            </w:pPr>
            <w:r>
              <w:rPr>
                <w:b/>
                <w:color w:val="FFFFFF"/>
                <w:sz w:val="16"/>
              </w:rPr>
              <w:t>(FIV)+2 (MCD)</w:t>
            </w:r>
          </w:p>
        </w:tc>
        <w:tc>
          <w:tcPr>
            <w:tcW w:w="1168" w:type="dxa"/>
            <w:tcBorders>
              <w:top w:val="nil"/>
              <w:left w:val="nil"/>
              <w:bottom w:val="nil"/>
              <w:right w:val="nil"/>
            </w:tcBorders>
            <w:shd w:val="clear" w:color="auto" w:fill="000000"/>
          </w:tcPr>
          <w:p>
            <w:pPr>
              <w:pStyle w:val="TableParagraph"/>
              <w:spacing w:line="360" w:lineRule="auto" w:before="10"/>
              <w:ind w:left="111" w:right="170"/>
              <w:jc w:val="left"/>
              <w:rPr>
                <w:b/>
                <w:sz w:val="16"/>
              </w:rPr>
            </w:pPr>
            <w:r>
              <w:rPr>
                <w:b/>
                <w:color w:val="FFFFFF"/>
                <w:sz w:val="16"/>
              </w:rPr>
              <w:t>Gráfico de e</w:t>
            </w:r>
            <w:r>
              <w:rPr>
                <w:b/>
                <w:color w:val="FFFFFF"/>
                <w:position w:val="5"/>
                <w:sz w:val="10"/>
              </w:rPr>
              <w:t>2 </w:t>
            </w:r>
            <w:r>
              <w:rPr>
                <w:b/>
                <w:color w:val="FFFFFF"/>
                <w:sz w:val="16"/>
              </w:rPr>
              <w:t>vs ŷ para HCD</w:t>
            </w:r>
          </w:p>
        </w:tc>
        <w:tc>
          <w:tcPr>
            <w:tcW w:w="997" w:type="dxa"/>
            <w:tcBorders>
              <w:top w:val="nil"/>
              <w:left w:val="nil"/>
              <w:bottom w:val="nil"/>
              <w:right w:val="nil"/>
            </w:tcBorders>
            <w:shd w:val="clear" w:color="auto" w:fill="000000"/>
          </w:tcPr>
          <w:p>
            <w:pPr>
              <w:pStyle w:val="TableParagraph"/>
              <w:spacing w:line="360" w:lineRule="auto" w:before="10"/>
              <w:ind w:left="111" w:right="136"/>
              <w:jc w:val="left"/>
              <w:rPr>
                <w:b/>
                <w:sz w:val="16"/>
              </w:rPr>
            </w:pPr>
            <w:r>
              <w:rPr>
                <w:b/>
                <w:color w:val="FFFFFF"/>
                <w:sz w:val="16"/>
              </w:rPr>
              <w:t>Breusch- Pagan para HCD</w:t>
            </w:r>
          </w:p>
          <w:p>
            <w:pPr>
              <w:pStyle w:val="TableParagraph"/>
              <w:spacing w:line="240" w:lineRule="auto" w:before="0"/>
              <w:ind w:left="111"/>
              <w:jc w:val="left"/>
              <w:rPr>
                <w:b/>
                <w:sz w:val="16"/>
              </w:rPr>
            </w:pPr>
            <w:r>
              <w:rPr>
                <w:b/>
                <w:color w:val="FFFFFF"/>
                <w:sz w:val="16"/>
              </w:rPr>
              <w:t>F (P)</w:t>
            </w:r>
          </w:p>
        </w:tc>
        <w:tc>
          <w:tcPr>
            <w:tcW w:w="952" w:type="dxa"/>
            <w:tcBorders>
              <w:top w:val="nil"/>
              <w:left w:val="nil"/>
              <w:bottom w:val="nil"/>
              <w:right w:val="nil"/>
            </w:tcBorders>
            <w:shd w:val="clear" w:color="auto" w:fill="000000"/>
          </w:tcPr>
          <w:p>
            <w:pPr>
              <w:pStyle w:val="TableParagraph"/>
              <w:spacing w:line="360" w:lineRule="auto" w:before="10"/>
              <w:ind w:left="110" w:right="92"/>
              <w:jc w:val="left"/>
              <w:rPr>
                <w:b/>
                <w:sz w:val="16"/>
              </w:rPr>
            </w:pPr>
            <w:r>
              <w:rPr>
                <w:b/>
                <w:color w:val="FFFFFF"/>
                <w:sz w:val="16"/>
              </w:rPr>
              <w:t>Prueba White para HCD</w:t>
            </w:r>
          </w:p>
          <w:p>
            <w:pPr>
              <w:pStyle w:val="TableParagraph"/>
              <w:spacing w:line="240" w:lineRule="auto" w:before="0"/>
              <w:ind w:left="110"/>
              <w:jc w:val="left"/>
              <w:rPr>
                <w:b/>
                <w:sz w:val="16"/>
              </w:rPr>
            </w:pPr>
            <w:r>
              <w:rPr>
                <w:b/>
                <w:color w:val="FFFFFF"/>
                <w:sz w:val="16"/>
              </w:rPr>
              <w:t>F (P)</w:t>
            </w:r>
          </w:p>
        </w:tc>
        <w:tc>
          <w:tcPr>
            <w:tcW w:w="1153" w:type="dxa"/>
            <w:tcBorders>
              <w:top w:val="nil"/>
              <w:left w:val="nil"/>
              <w:bottom w:val="nil"/>
              <w:right w:val="nil"/>
            </w:tcBorders>
            <w:shd w:val="clear" w:color="auto" w:fill="000000"/>
          </w:tcPr>
          <w:p>
            <w:pPr>
              <w:pStyle w:val="TableParagraph"/>
              <w:spacing w:line="360" w:lineRule="auto" w:before="10"/>
              <w:ind w:left="106" w:right="267"/>
              <w:jc w:val="left"/>
              <w:rPr>
                <w:b/>
                <w:sz w:val="16"/>
              </w:rPr>
            </w:pPr>
            <w:r>
              <w:rPr>
                <w:b/>
                <w:color w:val="FFFFFF"/>
                <w:sz w:val="16"/>
              </w:rPr>
              <w:t>R</w:t>
            </w:r>
            <w:r>
              <w:rPr>
                <w:b/>
                <w:color w:val="FFFFFF"/>
                <w:position w:val="5"/>
                <w:sz w:val="10"/>
              </w:rPr>
              <w:t>2 </w:t>
            </w:r>
            <w:r>
              <w:rPr>
                <w:b/>
                <w:color w:val="FFFFFF"/>
                <w:sz w:val="16"/>
              </w:rPr>
              <w:t>Correc. White</w:t>
            </w:r>
          </w:p>
        </w:tc>
        <w:tc>
          <w:tcPr>
            <w:tcW w:w="1592" w:type="dxa"/>
            <w:tcBorders>
              <w:top w:val="nil"/>
              <w:left w:val="nil"/>
              <w:bottom w:val="nil"/>
              <w:right w:val="nil"/>
            </w:tcBorders>
            <w:shd w:val="clear" w:color="auto" w:fill="000000"/>
          </w:tcPr>
          <w:p>
            <w:pPr>
              <w:pStyle w:val="TableParagraph"/>
              <w:spacing w:line="360" w:lineRule="auto" w:before="10"/>
              <w:ind w:left="110" w:right="239"/>
              <w:jc w:val="both"/>
              <w:rPr>
                <w:b/>
                <w:sz w:val="16"/>
              </w:rPr>
            </w:pPr>
            <w:r>
              <w:rPr>
                <w:b/>
                <w:color w:val="FFFFFF"/>
                <w:sz w:val="16"/>
              </w:rPr>
              <w:t>Var. Sig. </w:t>
            </w:r>
            <w:r>
              <w:rPr>
                <w:b/>
                <w:color w:val="FFFFFF"/>
                <w:spacing w:val="-4"/>
                <w:sz w:val="16"/>
              </w:rPr>
              <w:t>Modelo </w:t>
            </w:r>
            <w:r>
              <w:rPr>
                <w:b/>
                <w:color w:val="FFFFFF"/>
                <w:sz w:val="16"/>
              </w:rPr>
              <w:t>Corregido </w:t>
            </w:r>
            <w:r>
              <w:rPr>
                <w:b/>
                <w:color w:val="FFFFFF"/>
                <w:spacing w:val="-3"/>
                <w:sz w:val="16"/>
              </w:rPr>
              <w:t>White </w:t>
            </w:r>
            <w:r>
              <w:rPr>
                <w:b/>
                <w:color w:val="FFFFFF"/>
                <w:sz w:val="16"/>
              </w:rPr>
              <w:t>y</w:t>
            </w:r>
            <w:r>
              <w:rPr>
                <w:b/>
                <w:color w:val="FFFFFF"/>
                <w:spacing w:val="-1"/>
                <w:sz w:val="16"/>
              </w:rPr>
              <w:t> </w:t>
            </w:r>
            <w:r>
              <w:rPr>
                <w:b/>
                <w:color w:val="FFFFFF"/>
                <w:sz w:val="16"/>
              </w:rPr>
              <w:t>dirección</w:t>
            </w:r>
          </w:p>
          <w:p>
            <w:pPr>
              <w:pStyle w:val="TableParagraph"/>
              <w:spacing w:line="240" w:lineRule="auto" w:before="0"/>
              <w:ind w:left="110"/>
              <w:jc w:val="left"/>
              <w:rPr>
                <w:b/>
                <w:sz w:val="16"/>
              </w:rPr>
            </w:pPr>
            <w:r>
              <w:rPr>
                <w:b/>
                <w:color w:val="FFFFFF"/>
                <w:sz w:val="16"/>
              </w:rPr>
              <w:t>correlación</w:t>
            </w:r>
          </w:p>
        </w:tc>
      </w:tr>
      <w:tr>
        <w:trPr>
          <w:trHeight w:val="1379" w:hRule="atLeast"/>
        </w:trPr>
        <w:tc>
          <w:tcPr>
            <w:tcW w:w="853" w:type="dxa"/>
            <w:tcBorders>
              <w:top w:val="nil"/>
            </w:tcBorders>
            <w:shd w:val="clear" w:color="auto" w:fill="CCCCCC"/>
          </w:tcPr>
          <w:p>
            <w:pPr>
              <w:pStyle w:val="TableParagraph"/>
              <w:spacing w:line="182" w:lineRule="exact" w:before="0"/>
              <w:ind w:left="107"/>
              <w:jc w:val="left"/>
              <w:rPr>
                <w:b/>
                <w:sz w:val="16"/>
              </w:rPr>
            </w:pPr>
            <w:r>
              <w:rPr>
                <w:b/>
                <w:w w:val="99"/>
                <w:sz w:val="16"/>
              </w:rPr>
              <w:t>1</w:t>
            </w:r>
          </w:p>
        </w:tc>
        <w:tc>
          <w:tcPr>
            <w:tcW w:w="840" w:type="dxa"/>
            <w:tcBorders>
              <w:top w:val="nil"/>
            </w:tcBorders>
            <w:shd w:val="clear" w:color="auto" w:fill="CCCCCC"/>
          </w:tcPr>
          <w:p>
            <w:pPr>
              <w:pStyle w:val="TableParagraph"/>
              <w:spacing w:line="182" w:lineRule="exact" w:before="0"/>
              <w:ind w:left="106"/>
              <w:jc w:val="left"/>
              <w:rPr>
                <w:sz w:val="16"/>
              </w:rPr>
            </w:pPr>
            <w:r>
              <w:rPr>
                <w:w w:val="100"/>
                <w:sz w:val="16"/>
              </w:rPr>
              <w:t>P</w:t>
            </w:r>
          </w:p>
        </w:tc>
        <w:tc>
          <w:tcPr>
            <w:tcW w:w="1725" w:type="dxa"/>
            <w:tcBorders>
              <w:top w:val="nil"/>
            </w:tcBorders>
            <w:shd w:val="clear" w:color="auto" w:fill="CCCCCC"/>
          </w:tcPr>
          <w:p>
            <w:pPr>
              <w:pStyle w:val="TableParagraph"/>
              <w:spacing w:line="360" w:lineRule="auto" w:before="0"/>
              <w:ind w:left="102"/>
              <w:jc w:val="left"/>
              <w:rPr>
                <w:sz w:val="16"/>
              </w:rPr>
            </w:pPr>
            <w:r>
              <w:rPr>
                <w:sz w:val="16"/>
              </w:rPr>
              <w:t>Área, AñoC, Hab, Baños, Plantas, DSjoséC, DAglomP, Tipo, ZRiesgo,</w:t>
            </w:r>
          </w:p>
          <w:p>
            <w:pPr>
              <w:pStyle w:val="TableParagraph"/>
              <w:spacing w:line="240" w:lineRule="auto" w:before="0"/>
              <w:ind w:left="102"/>
              <w:jc w:val="left"/>
              <w:rPr>
                <w:sz w:val="16"/>
              </w:rPr>
            </w:pPr>
            <w:r>
              <w:rPr>
                <w:sz w:val="16"/>
              </w:rPr>
              <w:t>VistaLC</w:t>
            </w:r>
          </w:p>
        </w:tc>
        <w:tc>
          <w:tcPr>
            <w:tcW w:w="852" w:type="dxa"/>
            <w:tcBorders>
              <w:top w:val="nil"/>
            </w:tcBorders>
            <w:shd w:val="clear" w:color="auto" w:fill="CCCCCC"/>
          </w:tcPr>
          <w:p>
            <w:pPr>
              <w:pStyle w:val="TableParagraph"/>
              <w:spacing w:line="182" w:lineRule="exact" w:before="0"/>
              <w:ind w:left="105"/>
              <w:jc w:val="left"/>
              <w:rPr>
                <w:sz w:val="16"/>
              </w:rPr>
            </w:pPr>
            <w:r>
              <w:rPr>
                <w:sz w:val="16"/>
              </w:rPr>
              <w:t>46.88</w:t>
            </w:r>
          </w:p>
        </w:tc>
        <w:tc>
          <w:tcPr>
            <w:tcW w:w="865" w:type="dxa"/>
            <w:tcBorders>
              <w:top w:val="nil"/>
            </w:tcBorders>
            <w:shd w:val="clear" w:color="auto" w:fill="CCCCCC"/>
          </w:tcPr>
          <w:p>
            <w:pPr>
              <w:pStyle w:val="TableParagraph"/>
              <w:spacing w:line="182" w:lineRule="exact" w:before="0"/>
              <w:ind w:left="101"/>
              <w:jc w:val="left"/>
              <w:rPr>
                <w:sz w:val="16"/>
              </w:rPr>
            </w:pPr>
            <w:r>
              <w:rPr>
                <w:sz w:val="16"/>
              </w:rPr>
              <w:t>25.69</w:t>
            </w:r>
          </w:p>
          <w:p>
            <w:pPr>
              <w:pStyle w:val="TableParagraph"/>
              <w:spacing w:line="240" w:lineRule="auto" w:before="92"/>
              <w:ind w:left="101"/>
              <w:jc w:val="left"/>
              <w:rPr>
                <w:sz w:val="16"/>
              </w:rPr>
            </w:pPr>
            <w:r>
              <w:rPr>
                <w:sz w:val="16"/>
              </w:rPr>
              <w:t>(0.000)</w:t>
            </w:r>
          </w:p>
        </w:tc>
        <w:tc>
          <w:tcPr>
            <w:tcW w:w="1436" w:type="dxa"/>
            <w:tcBorders>
              <w:top w:val="nil"/>
            </w:tcBorders>
            <w:shd w:val="clear" w:color="auto" w:fill="CCCCCC"/>
          </w:tcPr>
          <w:p>
            <w:pPr>
              <w:pStyle w:val="TableParagraph"/>
              <w:spacing w:line="182" w:lineRule="exact" w:before="0"/>
              <w:ind w:left="105"/>
              <w:jc w:val="left"/>
              <w:rPr>
                <w:sz w:val="16"/>
              </w:rPr>
            </w:pPr>
            <w:r>
              <w:rPr>
                <w:sz w:val="16"/>
              </w:rPr>
              <w:t>Hab (+),</w:t>
            </w:r>
          </w:p>
          <w:p>
            <w:pPr>
              <w:pStyle w:val="TableParagraph"/>
              <w:spacing w:line="240" w:lineRule="auto" w:before="92"/>
              <w:ind w:left="105"/>
              <w:jc w:val="left"/>
              <w:rPr>
                <w:sz w:val="16"/>
              </w:rPr>
            </w:pPr>
            <w:r>
              <w:rPr>
                <w:sz w:val="16"/>
              </w:rPr>
              <w:t>Baños (+),</w:t>
            </w:r>
          </w:p>
          <w:p>
            <w:pPr>
              <w:pStyle w:val="TableParagraph"/>
              <w:spacing w:line="360" w:lineRule="auto" w:before="92"/>
              <w:ind w:left="105"/>
              <w:jc w:val="left"/>
              <w:rPr>
                <w:sz w:val="16"/>
              </w:rPr>
            </w:pPr>
            <w:r>
              <w:rPr>
                <w:sz w:val="16"/>
              </w:rPr>
              <w:t>Plantas (-), DAglomP(+),</w:t>
            </w:r>
          </w:p>
          <w:p>
            <w:pPr>
              <w:pStyle w:val="TableParagraph"/>
              <w:spacing w:line="240" w:lineRule="auto" w:before="0"/>
              <w:ind w:left="105"/>
              <w:jc w:val="left"/>
              <w:rPr>
                <w:sz w:val="16"/>
              </w:rPr>
            </w:pPr>
            <w:r>
              <w:rPr>
                <w:sz w:val="16"/>
              </w:rPr>
              <w:t>VistaLC (+)</w:t>
            </w:r>
          </w:p>
        </w:tc>
        <w:tc>
          <w:tcPr>
            <w:tcW w:w="864" w:type="dxa"/>
            <w:tcBorders>
              <w:top w:val="nil"/>
            </w:tcBorders>
            <w:shd w:val="clear" w:color="auto" w:fill="CCCCCC"/>
          </w:tcPr>
          <w:p>
            <w:pPr>
              <w:pStyle w:val="TableParagraph"/>
              <w:spacing w:line="182" w:lineRule="exact" w:before="0"/>
              <w:ind w:left="101"/>
              <w:jc w:val="left"/>
              <w:rPr>
                <w:sz w:val="16"/>
              </w:rPr>
            </w:pPr>
            <w:r>
              <w:rPr>
                <w:sz w:val="16"/>
              </w:rPr>
              <w:t>1.9255</w:t>
            </w:r>
          </w:p>
          <w:p>
            <w:pPr>
              <w:pStyle w:val="TableParagraph"/>
              <w:spacing w:line="240" w:lineRule="auto" w:before="92"/>
              <w:ind w:left="101"/>
              <w:jc w:val="left"/>
              <w:rPr>
                <w:sz w:val="16"/>
              </w:rPr>
            </w:pPr>
            <w:r>
              <w:rPr>
                <w:sz w:val="16"/>
              </w:rPr>
              <w:t>No ACR</w:t>
            </w:r>
          </w:p>
        </w:tc>
        <w:tc>
          <w:tcPr>
            <w:tcW w:w="1376" w:type="dxa"/>
            <w:tcBorders>
              <w:top w:val="nil"/>
            </w:tcBorders>
            <w:shd w:val="clear" w:color="auto" w:fill="CCCCCC"/>
          </w:tcPr>
          <w:p>
            <w:pPr>
              <w:pStyle w:val="TableParagraph"/>
              <w:spacing w:line="182" w:lineRule="exact" w:before="0"/>
              <w:ind w:left="106"/>
              <w:jc w:val="left"/>
              <w:rPr>
                <w:sz w:val="16"/>
              </w:rPr>
            </w:pPr>
            <w:r>
              <w:rPr>
                <w:sz w:val="16"/>
              </w:rPr>
              <w:t>Hab (2.12)</w:t>
            </w:r>
          </w:p>
          <w:p>
            <w:pPr>
              <w:pStyle w:val="TableParagraph"/>
              <w:spacing w:line="240" w:lineRule="auto" w:before="92"/>
              <w:ind w:left="106"/>
              <w:jc w:val="left"/>
              <w:rPr>
                <w:sz w:val="16"/>
              </w:rPr>
            </w:pPr>
            <w:r>
              <w:rPr>
                <w:sz w:val="16"/>
              </w:rPr>
              <w:t>Baños (2.12)</w:t>
            </w:r>
          </w:p>
        </w:tc>
        <w:tc>
          <w:tcPr>
            <w:tcW w:w="1168" w:type="dxa"/>
            <w:tcBorders>
              <w:top w:val="nil"/>
            </w:tcBorders>
            <w:shd w:val="clear" w:color="auto" w:fill="CCCCCC"/>
          </w:tcPr>
          <w:p>
            <w:pPr>
              <w:pStyle w:val="TableParagraph"/>
              <w:spacing w:line="360" w:lineRule="auto" w:before="0"/>
              <w:ind w:left="106"/>
              <w:jc w:val="left"/>
              <w:rPr>
                <w:sz w:val="16"/>
              </w:rPr>
            </w:pPr>
            <w:r>
              <w:rPr>
                <w:sz w:val="16"/>
              </w:rPr>
              <w:t>Patrón creciente</w:t>
            </w:r>
          </w:p>
        </w:tc>
        <w:tc>
          <w:tcPr>
            <w:tcW w:w="997" w:type="dxa"/>
            <w:tcBorders>
              <w:top w:val="nil"/>
            </w:tcBorders>
            <w:shd w:val="clear" w:color="auto" w:fill="CCCCCC"/>
          </w:tcPr>
          <w:p>
            <w:pPr>
              <w:pStyle w:val="TableParagraph"/>
              <w:spacing w:line="182" w:lineRule="exact" w:before="0"/>
              <w:ind w:left="106"/>
              <w:jc w:val="left"/>
              <w:rPr>
                <w:sz w:val="16"/>
              </w:rPr>
            </w:pPr>
            <w:r>
              <w:rPr>
                <w:sz w:val="16"/>
              </w:rPr>
              <w:t>8.102</w:t>
            </w:r>
          </w:p>
          <w:p>
            <w:pPr>
              <w:pStyle w:val="TableParagraph"/>
              <w:spacing w:line="360" w:lineRule="auto" w:before="92"/>
              <w:ind w:left="106" w:right="354"/>
              <w:jc w:val="left"/>
              <w:rPr>
                <w:sz w:val="16"/>
              </w:rPr>
            </w:pPr>
            <w:r>
              <w:rPr>
                <w:sz w:val="16"/>
              </w:rPr>
              <w:t>(0.000) HCD</w:t>
            </w:r>
          </w:p>
        </w:tc>
        <w:tc>
          <w:tcPr>
            <w:tcW w:w="952" w:type="dxa"/>
            <w:tcBorders>
              <w:top w:val="nil"/>
            </w:tcBorders>
            <w:shd w:val="clear" w:color="auto" w:fill="CCCCCC"/>
          </w:tcPr>
          <w:p>
            <w:pPr>
              <w:pStyle w:val="TableParagraph"/>
              <w:spacing w:line="182" w:lineRule="exact" w:before="0"/>
              <w:ind w:left="105"/>
              <w:jc w:val="left"/>
              <w:rPr>
                <w:sz w:val="16"/>
              </w:rPr>
            </w:pPr>
            <w:r>
              <w:rPr>
                <w:sz w:val="16"/>
              </w:rPr>
              <w:t>50.348</w:t>
            </w:r>
          </w:p>
          <w:p>
            <w:pPr>
              <w:pStyle w:val="TableParagraph"/>
              <w:spacing w:line="360" w:lineRule="auto" w:before="92"/>
              <w:ind w:left="105" w:right="310"/>
              <w:jc w:val="left"/>
              <w:rPr>
                <w:sz w:val="16"/>
              </w:rPr>
            </w:pPr>
            <w:r>
              <w:rPr>
                <w:sz w:val="16"/>
              </w:rPr>
              <w:t>(0.000) HCD</w:t>
            </w:r>
          </w:p>
        </w:tc>
        <w:tc>
          <w:tcPr>
            <w:tcW w:w="1153" w:type="dxa"/>
            <w:tcBorders>
              <w:top w:val="nil"/>
            </w:tcBorders>
            <w:shd w:val="clear" w:color="auto" w:fill="CCCCCC"/>
          </w:tcPr>
          <w:p>
            <w:pPr>
              <w:pStyle w:val="TableParagraph"/>
              <w:spacing w:line="240" w:lineRule="auto" w:before="0"/>
              <w:jc w:val="left"/>
              <w:rPr>
                <w:rFonts w:ascii="Times New Roman"/>
                <w:sz w:val="16"/>
              </w:rPr>
            </w:pPr>
          </w:p>
        </w:tc>
        <w:tc>
          <w:tcPr>
            <w:tcW w:w="1592" w:type="dxa"/>
            <w:tcBorders>
              <w:top w:val="nil"/>
            </w:tcBorders>
            <w:shd w:val="clear" w:color="auto" w:fill="CCCCCC"/>
          </w:tcPr>
          <w:p>
            <w:pPr>
              <w:pStyle w:val="TableParagraph"/>
              <w:spacing w:line="240" w:lineRule="auto" w:before="0"/>
              <w:jc w:val="left"/>
              <w:rPr>
                <w:rFonts w:ascii="Times New Roman"/>
                <w:sz w:val="16"/>
              </w:rPr>
            </w:pPr>
          </w:p>
        </w:tc>
      </w:tr>
      <w:tr>
        <w:trPr>
          <w:trHeight w:val="1934" w:hRule="atLeast"/>
        </w:trPr>
        <w:tc>
          <w:tcPr>
            <w:tcW w:w="853" w:type="dxa"/>
          </w:tcPr>
          <w:p>
            <w:pPr>
              <w:pStyle w:val="TableParagraph"/>
              <w:spacing w:line="240" w:lineRule="auto" w:before="1"/>
              <w:ind w:left="107"/>
              <w:jc w:val="left"/>
              <w:rPr>
                <w:b/>
                <w:sz w:val="16"/>
              </w:rPr>
            </w:pPr>
            <w:r>
              <w:rPr>
                <w:b/>
                <w:w w:val="99"/>
                <w:sz w:val="16"/>
              </w:rPr>
              <w:t>2</w:t>
            </w:r>
          </w:p>
        </w:tc>
        <w:tc>
          <w:tcPr>
            <w:tcW w:w="840" w:type="dxa"/>
          </w:tcPr>
          <w:p>
            <w:pPr>
              <w:pStyle w:val="TableParagraph"/>
              <w:spacing w:line="240" w:lineRule="auto" w:before="1"/>
              <w:ind w:left="106"/>
              <w:jc w:val="left"/>
              <w:rPr>
                <w:sz w:val="16"/>
              </w:rPr>
            </w:pPr>
            <w:r>
              <w:rPr>
                <w:w w:val="100"/>
                <w:sz w:val="16"/>
              </w:rPr>
              <w:t>P</w:t>
            </w:r>
          </w:p>
        </w:tc>
        <w:tc>
          <w:tcPr>
            <w:tcW w:w="1725" w:type="dxa"/>
          </w:tcPr>
          <w:p>
            <w:pPr>
              <w:pStyle w:val="TableParagraph"/>
              <w:spacing w:line="360" w:lineRule="auto" w:before="1"/>
              <w:ind w:left="102" w:right="89"/>
              <w:jc w:val="left"/>
              <w:rPr>
                <w:sz w:val="16"/>
              </w:rPr>
            </w:pPr>
            <w:r>
              <w:rPr>
                <w:sz w:val="16"/>
              </w:rPr>
              <w:t>Hab, Baños, Plantas, DSjoséC, DAglomP, Tipo, VistaLC</w:t>
            </w:r>
          </w:p>
        </w:tc>
        <w:tc>
          <w:tcPr>
            <w:tcW w:w="852" w:type="dxa"/>
          </w:tcPr>
          <w:p>
            <w:pPr>
              <w:pStyle w:val="TableParagraph"/>
              <w:spacing w:line="240" w:lineRule="auto" w:before="1"/>
              <w:ind w:left="105"/>
              <w:jc w:val="left"/>
              <w:rPr>
                <w:sz w:val="16"/>
              </w:rPr>
            </w:pPr>
            <w:r>
              <w:rPr>
                <w:sz w:val="16"/>
              </w:rPr>
              <w:t>46.47</w:t>
            </w:r>
          </w:p>
        </w:tc>
        <w:tc>
          <w:tcPr>
            <w:tcW w:w="865" w:type="dxa"/>
          </w:tcPr>
          <w:p>
            <w:pPr>
              <w:pStyle w:val="TableParagraph"/>
              <w:spacing w:line="240" w:lineRule="auto" w:before="1"/>
              <w:ind w:left="101"/>
              <w:jc w:val="left"/>
              <w:rPr>
                <w:sz w:val="16"/>
              </w:rPr>
            </w:pPr>
            <w:r>
              <w:rPr>
                <w:sz w:val="16"/>
              </w:rPr>
              <w:t>36.46</w:t>
            </w:r>
          </w:p>
          <w:p>
            <w:pPr>
              <w:pStyle w:val="TableParagraph"/>
              <w:spacing w:line="240" w:lineRule="auto" w:before="92"/>
              <w:ind w:left="101"/>
              <w:jc w:val="left"/>
              <w:rPr>
                <w:sz w:val="16"/>
              </w:rPr>
            </w:pPr>
            <w:r>
              <w:rPr>
                <w:sz w:val="16"/>
              </w:rPr>
              <w:t>(0.000)</w:t>
            </w:r>
          </w:p>
        </w:tc>
        <w:tc>
          <w:tcPr>
            <w:tcW w:w="1436" w:type="dxa"/>
          </w:tcPr>
          <w:p>
            <w:pPr>
              <w:pStyle w:val="TableParagraph"/>
              <w:spacing w:line="240" w:lineRule="auto" w:before="1"/>
              <w:ind w:left="105"/>
              <w:jc w:val="left"/>
              <w:rPr>
                <w:sz w:val="16"/>
              </w:rPr>
            </w:pPr>
            <w:r>
              <w:rPr>
                <w:sz w:val="16"/>
              </w:rPr>
              <w:t>Hab (+),</w:t>
            </w:r>
          </w:p>
          <w:p>
            <w:pPr>
              <w:pStyle w:val="TableParagraph"/>
              <w:spacing w:line="240" w:lineRule="auto" w:before="92"/>
              <w:ind w:left="105"/>
              <w:jc w:val="left"/>
              <w:rPr>
                <w:sz w:val="16"/>
              </w:rPr>
            </w:pPr>
            <w:r>
              <w:rPr>
                <w:sz w:val="16"/>
              </w:rPr>
              <w:t>Baños</w:t>
            </w:r>
            <w:r>
              <w:rPr>
                <w:spacing w:val="-6"/>
                <w:sz w:val="16"/>
              </w:rPr>
              <w:t> </w:t>
            </w:r>
            <w:r>
              <w:rPr>
                <w:sz w:val="16"/>
              </w:rPr>
              <w:t>(+),</w:t>
            </w:r>
          </w:p>
          <w:p>
            <w:pPr>
              <w:pStyle w:val="TableParagraph"/>
              <w:spacing w:line="240" w:lineRule="auto" w:before="92"/>
              <w:ind w:left="105"/>
              <w:jc w:val="left"/>
              <w:rPr>
                <w:sz w:val="16"/>
              </w:rPr>
            </w:pPr>
            <w:r>
              <w:rPr>
                <w:sz w:val="16"/>
              </w:rPr>
              <w:t>Plantas</w:t>
            </w:r>
            <w:r>
              <w:rPr>
                <w:spacing w:val="-8"/>
                <w:sz w:val="16"/>
              </w:rPr>
              <w:t> </w:t>
            </w:r>
            <w:r>
              <w:rPr>
                <w:sz w:val="16"/>
              </w:rPr>
              <w:t>(-),</w:t>
            </w:r>
          </w:p>
          <w:p>
            <w:pPr>
              <w:pStyle w:val="TableParagraph"/>
              <w:spacing w:line="270" w:lineRule="atLeast" w:before="6"/>
              <w:ind w:left="105" w:right="391"/>
              <w:jc w:val="left"/>
              <w:rPr>
                <w:sz w:val="16"/>
              </w:rPr>
            </w:pPr>
            <w:r>
              <w:rPr>
                <w:sz w:val="16"/>
              </w:rPr>
              <w:t>DSjoséC (-), </w:t>
            </w:r>
            <w:r>
              <w:rPr>
                <w:spacing w:val="-1"/>
                <w:sz w:val="16"/>
              </w:rPr>
              <w:t>DAglomP(+), </w:t>
            </w:r>
            <w:r>
              <w:rPr>
                <w:sz w:val="16"/>
              </w:rPr>
              <w:t>Tipo (+), VistaLC</w:t>
            </w:r>
            <w:r>
              <w:rPr>
                <w:spacing w:val="-2"/>
                <w:sz w:val="16"/>
              </w:rPr>
              <w:t> </w:t>
            </w:r>
            <w:r>
              <w:rPr>
                <w:sz w:val="16"/>
              </w:rPr>
              <w:t>(+)</w:t>
            </w:r>
          </w:p>
        </w:tc>
        <w:tc>
          <w:tcPr>
            <w:tcW w:w="864" w:type="dxa"/>
          </w:tcPr>
          <w:p>
            <w:pPr>
              <w:pStyle w:val="TableParagraph"/>
              <w:spacing w:line="240" w:lineRule="auto" w:before="1"/>
              <w:ind w:left="101"/>
              <w:jc w:val="left"/>
              <w:rPr>
                <w:sz w:val="16"/>
              </w:rPr>
            </w:pPr>
            <w:r>
              <w:rPr>
                <w:sz w:val="16"/>
              </w:rPr>
              <w:t>1.95616</w:t>
            </w:r>
          </w:p>
          <w:p>
            <w:pPr>
              <w:pStyle w:val="TableParagraph"/>
              <w:spacing w:line="240" w:lineRule="auto" w:before="92"/>
              <w:ind w:left="101"/>
              <w:jc w:val="left"/>
              <w:rPr>
                <w:sz w:val="16"/>
              </w:rPr>
            </w:pPr>
            <w:r>
              <w:rPr>
                <w:sz w:val="16"/>
              </w:rPr>
              <w:t>No</w:t>
            </w:r>
            <w:r>
              <w:rPr>
                <w:spacing w:val="-2"/>
                <w:sz w:val="16"/>
              </w:rPr>
              <w:t> </w:t>
            </w:r>
            <w:r>
              <w:rPr>
                <w:sz w:val="16"/>
              </w:rPr>
              <w:t>ACR</w:t>
            </w:r>
          </w:p>
        </w:tc>
        <w:tc>
          <w:tcPr>
            <w:tcW w:w="1376" w:type="dxa"/>
          </w:tcPr>
          <w:p>
            <w:pPr>
              <w:pStyle w:val="TableParagraph"/>
              <w:spacing w:line="240" w:lineRule="auto" w:before="1"/>
              <w:ind w:left="106"/>
              <w:jc w:val="left"/>
              <w:rPr>
                <w:sz w:val="16"/>
              </w:rPr>
            </w:pPr>
            <w:r>
              <w:rPr>
                <w:sz w:val="16"/>
              </w:rPr>
              <w:t>Hab (2.10)</w:t>
            </w:r>
          </w:p>
          <w:p>
            <w:pPr>
              <w:pStyle w:val="TableParagraph"/>
              <w:spacing w:line="240" w:lineRule="auto" w:before="92"/>
              <w:ind w:left="106"/>
              <w:jc w:val="left"/>
              <w:rPr>
                <w:sz w:val="16"/>
              </w:rPr>
            </w:pPr>
            <w:r>
              <w:rPr>
                <w:sz w:val="16"/>
              </w:rPr>
              <w:t>Baños (2.06)</w:t>
            </w:r>
          </w:p>
        </w:tc>
        <w:tc>
          <w:tcPr>
            <w:tcW w:w="1168" w:type="dxa"/>
          </w:tcPr>
          <w:p>
            <w:pPr>
              <w:pStyle w:val="TableParagraph"/>
              <w:spacing w:line="360" w:lineRule="auto" w:before="1"/>
              <w:ind w:left="106"/>
              <w:jc w:val="left"/>
              <w:rPr>
                <w:sz w:val="16"/>
              </w:rPr>
            </w:pPr>
            <w:r>
              <w:rPr>
                <w:sz w:val="16"/>
              </w:rPr>
              <w:t>Patrón creciente</w:t>
            </w:r>
          </w:p>
        </w:tc>
        <w:tc>
          <w:tcPr>
            <w:tcW w:w="997" w:type="dxa"/>
          </w:tcPr>
          <w:p>
            <w:pPr>
              <w:pStyle w:val="TableParagraph"/>
              <w:spacing w:line="240" w:lineRule="auto" w:before="1"/>
              <w:ind w:left="106"/>
              <w:jc w:val="left"/>
              <w:rPr>
                <w:sz w:val="16"/>
              </w:rPr>
            </w:pPr>
            <w:r>
              <w:rPr>
                <w:sz w:val="16"/>
              </w:rPr>
              <w:t>9.720</w:t>
            </w:r>
          </w:p>
          <w:p>
            <w:pPr>
              <w:pStyle w:val="TableParagraph"/>
              <w:spacing w:line="360" w:lineRule="auto" w:before="92"/>
              <w:ind w:left="106" w:right="354"/>
              <w:jc w:val="left"/>
              <w:rPr>
                <w:sz w:val="16"/>
              </w:rPr>
            </w:pPr>
            <w:r>
              <w:rPr>
                <w:sz w:val="16"/>
              </w:rPr>
              <w:t>(0.000) HCD</w:t>
            </w:r>
          </w:p>
        </w:tc>
        <w:tc>
          <w:tcPr>
            <w:tcW w:w="952" w:type="dxa"/>
          </w:tcPr>
          <w:p>
            <w:pPr>
              <w:pStyle w:val="TableParagraph"/>
              <w:spacing w:line="240" w:lineRule="auto" w:before="1"/>
              <w:ind w:left="105"/>
              <w:jc w:val="left"/>
              <w:rPr>
                <w:sz w:val="16"/>
              </w:rPr>
            </w:pPr>
            <w:r>
              <w:rPr>
                <w:sz w:val="16"/>
              </w:rPr>
              <w:t>51.789</w:t>
            </w:r>
          </w:p>
          <w:p>
            <w:pPr>
              <w:pStyle w:val="TableParagraph"/>
              <w:spacing w:line="360" w:lineRule="auto" w:before="92"/>
              <w:ind w:left="105" w:right="310"/>
              <w:jc w:val="left"/>
              <w:rPr>
                <w:sz w:val="16"/>
              </w:rPr>
            </w:pPr>
            <w:r>
              <w:rPr>
                <w:sz w:val="16"/>
              </w:rPr>
              <w:t>(0.000) HCD</w:t>
            </w:r>
          </w:p>
        </w:tc>
        <w:tc>
          <w:tcPr>
            <w:tcW w:w="1153" w:type="dxa"/>
          </w:tcPr>
          <w:p>
            <w:pPr>
              <w:pStyle w:val="TableParagraph"/>
              <w:spacing w:line="240" w:lineRule="auto" w:before="0"/>
              <w:jc w:val="left"/>
              <w:rPr>
                <w:rFonts w:ascii="Times New Roman"/>
                <w:sz w:val="16"/>
              </w:rPr>
            </w:pPr>
          </w:p>
        </w:tc>
        <w:tc>
          <w:tcPr>
            <w:tcW w:w="1592" w:type="dxa"/>
          </w:tcPr>
          <w:p>
            <w:pPr>
              <w:pStyle w:val="TableParagraph"/>
              <w:spacing w:line="240" w:lineRule="auto" w:before="0"/>
              <w:jc w:val="left"/>
              <w:rPr>
                <w:rFonts w:ascii="Times New Roman"/>
                <w:sz w:val="16"/>
              </w:rPr>
            </w:pPr>
          </w:p>
        </w:tc>
      </w:tr>
      <w:tr>
        <w:trPr>
          <w:trHeight w:val="1654" w:hRule="atLeast"/>
        </w:trPr>
        <w:tc>
          <w:tcPr>
            <w:tcW w:w="853" w:type="dxa"/>
            <w:shd w:val="clear" w:color="auto" w:fill="CCCCCC"/>
          </w:tcPr>
          <w:p>
            <w:pPr>
              <w:pStyle w:val="TableParagraph"/>
              <w:spacing w:line="181" w:lineRule="exact" w:before="0"/>
              <w:ind w:left="107"/>
              <w:jc w:val="left"/>
              <w:rPr>
                <w:b/>
                <w:sz w:val="16"/>
              </w:rPr>
            </w:pPr>
            <w:r>
              <w:rPr>
                <w:b/>
                <w:w w:val="99"/>
                <w:sz w:val="16"/>
              </w:rPr>
              <w:t>3</w:t>
            </w:r>
          </w:p>
        </w:tc>
        <w:tc>
          <w:tcPr>
            <w:tcW w:w="840" w:type="dxa"/>
            <w:shd w:val="clear" w:color="auto" w:fill="CCCCCC"/>
          </w:tcPr>
          <w:p>
            <w:pPr>
              <w:pStyle w:val="TableParagraph"/>
              <w:spacing w:line="181" w:lineRule="exact" w:before="0"/>
              <w:ind w:left="106"/>
              <w:jc w:val="left"/>
              <w:rPr>
                <w:sz w:val="16"/>
              </w:rPr>
            </w:pPr>
            <w:r>
              <w:rPr>
                <w:w w:val="100"/>
                <w:sz w:val="16"/>
              </w:rPr>
              <w:t>P</w:t>
            </w:r>
          </w:p>
        </w:tc>
        <w:tc>
          <w:tcPr>
            <w:tcW w:w="1725" w:type="dxa"/>
            <w:shd w:val="clear" w:color="auto" w:fill="CCCCCC"/>
          </w:tcPr>
          <w:p>
            <w:pPr>
              <w:pStyle w:val="TableParagraph"/>
              <w:spacing w:line="360" w:lineRule="auto" w:before="0"/>
              <w:ind w:left="102" w:right="98"/>
              <w:jc w:val="left"/>
              <w:rPr>
                <w:sz w:val="16"/>
              </w:rPr>
            </w:pPr>
            <w:r>
              <w:rPr>
                <w:sz w:val="16"/>
              </w:rPr>
              <w:t>Área, AñoC, Plantas, DSjoséC, DAglomP, Tipo, ZRiesgo, VistaLC</w:t>
            </w:r>
          </w:p>
        </w:tc>
        <w:tc>
          <w:tcPr>
            <w:tcW w:w="852" w:type="dxa"/>
            <w:shd w:val="clear" w:color="auto" w:fill="CCCCCC"/>
          </w:tcPr>
          <w:p>
            <w:pPr>
              <w:pStyle w:val="TableParagraph"/>
              <w:spacing w:line="181" w:lineRule="exact" w:before="0"/>
              <w:ind w:left="105"/>
              <w:jc w:val="left"/>
              <w:rPr>
                <w:sz w:val="16"/>
              </w:rPr>
            </w:pPr>
            <w:r>
              <w:rPr>
                <w:sz w:val="16"/>
              </w:rPr>
              <w:t>19.73</w:t>
            </w:r>
          </w:p>
        </w:tc>
        <w:tc>
          <w:tcPr>
            <w:tcW w:w="865" w:type="dxa"/>
            <w:shd w:val="clear" w:color="auto" w:fill="CCCCCC"/>
          </w:tcPr>
          <w:p>
            <w:pPr>
              <w:pStyle w:val="TableParagraph"/>
              <w:spacing w:line="181" w:lineRule="exact" w:before="0"/>
              <w:ind w:left="101"/>
              <w:jc w:val="left"/>
              <w:rPr>
                <w:sz w:val="16"/>
              </w:rPr>
            </w:pPr>
            <w:r>
              <w:rPr>
                <w:sz w:val="16"/>
              </w:rPr>
              <w:t>9.00</w:t>
            </w:r>
          </w:p>
          <w:p>
            <w:pPr>
              <w:pStyle w:val="TableParagraph"/>
              <w:spacing w:line="240" w:lineRule="auto" w:before="92"/>
              <w:ind w:left="101"/>
              <w:jc w:val="left"/>
              <w:rPr>
                <w:sz w:val="16"/>
              </w:rPr>
            </w:pPr>
            <w:r>
              <w:rPr>
                <w:sz w:val="16"/>
              </w:rPr>
              <w:t>(0.000)</w:t>
            </w:r>
          </w:p>
        </w:tc>
        <w:tc>
          <w:tcPr>
            <w:tcW w:w="1436" w:type="dxa"/>
            <w:shd w:val="clear" w:color="auto" w:fill="CCCCCC"/>
          </w:tcPr>
          <w:p>
            <w:pPr>
              <w:pStyle w:val="TableParagraph"/>
              <w:spacing w:line="181" w:lineRule="exact" w:before="0"/>
              <w:ind w:left="105"/>
              <w:jc w:val="left"/>
              <w:rPr>
                <w:sz w:val="16"/>
              </w:rPr>
            </w:pPr>
            <w:r>
              <w:rPr>
                <w:sz w:val="16"/>
              </w:rPr>
              <w:t>Área</w:t>
            </w:r>
            <w:r>
              <w:rPr>
                <w:spacing w:val="-7"/>
                <w:sz w:val="16"/>
              </w:rPr>
              <w:t> </w:t>
            </w:r>
            <w:r>
              <w:rPr>
                <w:sz w:val="16"/>
              </w:rPr>
              <w:t>(+),</w:t>
            </w:r>
          </w:p>
          <w:p>
            <w:pPr>
              <w:pStyle w:val="TableParagraph"/>
              <w:spacing w:line="240" w:lineRule="auto" w:before="92"/>
              <w:ind w:left="105"/>
              <w:jc w:val="left"/>
              <w:rPr>
                <w:sz w:val="16"/>
              </w:rPr>
            </w:pPr>
            <w:r>
              <w:rPr>
                <w:sz w:val="16"/>
              </w:rPr>
              <w:t>AñoC</w:t>
            </w:r>
            <w:r>
              <w:rPr>
                <w:spacing w:val="-9"/>
                <w:sz w:val="16"/>
              </w:rPr>
              <w:t> </w:t>
            </w:r>
            <w:r>
              <w:rPr>
                <w:sz w:val="16"/>
              </w:rPr>
              <w:t>(-),</w:t>
            </w:r>
          </w:p>
          <w:p>
            <w:pPr>
              <w:pStyle w:val="TableParagraph"/>
              <w:spacing w:line="276" w:lineRule="exact" w:before="21"/>
              <w:ind w:left="105" w:right="180"/>
              <w:jc w:val="left"/>
              <w:rPr>
                <w:sz w:val="16"/>
              </w:rPr>
            </w:pPr>
            <w:r>
              <w:rPr>
                <w:sz w:val="16"/>
              </w:rPr>
              <w:t>DSjoséC (-), DAglomP (+), Tipo (+), VistaLC (+)</w:t>
            </w:r>
          </w:p>
        </w:tc>
        <w:tc>
          <w:tcPr>
            <w:tcW w:w="864" w:type="dxa"/>
            <w:shd w:val="clear" w:color="auto" w:fill="CCCCCC"/>
          </w:tcPr>
          <w:p>
            <w:pPr>
              <w:pStyle w:val="TableParagraph"/>
              <w:spacing w:line="181" w:lineRule="exact" w:before="0"/>
              <w:ind w:left="101"/>
              <w:jc w:val="left"/>
              <w:rPr>
                <w:sz w:val="16"/>
              </w:rPr>
            </w:pPr>
            <w:r>
              <w:rPr>
                <w:sz w:val="16"/>
              </w:rPr>
              <w:t>2.00399</w:t>
            </w:r>
          </w:p>
          <w:p>
            <w:pPr>
              <w:pStyle w:val="TableParagraph"/>
              <w:spacing w:line="240" w:lineRule="auto" w:before="92"/>
              <w:ind w:left="101"/>
              <w:jc w:val="left"/>
              <w:rPr>
                <w:sz w:val="16"/>
              </w:rPr>
            </w:pPr>
            <w:r>
              <w:rPr>
                <w:sz w:val="16"/>
              </w:rPr>
              <w:t>No</w:t>
            </w:r>
            <w:r>
              <w:rPr>
                <w:spacing w:val="-2"/>
                <w:sz w:val="16"/>
              </w:rPr>
              <w:t> </w:t>
            </w:r>
            <w:r>
              <w:rPr>
                <w:sz w:val="16"/>
              </w:rPr>
              <w:t>ACR</w:t>
            </w:r>
          </w:p>
        </w:tc>
        <w:tc>
          <w:tcPr>
            <w:tcW w:w="1376" w:type="dxa"/>
            <w:shd w:val="clear" w:color="auto" w:fill="CCCCCC"/>
          </w:tcPr>
          <w:p>
            <w:pPr>
              <w:pStyle w:val="TableParagraph"/>
              <w:spacing w:line="240" w:lineRule="auto" w:before="0"/>
              <w:jc w:val="left"/>
              <w:rPr>
                <w:rFonts w:ascii="Times New Roman"/>
                <w:sz w:val="16"/>
              </w:rPr>
            </w:pPr>
          </w:p>
        </w:tc>
        <w:tc>
          <w:tcPr>
            <w:tcW w:w="1168" w:type="dxa"/>
            <w:shd w:val="clear" w:color="auto" w:fill="CCCCCC"/>
          </w:tcPr>
          <w:p>
            <w:pPr>
              <w:pStyle w:val="TableParagraph"/>
              <w:spacing w:line="360" w:lineRule="auto" w:before="0"/>
              <w:ind w:left="106"/>
              <w:jc w:val="left"/>
              <w:rPr>
                <w:sz w:val="16"/>
              </w:rPr>
            </w:pPr>
            <w:r>
              <w:rPr>
                <w:sz w:val="16"/>
              </w:rPr>
              <w:t>Patrón creciente</w:t>
            </w:r>
          </w:p>
        </w:tc>
        <w:tc>
          <w:tcPr>
            <w:tcW w:w="997" w:type="dxa"/>
            <w:shd w:val="clear" w:color="auto" w:fill="CCCCCC"/>
          </w:tcPr>
          <w:p>
            <w:pPr>
              <w:pStyle w:val="TableParagraph"/>
              <w:spacing w:line="181" w:lineRule="exact" w:before="0"/>
              <w:ind w:left="106"/>
              <w:jc w:val="left"/>
              <w:rPr>
                <w:sz w:val="16"/>
              </w:rPr>
            </w:pPr>
            <w:r>
              <w:rPr>
                <w:sz w:val="16"/>
              </w:rPr>
              <w:t>4.587</w:t>
            </w:r>
          </w:p>
          <w:p>
            <w:pPr>
              <w:pStyle w:val="TableParagraph"/>
              <w:spacing w:line="360" w:lineRule="auto" w:before="92"/>
              <w:ind w:left="106" w:right="354"/>
              <w:jc w:val="left"/>
              <w:rPr>
                <w:sz w:val="16"/>
              </w:rPr>
            </w:pPr>
            <w:r>
              <w:rPr>
                <w:sz w:val="16"/>
              </w:rPr>
              <w:t>(0.000) HCD</w:t>
            </w:r>
          </w:p>
        </w:tc>
        <w:tc>
          <w:tcPr>
            <w:tcW w:w="952" w:type="dxa"/>
            <w:shd w:val="clear" w:color="auto" w:fill="CCCCCC"/>
          </w:tcPr>
          <w:p>
            <w:pPr>
              <w:pStyle w:val="TableParagraph"/>
              <w:spacing w:line="181" w:lineRule="exact" w:before="0"/>
              <w:ind w:left="105"/>
              <w:jc w:val="left"/>
              <w:rPr>
                <w:sz w:val="16"/>
              </w:rPr>
            </w:pPr>
            <w:r>
              <w:rPr>
                <w:sz w:val="16"/>
              </w:rPr>
              <w:t>13.750</w:t>
            </w:r>
          </w:p>
          <w:p>
            <w:pPr>
              <w:pStyle w:val="TableParagraph"/>
              <w:spacing w:line="360" w:lineRule="auto" w:before="92"/>
              <w:ind w:left="105" w:right="310"/>
              <w:jc w:val="left"/>
              <w:rPr>
                <w:sz w:val="16"/>
              </w:rPr>
            </w:pPr>
            <w:r>
              <w:rPr>
                <w:sz w:val="16"/>
              </w:rPr>
              <w:t>(0.000) HCD</w:t>
            </w:r>
          </w:p>
        </w:tc>
        <w:tc>
          <w:tcPr>
            <w:tcW w:w="1153" w:type="dxa"/>
            <w:shd w:val="clear" w:color="auto" w:fill="CCCCCC"/>
          </w:tcPr>
          <w:p>
            <w:pPr>
              <w:pStyle w:val="TableParagraph"/>
              <w:spacing w:line="240" w:lineRule="auto" w:before="0"/>
              <w:jc w:val="left"/>
              <w:rPr>
                <w:rFonts w:ascii="Times New Roman"/>
                <w:sz w:val="16"/>
              </w:rPr>
            </w:pPr>
          </w:p>
        </w:tc>
        <w:tc>
          <w:tcPr>
            <w:tcW w:w="1592" w:type="dxa"/>
            <w:shd w:val="clear" w:color="auto" w:fill="CCCCCC"/>
          </w:tcPr>
          <w:p>
            <w:pPr>
              <w:pStyle w:val="TableParagraph"/>
              <w:spacing w:line="240" w:lineRule="auto" w:before="0"/>
              <w:jc w:val="left"/>
              <w:rPr>
                <w:rFonts w:ascii="Times New Roman"/>
                <w:sz w:val="16"/>
              </w:rPr>
            </w:pPr>
          </w:p>
        </w:tc>
      </w:tr>
      <w:tr>
        <w:trPr>
          <w:trHeight w:val="1658" w:hRule="atLeast"/>
        </w:trPr>
        <w:tc>
          <w:tcPr>
            <w:tcW w:w="853" w:type="dxa"/>
          </w:tcPr>
          <w:p>
            <w:pPr>
              <w:pStyle w:val="TableParagraph"/>
              <w:spacing w:line="240" w:lineRule="auto" w:before="0"/>
              <w:ind w:left="107"/>
              <w:jc w:val="left"/>
              <w:rPr>
                <w:b/>
                <w:sz w:val="16"/>
              </w:rPr>
            </w:pPr>
            <w:r>
              <w:rPr>
                <w:b/>
                <w:w w:val="99"/>
                <w:sz w:val="16"/>
              </w:rPr>
              <w:t>4</w:t>
            </w:r>
          </w:p>
        </w:tc>
        <w:tc>
          <w:tcPr>
            <w:tcW w:w="840" w:type="dxa"/>
          </w:tcPr>
          <w:p>
            <w:pPr>
              <w:pStyle w:val="TableParagraph"/>
              <w:spacing w:line="240" w:lineRule="auto" w:before="0"/>
              <w:ind w:left="106"/>
              <w:jc w:val="left"/>
              <w:rPr>
                <w:sz w:val="16"/>
              </w:rPr>
            </w:pPr>
            <w:r>
              <w:rPr>
                <w:sz w:val="16"/>
              </w:rPr>
              <w:t>LNP</w:t>
            </w:r>
          </w:p>
        </w:tc>
        <w:tc>
          <w:tcPr>
            <w:tcW w:w="1725" w:type="dxa"/>
          </w:tcPr>
          <w:p>
            <w:pPr>
              <w:pStyle w:val="TableParagraph"/>
              <w:spacing w:line="360" w:lineRule="auto" w:before="0"/>
              <w:ind w:left="102"/>
              <w:jc w:val="left"/>
              <w:rPr>
                <w:sz w:val="16"/>
              </w:rPr>
            </w:pPr>
            <w:r>
              <w:rPr>
                <w:sz w:val="16"/>
              </w:rPr>
              <w:t>LNÁrea, LNAñoC, LNHab, LNBaños, LNPlantas, LNDSjoséC, LNDAglomP,</w:t>
            </w:r>
            <w:r>
              <w:rPr>
                <w:spacing w:val="-1"/>
                <w:sz w:val="16"/>
              </w:rPr>
              <w:t> </w:t>
            </w:r>
            <w:r>
              <w:rPr>
                <w:spacing w:val="-4"/>
                <w:sz w:val="16"/>
              </w:rPr>
              <w:t>Tipo,</w:t>
            </w:r>
          </w:p>
          <w:p>
            <w:pPr>
              <w:pStyle w:val="TableParagraph"/>
              <w:spacing w:line="240" w:lineRule="auto" w:before="1"/>
              <w:ind w:left="102"/>
              <w:jc w:val="left"/>
              <w:rPr>
                <w:sz w:val="16"/>
              </w:rPr>
            </w:pPr>
            <w:r>
              <w:rPr>
                <w:sz w:val="16"/>
              </w:rPr>
              <w:t>ZRiesgo,</w:t>
            </w:r>
            <w:r>
              <w:rPr>
                <w:spacing w:val="-10"/>
                <w:sz w:val="16"/>
              </w:rPr>
              <w:t> </w:t>
            </w:r>
            <w:r>
              <w:rPr>
                <w:sz w:val="16"/>
              </w:rPr>
              <w:t>VistaLC</w:t>
            </w:r>
          </w:p>
        </w:tc>
        <w:tc>
          <w:tcPr>
            <w:tcW w:w="852" w:type="dxa"/>
          </w:tcPr>
          <w:p>
            <w:pPr>
              <w:pStyle w:val="TableParagraph"/>
              <w:spacing w:line="240" w:lineRule="auto" w:before="0"/>
              <w:ind w:left="105"/>
              <w:jc w:val="left"/>
              <w:rPr>
                <w:sz w:val="16"/>
              </w:rPr>
            </w:pPr>
            <w:r>
              <w:rPr>
                <w:sz w:val="16"/>
              </w:rPr>
              <w:t>53.35</w:t>
            </w:r>
          </w:p>
        </w:tc>
        <w:tc>
          <w:tcPr>
            <w:tcW w:w="865" w:type="dxa"/>
          </w:tcPr>
          <w:p>
            <w:pPr>
              <w:pStyle w:val="TableParagraph"/>
              <w:spacing w:line="240" w:lineRule="auto" w:before="0"/>
              <w:ind w:left="101"/>
              <w:jc w:val="left"/>
              <w:rPr>
                <w:sz w:val="16"/>
              </w:rPr>
            </w:pPr>
            <w:r>
              <w:rPr>
                <w:sz w:val="16"/>
              </w:rPr>
              <w:t>33.16</w:t>
            </w:r>
          </w:p>
          <w:p>
            <w:pPr>
              <w:pStyle w:val="TableParagraph"/>
              <w:spacing w:line="240" w:lineRule="auto" w:before="93"/>
              <w:ind w:left="101"/>
              <w:jc w:val="left"/>
              <w:rPr>
                <w:sz w:val="16"/>
              </w:rPr>
            </w:pPr>
            <w:r>
              <w:rPr>
                <w:sz w:val="16"/>
              </w:rPr>
              <w:t>(0.000)</w:t>
            </w:r>
          </w:p>
        </w:tc>
        <w:tc>
          <w:tcPr>
            <w:tcW w:w="1436" w:type="dxa"/>
          </w:tcPr>
          <w:p>
            <w:pPr>
              <w:pStyle w:val="TableParagraph"/>
              <w:spacing w:line="240" w:lineRule="auto" w:before="0"/>
              <w:ind w:left="105"/>
              <w:jc w:val="left"/>
              <w:rPr>
                <w:sz w:val="16"/>
              </w:rPr>
            </w:pPr>
            <w:r>
              <w:rPr>
                <w:sz w:val="16"/>
              </w:rPr>
              <w:t>LNHab (+),</w:t>
            </w:r>
          </w:p>
          <w:p>
            <w:pPr>
              <w:pStyle w:val="TableParagraph"/>
              <w:spacing w:line="360" w:lineRule="auto" w:before="93"/>
              <w:ind w:left="105"/>
              <w:jc w:val="left"/>
              <w:rPr>
                <w:sz w:val="16"/>
              </w:rPr>
            </w:pPr>
            <w:r>
              <w:rPr>
                <w:sz w:val="16"/>
              </w:rPr>
              <w:t>LNBaños (+), LNDSjoséC (-), LNDAglomP (+), Tipo (+)</w:t>
            </w:r>
          </w:p>
        </w:tc>
        <w:tc>
          <w:tcPr>
            <w:tcW w:w="864" w:type="dxa"/>
          </w:tcPr>
          <w:p>
            <w:pPr>
              <w:pStyle w:val="TableParagraph"/>
              <w:spacing w:line="240" w:lineRule="auto" w:before="0"/>
              <w:ind w:left="101"/>
              <w:jc w:val="left"/>
              <w:rPr>
                <w:sz w:val="16"/>
              </w:rPr>
            </w:pPr>
            <w:r>
              <w:rPr>
                <w:sz w:val="16"/>
              </w:rPr>
              <w:t>1.79147</w:t>
            </w:r>
          </w:p>
          <w:p>
            <w:pPr>
              <w:pStyle w:val="TableParagraph"/>
              <w:spacing w:line="240" w:lineRule="auto" w:before="93"/>
              <w:ind w:left="101"/>
              <w:jc w:val="left"/>
              <w:rPr>
                <w:sz w:val="16"/>
              </w:rPr>
            </w:pPr>
            <w:r>
              <w:rPr>
                <w:sz w:val="16"/>
              </w:rPr>
              <w:t>No</w:t>
            </w:r>
            <w:r>
              <w:rPr>
                <w:spacing w:val="-2"/>
                <w:sz w:val="16"/>
              </w:rPr>
              <w:t> </w:t>
            </w:r>
            <w:r>
              <w:rPr>
                <w:sz w:val="16"/>
              </w:rPr>
              <w:t>ACR</w:t>
            </w:r>
          </w:p>
        </w:tc>
        <w:tc>
          <w:tcPr>
            <w:tcW w:w="1376" w:type="dxa"/>
          </w:tcPr>
          <w:p>
            <w:pPr>
              <w:pStyle w:val="TableParagraph"/>
              <w:spacing w:line="240" w:lineRule="auto" w:before="0"/>
              <w:ind w:left="106"/>
              <w:jc w:val="left"/>
              <w:rPr>
                <w:sz w:val="16"/>
              </w:rPr>
            </w:pPr>
            <w:r>
              <w:rPr>
                <w:sz w:val="16"/>
              </w:rPr>
              <w:t>LNHab (2.20)</w:t>
            </w:r>
          </w:p>
          <w:p>
            <w:pPr>
              <w:pStyle w:val="TableParagraph"/>
              <w:spacing w:line="240" w:lineRule="auto" w:before="93"/>
              <w:ind w:left="106"/>
              <w:jc w:val="left"/>
              <w:rPr>
                <w:sz w:val="16"/>
              </w:rPr>
            </w:pPr>
            <w:r>
              <w:rPr>
                <w:sz w:val="16"/>
              </w:rPr>
              <w:t>LNBaños (2.21)</w:t>
            </w:r>
          </w:p>
        </w:tc>
        <w:tc>
          <w:tcPr>
            <w:tcW w:w="1168" w:type="dxa"/>
          </w:tcPr>
          <w:p>
            <w:pPr>
              <w:pStyle w:val="TableParagraph"/>
              <w:spacing w:line="360" w:lineRule="auto" w:before="0"/>
              <w:ind w:left="106"/>
              <w:jc w:val="left"/>
              <w:rPr>
                <w:sz w:val="16"/>
              </w:rPr>
            </w:pPr>
            <w:r>
              <w:rPr>
                <w:sz w:val="16"/>
              </w:rPr>
              <w:t>Patrón creciente</w:t>
            </w:r>
          </w:p>
        </w:tc>
        <w:tc>
          <w:tcPr>
            <w:tcW w:w="997" w:type="dxa"/>
          </w:tcPr>
          <w:p>
            <w:pPr>
              <w:pStyle w:val="TableParagraph"/>
              <w:spacing w:line="240" w:lineRule="auto" w:before="0"/>
              <w:ind w:left="106"/>
              <w:jc w:val="left"/>
              <w:rPr>
                <w:sz w:val="16"/>
              </w:rPr>
            </w:pPr>
            <w:r>
              <w:rPr>
                <w:sz w:val="16"/>
              </w:rPr>
              <w:t>3.701</w:t>
            </w:r>
          </w:p>
          <w:p>
            <w:pPr>
              <w:pStyle w:val="TableParagraph"/>
              <w:spacing w:line="360" w:lineRule="auto" w:before="93"/>
              <w:ind w:left="106" w:right="354"/>
              <w:jc w:val="left"/>
              <w:rPr>
                <w:sz w:val="16"/>
              </w:rPr>
            </w:pPr>
            <w:r>
              <w:rPr>
                <w:sz w:val="16"/>
              </w:rPr>
              <w:t>(0.000) HCD</w:t>
            </w:r>
          </w:p>
        </w:tc>
        <w:tc>
          <w:tcPr>
            <w:tcW w:w="952" w:type="dxa"/>
          </w:tcPr>
          <w:p>
            <w:pPr>
              <w:pStyle w:val="TableParagraph"/>
              <w:spacing w:line="240" w:lineRule="auto" w:before="0"/>
              <w:ind w:left="105"/>
              <w:jc w:val="left"/>
              <w:rPr>
                <w:sz w:val="16"/>
              </w:rPr>
            </w:pPr>
            <w:r>
              <w:rPr>
                <w:sz w:val="16"/>
              </w:rPr>
              <w:t>7.775</w:t>
            </w:r>
          </w:p>
          <w:p>
            <w:pPr>
              <w:pStyle w:val="TableParagraph"/>
              <w:spacing w:line="360" w:lineRule="auto" w:before="93"/>
              <w:ind w:left="105" w:right="310"/>
              <w:jc w:val="left"/>
              <w:rPr>
                <w:sz w:val="16"/>
              </w:rPr>
            </w:pPr>
            <w:r>
              <w:rPr>
                <w:sz w:val="16"/>
              </w:rPr>
              <w:t>(0.001) HCD</w:t>
            </w:r>
          </w:p>
        </w:tc>
        <w:tc>
          <w:tcPr>
            <w:tcW w:w="1153" w:type="dxa"/>
          </w:tcPr>
          <w:p>
            <w:pPr>
              <w:pStyle w:val="TableParagraph"/>
              <w:spacing w:line="240" w:lineRule="auto" w:before="0"/>
              <w:ind w:left="101"/>
              <w:jc w:val="left"/>
              <w:rPr>
                <w:sz w:val="16"/>
              </w:rPr>
            </w:pPr>
            <w:r>
              <w:rPr>
                <w:sz w:val="16"/>
              </w:rPr>
              <w:t>53.35</w:t>
            </w:r>
          </w:p>
        </w:tc>
        <w:tc>
          <w:tcPr>
            <w:tcW w:w="1592" w:type="dxa"/>
          </w:tcPr>
          <w:p>
            <w:pPr>
              <w:pStyle w:val="TableParagraph"/>
              <w:spacing w:line="360" w:lineRule="auto" w:before="0"/>
              <w:ind w:left="105" w:right="238"/>
              <w:jc w:val="left"/>
              <w:rPr>
                <w:sz w:val="16"/>
              </w:rPr>
            </w:pPr>
            <w:r>
              <w:rPr>
                <w:sz w:val="16"/>
              </w:rPr>
              <w:t>Tipo (+), LNBaños (+), LNDSjoséC (-), LNDAglomP (+), VistaLC (+)</w:t>
            </w:r>
          </w:p>
        </w:tc>
      </w:tr>
    </w:tbl>
    <w:p>
      <w:pPr>
        <w:spacing w:after="0" w:line="360" w:lineRule="auto"/>
        <w:jc w:val="left"/>
        <w:rPr>
          <w:sz w:val="16"/>
        </w:rPr>
        <w:sectPr>
          <w:footerReference w:type="default" r:id="rId91"/>
          <w:pgSz w:w="15840" w:h="12240" w:orient="landscape"/>
          <w:pgMar w:footer="982" w:header="0" w:top="1140" w:bottom="1180" w:left="520" w:right="400"/>
          <w:pgNumType w:start="104"/>
        </w:sectPr>
      </w:pPr>
    </w:p>
    <w:p>
      <w:pPr>
        <w:pStyle w:val="BodyText"/>
        <w:spacing w:before="1"/>
        <w:rPr>
          <w:i/>
          <w:sz w:val="26"/>
        </w:rPr>
      </w:pPr>
    </w:p>
    <w:tbl>
      <w:tblPr>
        <w:tblW w:w="0" w:type="auto"/>
        <w:jc w:val="left"/>
        <w:tblInd w:w="11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853"/>
        <w:gridCol w:w="840"/>
        <w:gridCol w:w="1725"/>
        <w:gridCol w:w="852"/>
        <w:gridCol w:w="865"/>
        <w:gridCol w:w="1436"/>
        <w:gridCol w:w="864"/>
        <w:gridCol w:w="1376"/>
        <w:gridCol w:w="1168"/>
        <w:gridCol w:w="997"/>
        <w:gridCol w:w="952"/>
        <w:gridCol w:w="1153"/>
        <w:gridCol w:w="1612"/>
      </w:tblGrid>
      <w:tr>
        <w:trPr>
          <w:trHeight w:val="1128" w:hRule="atLeast"/>
        </w:trPr>
        <w:tc>
          <w:tcPr>
            <w:tcW w:w="853" w:type="dxa"/>
            <w:tcBorders>
              <w:top w:val="nil"/>
              <w:left w:val="nil"/>
              <w:bottom w:val="nil"/>
              <w:right w:val="nil"/>
            </w:tcBorders>
            <w:shd w:val="clear" w:color="auto" w:fill="000000"/>
          </w:tcPr>
          <w:p>
            <w:pPr>
              <w:pStyle w:val="TableParagraph"/>
              <w:spacing w:line="240" w:lineRule="auto" w:before="10"/>
              <w:ind w:left="112"/>
              <w:jc w:val="left"/>
              <w:rPr>
                <w:b/>
                <w:sz w:val="16"/>
              </w:rPr>
            </w:pPr>
            <w:r>
              <w:rPr>
                <w:b/>
                <w:color w:val="FFFFFF"/>
                <w:sz w:val="16"/>
              </w:rPr>
              <w:t>Modelo</w:t>
            </w:r>
          </w:p>
        </w:tc>
        <w:tc>
          <w:tcPr>
            <w:tcW w:w="840" w:type="dxa"/>
            <w:tcBorders>
              <w:top w:val="nil"/>
              <w:left w:val="nil"/>
              <w:bottom w:val="nil"/>
              <w:right w:val="nil"/>
            </w:tcBorders>
            <w:shd w:val="clear" w:color="auto" w:fill="000000"/>
          </w:tcPr>
          <w:p>
            <w:pPr>
              <w:pStyle w:val="TableParagraph"/>
              <w:spacing w:line="360" w:lineRule="auto" w:before="10"/>
              <w:ind w:left="111" w:right="86"/>
              <w:jc w:val="left"/>
              <w:rPr>
                <w:b/>
                <w:sz w:val="16"/>
              </w:rPr>
            </w:pPr>
            <w:r>
              <w:rPr>
                <w:b/>
                <w:color w:val="FFFFFF"/>
                <w:sz w:val="16"/>
              </w:rPr>
              <w:t>Variable Indep.</w:t>
            </w:r>
          </w:p>
        </w:tc>
        <w:tc>
          <w:tcPr>
            <w:tcW w:w="1725" w:type="dxa"/>
            <w:tcBorders>
              <w:top w:val="nil"/>
              <w:left w:val="nil"/>
              <w:bottom w:val="nil"/>
              <w:right w:val="nil"/>
            </w:tcBorders>
            <w:shd w:val="clear" w:color="auto" w:fill="000000"/>
          </w:tcPr>
          <w:p>
            <w:pPr>
              <w:pStyle w:val="TableParagraph"/>
              <w:spacing w:line="360" w:lineRule="auto" w:before="10"/>
              <w:ind w:left="107"/>
              <w:jc w:val="left"/>
              <w:rPr>
                <w:b/>
                <w:sz w:val="16"/>
              </w:rPr>
            </w:pPr>
            <w:r>
              <w:rPr>
                <w:b/>
                <w:color w:val="FFFFFF"/>
                <w:sz w:val="16"/>
              </w:rPr>
              <w:t>Variables Dependientes</w:t>
            </w:r>
          </w:p>
        </w:tc>
        <w:tc>
          <w:tcPr>
            <w:tcW w:w="852" w:type="dxa"/>
            <w:tcBorders>
              <w:top w:val="nil"/>
              <w:left w:val="nil"/>
              <w:bottom w:val="nil"/>
              <w:right w:val="nil"/>
            </w:tcBorders>
            <w:shd w:val="clear" w:color="auto" w:fill="000000"/>
          </w:tcPr>
          <w:p>
            <w:pPr>
              <w:pStyle w:val="TableParagraph"/>
              <w:spacing w:line="240" w:lineRule="auto" w:before="7"/>
              <w:ind w:left="110"/>
              <w:jc w:val="left"/>
              <w:rPr>
                <w:b/>
                <w:sz w:val="10"/>
              </w:rPr>
            </w:pPr>
            <w:r>
              <w:rPr>
                <w:b/>
                <w:color w:val="FFFFFF"/>
                <w:position w:val="-4"/>
                <w:sz w:val="16"/>
              </w:rPr>
              <w:t>R</w:t>
            </w:r>
            <w:r>
              <w:rPr>
                <w:b/>
                <w:color w:val="FFFFFF"/>
                <w:sz w:val="10"/>
              </w:rPr>
              <w:t>2</w:t>
            </w:r>
          </w:p>
        </w:tc>
        <w:tc>
          <w:tcPr>
            <w:tcW w:w="865" w:type="dxa"/>
            <w:tcBorders>
              <w:top w:val="nil"/>
              <w:left w:val="nil"/>
              <w:bottom w:val="nil"/>
              <w:right w:val="nil"/>
            </w:tcBorders>
            <w:shd w:val="clear" w:color="auto" w:fill="000000"/>
          </w:tcPr>
          <w:p>
            <w:pPr>
              <w:pStyle w:val="TableParagraph"/>
              <w:spacing w:line="360" w:lineRule="auto" w:before="10"/>
              <w:ind w:left="106" w:right="161"/>
              <w:jc w:val="left"/>
              <w:rPr>
                <w:b/>
                <w:sz w:val="16"/>
              </w:rPr>
            </w:pPr>
            <w:r>
              <w:rPr>
                <w:b/>
                <w:color w:val="FFFFFF"/>
                <w:sz w:val="16"/>
              </w:rPr>
              <w:t>ANOVA F (P)</w:t>
            </w:r>
          </w:p>
        </w:tc>
        <w:tc>
          <w:tcPr>
            <w:tcW w:w="1436" w:type="dxa"/>
            <w:tcBorders>
              <w:top w:val="nil"/>
              <w:left w:val="nil"/>
              <w:bottom w:val="nil"/>
              <w:right w:val="nil"/>
            </w:tcBorders>
            <w:shd w:val="clear" w:color="auto" w:fill="000000"/>
          </w:tcPr>
          <w:p>
            <w:pPr>
              <w:pStyle w:val="TableParagraph"/>
              <w:spacing w:line="360" w:lineRule="auto" w:before="10"/>
              <w:ind w:left="110" w:right="613"/>
              <w:jc w:val="both"/>
              <w:rPr>
                <w:b/>
                <w:sz w:val="16"/>
              </w:rPr>
            </w:pPr>
            <w:r>
              <w:rPr>
                <w:b/>
                <w:color w:val="FFFFFF"/>
                <w:sz w:val="16"/>
              </w:rPr>
              <w:t>Variables Signif. y dirección</w:t>
            </w:r>
          </w:p>
          <w:p>
            <w:pPr>
              <w:pStyle w:val="TableParagraph"/>
              <w:spacing w:line="240" w:lineRule="auto" w:before="0"/>
              <w:ind w:left="110"/>
              <w:jc w:val="left"/>
              <w:rPr>
                <w:b/>
                <w:sz w:val="16"/>
              </w:rPr>
            </w:pPr>
            <w:r>
              <w:rPr>
                <w:b/>
                <w:color w:val="FFFFFF"/>
                <w:sz w:val="16"/>
              </w:rPr>
              <w:t>correlación</w:t>
            </w:r>
          </w:p>
        </w:tc>
        <w:tc>
          <w:tcPr>
            <w:tcW w:w="864" w:type="dxa"/>
            <w:tcBorders>
              <w:top w:val="nil"/>
              <w:left w:val="nil"/>
              <w:bottom w:val="nil"/>
              <w:right w:val="nil"/>
            </w:tcBorders>
            <w:shd w:val="clear" w:color="auto" w:fill="000000"/>
          </w:tcPr>
          <w:p>
            <w:pPr>
              <w:pStyle w:val="TableParagraph"/>
              <w:spacing w:line="360" w:lineRule="auto" w:before="10"/>
              <w:ind w:left="106" w:right="160"/>
              <w:jc w:val="left"/>
              <w:rPr>
                <w:b/>
                <w:sz w:val="16"/>
              </w:rPr>
            </w:pPr>
            <w:r>
              <w:rPr>
                <w:b/>
                <w:color w:val="FFFFFF"/>
                <w:sz w:val="16"/>
              </w:rPr>
              <w:t>Durbin Watson</w:t>
            </w:r>
          </w:p>
        </w:tc>
        <w:tc>
          <w:tcPr>
            <w:tcW w:w="1376" w:type="dxa"/>
            <w:tcBorders>
              <w:top w:val="nil"/>
              <w:left w:val="nil"/>
              <w:bottom w:val="nil"/>
              <w:right w:val="nil"/>
            </w:tcBorders>
            <w:shd w:val="clear" w:color="auto" w:fill="000000"/>
          </w:tcPr>
          <w:p>
            <w:pPr>
              <w:pStyle w:val="TableParagraph"/>
              <w:spacing w:line="360" w:lineRule="auto" w:before="10"/>
              <w:ind w:left="111"/>
              <w:jc w:val="left"/>
              <w:rPr>
                <w:b/>
                <w:sz w:val="16"/>
              </w:rPr>
            </w:pPr>
            <w:r>
              <w:rPr>
                <w:b/>
                <w:color w:val="FFFFFF"/>
                <w:sz w:val="16"/>
              </w:rPr>
              <w:t>Factor de Inflación de Varianza+2</w:t>
            </w:r>
          </w:p>
          <w:p>
            <w:pPr>
              <w:pStyle w:val="TableParagraph"/>
              <w:spacing w:line="240" w:lineRule="auto" w:before="0"/>
              <w:ind w:left="111"/>
              <w:jc w:val="left"/>
              <w:rPr>
                <w:b/>
                <w:sz w:val="16"/>
              </w:rPr>
            </w:pPr>
            <w:r>
              <w:rPr>
                <w:b/>
                <w:color w:val="FFFFFF"/>
                <w:sz w:val="16"/>
              </w:rPr>
              <w:t>(MCD)</w:t>
            </w:r>
          </w:p>
        </w:tc>
        <w:tc>
          <w:tcPr>
            <w:tcW w:w="1168" w:type="dxa"/>
            <w:tcBorders>
              <w:top w:val="nil"/>
              <w:left w:val="nil"/>
              <w:bottom w:val="nil"/>
              <w:right w:val="nil"/>
            </w:tcBorders>
            <w:shd w:val="clear" w:color="auto" w:fill="000000"/>
          </w:tcPr>
          <w:p>
            <w:pPr>
              <w:pStyle w:val="TableParagraph"/>
              <w:spacing w:line="360" w:lineRule="auto" w:before="10"/>
              <w:ind w:left="111" w:right="170"/>
              <w:jc w:val="left"/>
              <w:rPr>
                <w:b/>
                <w:sz w:val="16"/>
              </w:rPr>
            </w:pPr>
            <w:r>
              <w:rPr>
                <w:b/>
                <w:color w:val="FFFFFF"/>
                <w:sz w:val="16"/>
              </w:rPr>
              <w:t>Gráfico de e</w:t>
            </w:r>
            <w:r>
              <w:rPr>
                <w:b/>
                <w:color w:val="FFFFFF"/>
                <w:position w:val="5"/>
                <w:sz w:val="10"/>
              </w:rPr>
              <w:t>2 </w:t>
            </w:r>
            <w:r>
              <w:rPr>
                <w:b/>
                <w:color w:val="FFFFFF"/>
                <w:sz w:val="16"/>
              </w:rPr>
              <w:t>vs ŷ para HCD</w:t>
            </w:r>
          </w:p>
        </w:tc>
        <w:tc>
          <w:tcPr>
            <w:tcW w:w="997" w:type="dxa"/>
            <w:tcBorders>
              <w:top w:val="nil"/>
              <w:left w:val="nil"/>
              <w:bottom w:val="nil"/>
              <w:right w:val="nil"/>
            </w:tcBorders>
            <w:shd w:val="clear" w:color="auto" w:fill="000000"/>
          </w:tcPr>
          <w:p>
            <w:pPr>
              <w:pStyle w:val="TableParagraph"/>
              <w:spacing w:line="360" w:lineRule="auto" w:before="10"/>
              <w:ind w:left="111" w:right="136"/>
              <w:jc w:val="left"/>
              <w:rPr>
                <w:b/>
                <w:sz w:val="16"/>
              </w:rPr>
            </w:pPr>
            <w:r>
              <w:rPr>
                <w:b/>
                <w:color w:val="FFFFFF"/>
                <w:sz w:val="16"/>
              </w:rPr>
              <w:t>Breusch- Pagan para HCD</w:t>
            </w:r>
          </w:p>
          <w:p>
            <w:pPr>
              <w:pStyle w:val="TableParagraph"/>
              <w:spacing w:line="240" w:lineRule="auto" w:before="0"/>
              <w:ind w:left="111"/>
              <w:jc w:val="left"/>
              <w:rPr>
                <w:b/>
                <w:sz w:val="16"/>
              </w:rPr>
            </w:pPr>
            <w:r>
              <w:rPr>
                <w:b/>
                <w:color w:val="FFFFFF"/>
                <w:sz w:val="16"/>
              </w:rPr>
              <w:t>F (P)</w:t>
            </w:r>
          </w:p>
        </w:tc>
        <w:tc>
          <w:tcPr>
            <w:tcW w:w="952" w:type="dxa"/>
            <w:tcBorders>
              <w:top w:val="nil"/>
              <w:left w:val="nil"/>
              <w:bottom w:val="nil"/>
              <w:right w:val="nil"/>
            </w:tcBorders>
            <w:shd w:val="clear" w:color="auto" w:fill="000000"/>
          </w:tcPr>
          <w:p>
            <w:pPr>
              <w:pStyle w:val="TableParagraph"/>
              <w:spacing w:line="360" w:lineRule="auto" w:before="10"/>
              <w:ind w:left="110" w:right="92"/>
              <w:jc w:val="left"/>
              <w:rPr>
                <w:b/>
                <w:sz w:val="16"/>
              </w:rPr>
            </w:pPr>
            <w:r>
              <w:rPr>
                <w:b/>
                <w:color w:val="FFFFFF"/>
                <w:sz w:val="16"/>
              </w:rPr>
              <w:t>Prueba White para HCD</w:t>
            </w:r>
          </w:p>
          <w:p>
            <w:pPr>
              <w:pStyle w:val="TableParagraph"/>
              <w:spacing w:line="240" w:lineRule="auto" w:before="0"/>
              <w:ind w:left="110"/>
              <w:jc w:val="left"/>
              <w:rPr>
                <w:b/>
                <w:sz w:val="16"/>
              </w:rPr>
            </w:pPr>
            <w:r>
              <w:rPr>
                <w:b/>
                <w:color w:val="FFFFFF"/>
                <w:sz w:val="16"/>
              </w:rPr>
              <w:t>F (P)</w:t>
            </w:r>
          </w:p>
        </w:tc>
        <w:tc>
          <w:tcPr>
            <w:tcW w:w="1153" w:type="dxa"/>
            <w:tcBorders>
              <w:top w:val="nil"/>
              <w:left w:val="nil"/>
              <w:bottom w:val="nil"/>
              <w:right w:val="nil"/>
            </w:tcBorders>
            <w:shd w:val="clear" w:color="auto" w:fill="000000"/>
          </w:tcPr>
          <w:p>
            <w:pPr>
              <w:pStyle w:val="TableParagraph"/>
              <w:spacing w:line="360" w:lineRule="auto" w:before="10"/>
              <w:ind w:left="106" w:right="267"/>
              <w:jc w:val="left"/>
              <w:rPr>
                <w:b/>
                <w:sz w:val="16"/>
              </w:rPr>
            </w:pPr>
            <w:r>
              <w:rPr>
                <w:b/>
                <w:color w:val="FFFFFF"/>
                <w:sz w:val="16"/>
              </w:rPr>
              <w:t>R</w:t>
            </w:r>
            <w:r>
              <w:rPr>
                <w:b/>
                <w:color w:val="FFFFFF"/>
                <w:position w:val="5"/>
                <w:sz w:val="10"/>
              </w:rPr>
              <w:t>2 </w:t>
            </w:r>
            <w:r>
              <w:rPr>
                <w:b/>
                <w:color w:val="FFFFFF"/>
                <w:sz w:val="16"/>
              </w:rPr>
              <w:t>Correc. White</w:t>
            </w:r>
          </w:p>
        </w:tc>
        <w:tc>
          <w:tcPr>
            <w:tcW w:w="1612" w:type="dxa"/>
            <w:tcBorders>
              <w:top w:val="nil"/>
              <w:left w:val="nil"/>
              <w:bottom w:val="nil"/>
              <w:right w:val="nil"/>
            </w:tcBorders>
            <w:shd w:val="clear" w:color="auto" w:fill="000000"/>
          </w:tcPr>
          <w:p>
            <w:pPr>
              <w:pStyle w:val="TableParagraph"/>
              <w:spacing w:line="360" w:lineRule="auto" w:before="10"/>
              <w:ind w:left="110" w:right="259"/>
              <w:jc w:val="both"/>
              <w:rPr>
                <w:b/>
                <w:sz w:val="16"/>
              </w:rPr>
            </w:pPr>
            <w:r>
              <w:rPr>
                <w:b/>
                <w:color w:val="FFFFFF"/>
                <w:sz w:val="16"/>
              </w:rPr>
              <w:t>Var. Sig. </w:t>
            </w:r>
            <w:r>
              <w:rPr>
                <w:b/>
                <w:color w:val="FFFFFF"/>
                <w:spacing w:val="-4"/>
                <w:sz w:val="16"/>
              </w:rPr>
              <w:t>Modelo </w:t>
            </w:r>
            <w:r>
              <w:rPr>
                <w:b/>
                <w:color w:val="FFFFFF"/>
                <w:sz w:val="16"/>
              </w:rPr>
              <w:t>Corregido </w:t>
            </w:r>
            <w:r>
              <w:rPr>
                <w:b/>
                <w:color w:val="FFFFFF"/>
                <w:spacing w:val="-3"/>
                <w:sz w:val="16"/>
              </w:rPr>
              <w:t>White </w:t>
            </w:r>
            <w:r>
              <w:rPr>
                <w:b/>
                <w:color w:val="FFFFFF"/>
                <w:sz w:val="16"/>
              </w:rPr>
              <w:t>y</w:t>
            </w:r>
            <w:r>
              <w:rPr>
                <w:b/>
                <w:color w:val="FFFFFF"/>
                <w:spacing w:val="-1"/>
                <w:sz w:val="16"/>
              </w:rPr>
              <w:t> </w:t>
            </w:r>
            <w:r>
              <w:rPr>
                <w:b/>
                <w:color w:val="FFFFFF"/>
                <w:sz w:val="16"/>
              </w:rPr>
              <w:t>dirección</w:t>
            </w:r>
          </w:p>
          <w:p>
            <w:pPr>
              <w:pStyle w:val="TableParagraph"/>
              <w:spacing w:line="240" w:lineRule="auto" w:before="0"/>
              <w:ind w:left="110"/>
              <w:jc w:val="left"/>
              <w:rPr>
                <w:b/>
                <w:sz w:val="16"/>
              </w:rPr>
            </w:pPr>
            <w:r>
              <w:rPr>
                <w:b/>
                <w:color w:val="FFFFFF"/>
                <w:sz w:val="16"/>
              </w:rPr>
              <w:t>correlación</w:t>
            </w:r>
          </w:p>
        </w:tc>
      </w:tr>
      <w:tr>
        <w:trPr>
          <w:trHeight w:val="1651" w:hRule="atLeast"/>
        </w:trPr>
        <w:tc>
          <w:tcPr>
            <w:tcW w:w="853" w:type="dxa"/>
            <w:tcBorders>
              <w:top w:val="nil"/>
            </w:tcBorders>
            <w:shd w:val="clear" w:color="auto" w:fill="CCCCCC"/>
          </w:tcPr>
          <w:p>
            <w:pPr>
              <w:pStyle w:val="TableParagraph"/>
              <w:spacing w:line="178" w:lineRule="exact" w:before="0"/>
              <w:ind w:left="107"/>
              <w:jc w:val="left"/>
              <w:rPr>
                <w:b/>
                <w:sz w:val="16"/>
              </w:rPr>
            </w:pPr>
            <w:r>
              <w:rPr>
                <w:b/>
                <w:w w:val="99"/>
                <w:sz w:val="16"/>
              </w:rPr>
              <w:t>5</w:t>
            </w:r>
          </w:p>
        </w:tc>
        <w:tc>
          <w:tcPr>
            <w:tcW w:w="840" w:type="dxa"/>
            <w:tcBorders>
              <w:top w:val="nil"/>
            </w:tcBorders>
            <w:shd w:val="clear" w:color="auto" w:fill="CCCCCC"/>
          </w:tcPr>
          <w:p>
            <w:pPr>
              <w:pStyle w:val="TableParagraph"/>
              <w:spacing w:line="178" w:lineRule="exact" w:before="0"/>
              <w:ind w:left="106"/>
              <w:jc w:val="left"/>
              <w:rPr>
                <w:sz w:val="16"/>
              </w:rPr>
            </w:pPr>
            <w:r>
              <w:rPr>
                <w:sz w:val="16"/>
              </w:rPr>
              <w:t>LNP</w:t>
            </w:r>
          </w:p>
        </w:tc>
        <w:tc>
          <w:tcPr>
            <w:tcW w:w="1725" w:type="dxa"/>
            <w:tcBorders>
              <w:top w:val="nil"/>
            </w:tcBorders>
            <w:shd w:val="clear" w:color="auto" w:fill="CCCCCC"/>
          </w:tcPr>
          <w:p>
            <w:pPr>
              <w:pStyle w:val="TableParagraph"/>
              <w:spacing w:line="360" w:lineRule="auto" w:before="0"/>
              <w:ind w:left="102" w:right="178"/>
              <w:jc w:val="left"/>
              <w:rPr>
                <w:sz w:val="16"/>
              </w:rPr>
            </w:pPr>
            <w:r>
              <w:rPr>
                <w:sz w:val="16"/>
              </w:rPr>
              <w:t>LNAñoC, LNHab, LNBaños, LNPlantas, LNDSjoséC, LNDAglomP, Tipo,</w:t>
            </w:r>
          </w:p>
          <w:p>
            <w:pPr>
              <w:pStyle w:val="TableParagraph"/>
              <w:spacing w:line="240" w:lineRule="auto" w:before="0"/>
              <w:ind w:left="102"/>
              <w:jc w:val="left"/>
              <w:rPr>
                <w:sz w:val="16"/>
              </w:rPr>
            </w:pPr>
            <w:r>
              <w:rPr>
                <w:sz w:val="16"/>
              </w:rPr>
              <w:t>VistaLC</w:t>
            </w:r>
          </w:p>
        </w:tc>
        <w:tc>
          <w:tcPr>
            <w:tcW w:w="852" w:type="dxa"/>
            <w:tcBorders>
              <w:top w:val="nil"/>
            </w:tcBorders>
            <w:shd w:val="clear" w:color="auto" w:fill="CCCCCC"/>
          </w:tcPr>
          <w:p>
            <w:pPr>
              <w:pStyle w:val="TableParagraph"/>
              <w:spacing w:line="178" w:lineRule="exact" w:before="0"/>
              <w:ind w:left="105"/>
              <w:jc w:val="left"/>
              <w:rPr>
                <w:sz w:val="16"/>
              </w:rPr>
            </w:pPr>
            <w:r>
              <w:rPr>
                <w:sz w:val="16"/>
              </w:rPr>
              <w:t>52.98</w:t>
            </w:r>
          </w:p>
        </w:tc>
        <w:tc>
          <w:tcPr>
            <w:tcW w:w="865" w:type="dxa"/>
            <w:tcBorders>
              <w:top w:val="nil"/>
            </w:tcBorders>
            <w:shd w:val="clear" w:color="auto" w:fill="CCCCCC"/>
          </w:tcPr>
          <w:p>
            <w:pPr>
              <w:pStyle w:val="TableParagraph"/>
              <w:spacing w:line="178" w:lineRule="exact" w:before="0"/>
              <w:ind w:left="101"/>
              <w:jc w:val="left"/>
              <w:rPr>
                <w:sz w:val="16"/>
              </w:rPr>
            </w:pPr>
            <w:r>
              <w:rPr>
                <w:sz w:val="16"/>
              </w:rPr>
              <w:t>41.12</w:t>
            </w:r>
          </w:p>
          <w:p>
            <w:pPr>
              <w:pStyle w:val="TableParagraph"/>
              <w:spacing w:line="240" w:lineRule="auto" w:before="92"/>
              <w:ind w:left="101"/>
              <w:jc w:val="left"/>
              <w:rPr>
                <w:sz w:val="16"/>
              </w:rPr>
            </w:pPr>
            <w:r>
              <w:rPr>
                <w:sz w:val="16"/>
              </w:rPr>
              <w:t>(0.000)</w:t>
            </w:r>
          </w:p>
        </w:tc>
        <w:tc>
          <w:tcPr>
            <w:tcW w:w="1436" w:type="dxa"/>
            <w:tcBorders>
              <w:top w:val="nil"/>
            </w:tcBorders>
            <w:shd w:val="clear" w:color="auto" w:fill="CCCCCC"/>
          </w:tcPr>
          <w:p>
            <w:pPr>
              <w:pStyle w:val="TableParagraph"/>
              <w:spacing w:line="178" w:lineRule="exact" w:before="0"/>
              <w:ind w:left="105"/>
              <w:jc w:val="left"/>
              <w:rPr>
                <w:sz w:val="16"/>
              </w:rPr>
            </w:pPr>
            <w:r>
              <w:rPr>
                <w:sz w:val="16"/>
              </w:rPr>
              <w:t>LNHab (+),</w:t>
            </w:r>
          </w:p>
          <w:p>
            <w:pPr>
              <w:pStyle w:val="TableParagraph"/>
              <w:spacing w:line="360" w:lineRule="auto" w:before="92"/>
              <w:ind w:left="105"/>
              <w:jc w:val="left"/>
              <w:rPr>
                <w:sz w:val="16"/>
              </w:rPr>
            </w:pPr>
            <w:r>
              <w:rPr>
                <w:sz w:val="16"/>
              </w:rPr>
              <w:t>LNBaños (+), LNDSjoséC (-), LNDAglomP (+), Tipo (+)</w:t>
            </w:r>
          </w:p>
        </w:tc>
        <w:tc>
          <w:tcPr>
            <w:tcW w:w="864" w:type="dxa"/>
            <w:tcBorders>
              <w:top w:val="nil"/>
            </w:tcBorders>
            <w:shd w:val="clear" w:color="auto" w:fill="CCCCCC"/>
          </w:tcPr>
          <w:p>
            <w:pPr>
              <w:pStyle w:val="TableParagraph"/>
              <w:spacing w:line="178" w:lineRule="exact" w:before="0"/>
              <w:ind w:left="101"/>
              <w:jc w:val="left"/>
              <w:rPr>
                <w:sz w:val="16"/>
              </w:rPr>
            </w:pPr>
            <w:r>
              <w:rPr>
                <w:sz w:val="16"/>
              </w:rPr>
              <w:t>1.80686</w:t>
            </w:r>
          </w:p>
          <w:p>
            <w:pPr>
              <w:pStyle w:val="TableParagraph"/>
              <w:spacing w:line="240" w:lineRule="auto" w:before="92"/>
              <w:ind w:left="101"/>
              <w:jc w:val="left"/>
              <w:rPr>
                <w:sz w:val="16"/>
              </w:rPr>
            </w:pPr>
            <w:r>
              <w:rPr>
                <w:sz w:val="16"/>
              </w:rPr>
              <w:t>No</w:t>
            </w:r>
            <w:r>
              <w:rPr>
                <w:spacing w:val="-2"/>
                <w:sz w:val="16"/>
              </w:rPr>
              <w:t> </w:t>
            </w:r>
            <w:r>
              <w:rPr>
                <w:sz w:val="16"/>
              </w:rPr>
              <w:t>ACR</w:t>
            </w:r>
          </w:p>
        </w:tc>
        <w:tc>
          <w:tcPr>
            <w:tcW w:w="1376" w:type="dxa"/>
            <w:tcBorders>
              <w:top w:val="nil"/>
            </w:tcBorders>
            <w:shd w:val="clear" w:color="auto" w:fill="CCCCCC"/>
          </w:tcPr>
          <w:p>
            <w:pPr>
              <w:pStyle w:val="TableParagraph"/>
              <w:spacing w:line="178" w:lineRule="exact" w:before="0"/>
              <w:ind w:left="106"/>
              <w:jc w:val="left"/>
              <w:rPr>
                <w:sz w:val="16"/>
              </w:rPr>
            </w:pPr>
            <w:r>
              <w:rPr>
                <w:sz w:val="16"/>
              </w:rPr>
              <w:t>LNHab (2.19)</w:t>
            </w:r>
          </w:p>
          <w:p>
            <w:pPr>
              <w:pStyle w:val="TableParagraph"/>
              <w:spacing w:line="240" w:lineRule="auto" w:before="92"/>
              <w:ind w:left="106"/>
              <w:jc w:val="left"/>
              <w:rPr>
                <w:sz w:val="16"/>
              </w:rPr>
            </w:pPr>
            <w:r>
              <w:rPr>
                <w:sz w:val="16"/>
              </w:rPr>
              <w:t>LNBaños (2.19)</w:t>
            </w:r>
          </w:p>
        </w:tc>
        <w:tc>
          <w:tcPr>
            <w:tcW w:w="1168" w:type="dxa"/>
            <w:tcBorders>
              <w:top w:val="nil"/>
            </w:tcBorders>
            <w:shd w:val="clear" w:color="auto" w:fill="CCCCCC"/>
          </w:tcPr>
          <w:p>
            <w:pPr>
              <w:pStyle w:val="TableParagraph"/>
              <w:spacing w:line="360" w:lineRule="auto" w:before="0"/>
              <w:ind w:left="106"/>
              <w:jc w:val="left"/>
              <w:rPr>
                <w:sz w:val="16"/>
              </w:rPr>
            </w:pPr>
            <w:r>
              <w:rPr>
                <w:sz w:val="16"/>
              </w:rPr>
              <w:t>Patrón creciente</w:t>
            </w:r>
          </w:p>
        </w:tc>
        <w:tc>
          <w:tcPr>
            <w:tcW w:w="997" w:type="dxa"/>
            <w:tcBorders>
              <w:top w:val="nil"/>
            </w:tcBorders>
            <w:shd w:val="clear" w:color="auto" w:fill="CCCCCC"/>
          </w:tcPr>
          <w:p>
            <w:pPr>
              <w:pStyle w:val="TableParagraph"/>
              <w:spacing w:line="178" w:lineRule="exact" w:before="0"/>
              <w:ind w:left="106"/>
              <w:jc w:val="left"/>
              <w:rPr>
                <w:sz w:val="16"/>
              </w:rPr>
            </w:pPr>
            <w:r>
              <w:rPr>
                <w:sz w:val="16"/>
              </w:rPr>
              <w:t>3.886</w:t>
            </w:r>
          </w:p>
          <w:p>
            <w:pPr>
              <w:pStyle w:val="TableParagraph"/>
              <w:spacing w:line="360" w:lineRule="auto" w:before="92"/>
              <w:ind w:left="106" w:right="354"/>
              <w:jc w:val="left"/>
              <w:rPr>
                <w:sz w:val="16"/>
              </w:rPr>
            </w:pPr>
            <w:r>
              <w:rPr>
                <w:sz w:val="16"/>
              </w:rPr>
              <w:t>(0.000) HCD</w:t>
            </w:r>
          </w:p>
        </w:tc>
        <w:tc>
          <w:tcPr>
            <w:tcW w:w="952" w:type="dxa"/>
            <w:tcBorders>
              <w:top w:val="nil"/>
            </w:tcBorders>
            <w:shd w:val="clear" w:color="auto" w:fill="CCCCCC"/>
          </w:tcPr>
          <w:p>
            <w:pPr>
              <w:pStyle w:val="TableParagraph"/>
              <w:spacing w:line="178" w:lineRule="exact" w:before="0"/>
              <w:ind w:left="105"/>
              <w:jc w:val="left"/>
              <w:rPr>
                <w:sz w:val="16"/>
              </w:rPr>
            </w:pPr>
            <w:r>
              <w:rPr>
                <w:sz w:val="16"/>
              </w:rPr>
              <w:t>8.190</w:t>
            </w:r>
          </w:p>
          <w:p>
            <w:pPr>
              <w:pStyle w:val="TableParagraph"/>
              <w:spacing w:line="360" w:lineRule="auto" w:before="92"/>
              <w:ind w:left="105" w:right="310"/>
              <w:jc w:val="left"/>
              <w:rPr>
                <w:sz w:val="16"/>
              </w:rPr>
            </w:pPr>
            <w:r>
              <w:rPr>
                <w:sz w:val="16"/>
              </w:rPr>
              <w:t>(0.000) HCD</w:t>
            </w:r>
          </w:p>
        </w:tc>
        <w:tc>
          <w:tcPr>
            <w:tcW w:w="1153" w:type="dxa"/>
            <w:tcBorders>
              <w:top w:val="nil"/>
            </w:tcBorders>
            <w:shd w:val="clear" w:color="auto" w:fill="CCCCCC"/>
          </w:tcPr>
          <w:p>
            <w:pPr>
              <w:pStyle w:val="TableParagraph"/>
              <w:spacing w:line="178" w:lineRule="exact" w:before="0"/>
              <w:ind w:left="101"/>
              <w:jc w:val="left"/>
              <w:rPr>
                <w:sz w:val="16"/>
              </w:rPr>
            </w:pPr>
            <w:r>
              <w:rPr>
                <w:sz w:val="16"/>
              </w:rPr>
              <w:t>52.98</w:t>
            </w:r>
          </w:p>
        </w:tc>
        <w:tc>
          <w:tcPr>
            <w:tcW w:w="1612" w:type="dxa"/>
            <w:tcBorders>
              <w:top w:val="nil"/>
            </w:tcBorders>
            <w:shd w:val="clear" w:color="auto" w:fill="CCCCCC"/>
          </w:tcPr>
          <w:p>
            <w:pPr>
              <w:pStyle w:val="TableParagraph"/>
              <w:spacing w:line="360" w:lineRule="auto" w:before="0"/>
              <w:ind w:left="105" w:right="258"/>
              <w:jc w:val="left"/>
              <w:rPr>
                <w:sz w:val="16"/>
              </w:rPr>
            </w:pPr>
            <w:r>
              <w:rPr>
                <w:sz w:val="16"/>
              </w:rPr>
              <w:t>Tipo (+), LNBaños (+), LNDSjoséC (-), LNDAglomP (+), VistaLC (+)</w:t>
            </w:r>
          </w:p>
        </w:tc>
      </w:tr>
      <w:tr>
        <w:trPr>
          <w:trHeight w:val="1934" w:hRule="atLeast"/>
        </w:trPr>
        <w:tc>
          <w:tcPr>
            <w:tcW w:w="853" w:type="dxa"/>
          </w:tcPr>
          <w:p>
            <w:pPr>
              <w:pStyle w:val="TableParagraph"/>
              <w:spacing w:line="240" w:lineRule="auto" w:before="1"/>
              <w:ind w:left="107"/>
              <w:jc w:val="left"/>
              <w:rPr>
                <w:b/>
                <w:sz w:val="16"/>
              </w:rPr>
            </w:pPr>
            <w:r>
              <w:rPr>
                <w:b/>
                <w:w w:val="99"/>
                <w:sz w:val="16"/>
              </w:rPr>
              <w:t>6</w:t>
            </w:r>
          </w:p>
        </w:tc>
        <w:tc>
          <w:tcPr>
            <w:tcW w:w="840" w:type="dxa"/>
          </w:tcPr>
          <w:p>
            <w:pPr>
              <w:pStyle w:val="TableParagraph"/>
              <w:spacing w:line="240" w:lineRule="auto" w:before="1"/>
              <w:ind w:left="106"/>
              <w:jc w:val="left"/>
              <w:rPr>
                <w:sz w:val="16"/>
              </w:rPr>
            </w:pPr>
            <w:r>
              <w:rPr>
                <w:sz w:val="16"/>
              </w:rPr>
              <w:t>LNP</w:t>
            </w:r>
          </w:p>
        </w:tc>
        <w:tc>
          <w:tcPr>
            <w:tcW w:w="1725" w:type="dxa"/>
          </w:tcPr>
          <w:p>
            <w:pPr>
              <w:pStyle w:val="TableParagraph"/>
              <w:spacing w:line="360" w:lineRule="auto" w:before="1"/>
              <w:ind w:left="102"/>
              <w:jc w:val="left"/>
              <w:rPr>
                <w:sz w:val="16"/>
              </w:rPr>
            </w:pPr>
            <w:r>
              <w:rPr>
                <w:sz w:val="16"/>
              </w:rPr>
              <w:t>LNÁrea, LNAñoC, LNPlantas, LNDSjoséC, LNDAglomP, Tipo, ZRiesgo, VistaLC</w:t>
            </w:r>
          </w:p>
        </w:tc>
        <w:tc>
          <w:tcPr>
            <w:tcW w:w="852" w:type="dxa"/>
          </w:tcPr>
          <w:p>
            <w:pPr>
              <w:pStyle w:val="TableParagraph"/>
              <w:spacing w:line="240" w:lineRule="auto" w:before="1"/>
              <w:ind w:left="105"/>
              <w:jc w:val="left"/>
              <w:rPr>
                <w:sz w:val="16"/>
              </w:rPr>
            </w:pPr>
            <w:r>
              <w:rPr>
                <w:sz w:val="16"/>
              </w:rPr>
              <w:t>24.01</w:t>
            </w:r>
          </w:p>
        </w:tc>
        <w:tc>
          <w:tcPr>
            <w:tcW w:w="865" w:type="dxa"/>
          </w:tcPr>
          <w:p>
            <w:pPr>
              <w:pStyle w:val="TableParagraph"/>
              <w:spacing w:line="240" w:lineRule="auto" w:before="1"/>
              <w:ind w:left="101"/>
              <w:jc w:val="left"/>
              <w:rPr>
                <w:sz w:val="16"/>
              </w:rPr>
            </w:pPr>
            <w:r>
              <w:rPr>
                <w:sz w:val="16"/>
              </w:rPr>
              <w:t>11.53</w:t>
            </w:r>
          </w:p>
          <w:p>
            <w:pPr>
              <w:pStyle w:val="TableParagraph"/>
              <w:spacing w:line="240" w:lineRule="auto"/>
              <w:ind w:left="101"/>
              <w:jc w:val="left"/>
              <w:rPr>
                <w:sz w:val="16"/>
              </w:rPr>
            </w:pPr>
            <w:r>
              <w:rPr>
                <w:sz w:val="16"/>
              </w:rPr>
              <w:t>(0.000)</w:t>
            </w:r>
          </w:p>
        </w:tc>
        <w:tc>
          <w:tcPr>
            <w:tcW w:w="1436" w:type="dxa"/>
          </w:tcPr>
          <w:p>
            <w:pPr>
              <w:pStyle w:val="TableParagraph"/>
              <w:spacing w:line="360" w:lineRule="auto" w:before="1"/>
              <w:ind w:left="105"/>
              <w:jc w:val="left"/>
              <w:rPr>
                <w:sz w:val="16"/>
              </w:rPr>
            </w:pPr>
            <w:r>
              <w:rPr>
                <w:sz w:val="16"/>
              </w:rPr>
              <w:t>LNÁrea (+), LNAñoC (-),</w:t>
            </w:r>
          </w:p>
          <w:p>
            <w:pPr>
              <w:pStyle w:val="TableParagraph"/>
              <w:spacing w:line="360" w:lineRule="auto" w:before="0"/>
              <w:ind w:left="105"/>
              <w:jc w:val="left"/>
              <w:rPr>
                <w:sz w:val="16"/>
              </w:rPr>
            </w:pPr>
            <w:r>
              <w:rPr>
                <w:sz w:val="16"/>
              </w:rPr>
              <w:t>LNPlantas (+), LNDSjoséC (-), LNDAglomP (+), Tipo (+),</w:t>
            </w:r>
          </w:p>
          <w:p>
            <w:pPr>
              <w:pStyle w:val="TableParagraph"/>
              <w:spacing w:line="240" w:lineRule="auto" w:before="0"/>
              <w:ind w:left="105"/>
              <w:jc w:val="left"/>
              <w:rPr>
                <w:sz w:val="16"/>
              </w:rPr>
            </w:pPr>
            <w:r>
              <w:rPr>
                <w:sz w:val="16"/>
              </w:rPr>
              <w:t>VistaLC (+)</w:t>
            </w:r>
          </w:p>
        </w:tc>
        <w:tc>
          <w:tcPr>
            <w:tcW w:w="864" w:type="dxa"/>
          </w:tcPr>
          <w:p>
            <w:pPr>
              <w:pStyle w:val="TableParagraph"/>
              <w:spacing w:line="240" w:lineRule="auto" w:before="1"/>
              <w:ind w:left="101"/>
              <w:jc w:val="left"/>
              <w:rPr>
                <w:sz w:val="16"/>
              </w:rPr>
            </w:pPr>
            <w:r>
              <w:rPr>
                <w:sz w:val="16"/>
              </w:rPr>
              <w:t>1.8318</w:t>
            </w:r>
          </w:p>
          <w:p>
            <w:pPr>
              <w:pStyle w:val="TableParagraph"/>
              <w:spacing w:line="240" w:lineRule="auto"/>
              <w:ind w:left="101"/>
              <w:jc w:val="left"/>
              <w:rPr>
                <w:sz w:val="16"/>
              </w:rPr>
            </w:pPr>
            <w:r>
              <w:rPr>
                <w:sz w:val="16"/>
              </w:rPr>
              <w:t>No ACR</w:t>
            </w:r>
          </w:p>
        </w:tc>
        <w:tc>
          <w:tcPr>
            <w:tcW w:w="1376" w:type="dxa"/>
          </w:tcPr>
          <w:p>
            <w:pPr>
              <w:pStyle w:val="TableParagraph"/>
              <w:spacing w:line="240" w:lineRule="auto" w:before="0"/>
              <w:jc w:val="left"/>
              <w:rPr>
                <w:rFonts w:ascii="Times New Roman"/>
                <w:sz w:val="16"/>
              </w:rPr>
            </w:pPr>
          </w:p>
        </w:tc>
        <w:tc>
          <w:tcPr>
            <w:tcW w:w="1168" w:type="dxa"/>
          </w:tcPr>
          <w:p>
            <w:pPr>
              <w:pStyle w:val="TableParagraph"/>
              <w:spacing w:line="360" w:lineRule="auto" w:before="1"/>
              <w:ind w:left="106"/>
              <w:jc w:val="left"/>
              <w:rPr>
                <w:sz w:val="16"/>
              </w:rPr>
            </w:pPr>
            <w:r>
              <w:rPr>
                <w:sz w:val="16"/>
              </w:rPr>
              <w:t>Patrón creciente</w:t>
            </w:r>
          </w:p>
        </w:tc>
        <w:tc>
          <w:tcPr>
            <w:tcW w:w="997" w:type="dxa"/>
          </w:tcPr>
          <w:p>
            <w:pPr>
              <w:pStyle w:val="TableParagraph"/>
              <w:spacing w:line="240" w:lineRule="auto" w:before="1"/>
              <w:ind w:left="106"/>
              <w:jc w:val="left"/>
              <w:rPr>
                <w:sz w:val="16"/>
              </w:rPr>
            </w:pPr>
            <w:r>
              <w:rPr>
                <w:sz w:val="16"/>
              </w:rPr>
              <w:t>2.921</w:t>
            </w:r>
          </w:p>
          <w:p>
            <w:pPr>
              <w:pStyle w:val="TableParagraph"/>
              <w:spacing w:line="360" w:lineRule="auto"/>
              <w:ind w:left="106" w:right="354"/>
              <w:jc w:val="left"/>
              <w:rPr>
                <w:sz w:val="16"/>
              </w:rPr>
            </w:pPr>
            <w:r>
              <w:rPr>
                <w:sz w:val="16"/>
              </w:rPr>
              <w:t>(0.004) HCD</w:t>
            </w:r>
          </w:p>
        </w:tc>
        <w:tc>
          <w:tcPr>
            <w:tcW w:w="952" w:type="dxa"/>
          </w:tcPr>
          <w:p>
            <w:pPr>
              <w:pStyle w:val="TableParagraph"/>
              <w:spacing w:line="240" w:lineRule="auto" w:before="1"/>
              <w:ind w:left="105"/>
              <w:jc w:val="left"/>
              <w:rPr>
                <w:sz w:val="16"/>
              </w:rPr>
            </w:pPr>
            <w:r>
              <w:rPr>
                <w:sz w:val="16"/>
              </w:rPr>
              <w:t>2.838</w:t>
            </w:r>
          </w:p>
          <w:p>
            <w:pPr>
              <w:pStyle w:val="TableParagraph"/>
              <w:spacing w:line="240" w:lineRule="auto"/>
              <w:ind w:left="105"/>
              <w:jc w:val="left"/>
              <w:rPr>
                <w:sz w:val="16"/>
              </w:rPr>
            </w:pPr>
            <w:r>
              <w:rPr>
                <w:sz w:val="16"/>
              </w:rPr>
              <w:t>(0.06)</w:t>
            </w:r>
          </w:p>
        </w:tc>
        <w:tc>
          <w:tcPr>
            <w:tcW w:w="1153" w:type="dxa"/>
          </w:tcPr>
          <w:p>
            <w:pPr>
              <w:pStyle w:val="TableParagraph"/>
              <w:spacing w:line="240" w:lineRule="auto" w:before="0"/>
              <w:jc w:val="left"/>
              <w:rPr>
                <w:rFonts w:ascii="Times New Roman"/>
                <w:sz w:val="16"/>
              </w:rPr>
            </w:pPr>
          </w:p>
        </w:tc>
        <w:tc>
          <w:tcPr>
            <w:tcW w:w="1612" w:type="dxa"/>
          </w:tcPr>
          <w:p>
            <w:pPr>
              <w:pStyle w:val="TableParagraph"/>
              <w:spacing w:line="240" w:lineRule="auto" w:before="0"/>
              <w:jc w:val="left"/>
              <w:rPr>
                <w:rFonts w:ascii="Times New Roman"/>
                <w:sz w:val="16"/>
              </w:rPr>
            </w:pPr>
          </w:p>
        </w:tc>
      </w:tr>
      <w:tr>
        <w:trPr>
          <w:trHeight w:val="1654" w:hRule="atLeast"/>
        </w:trPr>
        <w:tc>
          <w:tcPr>
            <w:tcW w:w="853" w:type="dxa"/>
            <w:shd w:val="clear" w:color="auto" w:fill="CCCCCC"/>
          </w:tcPr>
          <w:p>
            <w:pPr>
              <w:pStyle w:val="TableParagraph"/>
              <w:spacing w:line="181" w:lineRule="exact" w:before="0"/>
              <w:ind w:left="107"/>
              <w:jc w:val="left"/>
              <w:rPr>
                <w:b/>
                <w:sz w:val="16"/>
              </w:rPr>
            </w:pPr>
            <w:r>
              <w:rPr>
                <w:b/>
                <w:w w:val="99"/>
                <w:sz w:val="16"/>
              </w:rPr>
              <w:t>7</w:t>
            </w:r>
          </w:p>
        </w:tc>
        <w:tc>
          <w:tcPr>
            <w:tcW w:w="840" w:type="dxa"/>
            <w:shd w:val="clear" w:color="auto" w:fill="CCCCCC"/>
          </w:tcPr>
          <w:p>
            <w:pPr>
              <w:pStyle w:val="TableParagraph"/>
              <w:spacing w:line="181" w:lineRule="exact" w:before="0"/>
              <w:ind w:left="106"/>
              <w:jc w:val="left"/>
              <w:rPr>
                <w:sz w:val="16"/>
              </w:rPr>
            </w:pPr>
            <w:r>
              <w:rPr>
                <w:sz w:val="16"/>
              </w:rPr>
              <w:t>LNP</w:t>
            </w:r>
          </w:p>
        </w:tc>
        <w:tc>
          <w:tcPr>
            <w:tcW w:w="1725" w:type="dxa"/>
            <w:shd w:val="clear" w:color="auto" w:fill="CCCCCC"/>
          </w:tcPr>
          <w:p>
            <w:pPr>
              <w:pStyle w:val="TableParagraph"/>
              <w:spacing w:line="360" w:lineRule="auto" w:before="0"/>
              <w:ind w:left="102" w:right="178"/>
              <w:jc w:val="left"/>
              <w:rPr>
                <w:sz w:val="16"/>
              </w:rPr>
            </w:pPr>
            <w:r>
              <w:rPr>
                <w:sz w:val="16"/>
              </w:rPr>
              <w:t>LNÁrea, LNAñoC, LNBaños, LNPlantas, LNDSjoséC, LNDAglomP,</w:t>
            </w:r>
            <w:r>
              <w:rPr>
                <w:spacing w:val="-3"/>
                <w:sz w:val="16"/>
              </w:rPr>
              <w:t> </w:t>
            </w:r>
            <w:r>
              <w:rPr>
                <w:spacing w:val="-4"/>
                <w:sz w:val="16"/>
              </w:rPr>
              <w:t>Tipo,</w:t>
            </w:r>
          </w:p>
          <w:p>
            <w:pPr>
              <w:pStyle w:val="TableParagraph"/>
              <w:spacing w:line="240" w:lineRule="auto" w:before="0"/>
              <w:ind w:left="102"/>
              <w:jc w:val="left"/>
              <w:rPr>
                <w:sz w:val="16"/>
              </w:rPr>
            </w:pPr>
            <w:r>
              <w:rPr>
                <w:sz w:val="16"/>
              </w:rPr>
              <w:t>ZRiesgo,</w:t>
            </w:r>
            <w:r>
              <w:rPr>
                <w:spacing w:val="-10"/>
                <w:sz w:val="16"/>
              </w:rPr>
              <w:t> </w:t>
            </w:r>
            <w:r>
              <w:rPr>
                <w:sz w:val="16"/>
              </w:rPr>
              <w:t>VistaLC</w:t>
            </w:r>
          </w:p>
        </w:tc>
        <w:tc>
          <w:tcPr>
            <w:tcW w:w="852" w:type="dxa"/>
            <w:shd w:val="clear" w:color="auto" w:fill="CCCCCC"/>
          </w:tcPr>
          <w:p>
            <w:pPr>
              <w:pStyle w:val="TableParagraph"/>
              <w:spacing w:line="181" w:lineRule="exact" w:before="0"/>
              <w:ind w:left="105"/>
              <w:jc w:val="left"/>
              <w:rPr>
                <w:sz w:val="16"/>
              </w:rPr>
            </w:pPr>
            <w:r>
              <w:rPr>
                <w:sz w:val="16"/>
              </w:rPr>
              <w:t>52.52</w:t>
            </w:r>
          </w:p>
        </w:tc>
        <w:tc>
          <w:tcPr>
            <w:tcW w:w="865" w:type="dxa"/>
            <w:shd w:val="clear" w:color="auto" w:fill="CCCCCC"/>
          </w:tcPr>
          <w:p>
            <w:pPr>
              <w:pStyle w:val="TableParagraph"/>
              <w:spacing w:line="181" w:lineRule="exact" w:before="0"/>
              <w:ind w:left="101"/>
              <w:jc w:val="left"/>
              <w:rPr>
                <w:sz w:val="16"/>
              </w:rPr>
            </w:pPr>
            <w:r>
              <w:rPr>
                <w:sz w:val="16"/>
              </w:rPr>
              <w:t>35.77</w:t>
            </w:r>
          </w:p>
          <w:p>
            <w:pPr>
              <w:pStyle w:val="TableParagraph"/>
              <w:spacing w:line="240" w:lineRule="auto" w:before="92"/>
              <w:ind w:left="101"/>
              <w:jc w:val="left"/>
              <w:rPr>
                <w:sz w:val="16"/>
              </w:rPr>
            </w:pPr>
            <w:r>
              <w:rPr>
                <w:sz w:val="16"/>
              </w:rPr>
              <w:t>(0.000)</w:t>
            </w:r>
          </w:p>
        </w:tc>
        <w:tc>
          <w:tcPr>
            <w:tcW w:w="1436" w:type="dxa"/>
            <w:shd w:val="clear" w:color="auto" w:fill="CCCCCC"/>
          </w:tcPr>
          <w:p>
            <w:pPr>
              <w:pStyle w:val="TableParagraph"/>
              <w:spacing w:line="360" w:lineRule="auto" w:before="0"/>
              <w:ind w:left="105"/>
              <w:jc w:val="left"/>
              <w:rPr>
                <w:sz w:val="16"/>
              </w:rPr>
            </w:pPr>
            <w:r>
              <w:rPr>
                <w:sz w:val="16"/>
              </w:rPr>
              <w:t>LNBaños (+), LNDSjoséC (-), LNDAglomP (+), Tipo (+)</w:t>
            </w:r>
          </w:p>
        </w:tc>
        <w:tc>
          <w:tcPr>
            <w:tcW w:w="864" w:type="dxa"/>
            <w:shd w:val="clear" w:color="auto" w:fill="CCCCCC"/>
          </w:tcPr>
          <w:p>
            <w:pPr>
              <w:pStyle w:val="TableParagraph"/>
              <w:spacing w:line="181" w:lineRule="exact" w:before="0"/>
              <w:ind w:left="101"/>
              <w:jc w:val="left"/>
              <w:rPr>
                <w:sz w:val="16"/>
              </w:rPr>
            </w:pPr>
            <w:r>
              <w:rPr>
                <w:sz w:val="16"/>
              </w:rPr>
              <w:t>1.78961</w:t>
            </w:r>
          </w:p>
          <w:p>
            <w:pPr>
              <w:pStyle w:val="TableParagraph"/>
              <w:spacing w:line="240" w:lineRule="auto" w:before="92"/>
              <w:ind w:left="101"/>
              <w:jc w:val="left"/>
              <w:rPr>
                <w:sz w:val="16"/>
              </w:rPr>
            </w:pPr>
            <w:r>
              <w:rPr>
                <w:sz w:val="16"/>
              </w:rPr>
              <w:t>No</w:t>
            </w:r>
            <w:r>
              <w:rPr>
                <w:spacing w:val="-2"/>
                <w:sz w:val="16"/>
              </w:rPr>
              <w:t> </w:t>
            </w:r>
            <w:r>
              <w:rPr>
                <w:sz w:val="16"/>
              </w:rPr>
              <w:t>ACR</w:t>
            </w:r>
          </w:p>
        </w:tc>
        <w:tc>
          <w:tcPr>
            <w:tcW w:w="1376" w:type="dxa"/>
            <w:shd w:val="clear" w:color="auto" w:fill="CCCCCC"/>
          </w:tcPr>
          <w:p>
            <w:pPr>
              <w:pStyle w:val="TableParagraph"/>
              <w:spacing w:line="240" w:lineRule="auto" w:before="0"/>
              <w:jc w:val="left"/>
              <w:rPr>
                <w:rFonts w:ascii="Times New Roman"/>
                <w:sz w:val="16"/>
              </w:rPr>
            </w:pPr>
          </w:p>
        </w:tc>
        <w:tc>
          <w:tcPr>
            <w:tcW w:w="1168" w:type="dxa"/>
            <w:shd w:val="clear" w:color="auto" w:fill="CCCCCC"/>
          </w:tcPr>
          <w:p>
            <w:pPr>
              <w:pStyle w:val="TableParagraph"/>
              <w:spacing w:line="360" w:lineRule="auto" w:before="0"/>
              <w:ind w:left="106"/>
              <w:jc w:val="left"/>
              <w:rPr>
                <w:sz w:val="16"/>
              </w:rPr>
            </w:pPr>
            <w:r>
              <w:rPr>
                <w:sz w:val="16"/>
              </w:rPr>
              <w:t>Patrón creciente</w:t>
            </w:r>
          </w:p>
        </w:tc>
        <w:tc>
          <w:tcPr>
            <w:tcW w:w="997" w:type="dxa"/>
            <w:shd w:val="clear" w:color="auto" w:fill="CCCCCC"/>
          </w:tcPr>
          <w:p>
            <w:pPr>
              <w:pStyle w:val="TableParagraph"/>
              <w:spacing w:line="181" w:lineRule="exact" w:before="0"/>
              <w:ind w:left="106"/>
              <w:jc w:val="left"/>
              <w:rPr>
                <w:sz w:val="16"/>
              </w:rPr>
            </w:pPr>
            <w:r>
              <w:rPr>
                <w:sz w:val="16"/>
              </w:rPr>
              <w:t>3.703</w:t>
            </w:r>
          </w:p>
          <w:p>
            <w:pPr>
              <w:pStyle w:val="TableParagraph"/>
              <w:spacing w:line="360" w:lineRule="auto" w:before="92"/>
              <w:ind w:left="106" w:right="354"/>
              <w:jc w:val="left"/>
              <w:rPr>
                <w:sz w:val="16"/>
              </w:rPr>
            </w:pPr>
            <w:r>
              <w:rPr>
                <w:sz w:val="16"/>
              </w:rPr>
              <w:t>(0.000) HCD</w:t>
            </w:r>
          </w:p>
        </w:tc>
        <w:tc>
          <w:tcPr>
            <w:tcW w:w="952" w:type="dxa"/>
            <w:shd w:val="clear" w:color="auto" w:fill="CCCCCC"/>
          </w:tcPr>
          <w:p>
            <w:pPr>
              <w:pStyle w:val="TableParagraph"/>
              <w:spacing w:line="181" w:lineRule="exact" w:before="0"/>
              <w:ind w:left="105"/>
              <w:jc w:val="left"/>
              <w:rPr>
                <w:sz w:val="16"/>
              </w:rPr>
            </w:pPr>
            <w:r>
              <w:rPr>
                <w:sz w:val="16"/>
              </w:rPr>
              <w:t>17.255</w:t>
            </w:r>
          </w:p>
          <w:p>
            <w:pPr>
              <w:pStyle w:val="TableParagraph"/>
              <w:spacing w:line="360" w:lineRule="auto" w:before="92"/>
              <w:ind w:left="105" w:right="310"/>
              <w:jc w:val="left"/>
              <w:rPr>
                <w:sz w:val="16"/>
              </w:rPr>
            </w:pPr>
            <w:r>
              <w:rPr>
                <w:sz w:val="16"/>
              </w:rPr>
              <w:t>(0.000) HCD</w:t>
            </w:r>
          </w:p>
        </w:tc>
        <w:tc>
          <w:tcPr>
            <w:tcW w:w="1153" w:type="dxa"/>
            <w:shd w:val="clear" w:color="auto" w:fill="CCCCCC"/>
          </w:tcPr>
          <w:p>
            <w:pPr>
              <w:pStyle w:val="TableParagraph"/>
              <w:spacing w:line="181" w:lineRule="exact" w:before="0"/>
              <w:ind w:left="101"/>
              <w:jc w:val="left"/>
              <w:rPr>
                <w:sz w:val="16"/>
              </w:rPr>
            </w:pPr>
            <w:r>
              <w:rPr>
                <w:sz w:val="16"/>
              </w:rPr>
              <w:t>52.52</w:t>
            </w:r>
          </w:p>
        </w:tc>
        <w:tc>
          <w:tcPr>
            <w:tcW w:w="1612" w:type="dxa"/>
            <w:shd w:val="clear" w:color="auto" w:fill="CCCCCC"/>
          </w:tcPr>
          <w:p>
            <w:pPr>
              <w:pStyle w:val="TableParagraph"/>
              <w:spacing w:line="360" w:lineRule="auto" w:before="0"/>
              <w:ind w:left="105" w:right="258"/>
              <w:jc w:val="left"/>
              <w:rPr>
                <w:sz w:val="16"/>
              </w:rPr>
            </w:pPr>
            <w:r>
              <w:rPr>
                <w:sz w:val="16"/>
              </w:rPr>
              <w:t>Tipo (+), LNBaños (+), LNDSjoséC (-), LNDAglomP (+)</w:t>
            </w:r>
          </w:p>
        </w:tc>
      </w:tr>
      <w:tr>
        <w:trPr>
          <w:trHeight w:val="1382" w:hRule="atLeast"/>
        </w:trPr>
        <w:tc>
          <w:tcPr>
            <w:tcW w:w="853" w:type="dxa"/>
          </w:tcPr>
          <w:p>
            <w:pPr>
              <w:pStyle w:val="TableParagraph"/>
              <w:spacing w:line="240" w:lineRule="auto" w:before="0"/>
              <w:ind w:left="107"/>
              <w:jc w:val="left"/>
              <w:rPr>
                <w:b/>
                <w:sz w:val="16"/>
              </w:rPr>
            </w:pPr>
            <w:r>
              <w:rPr>
                <w:b/>
                <w:w w:val="99"/>
                <w:sz w:val="16"/>
              </w:rPr>
              <w:t>8</w:t>
            </w:r>
          </w:p>
        </w:tc>
        <w:tc>
          <w:tcPr>
            <w:tcW w:w="840" w:type="dxa"/>
          </w:tcPr>
          <w:p>
            <w:pPr>
              <w:pStyle w:val="TableParagraph"/>
              <w:spacing w:line="240" w:lineRule="auto" w:before="0"/>
              <w:ind w:left="106"/>
              <w:jc w:val="left"/>
              <w:rPr>
                <w:sz w:val="16"/>
              </w:rPr>
            </w:pPr>
            <w:r>
              <w:rPr>
                <w:sz w:val="16"/>
              </w:rPr>
              <w:t>LNP</w:t>
            </w:r>
          </w:p>
        </w:tc>
        <w:tc>
          <w:tcPr>
            <w:tcW w:w="1725" w:type="dxa"/>
          </w:tcPr>
          <w:p>
            <w:pPr>
              <w:pStyle w:val="TableParagraph"/>
              <w:spacing w:line="360" w:lineRule="auto" w:before="0"/>
              <w:ind w:left="102"/>
              <w:jc w:val="left"/>
              <w:rPr>
                <w:sz w:val="16"/>
              </w:rPr>
            </w:pPr>
            <w:r>
              <w:rPr>
                <w:sz w:val="16"/>
              </w:rPr>
              <w:t>LNÁrea, LNAñoC, LNHab, LNPlantas, LNDSjoséC, LNDAglomP, Tipo,</w:t>
            </w:r>
          </w:p>
          <w:p>
            <w:pPr>
              <w:pStyle w:val="TableParagraph"/>
              <w:spacing w:line="240" w:lineRule="auto" w:before="1"/>
              <w:ind w:left="102"/>
              <w:jc w:val="left"/>
              <w:rPr>
                <w:sz w:val="16"/>
              </w:rPr>
            </w:pPr>
            <w:r>
              <w:rPr>
                <w:sz w:val="16"/>
              </w:rPr>
              <w:t>ZRiesgo, VistaLC</w:t>
            </w:r>
          </w:p>
        </w:tc>
        <w:tc>
          <w:tcPr>
            <w:tcW w:w="852" w:type="dxa"/>
          </w:tcPr>
          <w:p>
            <w:pPr>
              <w:pStyle w:val="TableParagraph"/>
              <w:spacing w:line="240" w:lineRule="auto" w:before="0"/>
              <w:ind w:left="105"/>
              <w:jc w:val="left"/>
              <w:rPr>
                <w:sz w:val="16"/>
              </w:rPr>
            </w:pPr>
            <w:r>
              <w:rPr>
                <w:sz w:val="16"/>
              </w:rPr>
              <w:t>41.23</w:t>
            </w:r>
          </w:p>
        </w:tc>
        <w:tc>
          <w:tcPr>
            <w:tcW w:w="865" w:type="dxa"/>
          </w:tcPr>
          <w:p>
            <w:pPr>
              <w:pStyle w:val="TableParagraph"/>
              <w:spacing w:line="240" w:lineRule="auto" w:before="0"/>
              <w:ind w:left="101"/>
              <w:jc w:val="left"/>
              <w:rPr>
                <w:sz w:val="16"/>
              </w:rPr>
            </w:pPr>
            <w:r>
              <w:rPr>
                <w:sz w:val="16"/>
              </w:rPr>
              <w:t>22.68</w:t>
            </w:r>
          </w:p>
          <w:p>
            <w:pPr>
              <w:pStyle w:val="TableParagraph"/>
              <w:spacing w:line="240" w:lineRule="auto" w:before="92"/>
              <w:ind w:left="101"/>
              <w:jc w:val="left"/>
              <w:rPr>
                <w:sz w:val="16"/>
              </w:rPr>
            </w:pPr>
            <w:r>
              <w:rPr>
                <w:sz w:val="16"/>
              </w:rPr>
              <w:t>(0.000)</w:t>
            </w:r>
          </w:p>
        </w:tc>
        <w:tc>
          <w:tcPr>
            <w:tcW w:w="1436" w:type="dxa"/>
          </w:tcPr>
          <w:p>
            <w:pPr>
              <w:pStyle w:val="TableParagraph"/>
              <w:spacing w:line="240" w:lineRule="auto" w:before="0"/>
              <w:ind w:left="105"/>
              <w:jc w:val="left"/>
              <w:rPr>
                <w:sz w:val="16"/>
              </w:rPr>
            </w:pPr>
            <w:r>
              <w:rPr>
                <w:sz w:val="16"/>
              </w:rPr>
              <w:t>LNAñoC (-),</w:t>
            </w:r>
          </w:p>
          <w:p>
            <w:pPr>
              <w:pStyle w:val="TableParagraph"/>
              <w:spacing w:line="240" w:lineRule="auto" w:before="92"/>
              <w:ind w:left="105"/>
              <w:jc w:val="left"/>
              <w:rPr>
                <w:sz w:val="16"/>
              </w:rPr>
            </w:pPr>
            <w:r>
              <w:rPr>
                <w:sz w:val="16"/>
              </w:rPr>
              <w:t>LNHab (+),</w:t>
            </w:r>
          </w:p>
          <w:p>
            <w:pPr>
              <w:pStyle w:val="TableParagraph"/>
              <w:spacing w:line="240" w:lineRule="auto" w:before="92"/>
              <w:ind w:left="105"/>
              <w:jc w:val="left"/>
              <w:rPr>
                <w:sz w:val="16"/>
              </w:rPr>
            </w:pPr>
            <w:r>
              <w:rPr>
                <w:sz w:val="16"/>
              </w:rPr>
              <w:t>LNDSjoséC (-),</w:t>
            </w:r>
          </w:p>
          <w:p>
            <w:pPr>
              <w:pStyle w:val="TableParagraph"/>
              <w:spacing w:line="270" w:lineRule="atLeast" w:before="7"/>
              <w:ind w:left="105"/>
              <w:jc w:val="left"/>
              <w:rPr>
                <w:sz w:val="16"/>
              </w:rPr>
            </w:pPr>
            <w:r>
              <w:rPr>
                <w:sz w:val="16"/>
              </w:rPr>
              <w:t>LNDAglomP (+), VistaLC (+)</w:t>
            </w:r>
          </w:p>
        </w:tc>
        <w:tc>
          <w:tcPr>
            <w:tcW w:w="864" w:type="dxa"/>
          </w:tcPr>
          <w:p>
            <w:pPr>
              <w:pStyle w:val="TableParagraph"/>
              <w:spacing w:line="240" w:lineRule="auto" w:before="0"/>
              <w:ind w:left="101"/>
              <w:jc w:val="left"/>
              <w:rPr>
                <w:sz w:val="16"/>
              </w:rPr>
            </w:pPr>
            <w:r>
              <w:rPr>
                <w:sz w:val="16"/>
              </w:rPr>
              <w:t>1.78607</w:t>
            </w:r>
          </w:p>
          <w:p>
            <w:pPr>
              <w:pStyle w:val="TableParagraph"/>
              <w:spacing w:line="240" w:lineRule="auto" w:before="92"/>
              <w:ind w:left="101"/>
              <w:jc w:val="left"/>
              <w:rPr>
                <w:sz w:val="16"/>
              </w:rPr>
            </w:pPr>
            <w:r>
              <w:rPr>
                <w:sz w:val="16"/>
              </w:rPr>
              <w:t>No</w:t>
            </w:r>
            <w:r>
              <w:rPr>
                <w:spacing w:val="-2"/>
                <w:sz w:val="16"/>
              </w:rPr>
              <w:t> </w:t>
            </w:r>
            <w:r>
              <w:rPr>
                <w:sz w:val="16"/>
              </w:rPr>
              <w:t>ACR</w:t>
            </w:r>
          </w:p>
        </w:tc>
        <w:tc>
          <w:tcPr>
            <w:tcW w:w="1376" w:type="dxa"/>
          </w:tcPr>
          <w:p>
            <w:pPr>
              <w:pStyle w:val="TableParagraph"/>
              <w:spacing w:line="240" w:lineRule="auto" w:before="0"/>
              <w:jc w:val="left"/>
              <w:rPr>
                <w:rFonts w:ascii="Times New Roman"/>
                <w:sz w:val="16"/>
              </w:rPr>
            </w:pPr>
          </w:p>
        </w:tc>
        <w:tc>
          <w:tcPr>
            <w:tcW w:w="1168" w:type="dxa"/>
          </w:tcPr>
          <w:p>
            <w:pPr>
              <w:pStyle w:val="TableParagraph"/>
              <w:spacing w:line="360" w:lineRule="auto" w:before="0"/>
              <w:ind w:left="106"/>
              <w:jc w:val="left"/>
              <w:rPr>
                <w:sz w:val="16"/>
              </w:rPr>
            </w:pPr>
            <w:r>
              <w:rPr>
                <w:sz w:val="16"/>
              </w:rPr>
              <w:t>Patrón creciente</w:t>
            </w:r>
          </w:p>
        </w:tc>
        <w:tc>
          <w:tcPr>
            <w:tcW w:w="997" w:type="dxa"/>
          </w:tcPr>
          <w:p>
            <w:pPr>
              <w:pStyle w:val="TableParagraph"/>
              <w:spacing w:line="240" w:lineRule="auto" w:before="0"/>
              <w:ind w:left="106"/>
              <w:jc w:val="left"/>
              <w:rPr>
                <w:sz w:val="16"/>
              </w:rPr>
            </w:pPr>
            <w:r>
              <w:rPr>
                <w:sz w:val="16"/>
              </w:rPr>
              <w:t>3.703</w:t>
            </w:r>
          </w:p>
          <w:p>
            <w:pPr>
              <w:pStyle w:val="TableParagraph"/>
              <w:spacing w:line="360" w:lineRule="auto" w:before="92"/>
              <w:ind w:left="106" w:right="354"/>
              <w:jc w:val="left"/>
              <w:rPr>
                <w:sz w:val="16"/>
              </w:rPr>
            </w:pPr>
            <w:r>
              <w:rPr>
                <w:sz w:val="16"/>
              </w:rPr>
              <w:t>(0.000) HCD</w:t>
            </w:r>
          </w:p>
        </w:tc>
        <w:tc>
          <w:tcPr>
            <w:tcW w:w="952" w:type="dxa"/>
          </w:tcPr>
          <w:p>
            <w:pPr>
              <w:pStyle w:val="TableParagraph"/>
              <w:spacing w:line="240" w:lineRule="auto" w:before="0"/>
              <w:ind w:left="105"/>
              <w:jc w:val="left"/>
              <w:rPr>
                <w:sz w:val="16"/>
              </w:rPr>
            </w:pPr>
            <w:r>
              <w:rPr>
                <w:sz w:val="16"/>
              </w:rPr>
              <w:t>17.255</w:t>
            </w:r>
          </w:p>
          <w:p>
            <w:pPr>
              <w:pStyle w:val="TableParagraph"/>
              <w:spacing w:line="360" w:lineRule="auto" w:before="92"/>
              <w:ind w:left="105" w:right="310"/>
              <w:jc w:val="left"/>
              <w:rPr>
                <w:sz w:val="16"/>
              </w:rPr>
            </w:pPr>
            <w:r>
              <w:rPr>
                <w:sz w:val="16"/>
              </w:rPr>
              <w:t>(0.000) HCD</w:t>
            </w:r>
          </w:p>
        </w:tc>
        <w:tc>
          <w:tcPr>
            <w:tcW w:w="1153" w:type="dxa"/>
          </w:tcPr>
          <w:p>
            <w:pPr>
              <w:pStyle w:val="TableParagraph"/>
              <w:spacing w:line="240" w:lineRule="auto" w:before="0"/>
              <w:ind w:left="101"/>
              <w:jc w:val="left"/>
              <w:rPr>
                <w:sz w:val="16"/>
              </w:rPr>
            </w:pPr>
            <w:r>
              <w:rPr>
                <w:sz w:val="16"/>
              </w:rPr>
              <w:t>41.22</w:t>
            </w:r>
          </w:p>
        </w:tc>
        <w:tc>
          <w:tcPr>
            <w:tcW w:w="1612" w:type="dxa"/>
          </w:tcPr>
          <w:p>
            <w:pPr>
              <w:pStyle w:val="TableParagraph"/>
              <w:spacing w:line="240" w:lineRule="auto" w:before="0"/>
              <w:ind w:left="105"/>
              <w:jc w:val="left"/>
              <w:rPr>
                <w:sz w:val="16"/>
              </w:rPr>
            </w:pPr>
            <w:r>
              <w:rPr>
                <w:sz w:val="16"/>
              </w:rPr>
              <w:t>LNAñoC (-),</w:t>
            </w:r>
          </w:p>
          <w:p>
            <w:pPr>
              <w:pStyle w:val="TableParagraph"/>
              <w:spacing w:line="240" w:lineRule="auto" w:before="92"/>
              <w:ind w:left="105"/>
              <w:jc w:val="left"/>
              <w:rPr>
                <w:sz w:val="16"/>
              </w:rPr>
            </w:pPr>
            <w:r>
              <w:rPr>
                <w:sz w:val="16"/>
              </w:rPr>
              <w:t>LNHab (+),</w:t>
            </w:r>
          </w:p>
          <w:p>
            <w:pPr>
              <w:pStyle w:val="TableParagraph"/>
              <w:spacing w:line="240" w:lineRule="auto" w:before="92"/>
              <w:ind w:left="105"/>
              <w:jc w:val="left"/>
              <w:rPr>
                <w:sz w:val="16"/>
              </w:rPr>
            </w:pPr>
            <w:r>
              <w:rPr>
                <w:sz w:val="16"/>
              </w:rPr>
              <w:t>LNDSjoséC (-),</w:t>
            </w:r>
          </w:p>
          <w:p>
            <w:pPr>
              <w:pStyle w:val="TableParagraph"/>
              <w:spacing w:line="270" w:lineRule="atLeast" w:before="7"/>
              <w:ind w:left="105" w:right="258"/>
              <w:jc w:val="left"/>
              <w:rPr>
                <w:sz w:val="16"/>
              </w:rPr>
            </w:pPr>
            <w:r>
              <w:rPr>
                <w:sz w:val="16"/>
              </w:rPr>
              <w:t>LNDAglomP (+), VistaLC (+)</w:t>
            </w:r>
          </w:p>
        </w:tc>
      </w:tr>
    </w:tbl>
    <w:p>
      <w:pPr>
        <w:spacing w:after="0" w:line="270" w:lineRule="atLeast"/>
        <w:jc w:val="left"/>
        <w:rPr>
          <w:sz w:val="16"/>
        </w:rPr>
        <w:sectPr>
          <w:pgSz w:w="15840" w:h="12240" w:orient="landscape"/>
          <w:pgMar w:header="0" w:footer="982" w:top="1140" w:bottom="1180" w:left="520" w:right="400"/>
        </w:sectPr>
      </w:pPr>
    </w:p>
    <w:p>
      <w:pPr>
        <w:pStyle w:val="BodyText"/>
        <w:spacing w:before="1"/>
        <w:rPr>
          <w:i/>
          <w:sz w:val="26"/>
        </w:rPr>
      </w:pPr>
    </w:p>
    <w:tbl>
      <w:tblPr>
        <w:tblW w:w="0" w:type="auto"/>
        <w:jc w:val="left"/>
        <w:tblInd w:w="11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853"/>
        <w:gridCol w:w="840"/>
        <w:gridCol w:w="1725"/>
        <w:gridCol w:w="852"/>
        <w:gridCol w:w="865"/>
        <w:gridCol w:w="1256"/>
        <w:gridCol w:w="864"/>
        <w:gridCol w:w="1376"/>
        <w:gridCol w:w="1168"/>
        <w:gridCol w:w="996"/>
        <w:gridCol w:w="952"/>
        <w:gridCol w:w="1152"/>
        <w:gridCol w:w="1773"/>
      </w:tblGrid>
      <w:tr>
        <w:trPr>
          <w:trHeight w:val="1128" w:hRule="atLeast"/>
        </w:trPr>
        <w:tc>
          <w:tcPr>
            <w:tcW w:w="853" w:type="dxa"/>
            <w:tcBorders>
              <w:top w:val="nil"/>
              <w:left w:val="nil"/>
              <w:bottom w:val="nil"/>
              <w:right w:val="nil"/>
            </w:tcBorders>
            <w:shd w:val="clear" w:color="auto" w:fill="000000"/>
          </w:tcPr>
          <w:p>
            <w:pPr>
              <w:pStyle w:val="TableParagraph"/>
              <w:spacing w:line="240" w:lineRule="auto" w:before="10"/>
              <w:ind w:left="112"/>
              <w:jc w:val="left"/>
              <w:rPr>
                <w:b/>
                <w:sz w:val="16"/>
              </w:rPr>
            </w:pPr>
            <w:r>
              <w:rPr>
                <w:b/>
                <w:color w:val="FFFFFF"/>
                <w:sz w:val="16"/>
              </w:rPr>
              <w:t>Modelo</w:t>
            </w:r>
          </w:p>
        </w:tc>
        <w:tc>
          <w:tcPr>
            <w:tcW w:w="840" w:type="dxa"/>
            <w:tcBorders>
              <w:top w:val="nil"/>
              <w:left w:val="nil"/>
              <w:bottom w:val="nil"/>
              <w:right w:val="nil"/>
            </w:tcBorders>
            <w:shd w:val="clear" w:color="auto" w:fill="000000"/>
          </w:tcPr>
          <w:p>
            <w:pPr>
              <w:pStyle w:val="TableParagraph"/>
              <w:spacing w:line="360" w:lineRule="auto" w:before="10"/>
              <w:ind w:left="111" w:right="86"/>
              <w:jc w:val="left"/>
              <w:rPr>
                <w:b/>
                <w:sz w:val="16"/>
              </w:rPr>
            </w:pPr>
            <w:r>
              <w:rPr>
                <w:b/>
                <w:color w:val="FFFFFF"/>
                <w:sz w:val="16"/>
              </w:rPr>
              <w:t>Variable Indep.</w:t>
            </w:r>
          </w:p>
        </w:tc>
        <w:tc>
          <w:tcPr>
            <w:tcW w:w="1725" w:type="dxa"/>
            <w:tcBorders>
              <w:top w:val="nil"/>
              <w:left w:val="nil"/>
              <w:bottom w:val="nil"/>
              <w:right w:val="nil"/>
            </w:tcBorders>
            <w:shd w:val="clear" w:color="auto" w:fill="000000"/>
          </w:tcPr>
          <w:p>
            <w:pPr>
              <w:pStyle w:val="TableParagraph"/>
              <w:spacing w:line="360" w:lineRule="auto" w:before="10"/>
              <w:ind w:left="107"/>
              <w:jc w:val="left"/>
              <w:rPr>
                <w:b/>
                <w:sz w:val="16"/>
              </w:rPr>
            </w:pPr>
            <w:r>
              <w:rPr>
                <w:b/>
                <w:color w:val="FFFFFF"/>
                <w:sz w:val="16"/>
              </w:rPr>
              <w:t>Variables Dependientes</w:t>
            </w:r>
          </w:p>
        </w:tc>
        <w:tc>
          <w:tcPr>
            <w:tcW w:w="852" w:type="dxa"/>
            <w:tcBorders>
              <w:top w:val="nil"/>
              <w:left w:val="nil"/>
              <w:bottom w:val="nil"/>
              <w:right w:val="nil"/>
            </w:tcBorders>
            <w:shd w:val="clear" w:color="auto" w:fill="000000"/>
          </w:tcPr>
          <w:p>
            <w:pPr>
              <w:pStyle w:val="TableParagraph"/>
              <w:spacing w:line="240" w:lineRule="auto" w:before="7"/>
              <w:ind w:left="110"/>
              <w:jc w:val="left"/>
              <w:rPr>
                <w:b/>
                <w:sz w:val="10"/>
              </w:rPr>
            </w:pPr>
            <w:r>
              <w:rPr>
                <w:b/>
                <w:color w:val="FFFFFF"/>
                <w:position w:val="-4"/>
                <w:sz w:val="16"/>
              </w:rPr>
              <w:t>R</w:t>
            </w:r>
            <w:r>
              <w:rPr>
                <w:b/>
                <w:color w:val="FFFFFF"/>
                <w:sz w:val="10"/>
              </w:rPr>
              <w:t>2</w:t>
            </w:r>
          </w:p>
        </w:tc>
        <w:tc>
          <w:tcPr>
            <w:tcW w:w="865" w:type="dxa"/>
            <w:tcBorders>
              <w:top w:val="nil"/>
              <w:left w:val="nil"/>
              <w:bottom w:val="nil"/>
              <w:right w:val="nil"/>
            </w:tcBorders>
            <w:shd w:val="clear" w:color="auto" w:fill="000000"/>
          </w:tcPr>
          <w:p>
            <w:pPr>
              <w:pStyle w:val="TableParagraph"/>
              <w:spacing w:line="360" w:lineRule="auto" w:before="10"/>
              <w:ind w:left="106" w:right="161"/>
              <w:jc w:val="left"/>
              <w:rPr>
                <w:b/>
                <w:sz w:val="16"/>
              </w:rPr>
            </w:pPr>
            <w:r>
              <w:rPr>
                <w:b/>
                <w:color w:val="FFFFFF"/>
                <w:sz w:val="16"/>
              </w:rPr>
              <w:t>ANOVA F (P)</w:t>
            </w:r>
          </w:p>
        </w:tc>
        <w:tc>
          <w:tcPr>
            <w:tcW w:w="1256" w:type="dxa"/>
            <w:tcBorders>
              <w:top w:val="nil"/>
              <w:left w:val="nil"/>
              <w:bottom w:val="nil"/>
              <w:right w:val="nil"/>
            </w:tcBorders>
            <w:shd w:val="clear" w:color="auto" w:fill="000000"/>
          </w:tcPr>
          <w:p>
            <w:pPr>
              <w:pStyle w:val="TableParagraph"/>
              <w:spacing w:line="360" w:lineRule="auto" w:before="10"/>
              <w:ind w:left="110" w:right="433"/>
              <w:jc w:val="both"/>
              <w:rPr>
                <w:b/>
                <w:sz w:val="16"/>
              </w:rPr>
            </w:pPr>
            <w:r>
              <w:rPr>
                <w:b/>
                <w:color w:val="FFFFFF"/>
                <w:sz w:val="16"/>
              </w:rPr>
              <w:t>Variables Signif. y dirección</w:t>
            </w:r>
          </w:p>
          <w:p>
            <w:pPr>
              <w:pStyle w:val="TableParagraph"/>
              <w:spacing w:line="240" w:lineRule="auto" w:before="0"/>
              <w:ind w:left="110"/>
              <w:jc w:val="left"/>
              <w:rPr>
                <w:b/>
                <w:sz w:val="16"/>
              </w:rPr>
            </w:pPr>
            <w:r>
              <w:rPr>
                <w:b/>
                <w:color w:val="FFFFFF"/>
                <w:sz w:val="16"/>
              </w:rPr>
              <w:t>correlación</w:t>
            </w:r>
          </w:p>
        </w:tc>
        <w:tc>
          <w:tcPr>
            <w:tcW w:w="864" w:type="dxa"/>
            <w:tcBorders>
              <w:top w:val="nil"/>
              <w:left w:val="nil"/>
              <w:bottom w:val="nil"/>
              <w:right w:val="nil"/>
            </w:tcBorders>
            <w:shd w:val="clear" w:color="auto" w:fill="000000"/>
          </w:tcPr>
          <w:p>
            <w:pPr>
              <w:pStyle w:val="TableParagraph"/>
              <w:spacing w:line="360" w:lineRule="auto" w:before="10"/>
              <w:ind w:left="106" w:right="160"/>
              <w:jc w:val="left"/>
              <w:rPr>
                <w:b/>
                <w:sz w:val="16"/>
              </w:rPr>
            </w:pPr>
            <w:r>
              <w:rPr>
                <w:b/>
                <w:color w:val="FFFFFF"/>
                <w:sz w:val="16"/>
              </w:rPr>
              <w:t>Durbin Watson</w:t>
            </w:r>
          </w:p>
        </w:tc>
        <w:tc>
          <w:tcPr>
            <w:tcW w:w="1376" w:type="dxa"/>
            <w:tcBorders>
              <w:top w:val="nil"/>
              <w:left w:val="nil"/>
              <w:bottom w:val="nil"/>
              <w:right w:val="nil"/>
            </w:tcBorders>
            <w:shd w:val="clear" w:color="auto" w:fill="000000"/>
          </w:tcPr>
          <w:p>
            <w:pPr>
              <w:pStyle w:val="TableParagraph"/>
              <w:spacing w:line="360" w:lineRule="auto" w:before="10"/>
              <w:ind w:left="111"/>
              <w:jc w:val="left"/>
              <w:rPr>
                <w:b/>
                <w:sz w:val="16"/>
              </w:rPr>
            </w:pPr>
            <w:r>
              <w:rPr>
                <w:b/>
                <w:color w:val="FFFFFF"/>
                <w:sz w:val="16"/>
              </w:rPr>
              <w:t>Factor de Inflación de Varianza+2</w:t>
            </w:r>
          </w:p>
          <w:p>
            <w:pPr>
              <w:pStyle w:val="TableParagraph"/>
              <w:spacing w:line="240" w:lineRule="auto" w:before="0"/>
              <w:ind w:left="111"/>
              <w:jc w:val="left"/>
              <w:rPr>
                <w:b/>
                <w:sz w:val="16"/>
              </w:rPr>
            </w:pPr>
            <w:r>
              <w:rPr>
                <w:b/>
                <w:color w:val="FFFFFF"/>
                <w:sz w:val="16"/>
              </w:rPr>
              <w:t>(MCD)</w:t>
            </w:r>
          </w:p>
        </w:tc>
        <w:tc>
          <w:tcPr>
            <w:tcW w:w="1168" w:type="dxa"/>
            <w:tcBorders>
              <w:top w:val="nil"/>
              <w:left w:val="nil"/>
              <w:bottom w:val="nil"/>
              <w:right w:val="nil"/>
            </w:tcBorders>
            <w:shd w:val="clear" w:color="auto" w:fill="000000"/>
          </w:tcPr>
          <w:p>
            <w:pPr>
              <w:pStyle w:val="TableParagraph"/>
              <w:spacing w:line="360" w:lineRule="auto" w:before="10"/>
              <w:ind w:left="111" w:right="170"/>
              <w:jc w:val="left"/>
              <w:rPr>
                <w:b/>
                <w:sz w:val="16"/>
              </w:rPr>
            </w:pPr>
            <w:r>
              <w:rPr>
                <w:b/>
                <w:color w:val="FFFFFF"/>
                <w:sz w:val="16"/>
              </w:rPr>
              <w:t>Gráfico de e</w:t>
            </w:r>
            <w:r>
              <w:rPr>
                <w:b/>
                <w:color w:val="FFFFFF"/>
                <w:position w:val="5"/>
                <w:sz w:val="10"/>
              </w:rPr>
              <w:t>2 </w:t>
            </w:r>
            <w:r>
              <w:rPr>
                <w:b/>
                <w:color w:val="FFFFFF"/>
                <w:sz w:val="16"/>
              </w:rPr>
              <w:t>vs ŷ para HCD</w:t>
            </w:r>
          </w:p>
        </w:tc>
        <w:tc>
          <w:tcPr>
            <w:tcW w:w="996" w:type="dxa"/>
            <w:tcBorders>
              <w:top w:val="nil"/>
              <w:left w:val="nil"/>
              <w:bottom w:val="nil"/>
              <w:right w:val="nil"/>
            </w:tcBorders>
            <w:shd w:val="clear" w:color="auto" w:fill="000000"/>
          </w:tcPr>
          <w:p>
            <w:pPr>
              <w:pStyle w:val="TableParagraph"/>
              <w:spacing w:line="360" w:lineRule="auto" w:before="10"/>
              <w:ind w:left="111" w:right="135"/>
              <w:jc w:val="left"/>
              <w:rPr>
                <w:b/>
                <w:sz w:val="16"/>
              </w:rPr>
            </w:pPr>
            <w:r>
              <w:rPr>
                <w:b/>
                <w:color w:val="FFFFFF"/>
                <w:sz w:val="16"/>
              </w:rPr>
              <w:t>Breusch- Pagan para HCD</w:t>
            </w:r>
          </w:p>
          <w:p>
            <w:pPr>
              <w:pStyle w:val="TableParagraph"/>
              <w:spacing w:line="240" w:lineRule="auto" w:before="0"/>
              <w:ind w:left="111"/>
              <w:jc w:val="left"/>
              <w:rPr>
                <w:b/>
                <w:sz w:val="16"/>
              </w:rPr>
            </w:pPr>
            <w:r>
              <w:rPr>
                <w:b/>
                <w:color w:val="FFFFFF"/>
                <w:sz w:val="16"/>
              </w:rPr>
              <w:t>F (P)</w:t>
            </w:r>
          </w:p>
        </w:tc>
        <w:tc>
          <w:tcPr>
            <w:tcW w:w="952" w:type="dxa"/>
            <w:tcBorders>
              <w:top w:val="nil"/>
              <w:left w:val="nil"/>
              <w:bottom w:val="nil"/>
              <w:right w:val="nil"/>
            </w:tcBorders>
            <w:shd w:val="clear" w:color="auto" w:fill="000000"/>
          </w:tcPr>
          <w:p>
            <w:pPr>
              <w:pStyle w:val="TableParagraph"/>
              <w:spacing w:line="360" w:lineRule="auto" w:before="10"/>
              <w:ind w:left="112" w:right="90"/>
              <w:jc w:val="left"/>
              <w:rPr>
                <w:b/>
                <w:sz w:val="16"/>
              </w:rPr>
            </w:pPr>
            <w:r>
              <w:rPr>
                <w:b/>
                <w:color w:val="FFFFFF"/>
                <w:sz w:val="16"/>
              </w:rPr>
              <w:t>Prueba White para HCD</w:t>
            </w:r>
          </w:p>
          <w:p>
            <w:pPr>
              <w:pStyle w:val="TableParagraph"/>
              <w:spacing w:line="240" w:lineRule="auto" w:before="0"/>
              <w:ind w:left="112"/>
              <w:jc w:val="left"/>
              <w:rPr>
                <w:b/>
                <w:sz w:val="16"/>
              </w:rPr>
            </w:pPr>
            <w:r>
              <w:rPr>
                <w:b/>
                <w:color w:val="FFFFFF"/>
                <w:sz w:val="16"/>
              </w:rPr>
              <w:t>F (P)</w:t>
            </w:r>
          </w:p>
        </w:tc>
        <w:tc>
          <w:tcPr>
            <w:tcW w:w="1152" w:type="dxa"/>
            <w:tcBorders>
              <w:top w:val="nil"/>
              <w:left w:val="nil"/>
              <w:bottom w:val="nil"/>
              <w:right w:val="nil"/>
            </w:tcBorders>
            <w:shd w:val="clear" w:color="auto" w:fill="000000"/>
          </w:tcPr>
          <w:p>
            <w:pPr>
              <w:pStyle w:val="TableParagraph"/>
              <w:spacing w:line="360" w:lineRule="auto" w:before="10"/>
              <w:ind w:left="107" w:right="265"/>
              <w:jc w:val="left"/>
              <w:rPr>
                <w:b/>
                <w:sz w:val="16"/>
              </w:rPr>
            </w:pPr>
            <w:r>
              <w:rPr>
                <w:b/>
                <w:color w:val="FFFFFF"/>
                <w:sz w:val="16"/>
              </w:rPr>
              <w:t>R</w:t>
            </w:r>
            <w:r>
              <w:rPr>
                <w:b/>
                <w:color w:val="FFFFFF"/>
                <w:position w:val="5"/>
                <w:sz w:val="10"/>
              </w:rPr>
              <w:t>2 </w:t>
            </w:r>
            <w:r>
              <w:rPr>
                <w:b/>
                <w:color w:val="FFFFFF"/>
                <w:sz w:val="16"/>
              </w:rPr>
              <w:t>Correc. White</w:t>
            </w:r>
          </w:p>
        </w:tc>
        <w:tc>
          <w:tcPr>
            <w:tcW w:w="1773" w:type="dxa"/>
            <w:tcBorders>
              <w:top w:val="nil"/>
              <w:left w:val="nil"/>
              <w:bottom w:val="nil"/>
              <w:right w:val="nil"/>
            </w:tcBorders>
            <w:shd w:val="clear" w:color="auto" w:fill="000000"/>
          </w:tcPr>
          <w:p>
            <w:pPr>
              <w:pStyle w:val="TableParagraph"/>
              <w:spacing w:line="360" w:lineRule="auto" w:before="10"/>
              <w:ind w:left="112"/>
              <w:jc w:val="left"/>
              <w:rPr>
                <w:b/>
                <w:sz w:val="16"/>
              </w:rPr>
            </w:pPr>
            <w:r>
              <w:rPr>
                <w:b/>
                <w:color w:val="FFFFFF"/>
                <w:sz w:val="16"/>
              </w:rPr>
              <w:t>Var. Sig. Modelo Corregido White y dirección</w:t>
            </w:r>
          </w:p>
          <w:p>
            <w:pPr>
              <w:pStyle w:val="TableParagraph"/>
              <w:spacing w:line="240" w:lineRule="auto" w:before="0"/>
              <w:ind w:left="112"/>
              <w:jc w:val="left"/>
              <w:rPr>
                <w:b/>
                <w:sz w:val="16"/>
              </w:rPr>
            </w:pPr>
            <w:r>
              <w:rPr>
                <w:b/>
                <w:color w:val="FFFFFF"/>
                <w:sz w:val="16"/>
              </w:rPr>
              <w:t>correlación</w:t>
            </w:r>
          </w:p>
        </w:tc>
      </w:tr>
      <w:tr>
        <w:trPr>
          <w:trHeight w:val="1651" w:hRule="atLeast"/>
        </w:trPr>
        <w:tc>
          <w:tcPr>
            <w:tcW w:w="853" w:type="dxa"/>
            <w:tcBorders>
              <w:top w:val="nil"/>
            </w:tcBorders>
            <w:shd w:val="clear" w:color="auto" w:fill="CCCCCC"/>
          </w:tcPr>
          <w:p>
            <w:pPr>
              <w:pStyle w:val="TableParagraph"/>
              <w:spacing w:line="178" w:lineRule="exact" w:before="0"/>
              <w:ind w:left="107"/>
              <w:jc w:val="left"/>
              <w:rPr>
                <w:b/>
                <w:sz w:val="16"/>
              </w:rPr>
            </w:pPr>
            <w:r>
              <w:rPr>
                <w:b/>
                <w:w w:val="99"/>
                <w:sz w:val="16"/>
              </w:rPr>
              <w:t>9</w:t>
            </w:r>
          </w:p>
        </w:tc>
        <w:tc>
          <w:tcPr>
            <w:tcW w:w="840" w:type="dxa"/>
            <w:tcBorders>
              <w:top w:val="nil"/>
            </w:tcBorders>
            <w:shd w:val="clear" w:color="auto" w:fill="CCCCCC"/>
          </w:tcPr>
          <w:p>
            <w:pPr>
              <w:pStyle w:val="TableParagraph"/>
              <w:spacing w:line="178" w:lineRule="exact" w:before="0"/>
              <w:ind w:left="106"/>
              <w:jc w:val="left"/>
              <w:rPr>
                <w:sz w:val="16"/>
              </w:rPr>
            </w:pPr>
            <w:r>
              <w:rPr>
                <w:w w:val="100"/>
                <w:sz w:val="16"/>
              </w:rPr>
              <w:t>P</w:t>
            </w:r>
          </w:p>
        </w:tc>
        <w:tc>
          <w:tcPr>
            <w:tcW w:w="1725" w:type="dxa"/>
            <w:tcBorders>
              <w:top w:val="nil"/>
            </w:tcBorders>
            <w:shd w:val="clear" w:color="auto" w:fill="CCCCCC"/>
          </w:tcPr>
          <w:p>
            <w:pPr>
              <w:pStyle w:val="TableParagraph"/>
              <w:spacing w:line="360" w:lineRule="auto" w:before="0"/>
              <w:ind w:left="102" w:right="178"/>
              <w:jc w:val="left"/>
              <w:rPr>
                <w:sz w:val="16"/>
              </w:rPr>
            </w:pPr>
            <w:r>
              <w:rPr>
                <w:sz w:val="16"/>
              </w:rPr>
              <w:t>Área, AñoC, Baños, Plantas, DSjoséC, DAglomP, Tipo, ZRiesgo, VistaLC</w:t>
            </w:r>
          </w:p>
        </w:tc>
        <w:tc>
          <w:tcPr>
            <w:tcW w:w="852" w:type="dxa"/>
            <w:tcBorders>
              <w:top w:val="nil"/>
            </w:tcBorders>
            <w:shd w:val="clear" w:color="auto" w:fill="CCCCCC"/>
          </w:tcPr>
          <w:p>
            <w:pPr>
              <w:pStyle w:val="TableParagraph"/>
              <w:spacing w:line="178" w:lineRule="exact" w:before="0"/>
              <w:ind w:left="105"/>
              <w:jc w:val="left"/>
              <w:rPr>
                <w:sz w:val="16"/>
              </w:rPr>
            </w:pPr>
            <w:r>
              <w:rPr>
                <w:sz w:val="16"/>
              </w:rPr>
              <w:t>45.99</w:t>
            </w:r>
          </w:p>
        </w:tc>
        <w:tc>
          <w:tcPr>
            <w:tcW w:w="865" w:type="dxa"/>
            <w:tcBorders>
              <w:top w:val="nil"/>
            </w:tcBorders>
            <w:shd w:val="clear" w:color="auto" w:fill="CCCCCC"/>
          </w:tcPr>
          <w:p>
            <w:pPr>
              <w:pStyle w:val="TableParagraph"/>
              <w:spacing w:line="178" w:lineRule="exact" w:before="0"/>
              <w:ind w:left="101"/>
              <w:jc w:val="left"/>
              <w:rPr>
                <w:sz w:val="16"/>
              </w:rPr>
            </w:pPr>
            <w:r>
              <w:rPr>
                <w:sz w:val="16"/>
              </w:rPr>
              <w:t>27.63</w:t>
            </w:r>
          </w:p>
          <w:p>
            <w:pPr>
              <w:pStyle w:val="TableParagraph"/>
              <w:spacing w:line="240" w:lineRule="auto" w:before="92"/>
              <w:ind w:left="101"/>
              <w:jc w:val="left"/>
              <w:rPr>
                <w:sz w:val="16"/>
              </w:rPr>
            </w:pPr>
            <w:r>
              <w:rPr>
                <w:sz w:val="16"/>
              </w:rPr>
              <w:t>(0.000)</w:t>
            </w:r>
          </w:p>
        </w:tc>
        <w:tc>
          <w:tcPr>
            <w:tcW w:w="1256" w:type="dxa"/>
            <w:tcBorders>
              <w:top w:val="nil"/>
            </w:tcBorders>
            <w:shd w:val="clear" w:color="auto" w:fill="CCCCCC"/>
          </w:tcPr>
          <w:p>
            <w:pPr>
              <w:pStyle w:val="TableParagraph"/>
              <w:spacing w:line="178" w:lineRule="exact" w:before="0"/>
              <w:ind w:left="105"/>
              <w:jc w:val="left"/>
              <w:rPr>
                <w:sz w:val="16"/>
              </w:rPr>
            </w:pPr>
            <w:r>
              <w:rPr>
                <w:sz w:val="16"/>
              </w:rPr>
              <w:t>Baños</w:t>
            </w:r>
            <w:r>
              <w:rPr>
                <w:spacing w:val="-6"/>
                <w:sz w:val="16"/>
              </w:rPr>
              <w:t> </w:t>
            </w:r>
            <w:r>
              <w:rPr>
                <w:sz w:val="16"/>
              </w:rPr>
              <w:t>(+),</w:t>
            </w:r>
          </w:p>
          <w:p>
            <w:pPr>
              <w:pStyle w:val="TableParagraph"/>
              <w:spacing w:line="240" w:lineRule="auto" w:before="92"/>
              <w:ind w:left="105"/>
              <w:jc w:val="left"/>
              <w:rPr>
                <w:sz w:val="16"/>
              </w:rPr>
            </w:pPr>
            <w:r>
              <w:rPr>
                <w:sz w:val="16"/>
              </w:rPr>
              <w:t>Plantas</w:t>
            </w:r>
            <w:r>
              <w:rPr>
                <w:spacing w:val="-8"/>
                <w:sz w:val="16"/>
              </w:rPr>
              <w:t> </w:t>
            </w:r>
            <w:r>
              <w:rPr>
                <w:sz w:val="16"/>
              </w:rPr>
              <w:t>(-),</w:t>
            </w:r>
          </w:p>
          <w:p>
            <w:pPr>
              <w:pStyle w:val="TableParagraph"/>
              <w:spacing w:line="360" w:lineRule="auto" w:before="92"/>
              <w:ind w:left="105"/>
              <w:jc w:val="left"/>
              <w:rPr>
                <w:sz w:val="16"/>
              </w:rPr>
            </w:pPr>
            <w:r>
              <w:rPr>
                <w:sz w:val="16"/>
              </w:rPr>
              <w:t>DSjoséC (-), DAglomP (+), Tipo (+),</w:t>
            </w:r>
          </w:p>
          <w:p>
            <w:pPr>
              <w:pStyle w:val="TableParagraph"/>
              <w:spacing w:line="240" w:lineRule="auto" w:before="0"/>
              <w:ind w:left="105"/>
              <w:jc w:val="left"/>
              <w:rPr>
                <w:sz w:val="16"/>
              </w:rPr>
            </w:pPr>
            <w:r>
              <w:rPr>
                <w:sz w:val="16"/>
              </w:rPr>
              <w:t>VistaLC (+)</w:t>
            </w:r>
          </w:p>
        </w:tc>
        <w:tc>
          <w:tcPr>
            <w:tcW w:w="864" w:type="dxa"/>
            <w:tcBorders>
              <w:top w:val="nil"/>
            </w:tcBorders>
            <w:shd w:val="clear" w:color="auto" w:fill="CCCCCC"/>
          </w:tcPr>
          <w:p>
            <w:pPr>
              <w:pStyle w:val="TableParagraph"/>
              <w:spacing w:line="178" w:lineRule="exact" w:before="0"/>
              <w:ind w:left="101"/>
              <w:jc w:val="left"/>
              <w:rPr>
                <w:sz w:val="16"/>
              </w:rPr>
            </w:pPr>
            <w:r>
              <w:rPr>
                <w:sz w:val="16"/>
              </w:rPr>
              <w:t>1.92492</w:t>
            </w:r>
          </w:p>
          <w:p>
            <w:pPr>
              <w:pStyle w:val="TableParagraph"/>
              <w:spacing w:line="240" w:lineRule="auto" w:before="92"/>
              <w:ind w:left="101"/>
              <w:jc w:val="left"/>
              <w:rPr>
                <w:sz w:val="16"/>
              </w:rPr>
            </w:pPr>
            <w:r>
              <w:rPr>
                <w:sz w:val="16"/>
              </w:rPr>
              <w:t>No</w:t>
            </w:r>
            <w:r>
              <w:rPr>
                <w:spacing w:val="-2"/>
                <w:sz w:val="16"/>
              </w:rPr>
              <w:t> </w:t>
            </w:r>
            <w:r>
              <w:rPr>
                <w:sz w:val="16"/>
              </w:rPr>
              <w:t>ACR</w:t>
            </w:r>
          </w:p>
        </w:tc>
        <w:tc>
          <w:tcPr>
            <w:tcW w:w="1376" w:type="dxa"/>
            <w:tcBorders>
              <w:top w:val="nil"/>
            </w:tcBorders>
            <w:shd w:val="clear" w:color="auto" w:fill="CCCCCC"/>
          </w:tcPr>
          <w:p>
            <w:pPr>
              <w:pStyle w:val="TableParagraph"/>
              <w:spacing w:line="240" w:lineRule="auto" w:before="0"/>
              <w:jc w:val="left"/>
              <w:rPr>
                <w:rFonts w:ascii="Times New Roman"/>
                <w:sz w:val="16"/>
              </w:rPr>
            </w:pPr>
          </w:p>
        </w:tc>
        <w:tc>
          <w:tcPr>
            <w:tcW w:w="1168" w:type="dxa"/>
            <w:tcBorders>
              <w:top w:val="nil"/>
            </w:tcBorders>
            <w:shd w:val="clear" w:color="auto" w:fill="CCCCCC"/>
          </w:tcPr>
          <w:p>
            <w:pPr>
              <w:pStyle w:val="TableParagraph"/>
              <w:spacing w:line="240" w:lineRule="auto" w:before="0"/>
              <w:jc w:val="left"/>
              <w:rPr>
                <w:rFonts w:ascii="Times New Roman"/>
                <w:sz w:val="16"/>
              </w:rPr>
            </w:pPr>
          </w:p>
        </w:tc>
        <w:tc>
          <w:tcPr>
            <w:tcW w:w="996" w:type="dxa"/>
            <w:tcBorders>
              <w:top w:val="nil"/>
            </w:tcBorders>
            <w:shd w:val="clear" w:color="auto" w:fill="CCCCCC"/>
          </w:tcPr>
          <w:p>
            <w:pPr>
              <w:pStyle w:val="TableParagraph"/>
              <w:spacing w:line="178" w:lineRule="exact" w:before="0"/>
              <w:ind w:left="106"/>
              <w:jc w:val="left"/>
              <w:rPr>
                <w:sz w:val="16"/>
              </w:rPr>
            </w:pPr>
            <w:r>
              <w:rPr>
                <w:sz w:val="16"/>
              </w:rPr>
              <w:t>7.522</w:t>
            </w:r>
          </w:p>
          <w:p>
            <w:pPr>
              <w:pStyle w:val="TableParagraph"/>
              <w:spacing w:line="360" w:lineRule="auto" w:before="92"/>
              <w:ind w:left="106" w:right="353"/>
              <w:jc w:val="left"/>
              <w:rPr>
                <w:sz w:val="16"/>
              </w:rPr>
            </w:pPr>
            <w:r>
              <w:rPr>
                <w:sz w:val="16"/>
              </w:rPr>
              <w:t>(0.000) HCD</w:t>
            </w:r>
          </w:p>
        </w:tc>
        <w:tc>
          <w:tcPr>
            <w:tcW w:w="952" w:type="dxa"/>
            <w:tcBorders>
              <w:top w:val="nil"/>
            </w:tcBorders>
            <w:shd w:val="clear" w:color="auto" w:fill="CCCCCC"/>
          </w:tcPr>
          <w:p>
            <w:pPr>
              <w:pStyle w:val="TableParagraph"/>
              <w:spacing w:line="178" w:lineRule="exact" w:before="0"/>
              <w:ind w:left="107"/>
              <w:jc w:val="left"/>
              <w:rPr>
                <w:sz w:val="16"/>
              </w:rPr>
            </w:pPr>
            <w:r>
              <w:rPr>
                <w:sz w:val="16"/>
              </w:rPr>
              <w:t>38.724</w:t>
            </w:r>
          </w:p>
          <w:p>
            <w:pPr>
              <w:pStyle w:val="TableParagraph"/>
              <w:spacing w:line="360" w:lineRule="auto" w:before="92"/>
              <w:ind w:left="107" w:right="308"/>
              <w:jc w:val="left"/>
              <w:rPr>
                <w:sz w:val="16"/>
              </w:rPr>
            </w:pPr>
            <w:r>
              <w:rPr>
                <w:sz w:val="16"/>
              </w:rPr>
              <w:t>(0.000) HCD</w:t>
            </w:r>
          </w:p>
        </w:tc>
        <w:tc>
          <w:tcPr>
            <w:tcW w:w="1152" w:type="dxa"/>
            <w:tcBorders>
              <w:top w:val="nil"/>
            </w:tcBorders>
            <w:shd w:val="clear" w:color="auto" w:fill="CCCCCC"/>
          </w:tcPr>
          <w:p>
            <w:pPr>
              <w:pStyle w:val="TableParagraph"/>
              <w:spacing w:line="178" w:lineRule="exact" w:before="0"/>
              <w:ind w:left="102"/>
              <w:jc w:val="left"/>
              <w:rPr>
                <w:sz w:val="16"/>
              </w:rPr>
            </w:pPr>
            <w:r>
              <w:rPr>
                <w:sz w:val="16"/>
              </w:rPr>
              <w:t>45.99</w:t>
            </w:r>
          </w:p>
        </w:tc>
        <w:tc>
          <w:tcPr>
            <w:tcW w:w="1773" w:type="dxa"/>
            <w:tcBorders>
              <w:top w:val="nil"/>
            </w:tcBorders>
            <w:shd w:val="clear" w:color="auto" w:fill="CCCCCC"/>
          </w:tcPr>
          <w:p>
            <w:pPr>
              <w:pStyle w:val="TableParagraph"/>
              <w:spacing w:line="178" w:lineRule="exact" w:before="0"/>
              <w:ind w:left="107"/>
              <w:jc w:val="left"/>
              <w:rPr>
                <w:sz w:val="16"/>
              </w:rPr>
            </w:pPr>
            <w:r>
              <w:rPr>
                <w:sz w:val="16"/>
              </w:rPr>
              <w:t>Baños</w:t>
            </w:r>
            <w:r>
              <w:rPr>
                <w:spacing w:val="-6"/>
                <w:sz w:val="16"/>
              </w:rPr>
              <w:t> </w:t>
            </w:r>
            <w:r>
              <w:rPr>
                <w:sz w:val="16"/>
              </w:rPr>
              <w:t>(+),</w:t>
            </w:r>
          </w:p>
          <w:p>
            <w:pPr>
              <w:pStyle w:val="TableParagraph"/>
              <w:spacing w:line="240" w:lineRule="auto" w:before="92"/>
              <w:ind w:left="107"/>
              <w:jc w:val="left"/>
              <w:rPr>
                <w:sz w:val="16"/>
              </w:rPr>
            </w:pPr>
            <w:r>
              <w:rPr>
                <w:sz w:val="16"/>
              </w:rPr>
              <w:t>Plantas</w:t>
            </w:r>
            <w:r>
              <w:rPr>
                <w:spacing w:val="-7"/>
                <w:sz w:val="16"/>
              </w:rPr>
              <w:t> </w:t>
            </w:r>
            <w:r>
              <w:rPr>
                <w:sz w:val="16"/>
              </w:rPr>
              <w:t>(-),</w:t>
            </w:r>
          </w:p>
          <w:p>
            <w:pPr>
              <w:pStyle w:val="TableParagraph"/>
              <w:spacing w:line="360" w:lineRule="auto" w:before="92"/>
              <w:ind w:left="107" w:right="400"/>
              <w:jc w:val="left"/>
              <w:rPr>
                <w:sz w:val="16"/>
              </w:rPr>
            </w:pPr>
            <w:r>
              <w:rPr>
                <w:sz w:val="16"/>
              </w:rPr>
              <w:t>DSjoséC (-), DAglomP (+), Tipo (+),</w:t>
            </w:r>
          </w:p>
          <w:p>
            <w:pPr>
              <w:pStyle w:val="TableParagraph"/>
              <w:spacing w:line="240" w:lineRule="auto" w:before="0"/>
              <w:ind w:left="107"/>
              <w:jc w:val="left"/>
              <w:rPr>
                <w:sz w:val="16"/>
              </w:rPr>
            </w:pPr>
            <w:r>
              <w:rPr>
                <w:sz w:val="16"/>
              </w:rPr>
              <w:t>VistaLC (+)</w:t>
            </w:r>
          </w:p>
        </w:tc>
      </w:tr>
      <w:tr>
        <w:trPr>
          <w:trHeight w:val="1105" w:hRule="atLeast"/>
        </w:trPr>
        <w:tc>
          <w:tcPr>
            <w:tcW w:w="853" w:type="dxa"/>
          </w:tcPr>
          <w:p>
            <w:pPr>
              <w:pStyle w:val="TableParagraph"/>
              <w:spacing w:line="240" w:lineRule="auto" w:before="1"/>
              <w:ind w:left="107"/>
              <w:jc w:val="left"/>
              <w:rPr>
                <w:b/>
                <w:sz w:val="16"/>
              </w:rPr>
            </w:pPr>
            <w:r>
              <w:rPr>
                <w:b/>
                <w:sz w:val="16"/>
              </w:rPr>
              <w:t>10</w:t>
            </w:r>
          </w:p>
        </w:tc>
        <w:tc>
          <w:tcPr>
            <w:tcW w:w="840" w:type="dxa"/>
          </w:tcPr>
          <w:p>
            <w:pPr>
              <w:pStyle w:val="TableParagraph"/>
              <w:spacing w:line="240" w:lineRule="auto" w:before="1"/>
              <w:ind w:left="106"/>
              <w:jc w:val="left"/>
              <w:rPr>
                <w:sz w:val="16"/>
              </w:rPr>
            </w:pPr>
            <w:r>
              <w:rPr>
                <w:w w:val="100"/>
                <w:sz w:val="16"/>
              </w:rPr>
              <w:t>P</w:t>
            </w:r>
          </w:p>
        </w:tc>
        <w:tc>
          <w:tcPr>
            <w:tcW w:w="1725" w:type="dxa"/>
          </w:tcPr>
          <w:p>
            <w:pPr>
              <w:pStyle w:val="TableParagraph"/>
              <w:spacing w:line="360" w:lineRule="auto" w:before="1"/>
              <w:ind w:left="102"/>
              <w:jc w:val="left"/>
              <w:rPr>
                <w:sz w:val="16"/>
              </w:rPr>
            </w:pPr>
            <w:r>
              <w:rPr>
                <w:sz w:val="16"/>
              </w:rPr>
              <w:t>Área, AñoC, Hab, Plantas, DSjoséC, DAglomP, Tipo,</w:t>
            </w:r>
          </w:p>
          <w:p>
            <w:pPr>
              <w:pStyle w:val="TableParagraph"/>
              <w:spacing w:line="240" w:lineRule="auto" w:before="0"/>
              <w:ind w:left="102"/>
              <w:jc w:val="left"/>
              <w:rPr>
                <w:sz w:val="16"/>
              </w:rPr>
            </w:pPr>
            <w:r>
              <w:rPr>
                <w:sz w:val="16"/>
              </w:rPr>
              <w:t>ZRiesgo, VistaLC</w:t>
            </w:r>
          </w:p>
        </w:tc>
        <w:tc>
          <w:tcPr>
            <w:tcW w:w="852" w:type="dxa"/>
          </w:tcPr>
          <w:p>
            <w:pPr>
              <w:pStyle w:val="TableParagraph"/>
              <w:spacing w:line="240" w:lineRule="auto" w:before="1"/>
              <w:ind w:left="105"/>
              <w:jc w:val="left"/>
              <w:rPr>
                <w:sz w:val="16"/>
              </w:rPr>
            </w:pPr>
            <w:r>
              <w:rPr>
                <w:sz w:val="16"/>
              </w:rPr>
              <w:t>35.38</w:t>
            </w:r>
          </w:p>
        </w:tc>
        <w:tc>
          <w:tcPr>
            <w:tcW w:w="865" w:type="dxa"/>
          </w:tcPr>
          <w:p>
            <w:pPr>
              <w:pStyle w:val="TableParagraph"/>
              <w:spacing w:line="240" w:lineRule="auto" w:before="1"/>
              <w:ind w:left="101"/>
              <w:jc w:val="left"/>
              <w:rPr>
                <w:sz w:val="16"/>
              </w:rPr>
            </w:pPr>
            <w:r>
              <w:rPr>
                <w:sz w:val="16"/>
              </w:rPr>
              <w:t>17.92</w:t>
            </w:r>
          </w:p>
          <w:p>
            <w:pPr>
              <w:pStyle w:val="TableParagraph"/>
              <w:spacing w:line="240" w:lineRule="auto"/>
              <w:ind w:left="101"/>
              <w:jc w:val="left"/>
              <w:rPr>
                <w:sz w:val="16"/>
              </w:rPr>
            </w:pPr>
            <w:r>
              <w:rPr>
                <w:sz w:val="16"/>
              </w:rPr>
              <w:t>(0.000)</w:t>
            </w:r>
          </w:p>
        </w:tc>
        <w:tc>
          <w:tcPr>
            <w:tcW w:w="1256" w:type="dxa"/>
          </w:tcPr>
          <w:p>
            <w:pPr>
              <w:pStyle w:val="TableParagraph"/>
              <w:spacing w:line="240" w:lineRule="auto" w:before="1"/>
              <w:ind w:left="105"/>
              <w:jc w:val="left"/>
              <w:rPr>
                <w:sz w:val="16"/>
              </w:rPr>
            </w:pPr>
            <w:r>
              <w:rPr>
                <w:sz w:val="16"/>
              </w:rPr>
              <w:t>Hab (+),</w:t>
            </w:r>
          </w:p>
          <w:p>
            <w:pPr>
              <w:pStyle w:val="TableParagraph"/>
              <w:spacing w:line="276" w:lineRule="exact" w:before="21"/>
              <w:ind w:left="105"/>
              <w:jc w:val="left"/>
              <w:rPr>
                <w:sz w:val="16"/>
              </w:rPr>
            </w:pPr>
            <w:r>
              <w:rPr>
                <w:sz w:val="16"/>
              </w:rPr>
              <w:t>DSjoséC (-), DAglomP (+), VistaLC (+)</w:t>
            </w:r>
          </w:p>
        </w:tc>
        <w:tc>
          <w:tcPr>
            <w:tcW w:w="864" w:type="dxa"/>
          </w:tcPr>
          <w:p>
            <w:pPr>
              <w:pStyle w:val="TableParagraph"/>
              <w:spacing w:line="240" w:lineRule="auto" w:before="1"/>
              <w:ind w:left="101"/>
              <w:jc w:val="left"/>
              <w:rPr>
                <w:sz w:val="16"/>
              </w:rPr>
            </w:pPr>
            <w:r>
              <w:rPr>
                <w:sz w:val="16"/>
              </w:rPr>
              <w:t>1.93538</w:t>
            </w:r>
          </w:p>
          <w:p>
            <w:pPr>
              <w:pStyle w:val="TableParagraph"/>
              <w:spacing w:line="240" w:lineRule="auto"/>
              <w:ind w:left="101"/>
              <w:jc w:val="left"/>
              <w:rPr>
                <w:sz w:val="16"/>
              </w:rPr>
            </w:pPr>
            <w:r>
              <w:rPr>
                <w:sz w:val="16"/>
              </w:rPr>
              <w:t>No</w:t>
            </w:r>
            <w:r>
              <w:rPr>
                <w:spacing w:val="-2"/>
                <w:sz w:val="16"/>
              </w:rPr>
              <w:t> </w:t>
            </w:r>
            <w:r>
              <w:rPr>
                <w:sz w:val="16"/>
              </w:rPr>
              <w:t>ACR</w:t>
            </w:r>
          </w:p>
        </w:tc>
        <w:tc>
          <w:tcPr>
            <w:tcW w:w="1376" w:type="dxa"/>
          </w:tcPr>
          <w:p>
            <w:pPr>
              <w:pStyle w:val="TableParagraph"/>
              <w:spacing w:line="240" w:lineRule="auto" w:before="0"/>
              <w:jc w:val="left"/>
              <w:rPr>
                <w:rFonts w:ascii="Times New Roman"/>
                <w:sz w:val="16"/>
              </w:rPr>
            </w:pPr>
          </w:p>
        </w:tc>
        <w:tc>
          <w:tcPr>
            <w:tcW w:w="1168" w:type="dxa"/>
          </w:tcPr>
          <w:p>
            <w:pPr>
              <w:pStyle w:val="TableParagraph"/>
              <w:spacing w:line="360" w:lineRule="auto" w:before="1"/>
              <w:ind w:left="106"/>
              <w:jc w:val="left"/>
              <w:rPr>
                <w:sz w:val="16"/>
              </w:rPr>
            </w:pPr>
            <w:r>
              <w:rPr>
                <w:sz w:val="16"/>
              </w:rPr>
              <w:t>Patrón creciente</w:t>
            </w:r>
          </w:p>
        </w:tc>
        <w:tc>
          <w:tcPr>
            <w:tcW w:w="996" w:type="dxa"/>
          </w:tcPr>
          <w:p>
            <w:pPr>
              <w:pStyle w:val="TableParagraph"/>
              <w:spacing w:line="240" w:lineRule="auto" w:before="1"/>
              <w:ind w:left="106"/>
              <w:jc w:val="left"/>
              <w:rPr>
                <w:sz w:val="16"/>
              </w:rPr>
            </w:pPr>
            <w:r>
              <w:rPr>
                <w:sz w:val="16"/>
              </w:rPr>
              <w:t>9.577</w:t>
            </w:r>
          </w:p>
          <w:p>
            <w:pPr>
              <w:pStyle w:val="TableParagraph"/>
              <w:spacing w:line="360" w:lineRule="auto"/>
              <w:ind w:left="106" w:right="353"/>
              <w:jc w:val="left"/>
              <w:rPr>
                <w:sz w:val="16"/>
              </w:rPr>
            </w:pPr>
            <w:r>
              <w:rPr>
                <w:sz w:val="16"/>
              </w:rPr>
              <w:t>(0.000) HCD</w:t>
            </w:r>
          </w:p>
        </w:tc>
        <w:tc>
          <w:tcPr>
            <w:tcW w:w="952" w:type="dxa"/>
          </w:tcPr>
          <w:p>
            <w:pPr>
              <w:pStyle w:val="TableParagraph"/>
              <w:spacing w:line="240" w:lineRule="auto" w:before="1"/>
              <w:ind w:left="107"/>
              <w:jc w:val="left"/>
              <w:rPr>
                <w:sz w:val="16"/>
              </w:rPr>
            </w:pPr>
            <w:r>
              <w:rPr>
                <w:sz w:val="16"/>
              </w:rPr>
              <w:t>52.052</w:t>
            </w:r>
          </w:p>
          <w:p>
            <w:pPr>
              <w:pStyle w:val="TableParagraph"/>
              <w:spacing w:line="360" w:lineRule="auto"/>
              <w:ind w:left="107" w:right="308"/>
              <w:jc w:val="left"/>
              <w:rPr>
                <w:sz w:val="16"/>
              </w:rPr>
            </w:pPr>
            <w:r>
              <w:rPr>
                <w:sz w:val="16"/>
              </w:rPr>
              <w:t>(0.000) HCD</w:t>
            </w:r>
          </w:p>
        </w:tc>
        <w:tc>
          <w:tcPr>
            <w:tcW w:w="1152" w:type="dxa"/>
          </w:tcPr>
          <w:p>
            <w:pPr>
              <w:pStyle w:val="TableParagraph"/>
              <w:spacing w:line="240" w:lineRule="auto" w:before="0"/>
              <w:jc w:val="left"/>
              <w:rPr>
                <w:rFonts w:ascii="Times New Roman"/>
                <w:sz w:val="16"/>
              </w:rPr>
            </w:pPr>
          </w:p>
        </w:tc>
        <w:tc>
          <w:tcPr>
            <w:tcW w:w="1773" w:type="dxa"/>
          </w:tcPr>
          <w:p>
            <w:pPr>
              <w:pStyle w:val="TableParagraph"/>
              <w:spacing w:line="240" w:lineRule="auto" w:before="0"/>
              <w:jc w:val="left"/>
              <w:rPr>
                <w:rFonts w:ascii="Times New Roman"/>
                <w:sz w:val="16"/>
              </w:rPr>
            </w:pPr>
          </w:p>
        </w:tc>
      </w:tr>
    </w:tbl>
    <w:p>
      <w:pPr>
        <w:spacing w:after="0" w:line="240" w:lineRule="auto"/>
        <w:jc w:val="left"/>
        <w:rPr>
          <w:rFonts w:ascii="Times New Roman"/>
          <w:sz w:val="16"/>
        </w:rPr>
        <w:sectPr>
          <w:pgSz w:w="15840" w:h="12240" w:orient="landscape"/>
          <w:pgMar w:header="0" w:footer="982" w:top="1140" w:bottom="1180" w:left="520" w:right="400"/>
        </w:sectPr>
      </w:pPr>
    </w:p>
    <w:p>
      <w:pPr>
        <w:pStyle w:val="BodyText"/>
        <w:spacing w:line="360" w:lineRule="auto" w:before="74"/>
        <w:ind w:left="1040" w:right="1036"/>
        <w:jc w:val="both"/>
      </w:pPr>
      <w:r>
        <w:rPr/>
        <w:t>Con vista en el coeficiente de determinación R</w:t>
      </w:r>
      <w:r>
        <w:rPr>
          <w:position w:val="8"/>
          <w:sz w:val="16"/>
        </w:rPr>
        <w:t>2</w:t>
      </w:r>
      <w:r>
        <w:rPr/>
        <w:t>, el número de variables significativas (entre</w:t>
      </w:r>
      <w:r>
        <w:rPr>
          <w:spacing w:val="-9"/>
        </w:rPr>
        <w:t> </w:t>
      </w:r>
      <w:r>
        <w:rPr/>
        <w:t>4</w:t>
      </w:r>
      <w:r>
        <w:rPr>
          <w:spacing w:val="-9"/>
        </w:rPr>
        <w:t> </w:t>
      </w:r>
      <w:r>
        <w:rPr/>
        <w:t>y</w:t>
      </w:r>
      <w:r>
        <w:rPr>
          <w:spacing w:val="-10"/>
        </w:rPr>
        <w:t> </w:t>
      </w:r>
      <w:r>
        <w:rPr/>
        <w:t>5</w:t>
      </w:r>
      <w:r>
        <w:rPr>
          <w:spacing w:val="-9"/>
        </w:rPr>
        <w:t> </w:t>
      </w:r>
      <w:r>
        <w:rPr/>
        <w:t>a</w:t>
      </w:r>
      <w:r>
        <w:rPr>
          <w:spacing w:val="-9"/>
        </w:rPr>
        <w:t> </w:t>
      </w:r>
      <w:r>
        <w:rPr/>
        <w:t>un</w:t>
      </w:r>
      <w:r>
        <w:rPr>
          <w:spacing w:val="-7"/>
        </w:rPr>
        <w:t> </w:t>
      </w:r>
      <w:r>
        <w:rPr/>
        <w:t>nivel</w:t>
      </w:r>
      <w:r>
        <w:rPr>
          <w:spacing w:val="-8"/>
        </w:rPr>
        <w:t> </w:t>
      </w:r>
      <w:r>
        <w:rPr/>
        <w:t>de</w:t>
      </w:r>
      <w:r>
        <w:rPr>
          <w:spacing w:val="-9"/>
        </w:rPr>
        <w:t> </w:t>
      </w:r>
      <w:r>
        <w:rPr/>
        <w:t>significancia</w:t>
      </w:r>
      <w:r>
        <w:rPr>
          <w:spacing w:val="-5"/>
        </w:rPr>
        <w:t> </w:t>
      </w:r>
      <w:r>
        <w:rPr/>
        <w:t>de</w:t>
      </w:r>
      <w:r>
        <w:rPr>
          <w:spacing w:val="-7"/>
        </w:rPr>
        <w:t> </w:t>
      </w:r>
      <w:r>
        <w:rPr/>
        <w:t>95%)</w:t>
      </w:r>
      <w:r>
        <w:rPr>
          <w:spacing w:val="-6"/>
        </w:rPr>
        <w:t> </w:t>
      </w:r>
      <w:r>
        <w:rPr/>
        <w:t>y</w:t>
      </w:r>
      <w:r>
        <w:rPr>
          <w:spacing w:val="-11"/>
        </w:rPr>
        <w:t> </w:t>
      </w:r>
      <w:r>
        <w:rPr/>
        <w:t>las</w:t>
      </w:r>
      <w:r>
        <w:rPr>
          <w:spacing w:val="-7"/>
        </w:rPr>
        <w:t> </w:t>
      </w:r>
      <w:r>
        <w:rPr/>
        <w:t>direcciones</w:t>
      </w:r>
      <w:r>
        <w:rPr>
          <w:spacing w:val="-7"/>
        </w:rPr>
        <w:t> </w:t>
      </w:r>
      <w:r>
        <w:rPr/>
        <w:t>de</w:t>
      </w:r>
      <w:r>
        <w:rPr>
          <w:spacing w:val="-8"/>
        </w:rPr>
        <w:t> </w:t>
      </w:r>
      <w:r>
        <w:rPr/>
        <w:t>las</w:t>
      </w:r>
      <w:r>
        <w:rPr>
          <w:spacing w:val="-7"/>
        </w:rPr>
        <w:t> </w:t>
      </w:r>
      <w:r>
        <w:rPr/>
        <w:t>correlaciones,</w:t>
      </w:r>
      <w:r>
        <w:rPr>
          <w:spacing w:val="-6"/>
        </w:rPr>
        <w:t> </w:t>
      </w:r>
      <w:r>
        <w:rPr/>
        <w:t>los modelos 4, 5 y 7 lucen a primera vista como mejores. Tiene sentido en esos modelos que la dirección de los coeficientes significativos indique que el mayor número de habitaciones y baños se correlaciona con un mayor precio del inmueble. En similar sentido el que tengan mayor distancia de las aglomeraciones de pobreza y que sean casas. Luce adecuado también que la correlación sea negativa entre la distancia a San José y el precio. Puede observase que los modelos que contienen las variables Hab y Baños muestran FIV superiores a</w:t>
      </w:r>
      <w:r>
        <w:rPr>
          <w:spacing w:val="3"/>
        </w:rPr>
        <w:t> </w:t>
      </w:r>
      <w:r>
        <w:rPr/>
        <w:t>2.</w:t>
      </w:r>
    </w:p>
    <w:p>
      <w:pPr>
        <w:pStyle w:val="BodyText"/>
        <w:spacing w:line="360" w:lineRule="auto" w:before="199"/>
        <w:ind w:left="1040" w:right="1038"/>
        <w:jc w:val="both"/>
      </w:pPr>
      <w:r>
        <w:rPr/>
        <w:t>La literatura señala que el nivel crítico para comenzar a considerar la presencia de la MCD</w:t>
      </w:r>
      <w:r>
        <w:rPr>
          <w:spacing w:val="-8"/>
        </w:rPr>
        <w:t> </w:t>
      </w:r>
      <w:r>
        <w:rPr/>
        <w:t>es</w:t>
      </w:r>
      <w:r>
        <w:rPr>
          <w:spacing w:val="-6"/>
        </w:rPr>
        <w:t> </w:t>
      </w:r>
      <w:r>
        <w:rPr/>
        <w:t>de</w:t>
      </w:r>
      <w:r>
        <w:rPr>
          <w:spacing w:val="-8"/>
        </w:rPr>
        <w:t> </w:t>
      </w:r>
      <w:r>
        <w:rPr/>
        <w:t>4</w:t>
      </w:r>
      <w:r>
        <w:rPr>
          <w:spacing w:val="-8"/>
        </w:rPr>
        <w:t> </w:t>
      </w:r>
      <w:r>
        <w:rPr/>
        <w:t>y</w:t>
      </w:r>
      <w:r>
        <w:rPr>
          <w:spacing w:val="-10"/>
        </w:rPr>
        <w:t> </w:t>
      </w:r>
      <w:r>
        <w:rPr/>
        <w:t>el</w:t>
      </w:r>
      <w:r>
        <w:rPr>
          <w:spacing w:val="-7"/>
        </w:rPr>
        <w:t> </w:t>
      </w:r>
      <w:r>
        <w:rPr/>
        <w:t>que</w:t>
      </w:r>
      <w:r>
        <w:rPr>
          <w:spacing w:val="-8"/>
        </w:rPr>
        <w:t> </w:t>
      </w:r>
      <w:r>
        <w:rPr/>
        <w:t>definitivamente</w:t>
      </w:r>
      <w:r>
        <w:rPr>
          <w:spacing w:val="-8"/>
        </w:rPr>
        <w:t> </w:t>
      </w:r>
      <w:r>
        <w:rPr/>
        <w:t>significa</w:t>
      </w:r>
      <w:r>
        <w:rPr>
          <w:spacing w:val="-8"/>
        </w:rPr>
        <w:t> </w:t>
      </w:r>
      <w:r>
        <w:rPr/>
        <w:t>un</w:t>
      </w:r>
      <w:r>
        <w:rPr>
          <w:spacing w:val="-8"/>
        </w:rPr>
        <w:t> </w:t>
      </w:r>
      <w:r>
        <w:rPr/>
        <w:t>nivel</w:t>
      </w:r>
      <w:r>
        <w:rPr>
          <w:spacing w:val="-7"/>
        </w:rPr>
        <w:t> </w:t>
      </w:r>
      <w:r>
        <w:rPr/>
        <w:t>alto,</w:t>
      </w:r>
      <w:r>
        <w:rPr>
          <w:spacing w:val="-5"/>
        </w:rPr>
        <w:t> </w:t>
      </w:r>
      <w:r>
        <w:rPr/>
        <w:t>requiriendo</w:t>
      </w:r>
      <w:r>
        <w:rPr>
          <w:spacing w:val="-8"/>
        </w:rPr>
        <w:t> </w:t>
      </w:r>
      <w:r>
        <w:rPr/>
        <w:t>corrección</w:t>
      </w:r>
      <w:r>
        <w:rPr>
          <w:spacing w:val="-8"/>
        </w:rPr>
        <w:t> </w:t>
      </w:r>
      <w:r>
        <w:rPr/>
        <w:t>es</w:t>
      </w:r>
      <w:r>
        <w:rPr>
          <w:spacing w:val="-6"/>
        </w:rPr>
        <w:t> </w:t>
      </w:r>
      <w:r>
        <w:rPr/>
        <w:t>de 10 (O´Brien, 2007; Pennsylvania State University, 2018). Sin embargo, se utilizó esta medida con un criterio conservador para comprender las variables que pueden interferir en</w:t>
      </w:r>
      <w:r>
        <w:rPr>
          <w:spacing w:val="-20"/>
        </w:rPr>
        <w:t> </w:t>
      </w:r>
      <w:r>
        <w:rPr/>
        <w:t>el</w:t>
      </w:r>
      <w:r>
        <w:rPr>
          <w:spacing w:val="-16"/>
        </w:rPr>
        <w:t> </w:t>
      </w:r>
      <w:r>
        <w:rPr/>
        <w:t>desempeño</w:t>
      </w:r>
      <w:r>
        <w:rPr>
          <w:spacing w:val="-20"/>
        </w:rPr>
        <w:t> </w:t>
      </w:r>
      <w:r>
        <w:rPr/>
        <w:t>del</w:t>
      </w:r>
      <w:r>
        <w:rPr>
          <w:spacing w:val="-15"/>
        </w:rPr>
        <w:t> </w:t>
      </w:r>
      <w:r>
        <w:rPr/>
        <w:t>modelo.</w:t>
      </w:r>
      <w:r>
        <w:rPr>
          <w:spacing w:val="-17"/>
        </w:rPr>
        <w:t> </w:t>
      </w:r>
      <w:r>
        <w:rPr/>
        <w:t>Por</w:t>
      </w:r>
      <w:r>
        <w:rPr>
          <w:spacing w:val="-18"/>
        </w:rPr>
        <w:t> </w:t>
      </w:r>
      <w:r>
        <w:rPr/>
        <w:t>ello,</w:t>
      </w:r>
      <w:r>
        <w:rPr>
          <w:spacing w:val="-14"/>
        </w:rPr>
        <w:t> </w:t>
      </w:r>
      <w:r>
        <w:rPr/>
        <w:t>se</w:t>
      </w:r>
      <w:r>
        <w:rPr>
          <w:spacing w:val="-20"/>
        </w:rPr>
        <w:t> </w:t>
      </w:r>
      <w:r>
        <w:rPr/>
        <w:t>probaron</w:t>
      </w:r>
      <w:r>
        <w:rPr>
          <w:spacing w:val="-19"/>
        </w:rPr>
        <w:t> </w:t>
      </w:r>
      <w:r>
        <w:rPr/>
        <w:t>varias</w:t>
      </w:r>
      <w:r>
        <w:rPr>
          <w:spacing w:val="-19"/>
        </w:rPr>
        <w:t> </w:t>
      </w:r>
      <w:r>
        <w:rPr/>
        <w:t>combinaciones</w:t>
      </w:r>
      <w:r>
        <w:rPr>
          <w:spacing w:val="-18"/>
        </w:rPr>
        <w:t> </w:t>
      </w:r>
      <w:r>
        <w:rPr/>
        <w:t>de</w:t>
      </w:r>
      <w:r>
        <w:rPr>
          <w:spacing w:val="-16"/>
        </w:rPr>
        <w:t> </w:t>
      </w:r>
      <w:r>
        <w:rPr/>
        <w:t>las</w:t>
      </w:r>
      <w:r>
        <w:rPr>
          <w:spacing w:val="-18"/>
        </w:rPr>
        <w:t> </w:t>
      </w:r>
      <w:r>
        <w:rPr/>
        <w:t>variables tratando de mantener un balance entre las de características de los inmuebles y las del entorno, tanto en la forma simple como</w:t>
      </w:r>
      <w:r>
        <w:rPr>
          <w:spacing w:val="-8"/>
        </w:rPr>
        <w:t> </w:t>
      </w:r>
      <w:r>
        <w:rPr/>
        <w:t>logarítmica.</w:t>
      </w:r>
    </w:p>
    <w:p>
      <w:pPr>
        <w:pStyle w:val="BodyText"/>
        <w:spacing w:line="360" w:lineRule="auto" w:before="203"/>
        <w:ind w:left="1040" w:right="1035"/>
        <w:jc w:val="both"/>
      </w:pPr>
      <w:r>
        <w:rPr/>
        <w:t>Las mediciones de la HCD mostraron que es un problema bastante prevalente en el modelo. En todas las especificaciones menos una, los indicadores de Breusch-Pagan y de White fueron significativos.</w:t>
      </w:r>
    </w:p>
    <w:p>
      <w:pPr>
        <w:pStyle w:val="BodyText"/>
        <w:spacing w:line="357" w:lineRule="auto" w:before="199"/>
        <w:ind w:left="1040" w:right="1043"/>
        <w:jc w:val="both"/>
      </w:pPr>
      <w:r>
        <w:rPr/>
        <w:t>Por</w:t>
      </w:r>
      <w:r>
        <w:rPr>
          <w:spacing w:val="-6"/>
        </w:rPr>
        <w:t> </w:t>
      </w:r>
      <w:r>
        <w:rPr/>
        <w:t>esta</w:t>
      </w:r>
      <w:r>
        <w:rPr>
          <w:spacing w:val="-7"/>
        </w:rPr>
        <w:t> </w:t>
      </w:r>
      <w:r>
        <w:rPr/>
        <w:t>razón</w:t>
      </w:r>
      <w:r>
        <w:rPr>
          <w:spacing w:val="-7"/>
        </w:rPr>
        <w:t> </w:t>
      </w:r>
      <w:r>
        <w:rPr/>
        <w:t>se</w:t>
      </w:r>
      <w:r>
        <w:rPr>
          <w:spacing w:val="-7"/>
        </w:rPr>
        <w:t> </w:t>
      </w:r>
      <w:r>
        <w:rPr/>
        <w:t>aplicó</w:t>
      </w:r>
      <w:r>
        <w:rPr>
          <w:spacing w:val="-7"/>
        </w:rPr>
        <w:t> </w:t>
      </w:r>
      <w:r>
        <w:rPr/>
        <w:t>la</w:t>
      </w:r>
      <w:r>
        <w:rPr>
          <w:spacing w:val="-7"/>
        </w:rPr>
        <w:t> </w:t>
      </w:r>
      <w:r>
        <w:rPr/>
        <w:t>corrección</w:t>
      </w:r>
      <w:r>
        <w:rPr>
          <w:spacing w:val="-7"/>
        </w:rPr>
        <w:t> </w:t>
      </w:r>
      <w:r>
        <w:rPr/>
        <w:t>de</w:t>
      </w:r>
      <w:r>
        <w:rPr>
          <w:spacing w:val="-11"/>
        </w:rPr>
        <w:t> </w:t>
      </w:r>
      <w:r>
        <w:rPr/>
        <w:t>White</w:t>
      </w:r>
      <w:r>
        <w:rPr>
          <w:spacing w:val="-8"/>
        </w:rPr>
        <w:t> </w:t>
      </w:r>
      <w:r>
        <w:rPr/>
        <w:t>en</w:t>
      </w:r>
      <w:r>
        <w:rPr>
          <w:spacing w:val="-7"/>
        </w:rPr>
        <w:t> </w:t>
      </w:r>
      <w:r>
        <w:rPr/>
        <w:t>los</w:t>
      </w:r>
      <w:r>
        <w:rPr>
          <w:spacing w:val="-5"/>
        </w:rPr>
        <w:t> </w:t>
      </w:r>
      <w:r>
        <w:rPr/>
        <w:t>casos</w:t>
      </w:r>
      <w:r>
        <w:rPr>
          <w:spacing w:val="-5"/>
        </w:rPr>
        <w:t> </w:t>
      </w:r>
      <w:r>
        <w:rPr/>
        <w:t>que</w:t>
      </w:r>
      <w:r>
        <w:rPr>
          <w:spacing w:val="-7"/>
        </w:rPr>
        <w:t> </w:t>
      </w:r>
      <w:r>
        <w:rPr/>
        <w:t>presentaron</w:t>
      </w:r>
      <w:r>
        <w:rPr>
          <w:spacing w:val="-7"/>
        </w:rPr>
        <w:t> </w:t>
      </w:r>
      <w:r>
        <w:rPr/>
        <w:t>los</w:t>
      </w:r>
      <w:r>
        <w:rPr>
          <w:spacing w:val="-6"/>
        </w:rPr>
        <w:t> </w:t>
      </w:r>
      <w:r>
        <w:rPr/>
        <w:t>niveles </w:t>
      </w:r>
      <w:r>
        <w:rPr>
          <w:spacing w:val="-2"/>
        </w:rPr>
        <w:t>más </w:t>
      </w:r>
      <w:r>
        <w:rPr/>
        <w:t>altos de R</w:t>
      </w:r>
      <w:r>
        <w:rPr>
          <w:position w:val="8"/>
          <w:sz w:val="16"/>
        </w:rPr>
        <w:t>2</w:t>
      </w:r>
      <w:r>
        <w:rPr/>
        <w:t>. Los resultados completos de los análisis estadísticos se presentan en el Anexo</w:t>
      </w:r>
      <w:r>
        <w:rPr>
          <w:spacing w:val="1"/>
        </w:rPr>
        <w:t> </w:t>
      </w:r>
      <w:r>
        <w:rPr/>
        <w:t>5.</w:t>
      </w:r>
    </w:p>
    <w:p>
      <w:pPr>
        <w:pStyle w:val="BodyText"/>
        <w:spacing w:line="360" w:lineRule="auto" w:before="201"/>
        <w:ind w:left="1040" w:right="1038"/>
        <w:jc w:val="both"/>
      </w:pPr>
      <w:r>
        <w:rPr/>
        <w:t>El modelo 4, a pesar de tener el R</w:t>
      </w:r>
      <w:r>
        <w:rPr>
          <w:position w:val="8"/>
          <w:sz w:val="16"/>
        </w:rPr>
        <w:t>2 </w:t>
      </w:r>
      <w:r>
        <w:rPr>
          <w:spacing w:val="-2"/>
        </w:rPr>
        <w:t>más </w:t>
      </w:r>
      <w:r>
        <w:rPr/>
        <w:t>alto, no tiene como significativa la VLC en su versión</w:t>
      </w:r>
      <w:r>
        <w:rPr>
          <w:spacing w:val="-14"/>
        </w:rPr>
        <w:t> </w:t>
      </w:r>
      <w:r>
        <w:rPr/>
        <w:t>original</w:t>
      </w:r>
      <w:r>
        <w:rPr>
          <w:spacing w:val="-13"/>
        </w:rPr>
        <w:t> </w:t>
      </w:r>
      <w:r>
        <w:rPr/>
        <w:t>a</w:t>
      </w:r>
      <w:r>
        <w:rPr>
          <w:spacing w:val="-14"/>
        </w:rPr>
        <w:t> </w:t>
      </w:r>
      <w:r>
        <w:rPr/>
        <w:t>un</w:t>
      </w:r>
      <w:r>
        <w:rPr>
          <w:spacing w:val="-14"/>
        </w:rPr>
        <w:t> </w:t>
      </w:r>
      <w:r>
        <w:rPr/>
        <w:t>nivel</w:t>
      </w:r>
      <w:r>
        <w:rPr>
          <w:spacing w:val="-13"/>
        </w:rPr>
        <w:t> </w:t>
      </w:r>
      <w:r>
        <w:rPr/>
        <w:t>de</w:t>
      </w:r>
      <w:r>
        <w:rPr>
          <w:spacing w:val="-14"/>
        </w:rPr>
        <w:t> </w:t>
      </w:r>
      <w:r>
        <w:rPr/>
        <w:t>95%.</w:t>
      </w:r>
      <w:r>
        <w:rPr>
          <w:spacing w:val="-11"/>
        </w:rPr>
        <w:t> </w:t>
      </w:r>
      <w:r>
        <w:rPr/>
        <w:t>Sin</w:t>
      </w:r>
      <w:r>
        <w:rPr>
          <w:spacing w:val="-10"/>
        </w:rPr>
        <w:t> </w:t>
      </w:r>
      <w:r>
        <w:rPr/>
        <w:t>embargo,</w:t>
      </w:r>
      <w:r>
        <w:rPr>
          <w:spacing w:val="-11"/>
        </w:rPr>
        <w:t> </w:t>
      </w:r>
      <w:r>
        <w:rPr/>
        <w:t>una</w:t>
      </w:r>
      <w:r>
        <w:rPr>
          <w:spacing w:val="-14"/>
        </w:rPr>
        <w:t> </w:t>
      </w:r>
      <w:r>
        <w:rPr/>
        <w:t>vez</w:t>
      </w:r>
      <w:r>
        <w:rPr>
          <w:spacing w:val="-16"/>
        </w:rPr>
        <w:t> </w:t>
      </w:r>
      <w:r>
        <w:rPr/>
        <w:t>aplicada</w:t>
      </w:r>
      <w:r>
        <w:rPr>
          <w:spacing w:val="-14"/>
        </w:rPr>
        <w:t> </w:t>
      </w:r>
      <w:r>
        <w:rPr/>
        <w:t>la</w:t>
      </w:r>
      <w:r>
        <w:rPr>
          <w:spacing w:val="-14"/>
        </w:rPr>
        <w:t> </w:t>
      </w:r>
      <w:r>
        <w:rPr/>
        <w:t>corrección</w:t>
      </w:r>
      <w:r>
        <w:rPr>
          <w:spacing w:val="-14"/>
        </w:rPr>
        <w:t> </w:t>
      </w:r>
      <w:r>
        <w:rPr/>
        <w:t>de</w:t>
      </w:r>
      <w:r>
        <w:rPr>
          <w:spacing w:val="-18"/>
        </w:rPr>
        <w:t> </w:t>
      </w:r>
      <w:r>
        <w:rPr/>
        <w:t>White, la variable resulta significativa. Asimismo, resultan significativas dos variables de características propias del inmueble y dos </w:t>
      </w:r>
      <w:r>
        <w:rPr>
          <w:spacing w:val="-2"/>
        </w:rPr>
        <w:t>más </w:t>
      </w:r>
      <w:r>
        <w:rPr/>
        <w:t>del entorno con direcciones en las correlaciones que lucen correctas. Se mantiene el R</w:t>
      </w:r>
      <w:r>
        <w:rPr>
          <w:position w:val="8"/>
          <w:sz w:val="16"/>
        </w:rPr>
        <w:t>2 </w:t>
      </w:r>
      <w:r>
        <w:rPr/>
        <w:t>de</w:t>
      </w:r>
      <w:r>
        <w:rPr>
          <w:spacing w:val="-27"/>
        </w:rPr>
        <w:t> </w:t>
      </w:r>
      <w:r>
        <w:rPr/>
        <w:t>0.53.</w:t>
      </w:r>
    </w:p>
    <w:p>
      <w:pPr>
        <w:pStyle w:val="BodyText"/>
        <w:spacing w:line="357" w:lineRule="auto" w:before="193"/>
        <w:ind w:left="1040" w:right="1037"/>
        <w:jc w:val="both"/>
      </w:pPr>
      <w:r>
        <w:rPr/>
        <w:t>Estos</w:t>
      </w:r>
      <w:r>
        <w:rPr>
          <w:spacing w:val="-11"/>
        </w:rPr>
        <w:t> </w:t>
      </w:r>
      <w:r>
        <w:rPr/>
        <w:t>resultados</w:t>
      </w:r>
      <w:r>
        <w:rPr>
          <w:spacing w:val="-11"/>
        </w:rPr>
        <w:t> </w:t>
      </w:r>
      <w:r>
        <w:rPr/>
        <w:t>sustentan</w:t>
      </w:r>
      <w:r>
        <w:rPr>
          <w:spacing w:val="-12"/>
        </w:rPr>
        <w:t> </w:t>
      </w:r>
      <w:r>
        <w:rPr/>
        <w:t>la</w:t>
      </w:r>
      <w:r>
        <w:rPr>
          <w:spacing w:val="-13"/>
        </w:rPr>
        <w:t> </w:t>
      </w:r>
      <w:r>
        <w:rPr/>
        <w:t>decisión</w:t>
      </w:r>
      <w:r>
        <w:rPr>
          <w:spacing w:val="-8"/>
        </w:rPr>
        <w:t> </w:t>
      </w:r>
      <w:r>
        <w:rPr/>
        <w:t>de</w:t>
      </w:r>
      <w:r>
        <w:rPr>
          <w:spacing w:val="-13"/>
        </w:rPr>
        <w:t> </w:t>
      </w:r>
      <w:r>
        <w:rPr/>
        <w:t>usar</w:t>
      </w:r>
      <w:r>
        <w:rPr>
          <w:spacing w:val="-11"/>
        </w:rPr>
        <w:t> </w:t>
      </w:r>
      <w:r>
        <w:rPr/>
        <w:t>ese</w:t>
      </w:r>
      <w:r>
        <w:rPr>
          <w:spacing w:val="-8"/>
        </w:rPr>
        <w:t> </w:t>
      </w:r>
      <w:r>
        <w:rPr/>
        <w:t>modelo</w:t>
      </w:r>
      <w:r>
        <w:rPr>
          <w:spacing w:val="-13"/>
        </w:rPr>
        <w:t> </w:t>
      </w:r>
      <w:r>
        <w:rPr/>
        <w:t>para</w:t>
      </w:r>
      <w:r>
        <w:rPr>
          <w:spacing w:val="-12"/>
        </w:rPr>
        <w:t> </w:t>
      </w:r>
      <w:r>
        <w:rPr/>
        <w:t>la</w:t>
      </w:r>
      <w:r>
        <w:rPr>
          <w:spacing w:val="-13"/>
        </w:rPr>
        <w:t> </w:t>
      </w:r>
      <w:r>
        <w:rPr/>
        <w:t>estimación.</w:t>
      </w:r>
      <w:r>
        <w:rPr>
          <w:spacing w:val="-9"/>
        </w:rPr>
        <w:t> </w:t>
      </w:r>
      <w:r>
        <w:rPr/>
        <w:t>Conforme lo</w:t>
      </w:r>
      <w:r>
        <w:rPr>
          <w:spacing w:val="40"/>
        </w:rPr>
        <w:t> </w:t>
      </w:r>
      <w:r>
        <w:rPr/>
        <w:t>muestra</w:t>
      </w:r>
      <w:r>
        <w:rPr>
          <w:spacing w:val="38"/>
        </w:rPr>
        <w:t> </w:t>
      </w:r>
      <w:r>
        <w:rPr/>
        <w:t>el</w:t>
      </w:r>
      <w:r>
        <w:rPr>
          <w:spacing w:val="40"/>
        </w:rPr>
        <w:t> </w:t>
      </w:r>
      <w:r>
        <w:rPr/>
        <w:t>Cuadro</w:t>
      </w:r>
      <w:r>
        <w:rPr>
          <w:spacing w:val="41"/>
        </w:rPr>
        <w:t> </w:t>
      </w:r>
      <w:r>
        <w:rPr/>
        <w:t>19,</w:t>
      </w:r>
      <w:r>
        <w:rPr>
          <w:spacing w:val="39"/>
        </w:rPr>
        <w:t> </w:t>
      </w:r>
      <w:r>
        <w:rPr/>
        <w:t>la</w:t>
      </w:r>
      <w:r>
        <w:rPr>
          <w:spacing w:val="37"/>
        </w:rPr>
        <w:t> </w:t>
      </w:r>
      <w:r>
        <w:rPr/>
        <w:t>comparación</w:t>
      </w:r>
      <w:r>
        <w:rPr>
          <w:spacing w:val="39"/>
        </w:rPr>
        <w:t> </w:t>
      </w:r>
      <w:r>
        <w:rPr/>
        <w:t>del</w:t>
      </w:r>
      <w:r>
        <w:rPr>
          <w:spacing w:val="38"/>
        </w:rPr>
        <w:t> </w:t>
      </w:r>
      <w:r>
        <w:rPr/>
        <w:t>R</w:t>
      </w:r>
      <w:r>
        <w:rPr>
          <w:position w:val="8"/>
          <w:sz w:val="16"/>
        </w:rPr>
        <w:t>2</w:t>
      </w:r>
      <w:r>
        <w:rPr>
          <w:spacing w:val="19"/>
          <w:position w:val="8"/>
          <w:sz w:val="16"/>
        </w:rPr>
        <w:t> </w:t>
      </w:r>
      <w:r>
        <w:rPr/>
        <w:t>de</w:t>
      </w:r>
      <w:r>
        <w:rPr>
          <w:spacing w:val="41"/>
        </w:rPr>
        <w:t> </w:t>
      </w:r>
      <w:r>
        <w:rPr/>
        <w:t>los</w:t>
      </w:r>
      <w:r>
        <w:rPr>
          <w:spacing w:val="42"/>
        </w:rPr>
        <w:t> </w:t>
      </w:r>
      <w:r>
        <w:rPr/>
        <w:t>otros</w:t>
      </w:r>
      <w:r>
        <w:rPr>
          <w:spacing w:val="38"/>
        </w:rPr>
        <w:t> </w:t>
      </w:r>
      <w:r>
        <w:rPr/>
        <w:t>estudios</w:t>
      </w:r>
      <w:r>
        <w:rPr>
          <w:spacing w:val="42"/>
        </w:rPr>
        <w:t> </w:t>
      </w:r>
      <w:r>
        <w:rPr/>
        <w:t>de</w:t>
      </w:r>
      <w:r>
        <w:rPr>
          <w:spacing w:val="36"/>
        </w:rPr>
        <w:t> </w:t>
      </w:r>
      <w:r>
        <w:rPr/>
        <w:t>referencia</w:t>
      </w:r>
    </w:p>
    <w:p>
      <w:pPr>
        <w:spacing w:after="0" w:line="357" w:lineRule="auto"/>
        <w:jc w:val="both"/>
        <w:sectPr>
          <w:footerReference w:type="default" r:id="rId92"/>
          <w:pgSz w:w="12240" w:h="15840"/>
          <w:pgMar w:footer="982" w:header="0" w:top="1360" w:bottom="1180" w:left="400" w:right="400"/>
          <w:pgNumType w:start="107"/>
        </w:sectPr>
      </w:pPr>
    </w:p>
    <w:p>
      <w:pPr>
        <w:pStyle w:val="BodyText"/>
        <w:spacing w:line="357" w:lineRule="auto" w:before="79"/>
        <w:ind w:left="1040" w:right="1038"/>
        <w:jc w:val="both"/>
      </w:pPr>
      <w:r>
        <w:rPr/>
        <w:t>realizados en Costa Rica permite asegurar que el nivel está dentro del rango de los estudios antecedentes en la materia.</w:t>
      </w:r>
    </w:p>
    <w:p>
      <w:pPr>
        <w:spacing w:before="203"/>
        <w:ind w:left="1208" w:right="1047" w:hanging="140"/>
        <w:jc w:val="left"/>
        <w:rPr>
          <w:i/>
          <w:sz w:val="20"/>
        </w:rPr>
      </w:pPr>
      <w:bookmarkStart w:name="_bookmark53" w:id="73"/>
      <w:bookmarkEnd w:id="73"/>
      <w:r>
        <w:rPr/>
      </w:r>
      <w:r>
        <w:rPr>
          <w:i/>
          <w:sz w:val="20"/>
        </w:rPr>
        <w:t>Cuadro 19- Coeficiente de Determinación R</w:t>
      </w:r>
      <w:r>
        <w:rPr>
          <w:i/>
          <w:sz w:val="20"/>
          <w:vertAlign w:val="superscript"/>
        </w:rPr>
        <w:t>2</w:t>
      </w:r>
      <w:r>
        <w:rPr>
          <w:i/>
          <w:sz w:val="20"/>
          <w:vertAlign w:val="baseline"/>
        </w:rPr>
        <w:t> de los Estudios Antecedentes en Costa Rica Considerados. </w:t>
      </w:r>
      <w:r>
        <w:rPr>
          <w:i/>
          <w:sz w:val="20"/>
          <w:vertAlign w:val="baseline"/>
        </w:rPr>
        <w:t>Fuente: Elaboración propia con base en Suárez y Sequeira (2000); Hall, et al. (2008); Monge y Rojas,</w:t>
      </w:r>
    </w:p>
    <w:p>
      <w:pPr>
        <w:spacing w:before="117"/>
        <w:ind w:left="1099" w:right="1099" w:firstLine="0"/>
        <w:jc w:val="center"/>
        <w:rPr>
          <w:i/>
          <w:sz w:val="20"/>
        </w:rPr>
      </w:pPr>
      <w:r>
        <w:rPr>
          <w:i/>
          <w:sz w:val="20"/>
        </w:rPr>
        <w:t>(2009); Alfaro y Navarro (2009); Hall, et al. (2010); Núñez y Salas (2010).</w:t>
      </w:r>
    </w:p>
    <w:p>
      <w:pPr>
        <w:pStyle w:val="BodyText"/>
        <w:spacing w:before="2"/>
        <w:rPr>
          <w:i/>
          <w:sz w:val="27"/>
        </w:rPr>
      </w:pPr>
    </w:p>
    <w:tbl>
      <w:tblPr>
        <w:tblW w:w="0" w:type="auto"/>
        <w:jc w:val="left"/>
        <w:tblInd w:w="150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2337"/>
        <w:gridCol w:w="5497"/>
        <w:gridCol w:w="628"/>
      </w:tblGrid>
      <w:tr>
        <w:trPr>
          <w:trHeight w:val="315" w:hRule="atLeast"/>
        </w:trPr>
        <w:tc>
          <w:tcPr>
            <w:tcW w:w="2337" w:type="dxa"/>
            <w:tcBorders>
              <w:top w:val="nil"/>
              <w:left w:val="nil"/>
              <w:right w:val="nil"/>
            </w:tcBorders>
          </w:tcPr>
          <w:p>
            <w:pPr>
              <w:pStyle w:val="TableParagraph"/>
              <w:spacing w:line="240" w:lineRule="auto" w:before="3"/>
              <w:ind w:right="116"/>
              <w:rPr>
                <w:b/>
                <w:i/>
                <w:sz w:val="18"/>
              </w:rPr>
            </w:pPr>
            <w:r>
              <w:rPr>
                <w:b/>
                <w:i/>
                <w:sz w:val="18"/>
              </w:rPr>
              <w:t>Autor</w:t>
            </w:r>
          </w:p>
        </w:tc>
        <w:tc>
          <w:tcPr>
            <w:tcW w:w="5497" w:type="dxa"/>
            <w:tcBorders>
              <w:top w:val="nil"/>
              <w:left w:val="nil"/>
              <w:right w:val="nil"/>
            </w:tcBorders>
          </w:tcPr>
          <w:p>
            <w:pPr>
              <w:pStyle w:val="TableParagraph"/>
              <w:spacing w:line="207" w:lineRule="exact" w:before="0"/>
              <w:ind w:left="108"/>
              <w:jc w:val="left"/>
              <w:rPr>
                <w:b/>
                <w:sz w:val="18"/>
              </w:rPr>
            </w:pPr>
            <w:r>
              <w:rPr>
                <w:b/>
                <w:sz w:val="18"/>
              </w:rPr>
              <w:t>Lugar</w:t>
            </w:r>
          </w:p>
        </w:tc>
        <w:tc>
          <w:tcPr>
            <w:tcW w:w="628" w:type="dxa"/>
            <w:tcBorders>
              <w:top w:val="nil"/>
              <w:left w:val="nil"/>
              <w:right w:val="nil"/>
            </w:tcBorders>
          </w:tcPr>
          <w:p>
            <w:pPr>
              <w:pStyle w:val="TableParagraph"/>
              <w:spacing w:line="207" w:lineRule="exact" w:before="0"/>
              <w:ind w:left="104"/>
              <w:jc w:val="left"/>
              <w:rPr>
                <w:b/>
                <w:sz w:val="12"/>
              </w:rPr>
            </w:pPr>
            <w:r>
              <w:rPr>
                <w:b/>
                <w:position w:val="-5"/>
                <w:sz w:val="18"/>
              </w:rPr>
              <w:t>R</w:t>
            </w:r>
            <w:r>
              <w:rPr>
                <w:b/>
                <w:sz w:val="12"/>
              </w:rPr>
              <w:t>2</w:t>
            </w:r>
          </w:p>
        </w:tc>
      </w:tr>
      <w:tr>
        <w:trPr>
          <w:trHeight w:val="310" w:hRule="atLeast"/>
        </w:trPr>
        <w:tc>
          <w:tcPr>
            <w:tcW w:w="2337" w:type="dxa"/>
            <w:tcBorders>
              <w:left w:val="nil"/>
              <w:bottom w:val="nil"/>
            </w:tcBorders>
          </w:tcPr>
          <w:p>
            <w:pPr>
              <w:pStyle w:val="TableParagraph"/>
              <w:spacing w:line="201" w:lineRule="exact" w:before="0"/>
              <w:ind w:right="106"/>
              <w:rPr>
                <w:i/>
                <w:sz w:val="18"/>
              </w:rPr>
            </w:pPr>
            <w:r>
              <w:rPr>
                <w:i/>
                <w:sz w:val="18"/>
              </w:rPr>
              <w:t>Suárez y Sequeira (2000)</w:t>
            </w:r>
          </w:p>
        </w:tc>
        <w:tc>
          <w:tcPr>
            <w:tcW w:w="5497" w:type="dxa"/>
            <w:shd w:val="clear" w:color="auto" w:fill="CCCCCC"/>
          </w:tcPr>
          <w:p>
            <w:pPr>
              <w:pStyle w:val="TableParagraph"/>
              <w:spacing w:line="205" w:lineRule="exact" w:before="0"/>
              <w:ind w:left="103"/>
              <w:jc w:val="left"/>
              <w:rPr>
                <w:sz w:val="18"/>
              </w:rPr>
            </w:pPr>
            <w:r>
              <w:rPr>
                <w:sz w:val="18"/>
              </w:rPr>
              <w:t>Distrito de Río Azul, Cantón de La Unión</w:t>
            </w:r>
          </w:p>
        </w:tc>
        <w:tc>
          <w:tcPr>
            <w:tcW w:w="628" w:type="dxa"/>
            <w:shd w:val="clear" w:color="auto" w:fill="CCCCCC"/>
          </w:tcPr>
          <w:p>
            <w:pPr>
              <w:pStyle w:val="TableParagraph"/>
              <w:spacing w:line="205" w:lineRule="exact" w:before="0"/>
              <w:ind w:left="99"/>
              <w:jc w:val="left"/>
              <w:rPr>
                <w:sz w:val="18"/>
              </w:rPr>
            </w:pPr>
            <w:r>
              <w:rPr>
                <w:sz w:val="18"/>
              </w:rPr>
              <w:t>0.88</w:t>
            </w:r>
          </w:p>
        </w:tc>
      </w:tr>
      <w:tr>
        <w:trPr>
          <w:trHeight w:val="310" w:hRule="atLeast"/>
        </w:trPr>
        <w:tc>
          <w:tcPr>
            <w:tcW w:w="2337" w:type="dxa"/>
            <w:tcBorders>
              <w:top w:val="nil"/>
              <w:left w:val="nil"/>
              <w:bottom w:val="nil"/>
            </w:tcBorders>
          </w:tcPr>
          <w:p>
            <w:pPr>
              <w:pStyle w:val="TableParagraph"/>
              <w:spacing w:line="201" w:lineRule="exact" w:before="0"/>
              <w:ind w:right="102"/>
              <w:rPr>
                <w:i/>
                <w:sz w:val="18"/>
              </w:rPr>
            </w:pPr>
            <w:r>
              <w:rPr>
                <w:i/>
                <w:sz w:val="18"/>
              </w:rPr>
              <w:t>Hall et al (2008)</w:t>
            </w:r>
          </w:p>
        </w:tc>
        <w:tc>
          <w:tcPr>
            <w:tcW w:w="5497" w:type="dxa"/>
          </w:tcPr>
          <w:p>
            <w:pPr>
              <w:pStyle w:val="TableParagraph"/>
              <w:spacing w:line="205" w:lineRule="exact" w:before="0"/>
              <w:ind w:left="103"/>
              <w:jc w:val="left"/>
              <w:rPr>
                <w:sz w:val="18"/>
              </w:rPr>
            </w:pPr>
            <w:r>
              <w:rPr>
                <w:sz w:val="18"/>
              </w:rPr>
              <w:t>Ciudad de San José</w:t>
            </w:r>
          </w:p>
        </w:tc>
        <w:tc>
          <w:tcPr>
            <w:tcW w:w="628" w:type="dxa"/>
          </w:tcPr>
          <w:p>
            <w:pPr>
              <w:pStyle w:val="TableParagraph"/>
              <w:spacing w:line="205" w:lineRule="exact" w:before="0"/>
              <w:ind w:left="99"/>
              <w:jc w:val="left"/>
              <w:rPr>
                <w:sz w:val="18"/>
              </w:rPr>
            </w:pPr>
            <w:r>
              <w:rPr>
                <w:sz w:val="18"/>
              </w:rPr>
              <w:t>NA</w:t>
            </w:r>
          </w:p>
        </w:tc>
      </w:tr>
      <w:tr>
        <w:trPr>
          <w:trHeight w:val="310" w:hRule="atLeast"/>
        </w:trPr>
        <w:tc>
          <w:tcPr>
            <w:tcW w:w="2337" w:type="dxa"/>
            <w:tcBorders>
              <w:top w:val="nil"/>
              <w:left w:val="nil"/>
              <w:bottom w:val="nil"/>
            </w:tcBorders>
          </w:tcPr>
          <w:p>
            <w:pPr>
              <w:pStyle w:val="TableParagraph"/>
              <w:spacing w:line="201" w:lineRule="exact" w:before="0"/>
              <w:ind w:right="102"/>
              <w:rPr>
                <w:i/>
                <w:sz w:val="18"/>
              </w:rPr>
            </w:pPr>
            <w:r>
              <w:rPr>
                <w:i/>
                <w:sz w:val="18"/>
              </w:rPr>
              <w:t>Monge y Rojas (2009)</w:t>
            </w:r>
          </w:p>
        </w:tc>
        <w:tc>
          <w:tcPr>
            <w:tcW w:w="5497" w:type="dxa"/>
            <w:shd w:val="clear" w:color="auto" w:fill="CCCCCC"/>
          </w:tcPr>
          <w:p>
            <w:pPr>
              <w:pStyle w:val="TableParagraph"/>
              <w:spacing w:line="205" w:lineRule="exact" w:before="0"/>
              <w:ind w:left="103"/>
              <w:jc w:val="left"/>
              <w:rPr>
                <w:sz w:val="18"/>
              </w:rPr>
            </w:pPr>
            <w:r>
              <w:rPr>
                <w:sz w:val="18"/>
              </w:rPr>
              <w:t>Distritos de Gravilias y Desamparados, Cantón de Desamparados</w:t>
            </w:r>
          </w:p>
        </w:tc>
        <w:tc>
          <w:tcPr>
            <w:tcW w:w="628" w:type="dxa"/>
            <w:shd w:val="clear" w:color="auto" w:fill="CCCCCC"/>
          </w:tcPr>
          <w:p>
            <w:pPr>
              <w:pStyle w:val="TableParagraph"/>
              <w:spacing w:line="205" w:lineRule="exact" w:before="0"/>
              <w:ind w:left="99"/>
              <w:jc w:val="left"/>
              <w:rPr>
                <w:sz w:val="18"/>
              </w:rPr>
            </w:pPr>
            <w:r>
              <w:rPr>
                <w:sz w:val="18"/>
              </w:rPr>
              <w:t>0.37</w:t>
            </w:r>
          </w:p>
        </w:tc>
      </w:tr>
      <w:tr>
        <w:trPr>
          <w:trHeight w:val="310" w:hRule="atLeast"/>
        </w:trPr>
        <w:tc>
          <w:tcPr>
            <w:tcW w:w="2337" w:type="dxa"/>
            <w:tcBorders>
              <w:top w:val="nil"/>
              <w:left w:val="nil"/>
              <w:bottom w:val="nil"/>
            </w:tcBorders>
          </w:tcPr>
          <w:p>
            <w:pPr>
              <w:pStyle w:val="TableParagraph"/>
              <w:spacing w:line="201" w:lineRule="exact" w:before="0"/>
              <w:ind w:right="102"/>
              <w:rPr>
                <w:i/>
                <w:sz w:val="18"/>
              </w:rPr>
            </w:pPr>
            <w:r>
              <w:rPr>
                <w:i/>
                <w:sz w:val="18"/>
              </w:rPr>
              <w:t>Alfaro y Navarro (2009)</w:t>
            </w:r>
          </w:p>
        </w:tc>
        <w:tc>
          <w:tcPr>
            <w:tcW w:w="5497" w:type="dxa"/>
          </w:tcPr>
          <w:p>
            <w:pPr>
              <w:pStyle w:val="TableParagraph"/>
              <w:spacing w:line="205" w:lineRule="exact" w:before="0"/>
              <w:ind w:left="103"/>
              <w:jc w:val="left"/>
              <w:rPr>
                <w:sz w:val="18"/>
              </w:rPr>
            </w:pPr>
            <w:r>
              <w:rPr>
                <w:sz w:val="18"/>
              </w:rPr>
              <w:t>Cantón de Curridabat</w:t>
            </w:r>
          </w:p>
        </w:tc>
        <w:tc>
          <w:tcPr>
            <w:tcW w:w="628" w:type="dxa"/>
          </w:tcPr>
          <w:p>
            <w:pPr>
              <w:pStyle w:val="TableParagraph"/>
              <w:spacing w:line="205" w:lineRule="exact" w:before="0"/>
              <w:ind w:left="99"/>
              <w:jc w:val="left"/>
              <w:rPr>
                <w:sz w:val="18"/>
              </w:rPr>
            </w:pPr>
            <w:r>
              <w:rPr>
                <w:sz w:val="18"/>
              </w:rPr>
              <w:t>0.45</w:t>
            </w:r>
          </w:p>
        </w:tc>
      </w:tr>
      <w:tr>
        <w:trPr>
          <w:trHeight w:val="310" w:hRule="atLeast"/>
        </w:trPr>
        <w:tc>
          <w:tcPr>
            <w:tcW w:w="2337" w:type="dxa"/>
            <w:tcBorders>
              <w:top w:val="nil"/>
              <w:left w:val="nil"/>
              <w:bottom w:val="nil"/>
            </w:tcBorders>
          </w:tcPr>
          <w:p>
            <w:pPr>
              <w:pStyle w:val="TableParagraph"/>
              <w:spacing w:line="205" w:lineRule="exact" w:before="0"/>
              <w:ind w:right="102"/>
              <w:rPr>
                <w:i/>
                <w:sz w:val="18"/>
              </w:rPr>
            </w:pPr>
            <w:r>
              <w:rPr>
                <w:i/>
                <w:sz w:val="18"/>
              </w:rPr>
              <w:t>Núñez y Salas (2010)</w:t>
            </w:r>
          </w:p>
        </w:tc>
        <w:tc>
          <w:tcPr>
            <w:tcW w:w="5497" w:type="dxa"/>
            <w:shd w:val="clear" w:color="auto" w:fill="CCCCCC"/>
          </w:tcPr>
          <w:p>
            <w:pPr>
              <w:pStyle w:val="TableParagraph"/>
              <w:spacing w:line="240" w:lineRule="auto" w:before="2"/>
              <w:ind w:left="103"/>
              <w:jc w:val="left"/>
              <w:rPr>
                <w:sz w:val="18"/>
              </w:rPr>
            </w:pPr>
            <w:r>
              <w:rPr>
                <w:sz w:val="18"/>
              </w:rPr>
              <w:t>Cantón de Escazú</w:t>
            </w:r>
          </w:p>
        </w:tc>
        <w:tc>
          <w:tcPr>
            <w:tcW w:w="628" w:type="dxa"/>
            <w:shd w:val="clear" w:color="auto" w:fill="CCCCCC"/>
          </w:tcPr>
          <w:p>
            <w:pPr>
              <w:pStyle w:val="TableParagraph"/>
              <w:spacing w:line="240" w:lineRule="auto" w:before="2"/>
              <w:ind w:left="99"/>
              <w:jc w:val="left"/>
              <w:rPr>
                <w:sz w:val="18"/>
              </w:rPr>
            </w:pPr>
            <w:r>
              <w:rPr>
                <w:sz w:val="18"/>
              </w:rPr>
              <w:t>0.62</w:t>
            </w:r>
          </w:p>
        </w:tc>
      </w:tr>
      <w:tr>
        <w:trPr>
          <w:trHeight w:val="314" w:hRule="atLeast"/>
        </w:trPr>
        <w:tc>
          <w:tcPr>
            <w:tcW w:w="2337" w:type="dxa"/>
            <w:tcBorders>
              <w:top w:val="nil"/>
              <w:left w:val="nil"/>
              <w:bottom w:val="nil"/>
            </w:tcBorders>
          </w:tcPr>
          <w:p>
            <w:pPr>
              <w:pStyle w:val="TableParagraph"/>
              <w:spacing w:line="205" w:lineRule="exact" w:before="0"/>
              <w:ind w:right="102"/>
              <w:rPr>
                <w:i/>
                <w:sz w:val="18"/>
              </w:rPr>
            </w:pPr>
            <w:r>
              <w:rPr>
                <w:i/>
                <w:sz w:val="18"/>
              </w:rPr>
              <w:t>Hall et al (2010)</w:t>
            </w:r>
          </w:p>
        </w:tc>
        <w:tc>
          <w:tcPr>
            <w:tcW w:w="5497" w:type="dxa"/>
          </w:tcPr>
          <w:p>
            <w:pPr>
              <w:pStyle w:val="TableParagraph"/>
              <w:spacing w:line="240" w:lineRule="auto" w:before="2"/>
              <w:ind w:left="103"/>
              <w:jc w:val="left"/>
              <w:rPr>
                <w:sz w:val="18"/>
              </w:rPr>
            </w:pPr>
            <w:r>
              <w:rPr>
                <w:sz w:val="18"/>
              </w:rPr>
              <w:t>Ciudad de San José</w:t>
            </w:r>
          </w:p>
        </w:tc>
        <w:tc>
          <w:tcPr>
            <w:tcW w:w="628" w:type="dxa"/>
          </w:tcPr>
          <w:p>
            <w:pPr>
              <w:pStyle w:val="TableParagraph"/>
              <w:spacing w:line="240" w:lineRule="auto" w:before="2"/>
              <w:ind w:left="99"/>
              <w:jc w:val="left"/>
              <w:rPr>
                <w:sz w:val="18"/>
              </w:rPr>
            </w:pPr>
            <w:r>
              <w:rPr>
                <w:sz w:val="18"/>
              </w:rPr>
              <w:t>NA</w:t>
            </w:r>
          </w:p>
        </w:tc>
      </w:tr>
    </w:tbl>
    <w:p>
      <w:pPr>
        <w:pStyle w:val="BodyText"/>
        <w:rPr>
          <w:i/>
          <w:sz w:val="22"/>
        </w:rPr>
      </w:pPr>
    </w:p>
    <w:p>
      <w:pPr>
        <w:pStyle w:val="BodyText"/>
        <w:spacing w:before="157"/>
        <w:ind w:left="1040"/>
        <w:jc w:val="both"/>
      </w:pPr>
      <w:r>
        <w:rPr/>
        <w:t>La ecuación del modelo seleccionado es:</w:t>
      </w:r>
    </w:p>
    <w:p>
      <w:pPr>
        <w:pStyle w:val="BodyText"/>
        <w:spacing w:before="4"/>
        <w:rPr>
          <w:sz w:val="31"/>
        </w:rPr>
      </w:pPr>
    </w:p>
    <w:p>
      <w:pPr>
        <w:pStyle w:val="BodyText"/>
        <w:spacing w:line="364" w:lineRule="auto"/>
        <w:ind w:left="1100" w:right="1095"/>
        <w:jc w:val="center"/>
        <w:rPr>
          <w:rFonts w:ascii="Times New Roman" w:hAnsi="Times New Roman" w:eastAsia="Times New Roman"/>
        </w:rPr>
      </w:pPr>
      <w:r>
        <w:rPr>
          <w:w w:val="99"/>
        </w:rPr>
        <w:t>(</w:t>
      </w:r>
      <w:r>
        <w:rPr>
          <w:spacing w:val="-2"/>
          <w:w w:val="99"/>
        </w:rPr>
        <w:t>8</w:t>
      </w:r>
      <w:r>
        <w:rPr>
          <w:w w:val="99"/>
        </w:rPr>
        <w:t>)</w:t>
      </w:r>
      <w:r>
        <w:rPr>
          <w:spacing w:val="1"/>
          <w:w w:val="99"/>
        </w:rPr>
        <w:t> </w:t>
      </w:r>
      <w:r>
        <w:rPr>
          <w:rFonts w:ascii="Times New Roman" w:hAnsi="Times New Roman" w:eastAsia="Times New Roman"/>
          <w:w w:val="68"/>
        </w:rPr>
        <w:t>𝐿</w:t>
      </w:r>
      <w:r>
        <w:rPr>
          <w:rFonts w:ascii="Times New Roman" w:hAnsi="Times New Roman" w:eastAsia="Times New Roman"/>
          <w:spacing w:val="-2"/>
          <w:w w:val="73"/>
        </w:rPr>
        <w:t>𝑛</w:t>
      </w:r>
      <w:r>
        <w:rPr>
          <w:rFonts w:ascii="Times New Roman" w:hAnsi="Times New Roman" w:eastAsia="Times New Roman"/>
          <w:w w:val="102"/>
        </w:rPr>
        <w:t>P</w:t>
      </w:r>
      <w:r>
        <w:rPr>
          <w:rFonts w:ascii="Times New Roman" w:hAnsi="Times New Roman" w:eastAsia="Times New Roman"/>
        </w:rPr>
        <w:t>  </w:t>
      </w:r>
      <w:r>
        <w:rPr>
          <w:rFonts w:ascii="Times New Roman" w:hAnsi="Times New Roman" w:eastAsia="Times New Roman"/>
          <w:w w:val="132"/>
        </w:rPr>
        <w:t>=</w:t>
      </w:r>
      <w:r>
        <w:rPr>
          <w:rFonts w:ascii="Times New Roman" w:hAnsi="Times New Roman" w:eastAsia="Times New Roman"/>
        </w:rPr>
        <w:t>  </w:t>
      </w:r>
      <w:r>
        <w:rPr>
          <w:rFonts w:ascii="Times New Roman" w:hAnsi="Times New Roman" w:eastAsia="Times New Roman"/>
          <w:spacing w:val="-1"/>
          <w:w w:val="110"/>
        </w:rPr>
        <w:t>94</w:t>
      </w:r>
      <w:r>
        <w:rPr>
          <w:rFonts w:ascii="Times New Roman" w:hAnsi="Times New Roman" w:eastAsia="Times New Roman"/>
          <w:spacing w:val="2"/>
          <w:w w:val="82"/>
        </w:rPr>
        <w:t>.</w:t>
      </w:r>
      <w:r>
        <w:rPr>
          <w:rFonts w:ascii="Times New Roman" w:hAnsi="Times New Roman" w:eastAsia="Times New Roman"/>
          <w:spacing w:val="-1"/>
          <w:w w:val="110"/>
        </w:rPr>
        <w:t>74</w:t>
      </w:r>
      <w:r>
        <w:rPr>
          <w:rFonts w:ascii="Times New Roman" w:hAnsi="Times New Roman" w:eastAsia="Times New Roman"/>
          <w:w w:val="110"/>
        </w:rPr>
        <w:t>9</w:t>
      </w:r>
      <w:r>
        <w:rPr>
          <w:rFonts w:ascii="Times New Roman" w:hAnsi="Times New Roman" w:eastAsia="Times New Roman"/>
          <w:spacing w:val="-5"/>
        </w:rPr>
        <w:t> </w:t>
      </w:r>
      <w:r>
        <w:rPr>
          <w:rFonts w:ascii="Times New Roman" w:hAnsi="Times New Roman" w:eastAsia="Times New Roman"/>
          <w:w w:val="132"/>
        </w:rPr>
        <w:t>+</w:t>
      </w:r>
      <w:r>
        <w:rPr>
          <w:rFonts w:ascii="Times New Roman" w:hAnsi="Times New Roman" w:eastAsia="Times New Roman"/>
          <w:spacing w:val="-8"/>
        </w:rPr>
        <w:t> </w:t>
      </w:r>
      <w:r>
        <w:rPr>
          <w:rFonts w:ascii="Times New Roman" w:hAnsi="Times New Roman" w:eastAsia="Times New Roman"/>
          <w:spacing w:val="-1"/>
          <w:w w:val="110"/>
        </w:rPr>
        <w:t>0</w:t>
      </w:r>
      <w:r>
        <w:rPr>
          <w:rFonts w:ascii="Times New Roman" w:hAnsi="Times New Roman" w:eastAsia="Times New Roman"/>
          <w:spacing w:val="-1"/>
          <w:w w:val="82"/>
        </w:rPr>
        <w:t>.</w:t>
      </w:r>
      <w:r>
        <w:rPr>
          <w:rFonts w:ascii="Times New Roman" w:hAnsi="Times New Roman" w:eastAsia="Times New Roman"/>
          <w:spacing w:val="-1"/>
          <w:w w:val="110"/>
        </w:rPr>
        <w:t>12</w:t>
      </w:r>
      <w:r>
        <w:rPr>
          <w:rFonts w:ascii="Times New Roman" w:hAnsi="Times New Roman" w:eastAsia="Times New Roman"/>
          <w:w w:val="110"/>
        </w:rPr>
        <w:t>4</w:t>
      </w:r>
      <w:r>
        <w:rPr>
          <w:rFonts w:ascii="Times New Roman" w:hAnsi="Times New Roman" w:eastAsia="Times New Roman"/>
          <w:spacing w:val="-5"/>
        </w:rPr>
        <w:t> </w:t>
      </w:r>
      <w:r>
        <w:rPr>
          <w:rFonts w:ascii="Times New Roman" w:hAnsi="Times New Roman" w:eastAsia="Times New Roman"/>
          <w:w w:val="76"/>
        </w:rPr>
        <w:t>𝑇</w:t>
      </w:r>
      <w:r>
        <w:rPr>
          <w:rFonts w:ascii="Times New Roman" w:hAnsi="Times New Roman" w:eastAsia="Times New Roman"/>
          <w:w w:val="56"/>
        </w:rPr>
        <w:t>𝑖</w:t>
      </w:r>
      <w:r>
        <w:rPr>
          <w:rFonts w:ascii="Times New Roman" w:hAnsi="Times New Roman" w:eastAsia="Times New Roman"/>
          <w:spacing w:val="-2"/>
          <w:w w:val="56"/>
        </w:rPr>
        <w:t>𝑝</w:t>
      </w:r>
      <w:r>
        <w:rPr>
          <w:rFonts w:ascii="Times New Roman" w:hAnsi="Times New Roman" w:eastAsia="Times New Roman"/>
          <w:spacing w:val="-8"/>
          <w:w w:val="68"/>
        </w:rPr>
        <w:t>𝑜</w:t>
      </w:r>
      <w:r>
        <w:rPr>
          <w:rFonts w:ascii="Times New Roman" w:hAnsi="Times New Roman" w:eastAsia="Times New Roman"/>
          <w:w w:val="41"/>
          <w:vertAlign w:val="subscript"/>
        </w:rPr>
        <w:t>𝑖</w:t>
      </w:r>
      <w:r>
        <w:rPr>
          <w:rFonts w:ascii="Times New Roman" w:hAnsi="Times New Roman" w:eastAsia="Times New Roman"/>
          <w:spacing w:val="11"/>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spacing w:val="-1"/>
          <w:w w:val="110"/>
          <w:vertAlign w:val="baseline"/>
        </w:rPr>
        <w:t>0</w:t>
      </w:r>
      <w:r>
        <w:rPr>
          <w:rFonts w:ascii="Times New Roman" w:hAnsi="Times New Roman" w:eastAsia="Times New Roman"/>
          <w:spacing w:val="-2"/>
          <w:w w:val="82"/>
          <w:vertAlign w:val="baseline"/>
        </w:rPr>
        <w:t>.</w:t>
      </w:r>
      <w:r>
        <w:rPr>
          <w:rFonts w:ascii="Times New Roman" w:hAnsi="Times New Roman" w:eastAsia="Times New Roman"/>
          <w:spacing w:val="-1"/>
          <w:w w:val="110"/>
          <w:vertAlign w:val="baseline"/>
        </w:rPr>
        <w:t>03</w:t>
      </w:r>
      <w:r>
        <w:rPr>
          <w:rFonts w:ascii="Times New Roman" w:hAnsi="Times New Roman" w:eastAsia="Times New Roman"/>
          <w:w w:val="110"/>
          <w:vertAlign w:val="baseline"/>
        </w:rPr>
        <w:t>5</w:t>
      </w:r>
      <w:r>
        <w:rPr>
          <w:rFonts w:ascii="Times New Roman" w:hAnsi="Times New Roman" w:eastAsia="Times New Roman"/>
          <w:spacing w:val="-5"/>
          <w:vertAlign w:val="baseline"/>
        </w:rPr>
        <w:t> </w:t>
      </w:r>
      <w:r>
        <w:rPr>
          <w:rFonts w:ascii="Times New Roman" w:hAnsi="Times New Roman" w:eastAsia="Times New Roman"/>
          <w:w w:val="68"/>
          <w:vertAlign w:val="baseline"/>
        </w:rPr>
        <w:t>𝐿</w:t>
      </w:r>
      <w:r>
        <w:rPr>
          <w:rFonts w:ascii="Times New Roman" w:hAnsi="Times New Roman" w:eastAsia="Times New Roman"/>
          <w:spacing w:val="-2"/>
          <w:w w:val="73"/>
          <w:vertAlign w:val="baseline"/>
        </w:rPr>
        <w:t>𝑛</w:t>
      </w:r>
      <w:r>
        <w:rPr>
          <w:rFonts w:ascii="Times New Roman" w:hAnsi="Times New Roman" w:eastAsia="Times New Roman"/>
          <w:spacing w:val="-2"/>
          <w:w w:val="86"/>
          <w:vertAlign w:val="baseline"/>
        </w:rPr>
        <w:t>Á</w:t>
      </w:r>
      <w:r>
        <w:rPr>
          <w:rFonts w:ascii="Times New Roman" w:hAnsi="Times New Roman" w:eastAsia="Times New Roman"/>
          <w:spacing w:val="1"/>
          <w:w w:val="61"/>
          <w:vertAlign w:val="baseline"/>
        </w:rPr>
        <w:t>𝑟</w:t>
      </w:r>
      <w:r>
        <w:rPr>
          <w:rFonts w:ascii="Times New Roman" w:hAnsi="Times New Roman" w:eastAsia="Times New Roman"/>
          <w:w w:val="63"/>
          <w:vertAlign w:val="baseline"/>
        </w:rPr>
        <w:t>𝑒</w:t>
      </w:r>
      <w:r>
        <w:rPr>
          <w:rFonts w:ascii="Times New Roman" w:hAnsi="Times New Roman" w:eastAsia="Times New Roman"/>
          <w:spacing w:val="-2"/>
          <w:w w:val="71"/>
          <w:vertAlign w:val="baseline"/>
        </w:rPr>
        <w:t>𝑎</w:t>
      </w:r>
      <w:r>
        <w:rPr>
          <w:rFonts w:ascii="Times New Roman" w:hAnsi="Times New Roman" w:eastAsia="Times New Roman"/>
          <w:w w:val="41"/>
          <w:vertAlign w:val="subscript"/>
        </w:rPr>
        <w:t>𝑖</w:t>
      </w:r>
      <w:r>
        <w:rPr>
          <w:rFonts w:ascii="Times New Roman" w:hAnsi="Times New Roman" w:eastAsia="Times New Roman"/>
          <w:spacing w:val="11"/>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spacing w:val="-1"/>
          <w:w w:val="110"/>
          <w:vertAlign w:val="baseline"/>
        </w:rPr>
        <w:t>1</w:t>
      </w:r>
      <w:r>
        <w:rPr>
          <w:rFonts w:ascii="Times New Roman" w:hAnsi="Times New Roman" w:eastAsia="Times New Roman"/>
          <w:spacing w:val="3"/>
          <w:w w:val="110"/>
          <w:vertAlign w:val="baseline"/>
        </w:rPr>
        <w:t>0</w:t>
      </w:r>
      <w:r>
        <w:rPr>
          <w:rFonts w:ascii="Times New Roman" w:hAnsi="Times New Roman" w:eastAsia="Times New Roman"/>
          <w:spacing w:val="-2"/>
          <w:w w:val="82"/>
          <w:vertAlign w:val="baseline"/>
        </w:rPr>
        <w:t>.</w:t>
      </w:r>
      <w:r>
        <w:rPr>
          <w:rFonts w:ascii="Times New Roman" w:hAnsi="Times New Roman" w:eastAsia="Times New Roman"/>
          <w:spacing w:val="-1"/>
          <w:w w:val="110"/>
          <w:vertAlign w:val="baseline"/>
        </w:rPr>
        <w:t>98</w:t>
      </w:r>
      <w:r>
        <w:rPr>
          <w:rFonts w:ascii="Times New Roman" w:hAnsi="Times New Roman" w:eastAsia="Times New Roman"/>
          <w:w w:val="110"/>
          <w:vertAlign w:val="baseline"/>
        </w:rPr>
        <w:t>1</w:t>
      </w:r>
      <w:r>
        <w:rPr>
          <w:rFonts w:ascii="Times New Roman" w:hAnsi="Times New Roman" w:eastAsia="Times New Roman"/>
          <w:spacing w:val="-5"/>
          <w:vertAlign w:val="baseline"/>
        </w:rPr>
        <w:t> </w:t>
      </w:r>
      <w:r>
        <w:rPr>
          <w:rFonts w:ascii="Times New Roman" w:hAnsi="Times New Roman" w:eastAsia="Times New Roman"/>
          <w:w w:val="71"/>
          <w:vertAlign w:val="baseline"/>
        </w:rPr>
        <w:t>𝐿</w:t>
      </w:r>
      <w:r>
        <w:rPr>
          <w:rFonts w:ascii="Times New Roman" w:hAnsi="Times New Roman" w:eastAsia="Times New Roman"/>
          <w:spacing w:val="-2"/>
          <w:w w:val="71"/>
          <w:vertAlign w:val="baseline"/>
        </w:rPr>
        <w:t>𝑛</w:t>
      </w:r>
      <w:r>
        <w:rPr>
          <w:rFonts w:ascii="Times New Roman" w:hAnsi="Times New Roman" w:eastAsia="Times New Roman"/>
          <w:w w:val="81"/>
          <w:vertAlign w:val="baseline"/>
        </w:rPr>
        <w:t>𝐴</w:t>
      </w:r>
      <w:r>
        <w:rPr>
          <w:rFonts w:ascii="Times New Roman" w:hAnsi="Times New Roman" w:eastAsia="Times New Roman"/>
          <w:spacing w:val="-3"/>
          <w:w w:val="111"/>
          <w:vertAlign w:val="baseline"/>
        </w:rPr>
        <w:t>ñ</w:t>
      </w:r>
      <w:r>
        <w:rPr>
          <w:rFonts w:ascii="Times New Roman" w:hAnsi="Times New Roman" w:eastAsia="Times New Roman"/>
          <w:w w:val="72"/>
          <w:vertAlign w:val="baseline"/>
        </w:rPr>
        <w:t>𝑜</w:t>
      </w:r>
      <w:r>
        <w:rPr>
          <w:rFonts w:ascii="Times New Roman" w:hAnsi="Times New Roman" w:eastAsia="Times New Roman"/>
          <w:spacing w:val="-15"/>
          <w:w w:val="72"/>
          <w:vertAlign w:val="baseline"/>
        </w:rPr>
        <w:t>𝐶</w:t>
      </w:r>
      <w:r>
        <w:rPr>
          <w:rFonts w:ascii="Times New Roman" w:hAnsi="Times New Roman" w:eastAsia="Times New Roman"/>
          <w:w w:val="41"/>
          <w:vertAlign w:val="subscript"/>
        </w:rPr>
        <w:t>𝑖</w:t>
      </w:r>
      <w:r>
        <w:rPr>
          <w:rFonts w:ascii="Times New Roman" w:hAnsi="Times New Roman" w:eastAsia="Times New Roman"/>
          <w:spacing w:val="11"/>
          <w:vertAlign w:val="baseline"/>
        </w:rPr>
        <w:t> </w:t>
      </w:r>
      <w:r>
        <w:rPr>
          <w:rFonts w:ascii="Times New Roman" w:hAnsi="Times New Roman" w:eastAsia="Times New Roman"/>
          <w:w w:val="132"/>
          <w:vertAlign w:val="baseline"/>
        </w:rPr>
        <w:t>+</w:t>
      </w:r>
      <w:r>
        <w:rPr>
          <w:rFonts w:ascii="Times New Roman" w:hAnsi="Times New Roman" w:eastAsia="Times New Roman"/>
          <w:spacing w:val="-7"/>
          <w:vertAlign w:val="baseline"/>
        </w:rPr>
        <w:t> </w:t>
      </w:r>
      <w:r>
        <w:rPr>
          <w:rFonts w:ascii="Times New Roman" w:hAnsi="Times New Roman" w:eastAsia="Times New Roman"/>
          <w:spacing w:val="-1"/>
          <w:w w:val="110"/>
          <w:vertAlign w:val="baseline"/>
        </w:rPr>
        <w:t>0</w:t>
      </w:r>
      <w:r>
        <w:rPr>
          <w:rFonts w:ascii="Times New Roman" w:hAnsi="Times New Roman" w:eastAsia="Times New Roman"/>
          <w:spacing w:val="2"/>
          <w:w w:val="82"/>
          <w:vertAlign w:val="baseline"/>
        </w:rPr>
        <w:t>.</w:t>
      </w:r>
      <w:r>
        <w:rPr>
          <w:rFonts w:ascii="Times New Roman" w:hAnsi="Times New Roman" w:eastAsia="Times New Roman"/>
          <w:spacing w:val="-1"/>
          <w:w w:val="110"/>
          <w:vertAlign w:val="baseline"/>
        </w:rPr>
        <w:t>29</w:t>
      </w:r>
      <w:r>
        <w:rPr>
          <w:rFonts w:ascii="Times New Roman" w:hAnsi="Times New Roman" w:eastAsia="Times New Roman"/>
          <w:w w:val="110"/>
          <w:vertAlign w:val="baseline"/>
        </w:rPr>
        <w:t>2</w:t>
      </w:r>
      <w:r>
        <w:rPr>
          <w:rFonts w:ascii="Times New Roman" w:hAnsi="Times New Roman" w:eastAsia="Times New Roman"/>
          <w:spacing w:val="-9"/>
          <w:vertAlign w:val="baseline"/>
        </w:rPr>
        <w:t> </w:t>
      </w:r>
      <w:r>
        <w:rPr>
          <w:rFonts w:ascii="Times New Roman" w:hAnsi="Times New Roman" w:eastAsia="Times New Roman"/>
          <w:w w:val="71"/>
          <w:vertAlign w:val="baseline"/>
        </w:rPr>
        <w:t>𝐿</w:t>
      </w:r>
      <w:r>
        <w:rPr>
          <w:rFonts w:ascii="Times New Roman" w:hAnsi="Times New Roman" w:eastAsia="Times New Roman"/>
          <w:spacing w:val="-2"/>
          <w:w w:val="71"/>
          <w:vertAlign w:val="baseline"/>
        </w:rPr>
        <w:t>𝑛</w:t>
      </w:r>
      <w:r>
        <w:rPr>
          <w:rFonts w:ascii="Times New Roman" w:hAnsi="Times New Roman" w:eastAsia="Times New Roman"/>
          <w:w w:val="93"/>
          <w:vertAlign w:val="baseline"/>
        </w:rPr>
        <w:t>𝐻</w:t>
      </w:r>
      <w:r>
        <w:rPr>
          <w:rFonts w:ascii="Times New Roman" w:hAnsi="Times New Roman" w:eastAsia="Times New Roman"/>
          <w:spacing w:val="-2"/>
          <w:w w:val="71"/>
          <w:vertAlign w:val="baseline"/>
        </w:rPr>
        <w:t>𝑎</w:t>
      </w:r>
      <w:r>
        <w:rPr>
          <w:rFonts w:ascii="Times New Roman" w:hAnsi="Times New Roman" w:eastAsia="Times New Roman"/>
          <w:spacing w:val="10"/>
          <w:w w:val="69"/>
          <w:vertAlign w:val="baseline"/>
        </w:rPr>
        <w:t>𝑏</w:t>
      </w:r>
      <w:r>
        <w:rPr>
          <w:rFonts w:ascii="Times New Roman" w:hAnsi="Times New Roman" w:eastAsia="Times New Roman"/>
          <w:spacing w:val="-1"/>
          <w:w w:val="82"/>
          <w:vertAlign w:val="baseline"/>
        </w:rPr>
        <w:t>.</w:t>
      </w:r>
      <w:r>
        <w:rPr>
          <w:rFonts w:ascii="Times New Roman" w:hAnsi="Times New Roman" w:eastAsia="Times New Roman"/>
          <w:spacing w:val="15"/>
          <w:w w:val="41"/>
          <w:vertAlign w:val="subscript"/>
        </w:rPr>
        <w:t>𝑖</w:t>
      </w:r>
      <w:r>
        <w:rPr>
          <w:rFonts w:ascii="Times New Roman" w:hAnsi="Times New Roman" w:eastAsia="Times New Roman"/>
          <w:w w:val="132"/>
          <w:vertAlign w:val="baseline"/>
        </w:rPr>
        <w:t>+ </w:t>
      </w:r>
      <w:r>
        <w:rPr>
          <w:rFonts w:ascii="Times New Roman" w:hAnsi="Times New Roman" w:eastAsia="Times New Roman"/>
          <w:spacing w:val="-1"/>
          <w:w w:val="110"/>
          <w:vertAlign w:val="baseline"/>
        </w:rPr>
        <w:t>0</w:t>
      </w:r>
      <w:r>
        <w:rPr>
          <w:rFonts w:ascii="Times New Roman" w:hAnsi="Times New Roman" w:eastAsia="Times New Roman"/>
          <w:spacing w:val="2"/>
          <w:w w:val="82"/>
          <w:vertAlign w:val="baseline"/>
        </w:rPr>
        <w:t>.</w:t>
      </w:r>
      <w:r>
        <w:rPr>
          <w:rFonts w:ascii="Times New Roman" w:hAnsi="Times New Roman" w:eastAsia="Times New Roman"/>
          <w:spacing w:val="-1"/>
          <w:w w:val="110"/>
          <w:vertAlign w:val="baseline"/>
        </w:rPr>
        <w:t>88</w:t>
      </w:r>
      <w:r>
        <w:rPr>
          <w:rFonts w:ascii="Times New Roman" w:hAnsi="Times New Roman" w:eastAsia="Times New Roman"/>
          <w:w w:val="110"/>
          <w:vertAlign w:val="baseline"/>
        </w:rPr>
        <w:t>7</w:t>
      </w:r>
      <w:r>
        <w:rPr>
          <w:rFonts w:ascii="Times New Roman" w:hAnsi="Times New Roman" w:eastAsia="Times New Roman"/>
          <w:spacing w:val="-9"/>
          <w:vertAlign w:val="baseline"/>
        </w:rPr>
        <w:t> </w:t>
      </w:r>
      <w:r>
        <w:rPr>
          <w:rFonts w:ascii="Times New Roman" w:hAnsi="Times New Roman" w:eastAsia="Times New Roman"/>
          <w:w w:val="71"/>
          <w:vertAlign w:val="baseline"/>
        </w:rPr>
        <w:t>𝐿</w:t>
      </w:r>
      <w:r>
        <w:rPr>
          <w:rFonts w:ascii="Times New Roman" w:hAnsi="Times New Roman" w:eastAsia="Times New Roman"/>
          <w:spacing w:val="-2"/>
          <w:w w:val="71"/>
          <w:vertAlign w:val="baseline"/>
        </w:rPr>
        <w:t>𝑛</w:t>
      </w:r>
      <w:r>
        <w:rPr>
          <w:rFonts w:ascii="Times New Roman" w:hAnsi="Times New Roman" w:eastAsia="Times New Roman"/>
          <w:spacing w:val="-2"/>
          <w:w w:val="84"/>
          <w:vertAlign w:val="baseline"/>
        </w:rPr>
        <w:t>𝐵</w:t>
      </w:r>
      <w:r>
        <w:rPr>
          <w:rFonts w:ascii="Times New Roman" w:hAnsi="Times New Roman" w:eastAsia="Times New Roman"/>
          <w:spacing w:val="2"/>
          <w:w w:val="71"/>
          <w:vertAlign w:val="baseline"/>
        </w:rPr>
        <w:t>𝑎</w:t>
      </w:r>
      <w:r>
        <w:rPr>
          <w:rFonts w:ascii="Times New Roman" w:hAnsi="Times New Roman" w:eastAsia="Times New Roman"/>
          <w:spacing w:val="-2"/>
          <w:w w:val="111"/>
          <w:vertAlign w:val="baseline"/>
        </w:rPr>
        <w:t>ñ</w:t>
      </w:r>
      <w:r>
        <w:rPr>
          <w:rFonts w:ascii="Times New Roman" w:hAnsi="Times New Roman" w:eastAsia="Times New Roman"/>
          <w:w w:val="63"/>
          <w:vertAlign w:val="baseline"/>
        </w:rPr>
        <w:t>𝑜</w:t>
      </w:r>
      <w:r>
        <w:rPr>
          <w:rFonts w:ascii="Times New Roman" w:hAnsi="Times New Roman" w:eastAsia="Times New Roman"/>
          <w:spacing w:val="-3"/>
          <w:w w:val="63"/>
          <w:vertAlign w:val="baseline"/>
        </w:rPr>
        <w:t>𝑠</w:t>
      </w:r>
      <w:r>
        <w:rPr>
          <w:rFonts w:ascii="Times New Roman" w:hAnsi="Times New Roman" w:eastAsia="Times New Roman"/>
          <w:w w:val="41"/>
          <w:vertAlign w:val="subscript"/>
        </w:rPr>
        <w:t>𝑖</w:t>
      </w:r>
      <w:r>
        <w:rPr>
          <w:rFonts w:ascii="Times New Roman" w:hAnsi="Times New Roman" w:eastAsia="Times New Roman"/>
          <w:spacing w:val="7"/>
          <w:vertAlign w:val="baseline"/>
        </w:rPr>
        <w:t> </w:t>
      </w:r>
      <w:r>
        <w:rPr>
          <w:rFonts w:ascii="Times New Roman" w:hAnsi="Times New Roman" w:eastAsia="Times New Roman"/>
          <w:w w:val="132"/>
          <w:vertAlign w:val="baseline"/>
        </w:rPr>
        <w:t>−</w:t>
      </w:r>
      <w:r>
        <w:rPr>
          <w:rFonts w:ascii="Times New Roman" w:hAnsi="Times New Roman" w:eastAsia="Times New Roman"/>
          <w:spacing w:val="-4"/>
          <w:vertAlign w:val="baseline"/>
        </w:rPr>
        <w:t> </w:t>
      </w:r>
      <w:r>
        <w:rPr>
          <w:rFonts w:ascii="Times New Roman" w:hAnsi="Times New Roman" w:eastAsia="Times New Roman"/>
          <w:spacing w:val="-1"/>
          <w:w w:val="110"/>
          <w:vertAlign w:val="baseline"/>
        </w:rPr>
        <w:t>0</w:t>
      </w:r>
      <w:r>
        <w:rPr>
          <w:rFonts w:ascii="Times New Roman" w:hAnsi="Times New Roman" w:eastAsia="Times New Roman"/>
          <w:spacing w:val="-2"/>
          <w:w w:val="82"/>
          <w:vertAlign w:val="baseline"/>
        </w:rPr>
        <w:t>.</w:t>
      </w:r>
      <w:r>
        <w:rPr>
          <w:rFonts w:ascii="Times New Roman" w:hAnsi="Times New Roman" w:eastAsia="Times New Roman"/>
          <w:spacing w:val="-1"/>
          <w:w w:val="110"/>
          <w:vertAlign w:val="baseline"/>
        </w:rPr>
        <w:t>14</w:t>
      </w:r>
      <w:r>
        <w:rPr>
          <w:rFonts w:ascii="Times New Roman" w:hAnsi="Times New Roman" w:eastAsia="Times New Roman"/>
          <w:w w:val="110"/>
          <w:vertAlign w:val="baseline"/>
        </w:rPr>
        <w:t>3</w:t>
      </w:r>
      <w:r>
        <w:rPr>
          <w:rFonts w:ascii="Times New Roman" w:hAnsi="Times New Roman" w:eastAsia="Times New Roman"/>
          <w:spacing w:val="-5"/>
          <w:vertAlign w:val="baseline"/>
        </w:rPr>
        <w:t> </w:t>
      </w:r>
      <w:r>
        <w:rPr>
          <w:rFonts w:ascii="Times New Roman" w:hAnsi="Times New Roman" w:eastAsia="Times New Roman"/>
          <w:w w:val="71"/>
          <w:vertAlign w:val="baseline"/>
        </w:rPr>
        <w:t>𝐿</w:t>
      </w:r>
      <w:r>
        <w:rPr>
          <w:rFonts w:ascii="Times New Roman" w:hAnsi="Times New Roman" w:eastAsia="Times New Roman"/>
          <w:spacing w:val="-2"/>
          <w:w w:val="71"/>
          <w:vertAlign w:val="baseline"/>
        </w:rPr>
        <w:t>𝑛</w:t>
      </w:r>
      <w:r>
        <w:rPr>
          <w:rFonts w:ascii="Times New Roman" w:hAnsi="Times New Roman" w:eastAsia="Times New Roman"/>
          <w:spacing w:val="-1"/>
          <w:w w:val="79"/>
          <w:vertAlign w:val="baseline"/>
        </w:rPr>
        <w:t>𝑃</w:t>
      </w:r>
      <w:r>
        <w:rPr>
          <w:rFonts w:ascii="Times New Roman" w:hAnsi="Times New Roman" w:eastAsia="Times New Roman"/>
          <w:w w:val="56"/>
          <w:vertAlign w:val="baseline"/>
        </w:rPr>
        <w:t>𝑙</w:t>
      </w:r>
      <w:r>
        <w:rPr>
          <w:rFonts w:ascii="Times New Roman" w:hAnsi="Times New Roman" w:eastAsia="Times New Roman"/>
          <w:spacing w:val="-2"/>
          <w:w w:val="56"/>
          <w:vertAlign w:val="baseline"/>
        </w:rPr>
        <w:t>𝑎</w:t>
      </w:r>
      <w:r>
        <w:rPr>
          <w:rFonts w:ascii="Times New Roman" w:hAnsi="Times New Roman" w:eastAsia="Times New Roman"/>
          <w:spacing w:val="-2"/>
          <w:w w:val="73"/>
          <w:vertAlign w:val="baseline"/>
        </w:rPr>
        <w:t>𝑛</w:t>
      </w:r>
      <w:r>
        <w:rPr>
          <w:rFonts w:ascii="Times New Roman" w:hAnsi="Times New Roman" w:eastAsia="Times New Roman"/>
          <w:spacing w:val="1"/>
          <w:w w:val="50"/>
          <w:vertAlign w:val="baseline"/>
        </w:rPr>
        <w:t>𝑡</w:t>
      </w:r>
      <w:r>
        <w:rPr>
          <w:rFonts w:ascii="Times New Roman" w:hAnsi="Times New Roman" w:eastAsia="Times New Roman"/>
          <w:spacing w:val="-2"/>
          <w:w w:val="71"/>
          <w:vertAlign w:val="baseline"/>
        </w:rPr>
        <w:t>𝑎</w:t>
      </w:r>
      <w:r>
        <w:rPr>
          <w:rFonts w:ascii="Times New Roman" w:hAnsi="Times New Roman" w:eastAsia="Times New Roman"/>
          <w:spacing w:val="-3"/>
          <w:w w:val="59"/>
          <w:vertAlign w:val="baseline"/>
        </w:rPr>
        <w:t>𝑠</w:t>
      </w:r>
      <w:r>
        <w:rPr>
          <w:rFonts w:ascii="Times New Roman" w:hAnsi="Times New Roman" w:eastAsia="Times New Roman"/>
          <w:w w:val="41"/>
          <w:vertAlign w:val="subscript"/>
        </w:rPr>
        <w:t>𝑖</w:t>
      </w:r>
      <w:r>
        <w:rPr>
          <w:rFonts w:ascii="Times New Roman" w:hAnsi="Times New Roman" w:eastAsia="Times New Roman"/>
          <w:spacing w:val="11"/>
          <w:vertAlign w:val="baseline"/>
        </w:rPr>
        <w:t> </w:t>
      </w:r>
      <w:r>
        <w:rPr>
          <w:rFonts w:ascii="Times New Roman" w:hAnsi="Times New Roman" w:eastAsia="Times New Roman"/>
          <w:w w:val="132"/>
          <w:vertAlign w:val="baseline"/>
        </w:rPr>
        <w:t>−</w:t>
      </w:r>
      <w:r>
        <w:rPr>
          <w:rFonts w:ascii="Times New Roman" w:hAnsi="Times New Roman" w:eastAsia="Times New Roman"/>
          <w:spacing w:val="-7"/>
          <w:vertAlign w:val="baseline"/>
        </w:rPr>
        <w:t> </w:t>
      </w:r>
      <w:r>
        <w:rPr>
          <w:rFonts w:ascii="Times New Roman" w:hAnsi="Times New Roman" w:eastAsia="Times New Roman"/>
          <w:spacing w:val="-1"/>
          <w:w w:val="110"/>
          <w:vertAlign w:val="baseline"/>
        </w:rPr>
        <w:t>0</w:t>
      </w:r>
      <w:r>
        <w:rPr>
          <w:rFonts w:ascii="Times New Roman" w:hAnsi="Times New Roman" w:eastAsia="Times New Roman"/>
          <w:spacing w:val="2"/>
          <w:w w:val="82"/>
          <w:vertAlign w:val="baseline"/>
        </w:rPr>
        <w:t>.</w:t>
      </w:r>
      <w:r>
        <w:rPr>
          <w:rFonts w:ascii="Times New Roman" w:hAnsi="Times New Roman" w:eastAsia="Times New Roman"/>
          <w:spacing w:val="-1"/>
          <w:w w:val="110"/>
          <w:vertAlign w:val="baseline"/>
        </w:rPr>
        <w:t>24</w:t>
      </w:r>
      <w:r>
        <w:rPr>
          <w:rFonts w:ascii="Times New Roman" w:hAnsi="Times New Roman" w:eastAsia="Times New Roman"/>
          <w:w w:val="110"/>
          <w:vertAlign w:val="baseline"/>
        </w:rPr>
        <w:t>0</w:t>
      </w:r>
      <w:r>
        <w:rPr>
          <w:rFonts w:ascii="Times New Roman" w:hAnsi="Times New Roman" w:eastAsia="Times New Roman"/>
          <w:spacing w:val="-9"/>
          <w:vertAlign w:val="baseline"/>
        </w:rPr>
        <w:t> </w:t>
      </w:r>
      <w:r>
        <w:rPr>
          <w:rFonts w:ascii="Times New Roman" w:hAnsi="Times New Roman" w:eastAsia="Times New Roman"/>
          <w:w w:val="71"/>
          <w:vertAlign w:val="baseline"/>
        </w:rPr>
        <w:t>𝐿</w:t>
      </w:r>
      <w:r>
        <w:rPr>
          <w:rFonts w:ascii="Times New Roman" w:hAnsi="Times New Roman" w:eastAsia="Times New Roman"/>
          <w:spacing w:val="-2"/>
          <w:w w:val="71"/>
          <w:vertAlign w:val="baseline"/>
        </w:rPr>
        <w:t>𝑛</w:t>
      </w:r>
      <w:r>
        <w:rPr>
          <w:rFonts w:ascii="Times New Roman" w:hAnsi="Times New Roman" w:eastAsia="Times New Roman"/>
          <w:spacing w:val="1"/>
          <w:w w:val="89"/>
          <w:vertAlign w:val="baseline"/>
        </w:rPr>
        <w:t>𝐷</w:t>
      </w:r>
      <w:r>
        <w:rPr>
          <w:rFonts w:ascii="Times New Roman" w:hAnsi="Times New Roman" w:eastAsia="Times New Roman"/>
          <w:w w:val="68"/>
          <w:vertAlign w:val="baseline"/>
        </w:rPr>
        <w:t>𝑆</w:t>
      </w:r>
      <w:r>
        <w:rPr>
          <w:rFonts w:ascii="Times New Roman" w:hAnsi="Times New Roman" w:eastAsia="Times New Roman"/>
          <w:spacing w:val="1"/>
          <w:w w:val="46"/>
          <w:vertAlign w:val="baseline"/>
        </w:rPr>
        <w:t>𝑗</w:t>
      </w:r>
      <w:r>
        <w:rPr>
          <w:rFonts w:ascii="Times New Roman" w:hAnsi="Times New Roman" w:eastAsia="Times New Roman"/>
          <w:w w:val="63"/>
          <w:vertAlign w:val="baseline"/>
        </w:rPr>
        <w:t>𝑜</w:t>
      </w:r>
      <w:r>
        <w:rPr>
          <w:rFonts w:ascii="Times New Roman" w:hAnsi="Times New Roman" w:eastAsia="Times New Roman"/>
          <w:spacing w:val="2"/>
          <w:w w:val="63"/>
          <w:vertAlign w:val="baseline"/>
        </w:rPr>
        <w:t>𝑠</w:t>
      </w:r>
      <w:r>
        <w:rPr>
          <w:rFonts w:ascii="Times New Roman" w:hAnsi="Times New Roman" w:eastAsia="Times New Roman"/>
          <w:spacing w:val="-2"/>
          <w:w w:val="109"/>
          <w:vertAlign w:val="baseline"/>
        </w:rPr>
        <w:t>é</w:t>
      </w:r>
      <w:r>
        <w:rPr>
          <w:rFonts w:ascii="Times New Roman" w:hAnsi="Times New Roman" w:eastAsia="Times New Roman"/>
          <w:spacing w:val="-15"/>
          <w:w w:val="76"/>
          <w:vertAlign w:val="baseline"/>
        </w:rPr>
        <w:t>𝐶</w:t>
      </w:r>
      <w:r>
        <w:rPr>
          <w:rFonts w:ascii="Times New Roman" w:hAnsi="Times New Roman" w:eastAsia="Times New Roman"/>
          <w:w w:val="55"/>
          <w:vertAlign w:val="subscript"/>
        </w:rPr>
        <w:t>𝑗</w:t>
      </w:r>
      <w:r>
        <w:rPr>
          <w:rFonts w:ascii="Times New Roman" w:hAnsi="Times New Roman" w:eastAsia="Times New Roman"/>
          <w:spacing w:val="-17"/>
          <w:vertAlign w:val="baseline"/>
        </w:rPr>
        <w:t> </w:t>
      </w:r>
      <w:r>
        <w:rPr>
          <w:rFonts w:ascii="Times New Roman" w:hAnsi="Times New Roman" w:eastAsia="Times New Roman"/>
          <w:w w:val="114"/>
          <w:vertAlign w:val="subscript"/>
        </w:rPr>
        <w:t>(</w:t>
      </w:r>
      <w:r>
        <w:rPr>
          <w:rFonts w:ascii="Times New Roman" w:hAnsi="Times New Roman" w:eastAsia="Times New Roman"/>
          <w:spacing w:val="3"/>
          <w:w w:val="41"/>
          <w:vertAlign w:val="subscript"/>
        </w:rPr>
        <w:t>𝑖</w:t>
      </w:r>
      <w:r>
        <w:rPr>
          <w:rFonts w:ascii="Times New Roman" w:hAnsi="Times New Roman" w:eastAsia="Times New Roman"/>
          <w:w w:val="114"/>
          <w:vertAlign w:val="subscript"/>
        </w:rPr>
        <w:t>)</w:t>
      </w:r>
      <w:r>
        <w:rPr>
          <w:rFonts w:ascii="Times New Roman" w:hAnsi="Times New Roman" w:eastAsia="Times New Roman"/>
          <w:vertAlign w:val="baseline"/>
        </w:rPr>
        <w:t> </w:t>
      </w:r>
      <w:r>
        <w:rPr>
          <w:rFonts w:ascii="Times New Roman" w:hAnsi="Times New Roman" w:eastAsia="Times New Roman"/>
          <w:w w:val="132"/>
          <w:vertAlign w:val="baseline"/>
        </w:rPr>
        <w:t>+</w:t>
      </w:r>
      <w:r>
        <w:rPr>
          <w:rFonts w:ascii="Times New Roman" w:hAnsi="Times New Roman" w:eastAsia="Times New Roman"/>
          <w:spacing w:val="-8"/>
          <w:vertAlign w:val="baseline"/>
        </w:rPr>
        <w:t> </w:t>
      </w:r>
      <w:r>
        <w:rPr>
          <w:rFonts w:ascii="Times New Roman" w:hAnsi="Times New Roman" w:eastAsia="Times New Roman"/>
          <w:spacing w:val="-1"/>
          <w:w w:val="110"/>
          <w:vertAlign w:val="baseline"/>
        </w:rPr>
        <w:t>0</w:t>
      </w:r>
      <w:r>
        <w:rPr>
          <w:rFonts w:ascii="Times New Roman" w:hAnsi="Times New Roman" w:eastAsia="Times New Roman"/>
          <w:spacing w:val="2"/>
          <w:w w:val="82"/>
          <w:vertAlign w:val="baseline"/>
        </w:rPr>
        <w:t>.</w:t>
      </w:r>
      <w:r>
        <w:rPr>
          <w:rFonts w:ascii="Times New Roman" w:hAnsi="Times New Roman" w:eastAsia="Times New Roman"/>
          <w:spacing w:val="-1"/>
          <w:w w:val="110"/>
          <w:vertAlign w:val="baseline"/>
        </w:rPr>
        <w:t>23</w:t>
      </w:r>
      <w:r>
        <w:rPr>
          <w:rFonts w:ascii="Times New Roman" w:hAnsi="Times New Roman" w:eastAsia="Times New Roman"/>
          <w:spacing w:val="-2"/>
          <w:w w:val="110"/>
          <w:vertAlign w:val="baseline"/>
        </w:rPr>
        <w:t>4</w:t>
      </w:r>
      <w:r>
        <w:rPr>
          <w:rFonts w:ascii="Times New Roman" w:hAnsi="Times New Roman" w:eastAsia="Times New Roman"/>
          <w:w w:val="71"/>
          <w:vertAlign w:val="baseline"/>
        </w:rPr>
        <w:t>𝐿</w:t>
      </w:r>
      <w:r>
        <w:rPr>
          <w:rFonts w:ascii="Times New Roman" w:hAnsi="Times New Roman" w:eastAsia="Times New Roman"/>
          <w:spacing w:val="-2"/>
          <w:w w:val="71"/>
          <w:vertAlign w:val="baseline"/>
        </w:rPr>
        <w:t>𝑛</w:t>
      </w:r>
      <w:r>
        <w:rPr>
          <w:rFonts w:ascii="Times New Roman" w:hAnsi="Times New Roman" w:eastAsia="Times New Roman"/>
          <w:spacing w:val="1"/>
          <w:w w:val="89"/>
          <w:vertAlign w:val="baseline"/>
        </w:rPr>
        <w:t>𝐷</w:t>
      </w:r>
      <w:r>
        <w:rPr>
          <w:rFonts w:ascii="Times New Roman" w:hAnsi="Times New Roman" w:eastAsia="Times New Roman"/>
          <w:spacing w:val="-1"/>
          <w:w w:val="80"/>
          <w:vertAlign w:val="baseline"/>
        </w:rPr>
        <w:t>𝐴</w:t>
      </w:r>
      <w:r>
        <w:rPr>
          <w:rFonts w:ascii="Times New Roman" w:hAnsi="Times New Roman" w:eastAsia="Times New Roman"/>
          <w:w w:val="80"/>
          <w:vertAlign w:val="baseline"/>
        </w:rPr>
        <w:t>𝑔</w:t>
      </w:r>
      <w:r>
        <w:rPr>
          <w:rFonts w:ascii="Times New Roman" w:hAnsi="Times New Roman" w:eastAsia="Times New Roman"/>
          <w:w w:val="72"/>
          <w:vertAlign w:val="baseline"/>
        </w:rPr>
        <w:t>𝑙𝑜</w:t>
      </w:r>
      <w:r>
        <w:rPr>
          <w:rFonts w:ascii="Times New Roman" w:hAnsi="Times New Roman" w:eastAsia="Times New Roman"/>
          <w:spacing w:val="-1"/>
          <w:w w:val="72"/>
          <w:vertAlign w:val="baseline"/>
        </w:rPr>
        <w:t>𝑚</w:t>
      </w:r>
      <w:r>
        <w:rPr>
          <w:rFonts w:ascii="Times New Roman" w:hAnsi="Times New Roman" w:eastAsia="Times New Roman"/>
          <w:spacing w:val="-20"/>
          <w:w w:val="79"/>
          <w:vertAlign w:val="baseline"/>
        </w:rPr>
        <w:t>𝑃</w:t>
      </w:r>
      <w:r>
        <w:rPr>
          <w:rFonts w:ascii="Times New Roman" w:hAnsi="Times New Roman" w:eastAsia="Times New Roman"/>
          <w:w w:val="55"/>
          <w:vertAlign w:val="subscript"/>
        </w:rPr>
        <w:t>𝑗</w:t>
      </w:r>
      <w:r>
        <w:rPr>
          <w:rFonts w:ascii="Times New Roman" w:hAnsi="Times New Roman" w:eastAsia="Times New Roman"/>
          <w:spacing w:val="-17"/>
          <w:vertAlign w:val="baseline"/>
        </w:rPr>
        <w:t> </w:t>
      </w:r>
      <w:r>
        <w:rPr>
          <w:rFonts w:ascii="Times New Roman" w:hAnsi="Times New Roman" w:eastAsia="Times New Roman"/>
          <w:w w:val="114"/>
          <w:vertAlign w:val="subscript"/>
        </w:rPr>
        <w:t>(</w:t>
      </w:r>
      <w:r>
        <w:rPr>
          <w:rFonts w:ascii="Times New Roman" w:hAnsi="Times New Roman" w:eastAsia="Times New Roman"/>
          <w:spacing w:val="3"/>
          <w:w w:val="41"/>
          <w:vertAlign w:val="subscript"/>
        </w:rPr>
        <w:t>𝑖</w:t>
      </w:r>
      <w:r>
        <w:rPr>
          <w:rFonts w:ascii="Times New Roman" w:hAnsi="Times New Roman" w:eastAsia="Times New Roman"/>
          <w:w w:val="114"/>
          <w:vertAlign w:val="subscript"/>
        </w:rPr>
        <w:t>)</w:t>
      </w:r>
      <w:r>
        <w:rPr>
          <w:rFonts w:ascii="Times New Roman" w:hAnsi="Times New Roman" w:eastAsia="Times New Roman"/>
          <w:vertAlign w:val="baseline"/>
        </w:rPr>
        <w:t> </w:t>
      </w:r>
      <w:r>
        <w:rPr>
          <w:rFonts w:ascii="Times New Roman" w:hAnsi="Times New Roman" w:eastAsia="Times New Roman"/>
          <w:w w:val="132"/>
          <w:vertAlign w:val="baseline"/>
        </w:rPr>
        <w:t>−</w:t>
      </w:r>
    </w:p>
    <w:p>
      <w:pPr>
        <w:pStyle w:val="BodyText"/>
        <w:spacing w:before="33"/>
        <w:ind w:left="1100" w:right="1096"/>
        <w:jc w:val="center"/>
        <w:rPr>
          <w:rFonts w:ascii="Times New Roman" w:eastAsia="Times New Roman"/>
        </w:rPr>
      </w:pPr>
      <w:r>
        <w:rPr>
          <w:rFonts w:ascii="Times New Roman" w:eastAsia="Times New Roman"/>
          <w:spacing w:val="-1"/>
          <w:w w:val="110"/>
        </w:rPr>
        <w:t>0</w:t>
      </w:r>
      <w:r>
        <w:rPr>
          <w:rFonts w:ascii="Times New Roman" w:eastAsia="Times New Roman"/>
          <w:spacing w:val="2"/>
          <w:w w:val="82"/>
        </w:rPr>
        <w:t>.</w:t>
      </w:r>
      <w:r>
        <w:rPr>
          <w:rFonts w:ascii="Times New Roman" w:eastAsia="Times New Roman"/>
          <w:spacing w:val="-1"/>
          <w:w w:val="110"/>
        </w:rPr>
        <w:t>09</w:t>
      </w:r>
      <w:r>
        <w:rPr>
          <w:rFonts w:ascii="Times New Roman" w:eastAsia="Times New Roman"/>
          <w:w w:val="110"/>
        </w:rPr>
        <w:t>2</w:t>
      </w:r>
      <w:r>
        <w:rPr>
          <w:rFonts w:ascii="Times New Roman" w:eastAsia="Times New Roman"/>
          <w:spacing w:val="-9"/>
        </w:rPr>
        <w:t> </w:t>
      </w:r>
      <w:r>
        <w:rPr>
          <w:rFonts w:ascii="Times New Roman" w:eastAsia="Times New Roman"/>
          <w:spacing w:val="1"/>
          <w:w w:val="76"/>
        </w:rPr>
        <w:t>𝑍</w:t>
      </w:r>
      <w:r>
        <w:rPr>
          <w:rFonts w:ascii="Times New Roman" w:eastAsia="Times New Roman"/>
          <w:spacing w:val="-1"/>
          <w:w w:val="81"/>
        </w:rPr>
        <w:t>𝑅</w:t>
      </w:r>
      <w:r>
        <w:rPr>
          <w:rFonts w:ascii="Times New Roman" w:eastAsia="Times New Roman"/>
          <w:w w:val="52"/>
        </w:rPr>
        <w:t>𝑖𝑒</w:t>
      </w:r>
      <w:r>
        <w:rPr>
          <w:rFonts w:ascii="Times New Roman" w:eastAsia="Times New Roman"/>
          <w:w w:val="59"/>
        </w:rPr>
        <w:t>𝑠</w:t>
      </w:r>
      <w:r>
        <w:rPr>
          <w:rFonts w:ascii="Times New Roman" w:eastAsia="Times New Roman"/>
          <w:spacing w:val="1"/>
          <w:w w:val="78"/>
        </w:rPr>
        <w:t>𝑔</w:t>
      </w:r>
      <w:r>
        <w:rPr>
          <w:rFonts w:ascii="Times New Roman" w:eastAsia="Times New Roman"/>
          <w:spacing w:val="-8"/>
          <w:w w:val="68"/>
        </w:rPr>
        <w:t>𝑜</w:t>
      </w:r>
      <w:r>
        <w:rPr>
          <w:rFonts w:ascii="Times New Roman" w:eastAsia="Times New Roman"/>
          <w:w w:val="55"/>
          <w:vertAlign w:val="subscript"/>
        </w:rPr>
        <w:t>𝑗</w:t>
      </w:r>
      <w:r>
        <w:rPr>
          <w:rFonts w:ascii="Times New Roman" w:eastAsia="Times New Roman"/>
          <w:spacing w:val="-21"/>
          <w:vertAlign w:val="baseline"/>
        </w:rPr>
        <w:t> </w:t>
      </w:r>
      <w:r>
        <w:rPr>
          <w:rFonts w:ascii="Times New Roman" w:eastAsia="Times New Roman"/>
          <w:w w:val="114"/>
          <w:vertAlign w:val="subscript"/>
        </w:rPr>
        <w:t>(</w:t>
      </w:r>
      <w:r>
        <w:rPr>
          <w:rFonts w:ascii="Times New Roman" w:eastAsia="Times New Roman"/>
          <w:spacing w:val="3"/>
          <w:w w:val="41"/>
          <w:vertAlign w:val="subscript"/>
        </w:rPr>
        <w:t>𝑖</w:t>
      </w:r>
      <w:r>
        <w:rPr>
          <w:rFonts w:ascii="Times New Roman" w:eastAsia="Times New Roman"/>
          <w:w w:val="114"/>
          <w:vertAlign w:val="subscript"/>
        </w:rPr>
        <w:t>)</w:t>
      </w:r>
      <w:r>
        <w:rPr>
          <w:rFonts w:ascii="Times New Roman" w:eastAsia="Times New Roman"/>
          <w:vertAlign w:val="baseline"/>
        </w:rPr>
        <w:t> </w:t>
      </w:r>
      <w:r>
        <w:rPr>
          <w:rFonts w:ascii="Times New Roman" w:eastAsia="Times New Roman"/>
          <w:w w:val="132"/>
          <w:vertAlign w:val="baseline"/>
        </w:rPr>
        <w:t>+</w:t>
      </w:r>
      <w:r>
        <w:rPr>
          <w:rFonts w:ascii="Times New Roman" w:eastAsia="Times New Roman"/>
          <w:spacing w:val="-8"/>
          <w:vertAlign w:val="baseline"/>
        </w:rPr>
        <w:t> </w:t>
      </w:r>
      <w:r>
        <w:rPr>
          <w:rFonts w:ascii="Times New Roman" w:eastAsia="Times New Roman"/>
          <w:spacing w:val="3"/>
          <w:w w:val="110"/>
          <w:vertAlign w:val="baseline"/>
        </w:rPr>
        <w:t>0</w:t>
      </w:r>
      <w:r>
        <w:rPr>
          <w:rFonts w:ascii="Times New Roman" w:eastAsia="Times New Roman"/>
          <w:spacing w:val="-2"/>
          <w:w w:val="82"/>
          <w:vertAlign w:val="baseline"/>
        </w:rPr>
        <w:t>.</w:t>
      </w:r>
      <w:r>
        <w:rPr>
          <w:rFonts w:ascii="Times New Roman" w:eastAsia="Times New Roman"/>
          <w:spacing w:val="-1"/>
          <w:w w:val="110"/>
          <w:vertAlign w:val="baseline"/>
        </w:rPr>
        <w:t>09</w:t>
      </w:r>
      <w:r>
        <w:rPr>
          <w:rFonts w:ascii="Times New Roman" w:eastAsia="Times New Roman"/>
          <w:w w:val="110"/>
          <w:vertAlign w:val="baseline"/>
        </w:rPr>
        <w:t>8</w:t>
      </w:r>
      <w:r>
        <w:rPr>
          <w:rFonts w:ascii="Times New Roman" w:eastAsia="Times New Roman"/>
          <w:spacing w:val="-5"/>
          <w:vertAlign w:val="baseline"/>
        </w:rPr>
        <w:t> </w:t>
      </w:r>
      <w:r>
        <w:rPr>
          <w:rFonts w:ascii="Times New Roman" w:eastAsia="Times New Roman"/>
          <w:spacing w:val="1"/>
          <w:w w:val="80"/>
          <w:vertAlign w:val="baseline"/>
        </w:rPr>
        <w:t>𝑉</w:t>
      </w:r>
      <w:r>
        <w:rPr>
          <w:rFonts w:ascii="Times New Roman" w:eastAsia="Times New Roman"/>
          <w:w w:val="50"/>
          <w:vertAlign w:val="baseline"/>
        </w:rPr>
        <w:t>𝑖𝑠</w:t>
      </w:r>
      <w:r>
        <w:rPr>
          <w:rFonts w:ascii="Times New Roman" w:eastAsia="Times New Roman"/>
          <w:spacing w:val="1"/>
          <w:w w:val="50"/>
          <w:vertAlign w:val="baseline"/>
        </w:rPr>
        <w:t>𝑡</w:t>
      </w:r>
      <w:r>
        <w:rPr>
          <w:rFonts w:ascii="Times New Roman" w:eastAsia="Times New Roman"/>
          <w:spacing w:val="-2"/>
          <w:w w:val="71"/>
          <w:vertAlign w:val="baseline"/>
        </w:rPr>
        <w:t>𝑎</w:t>
      </w:r>
      <w:r>
        <w:rPr>
          <w:rFonts w:ascii="Times New Roman" w:eastAsia="Times New Roman"/>
          <w:w w:val="68"/>
          <w:vertAlign w:val="baseline"/>
        </w:rPr>
        <w:t>𝐿</w:t>
      </w:r>
      <w:r>
        <w:rPr>
          <w:rFonts w:ascii="Times New Roman" w:eastAsia="Times New Roman"/>
          <w:spacing w:val="-34"/>
          <w:w w:val="76"/>
          <w:vertAlign w:val="baseline"/>
        </w:rPr>
        <w:t>𝐶</w:t>
      </w:r>
      <w:r>
        <w:rPr>
          <w:rFonts w:ascii="Times New Roman" w:eastAsia="Times New Roman"/>
          <w:w w:val="55"/>
          <w:vertAlign w:val="subscript"/>
        </w:rPr>
        <w:t>𝑗</w:t>
      </w:r>
      <w:r>
        <w:rPr>
          <w:rFonts w:ascii="Times New Roman" w:eastAsia="Times New Roman"/>
          <w:spacing w:val="-21"/>
          <w:vertAlign w:val="baseline"/>
        </w:rPr>
        <w:t> </w:t>
      </w:r>
      <w:r>
        <w:rPr>
          <w:rFonts w:ascii="Times New Roman" w:eastAsia="Times New Roman"/>
          <w:w w:val="114"/>
          <w:vertAlign w:val="subscript"/>
        </w:rPr>
        <w:t>(</w:t>
      </w:r>
      <w:r>
        <w:rPr>
          <w:rFonts w:ascii="Times New Roman" w:eastAsia="Times New Roman"/>
          <w:spacing w:val="3"/>
          <w:w w:val="41"/>
          <w:vertAlign w:val="subscript"/>
        </w:rPr>
        <w:t>𝑖</w:t>
      </w:r>
      <w:r>
        <w:rPr>
          <w:rFonts w:ascii="Times New Roman" w:eastAsia="Times New Roman"/>
          <w:w w:val="114"/>
          <w:vertAlign w:val="subscript"/>
        </w:rPr>
        <w:t>)</w:t>
      </w:r>
      <w:r>
        <w:rPr>
          <w:rFonts w:ascii="Times New Roman" w:eastAsia="Times New Roman"/>
          <w:vertAlign w:val="baseline"/>
        </w:rPr>
        <w:t> </w:t>
      </w:r>
      <w:r>
        <w:rPr>
          <w:rFonts w:ascii="Times New Roman" w:eastAsia="Times New Roman"/>
          <w:w w:val="132"/>
          <w:vertAlign w:val="baseline"/>
        </w:rPr>
        <w:t>+</w:t>
      </w:r>
      <w:r>
        <w:rPr>
          <w:rFonts w:ascii="Times New Roman" w:eastAsia="Times New Roman"/>
          <w:spacing w:val="-4"/>
          <w:vertAlign w:val="baseline"/>
        </w:rPr>
        <w:t> </w:t>
      </w:r>
      <w:r>
        <w:rPr>
          <w:rFonts w:ascii="Times New Roman" w:eastAsia="Times New Roman"/>
          <w:spacing w:val="6"/>
          <w:w w:val="58"/>
          <w:vertAlign w:val="baseline"/>
        </w:rPr>
        <w:t>𝜀</w:t>
      </w:r>
      <w:r>
        <w:rPr>
          <w:rFonts w:ascii="Times New Roman" w:eastAsia="Times New Roman"/>
          <w:w w:val="82"/>
          <w:vertAlign w:val="baseline"/>
        </w:rPr>
        <w:t>.</w:t>
      </w:r>
    </w:p>
    <w:p>
      <w:pPr>
        <w:pStyle w:val="BodyText"/>
        <w:spacing w:line="360" w:lineRule="auto" w:before="175"/>
        <w:ind w:left="1040" w:right="1033"/>
        <w:jc w:val="both"/>
      </w:pPr>
      <w:r>
        <w:rPr/>
        <w:t>Con</w:t>
      </w:r>
      <w:r>
        <w:rPr>
          <w:spacing w:val="-8"/>
        </w:rPr>
        <w:t> </w:t>
      </w:r>
      <w:r>
        <w:rPr/>
        <w:t>base</w:t>
      </w:r>
      <w:r>
        <w:rPr>
          <w:spacing w:val="-7"/>
        </w:rPr>
        <w:t> </w:t>
      </w:r>
      <w:r>
        <w:rPr/>
        <w:t>en</w:t>
      </w:r>
      <w:r>
        <w:rPr>
          <w:spacing w:val="-8"/>
        </w:rPr>
        <w:t> </w:t>
      </w:r>
      <w:r>
        <w:rPr/>
        <w:t>esta</w:t>
      </w:r>
      <w:r>
        <w:rPr>
          <w:spacing w:val="-3"/>
        </w:rPr>
        <w:t> </w:t>
      </w:r>
      <w:r>
        <w:rPr/>
        <w:t>ecuación</w:t>
      </w:r>
      <w:r>
        <w:rPr>
          <w:spacing w:val="-7"/>
        </w:rPr>
        <w:t> </w:t>
      </w:r>
      <w:r>
        <w:rPr/>
        <w:t>se</w:t>
      </w:r>
      <w:r>
        <w:rPr>
          <w:spacing w:val="-8"/>
        </w:rPr>
        <w:t> </w:t>
      </w:r>
      <w:r>
        <w:rPr/>
        <w:t>estima</w:t>
      </w:r>
      <w:r>
        <w:rPr>
          <w:spacing w:val="-3"/>
        </w:rPr>
        <w:t> </w:t>
      </w:r>
      <w:r>
        <w:rPr/>
        <w:t>la</w:t>
      </w:r>
      <w:r>
        <w:rPr>
          <w:spacing w:val="-8"/>
        </w:rPr>
        <w:t> </w:t>
      </w:r>
      <w:r>
        <w:rPr/>
        <w:t>diferencia</w:t>
      </w:r>
      <w:r>
        <w:rPr>
          <w:spacing w:val="-7"/>
        </w:rPr>
        <w:t> </w:t>
      </w:r>
      <w:r>
        <w:rPr/>
        <w:t>en</w:t>
      </w:r>
      <w:r>
        <w:rPr>
          <w:spacing w:val="-7"/>
        </w:rPr>
        <w:t> </w:t>
      </w:r>
      <w:r>
        <w:rPr/>
        <w:t>el</w:t>
      </w:r>
      <w:r>
        <w:rPr>
          <w:spacing w:val="-7"/>
        </w:rPr>
        <w:t> </w:t>
      </w:r>
      <w:r>
        <w:rPr/>
        <w:t>valor</w:t>
      </w:r>
      <w:r>
        <w:rPr>
          <w:spacing w:val="-1"/>
        </w:rPr>
        <w:t> </w:t>
      </w:r>
      <w:r>
        <w:rPr/>
        <w:t>que</w:t>
      </w:r>
      <w:r>
        <w:rPr>
          <w:spacing w:val="-4"/>
        </w:rPr>
        <w:t> </w:t>
      </w:r>
      <w:r>
        <w:rPr/>
        <w:t>implica</w:t>
      </w:r>
      <w:r>
        <w:rPr>
          <w:spacing w:val="-7"/>
        </w:rPr>
        <w:t> </w:t>
      </w:r>
      <w:r>
        <w:rPr/>
        <w:t>la</w:t>
      </w:r>
      <w:r>
        <w:rPr>
          <w:spacing w:val="-4"/>
        </w:rPr>
        <w:t> </w:t>
      </w:r>
      <w:r>
        <w:rPr/>
        <w:t>inclusión</w:t>
      </w:r>
      <w:r>
        <w:rPr>
          <w:spacing w:val="-3"/>
        </w:rPr>
        <w:t> </w:t>
      </w:r>
      <w:r>
        <w:rPr/>
        <w:t>en los</w:t>
      </w:r>
      <w:r>
        <w:rPr>
          <w:spacing w:val="-6"/>
        </w:rPr>
        <w:t> </w:t>
      </w:r>
      <w:r>
        <w:rPr/>
        <w:t>anuncios</w:t>
      </w:r>
      <w:r>
        <w:rPr>
          <w:spacing w:val="-5"/>
        </w:rPr>
        <w:t> </w:t>
      </w:r>
      <w:r>
        <w:rPr/>
        <w:t>de</w:t>
      </w:r>
      <w:r>
        <w:rPr>
          <w:spacing w:val="-8"/>
        </w:rPr>
        <w:t> </w:t>
      </w:r>
      <w:r>
        <w:rPr/>
        <w:t>la</w:t>
      </w:r>
      <w:r>
        <w:rPr>
          <w:spacing w:val="-7"/>
        </w:rPr>
        <w:t> </w:t>
      </w:r>
      <w:r>
        <w:rPr/>
        <w:t>Vista</w:t>
      </w:r>
      <w:r>
        <w:rPr>
          <w:spacing w:val="-7"/>
        </w:rPr>
        <w:t> </w:t>
      </w:r>
      <w:r>
        <w:rPr/>
        <w:t>a</w:t>
      </w:r>
      <w:r>
        <w:rPr>
          <w:spacing w:val="-7"/>
        </w:rPr>
        <w:t> </w:t>
      </w:r>
      <w:r>
        <w:rPr/>
        <w:t>la</w:t>
      </w:r>
      <w:r>
        <w:rPr>
          <w:spacing w:val="-8"/>
        </w:rPr>
        <w:t> </w:t>
      </w:r>
      <w:r>
        <w:rPr/>
        <w:t>ZPLC,</w:t>
      </w:r>
      <w:r>
        <w:rPr>
          <w:spacing w:val="-4"/>
        </w:rPr>
        <w:t> </w:t>
      </w:r>
      <w:r>
        <w:rPr/>
        <w:t>conforme</w:t>
      </w:r>
      <w:r>
        <w:rPr>
          <w:spacing w:val="-7"/>
        </w:rPr>
        <w:t> </w:t>
      </w:r>
      <w:r>
        <w:rPr/>
        <w:t>lo</w:t>
      </w:r>
      <w:r>
        <w:rPr>
          <w:spacing w:val="-7"/>
        </w:rPr>
        <w:t> </w:t>
      </w:r>
      <w:r>
        <w:rPr/>
        <w:t>presenta</w:t>
      </w:r>
      <w:r>
        <w:rPr>
          <w:spacing w:val="-1"/>
        </w:rPr>
        <w:t> </w:t>
      </w:r>
      <w:r>
        <w:rPr/>
        <w:t>el</w:t>
      </w:r>
      <w:r>
        <w:rPr>
          <w:spacing w:val="-7"/>
        </w:rPr>
        <w:t> </w:t>
      </w:r>
      <w:r>
        <w:rPr/>
        <w:t>Cuadro</w:t>
      </w:r>
      <w:r>
        <w:rPr>
          <w:spacing w:val="-2"/>
        </w:rPr>
        <w:t> </w:t>
      </w:r>
      <w:r>
        <w:rPr/>
        <w:t>20.</w:t>
      </w:r>
      <w:r>
        <w:rPr>
          <w:spacing w:val="-5"/>
        </w:rPr>
        <w:t> </w:t>
      </w:r>
      <w:r>
        <w:rPr/>
        <w:t>La</w:t>
      </w:r>
      <w:r>
        <w:rPr>
          <w:spacing w:val="-7"/>
        </w:rPr>
        <w:t> </w:t>
      </w:r>
      <w:r>
        <w:rPr/>
        <w:t>estimación</w:t>
      </w:r>
      <w:r>
        <w:rPr>
          <w:spacing w:val="-7"/>
        </w:rPr>
        <w:t> </w:t>
      </w:r>
      <w:r>
        <w:rPr/>
        <w:t>se realizó</w:t>
      </w:r>
      <w:r>
        <w:rPr>
          <w:spacing w:val="-12"/>
        </w:rPr>
        <w:t> </w:t>
      </w:r>
      <w:r>
        <w:rPr/>
        <w:t>basada</w:t>
      </w:r>
      <w:r>
        <w:rPr>
          <w:spacing w:val="-11"/>
        </w:rPr>
        <w:t> </w:t>
      </w:r>
      <w:r>
        <w:rPr/>
        <w:t>en</w:t>
      </w:r>
      <w:r>
        <w:rPr>
          <w:spacing w:val="-7"/>
        </w:rPr>
        <w:t> </w:t>
      </w:r>
      <w:r>
        <w:rPr/>
        <w:t>los</w:t>
      </w:r>
      <w:r>
        <w:rPr>
          <w:spacing w:val="-9"/>
        </w:rPr>
        <w:t> </w:t>
      </w:r>
      <w:r>
        <w:rPr/>
        <w:t>promedios</w:t>
      </w:r>
      <w:r>
        <w:rPr>
          <w:spacing w:val="-6"/>
        </w:rPr>
        <w:t> </w:t>
      </w:r>
      <w:r>
        <w:rPr/>
        <w:t>de</w:t>
      </w:r>
      <w:r>
        <w:rPr>
          <w:spacing w:val="-11"/>
        </w:rPr>
        <w:t> </w:t>
      </w:r>
      <w:r>
        <w:rPr/>
        <w:t>las</w:t>
      </w:r>
      <w:r>
        <w:rPr>
          <w:spacing w:val="-9"/>
        </w:rPr>
        <w:t> </w:t>
      </w:r>
      <w:r>
        <w:rPr/>
        <w:t>variables</w:t>
      </w:r>
      <w:r>
        <w:rPr>
          <w:spacing w:val="-10"/>
        </w:rPr>
        <w:t> </w:t>
      </w:r>
      <w:r>
        <w:rPr/>
        <w:t>independientes</w:t>
      </w:r>
      <w:r>
        <w:rPr>
          <w:spacing w:val="-5"/>
        </w:rPr>
        <w:t> </w:t>
      </w:r>
      <w:r>
        <w:rPr/>
        <w:t>y</w:t>
      </w:r>
      <w:r>
        <w:rPr>
          <w:spacing w:val="-13"/>
        </w:rPr>
        <w:t> </w:t>
      </w:r>
      <w:r>
        <w:rPr/>
        <w:t>tomando</w:t>
      </w:r>
      <w:r>
        <w:rPr>
          <w:spacing w:val="-7"/>
        </w:rPr>
        <w:t> </w:t>
      </w:r>
      <w:r>
        <w:rPr/>
        <w:t>en</w:t>
      </w:r>
      <w:r>
        <w:rPr>
          <w:spacing w:val="-12"/>
        </w:rPr>
        <w:t> </w:t>
      </w:r>
      <w:r>
        <w:rPr/>
        <w:t>cuenta</w:t>
      </w:r>
      <w:r>
        <w:rPr>
          <w:spacing w:val="-7"/>
        </w:rPr>
        <w:t> </w:t>
      </w:r>
      <w:r>
        <w:rPr/>
        <w:t>la posibilidad de que se tratase de un condominio o de una casa y de que el inmueble se encuentre o no en las zonas de</w:t>
      </w:r>
      <w:r>
        <w:rPr>
          <w:spacing w:val="-1"/>
        </w:rPr>
        <w:t> </w:t>
      </w:r>
      <w:r>
        <w:rPr/>
        <w:t>riesgo.</w:t>
      </w:r>
    </w:p>
    <w:p>
      <w:pPr>
        <w:spacing w:line="240" w:lineRule="auto" w:before="196"/>
        <w:ind w:left="1100" w:right="1099" w:firstLine="0"/>
        <w:jc w:val="center"/>
        <w:rPr>
          <w:i/>
          <w:sz w:val="20"/>
        </w:rPr>
      </w:pPr>
      <w:bookmarkStart w:name="_bookmark54" w:id="74"/>
      <w:bookmarkEnd w:id="74"/>
      <w:r>
        <w:rPr/>
      </w:r>
      <w:r>
        <w:rPr>
          <w:i/>
          <w:sz w:val="20"/>
        </w:rPr>
        <w:t>Cuadro 20- Diferencias en la Estimación del Precio de las Casas y Condominios en las Zonas Deudoras </w:t>
      </w:r>
      <w:r>
        <w:rPr>
          <w:i/>
          <w:sz w:val="20"/>
        </w:rPr>
        <w:t>en Relación a la Vista a la ZPLC de Conformidad con la Muestra Realizada y el Modelo de Estimación Seleccionado.</w:t>
      </w:r>
    </w:p>
    <w:p>
      <w:pPr>
        <w:spacing w:before="3"/>
        <w:ind w:left="1100" w:right="1098" w:firstLine="0"/>
        <w:jc w:val="center"/>
        <w:rPr>
          <w:i/>
          <w:sz w:val="20"/>
        </w:rPr>
      </w:pPr>
      <w:r>
        <w:rPr>
          <w:i/>
          <w:sz w:val="20"/>
        </w:rPr>
        <w:t>Fuente: Elaboración propia.</w:t>
      </w:r>
    </w:p>
    <w:p>
      <w:pPr>
        <w:pStyle w:val="BodyText"/>
        <w:spacing w:before="10"/>
        <w:rPr>
          <w:i/>
          <w:sz w:val="27"/>
        </w:rPr>
      </w:pPr>
    </w:p>
    <w:tbl>
      <w:tblPr>
        <w:tblW w:w="0" w:type="auto"/>
        <w:jc w:val="left"/>
        <w:tblInd w:w="15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803"/>
        <w:gridCol w:w="1439"/>
        <w:gridCol w:w="1552"/>
        <w:gridCol w:w="1529"/>
      </w:tblGrid>
      <w:tr>
        <w:trPr>
          <w:trHeight w:val="341" w:hRule="atLeast"/>
        </w:trPr>
        <w:tc>
          <w:tcPr>
            <w:tcW w:w="3803" w:type="dxa"/>
            <w:tcBorders>
              <w:bottom w:val="single" w:sz="24" w:space="0" w:color="000000"/>
            </w:tcBorders>
          </w:tcPr>
          <w:p>
            <w:pPr>
              <w:pStyle w:val="TableParagraph"/>
              <w:spacing w:line="223" w:lineRule="exact" w:before="0"/>
              <w:ind w:left="108"/>
              <w:jc w:val="left"/>
              <w:rPr>
                <w:sz w:val="20"/>
              </w:rPr>
            </w:pPr>
            <w:r>
              <w:rPr>
                <w:sz w:val="20"/>
              </w:rPr>
              <w:t>Escenario</w:t>
            </w:r>
          </w:p>
        </w:tc>
        <w:tc>
          <w:tcPr>
            <w:tcW w:w="1439" w:type="dxa"/>
            <w:tcBorders>
              <w:bottom w:val="single" w:sz="24" w:space="0" w:color="000000"/>
            </w:tcBorders>
          </w:tcPr>
          <w:p>
            <w:pPr>
              <w:pStyle w:val="TableParagraph"/>
              <w:spacing w:line="223" w:lineRule="exact" w:before="0"/>
              <w:ind w:left="106"/>
              <w:jc w:val="left"/>
              <w:rPr>
                <w:sz w:val="20"/>
              </w:rPr>
            </w:pPr>
            <w:r>
              <w:rPr>
                <w:sz w:val="20"/>
              </w:rPr>
              <w:t>VistaLC = 1</w:t>
            </w:r>
          </w:p>
        </w:tc>
        <w:tc>
          <w:tcPr>
            <w:tcW w:w="1552" w:type="dxa"/>
            <w:tcBorders>
              <w:bottom w:val="single" w:sz="24" w:space="0" w:color="000000"/>
            </w:tcBorders>
          </w:tcPr>
          <w:p>
            <w:pPr>
              <w:pStyle w:val="TableParagraph"/>
              <w:spacing w:line="223" w:lineRule="exact" w:before="0"/>
              <w:ind w:left="220"/>
              <w:jc w:val="left"/>
              <w:rPr>
                <w:sz w:val="20"/>
              </w:rPr>
            </w:pPr>
            <w:r>
              <w:rPr>
                <w:sz w:val="20"/>
              </w:rPr>
              <w:t>VistaLC = 0</w:t>
            </w:r>
          </w:p>
        </w:tc>
        <w:tc>
          <w:tcPr>
            <w:tcW w:w="1529" w:type="dxa"/>
            <w:tcBorders>
              <w:bottom w:val="single" w:sz="24" w:space="0" w:color="000000"/>
            </w:tcBorders>
          </w:tcPr>
          <w:p>
            <w:pPr>
              <w:pStyle w:val="TableParagraph"/>
              <w:spacing w:line="223" w:lineRule="exact" w:before="0"/>
              <w:ind w:left="220"/>
              <w:jc w:val="left"/>
              <w:rPr>
                <w:sz w:val="20"/>
              </w:rPr>
            </w:pPr>
            <w:r>
              <w:rPr>
                <w:sz w:val="20"/>
              </w:rPr>
              <w:t>Diferencia</w:t>
            </w:r>
          </w:p>
        </w:tc>
      </w:tr>
      <w:tr>
        <w:trPr>
          <w:trHeight w:val="343" w:hRule="atLeast"/>
        </w:trPr>
        <w:tc>
          <w:tcPr>
            <w:tcW w:w="3803" w:type="dxa"/>
            <w:tcBorders>
              <w:top w:val="single" w:sz="24" w:space="0" w:color="000000"/>
              <w:right w:val="single" w:sz="8" w:space="0" w:color="000000"/>
            </w:tcBorders>
          </w:tcPr>
          <w:p>
            <w:pPr>
              <w:pStyle w:val="TableParagraph"/>
              <w:spacing w:line="226" w:lineRule="exact" w:before="0"/>
              <w:ind w:left="108"/>
              <w:jc w:val="left"/>
              <w:rPr>
                <w:sz w:val="20"/>
              </w:rPr>
            </w:pPr>
            <w:r>
              <w:rPr>
                <w:sz w:val="20"/>
              </w:rPr>
              <w:t>Casa fuera de zona de riesgo</w:t>
            </w:r>
          </w:p>
        </w:tc>
        <w:tc>
          <w:tcPr>
            <w:tcW w:w="1439" w:type="dxa"/>
            <w:tcBorders>
              <w:top w:val="single" w:sz="24" w:space="0" w:color="000000"/>
              <w:left w:val="single" w:sz="8" w:space="0" w:color="000000"/>
            </w:tcBorders>
            <w:shd w:val="clear" w:color="auto" w:fill="C0C0C0"/>
          </w:tcPr>
          <w:p>
            <w:pPr>
              <w:pStyle w:val="TableParagraph"/>
              <w:spacing w:line="226" w:lineRule="exact" w:before="0"/>
              <w:ind w:left="96"/>
              <w:jc w:val="left"/>
              <w:rPr>
                <w:sz w:val="20"/>
              </w:rPr>
            </w:pPr>
            <w:r>
              <w:rPr>
                <w:sz w:val="20"/>
              </w:rPr>
              <w:t>$337,425.49</w:t>
            </w:r>
          </w:p>
        </w:tc>
        <w:tc>
          <w:tcPr>
            <w:tcW w:w="1552" w:type="dxa"/>
            <w:tcBorders>
              <w:top w:val="single" w:sz="24" w:space="0" w:color="000000"/>
            </w:tcBorders>
            <w:shd w:val="clear" w:color="auto" w:fill="C0C0C0"/>
          </w:tcPr>
          <w:p>
            <w:pPr>
              <w:pStyle w:val="TableParagraph"/>
              <w:spacing w:line="226" w:lineRule="exact" w:before="0"/>
              <w:ind w:left="220"/>
              <w:jc w:val="left"/>
              <w:rPr>
                <w:sz w:val="20"/>
              </w:rPr>
            </w:pPr>
            <w:r>
              <w:rPr>
                <w:sz w:val="20"/>
              </w:rPr>
              <w:t>$305,926.45</w:t>
            </w:r>
          </w:p>
        </w:tc>
        <w:tc>
          <w:tcPr>
            <w:tcW w:w="1529" w:type="dxa"/>
            <w:tcBorders>
              <w:top w:val="single" w:sz="24" w:space="0" w:color="000000"/>
              <w:right w:val="single" w:sz="8" w:space="0" w:color="000000"/>
            </w:tcBorders>
            <w:shd w:val="clear" w:color="auto" w:fill="C0C0C0"/>
          </w:tcPr>
          <w:p>
            <w:pPr>
              <w:pStyle w:val="TableParagraph"/>
              <w:spacing w:line="226" w:lineRule="exact" w:before="0"/>
              <w:ind w:left="220"/>
              <w:jc w:val="left"/>
              <w:rPr>
                <w:sz w:val="20"/>
              </w:rPr>
            </w:pPr>
            <w:r>
              <w:rPr>
                <w:sz w:val="20"/>
              </w:rPr>
              <w:t>$31,499.04</w:t>
            </w:r>
          </w:p>
        </w:tc>
      </w:tr>
      <w:tr>
        <w:trPr>
          <w:trHeight w:val="348" w:hRule="atLeast"/>
        </w:trPr>
        <w:tc>
          <w:tcPr>
            <w:tcW w:w="3803" w:type="dxa"/>
            <w:tcBorders>
              <w:right w:val="single" w:sz="8" w:space="0" w:color="000000"/>
            </w:tcBorders>
          </w:tcPr>
          <w:p>
            <w:pPr>
              <w:pStyle w:val="TableParagraph"/>
              <w:spacing w:line="226" w:lineRule="exact" w:before="0"/>
              <w:ind w:left="108"/>
              <w:jc w:val="left"/>
              <w:rPr>
                <w:sz w:val="20"/>
              </w:rPr>
            </w:pPr>
            <w:r>
              <w:rPr>
                <w:sz w:val="20"/>
              </w:rPr>
              <w:t>Condominio fuera de zona de riesgo</w:t>
            </w:r>
          </w:p>
        </w:tc>
        <w:tc>
          <w:tcPr>
            <w:tcW w:w="1439" w:type="dxa"/>
            <w:tcBorders>
              <w:left w:val="single" w:sz="8" w:space="0" w:color="000000"/>
            </w:tcBorders>
          </w:tcPr>
          <w:p>
            <w:pPr>
              <w:pStyle w:val="TableParagraph"/>
              <w:spacing w:line="226" w:lineRule="exact" w:before="0"/>
              <w:ind w:left="96"/>
              <w:jc w:val="left"/>
              <w:rPr>
                <w:sz w:val="20"/>
              </w:rPr>
            </w:pPr>
            <w:r>
              <w:rPr>
                <w:sz w:val="20"/>
              </w:rPr>
              <w:t>$298,015.27</w:t>
            </w:r>
          </w:p>
        </w:tc>
        <w:tc>
          <w:tcPr>
            <w:tcW w:w="1552" w:type="dxa"/>
          </w:tcPr>
          <w:p>
            <w:pPr>
              <w:pStyle w:val="TableParagraph"/>
              <w:spacing w:line="226" w:lineRule="exact" w:before="0"/>
              <w:ind w:left="220"/>
              <w:jc w:val="left"/>
              <w:rPr>
                <w:sz w:val="20"/>
              </w:rPr>
            </w:pPr>
            <w:r>
              <w:rPr>
                <w:sz w:val="20"/>
              </w:rPr>
              <w:t>$270,168.20</w:t>
            </w:r>
          </w:p>
        </w:tc>
        <w:tc>
          <w:tcPr>
            <w:tcW w:w="1529" w:type="dxa"/>
            <w:tcBorders>
              <w:right w:val="single" w:sz="8" w:space="0" w:color="000000"/>
            </w:tcBorders>
          </w:tcPr>
          <w:p>
            <w:pPr>
              <w:pStyle w:val="TableParagraph"/>
              <w:spacing w:line="226" w:lineRule="exact" w:before="0"/>
              <w:ind w:left="220"/>
              <w:jc w:val="left"/>
              <w:rPr>
                <w:sz w:val="20"/>
              </w:rPr>
            </w:pPr>
            <w:r>
              <w:rPr>
                <w:sz w:val="20"/>
              </w:rPr>
              <w:t>$27,847.07</w:t>
            </w:r>
          </w:p>
        </w:tc>
      </w:tr>
      <w:tr>
        <w:trPr>
          <w:trHeight w:val="343" w:hRule="atLeast"/>
        </w:trPr>
        <w:tc>
          <w:tcPr>
            <w:tcW w:w="3803" w:type="dxa"/>
            <w:tcBorders>
              <w:right w:val="single" w:sz="8" w:space="0" w:color="000000"/>
            </w:tcBorders>
          </w:tcPr>
          <w:p>
            <w:pPr>
              <w:pStyle w:val="TableParagraph"/>
              <w:spacing w:line="226" w:lineRule="exact" w:before="0"/>
              <w:ind w:left="108"/>
              <w:jc w:val="left"/>
              <w:rPr>
                <w:sz w:val="20"/>
              </w:rPr>
            </w:pPr>
            <w:r>
              <w:rPr>
                <w:sz w:val="20"/>
              </w:rPr>
              <w:t>Casa en zona de riesgo</w:t>
            </w:r>
          </w:p>
        </w:tc>
        <w:tc>
          <w:tcPr>
            <w:tcW w:w="1439" w:type="dxa"/>
            <w:tcBorders>
              <w:left w:val="single" w:sz="8" w:space="0" w:color="000000"/>
            </w:tcBorders>
            <w:shd w:val="clear" w:color="auto" w:fill="C0C0C0"/>
          </w:tcPr>
          <w:p>
            <w:pPr>
              <w:pStyle w:val="TableParagraph"/>
              <w:spacing w:line="226" w:lineRule="exact" w:before="0"/>
              <w:ind w:left="96"/>
              <w:jc w:val="left"/>
              <w:rPr>
                <w:sz w:val="20"/>
              </w:rPr>
            </w:pPr>
            <w:r>
              <w:rPr>
                <w:sz w:val="20"/>
              </w:rPr>
              <w:t>$307,644.45</w:t>
            </w:r>
          </w:p>
        </w:tc>
        <w:tc>
          <w:tcPr>
            <w:tcW w:w="1552" w:type="dxa"/>
            <w:shd w:val="clear" w:color="auto" w:fill="C0C0C0"/>
          </w:tcPr>
          <w:p>
            <w:pPr>
              <w:pStyle w:val="TableParagraph"/>
              <w:spacing w:line="226" w:lineRule="exact" w:before="0"/>
              <w:ind w:left="220"/>
              <w:jc w:val="left"/>
              <w:rPr>
                <w:sz w:val="20"/>
              </w:rPr>
            </w:pPr>
            <w:r>
              <w:rPr>
                <w:sz w:val="20"/>
              </w:rPr>
              <w:t>$278,925.50</w:t>
            </w:r>
          </w:p>
        </w:tc>
        <w:tc>
          <w:tcPr>
            <w:tcW w:w="1529" w:type="dxa"/>
            <w:tcBorders>
              <w:right w:val="single" w:sz="8" w:space="0" w:color="000000"/>
            </w:tcBorders>
            <w:shd w:val="clear" w:color="auto" w:fill="C0C0C0"/>
          </w:tcPr>
          <w:p>
            <w:pPr>
              <w:pStyle w:val="TableParagraph"/>
              <w:spacing w:line="226" w:lineRule="exact" w:before="0"/>
              <w:ind w:left="220"/>
              <w:jc w:val="left"/>
              <w:rPr>
                <w:sz w:val="20"/>
              </w:rPr>
            </w:pPr>
            <w:r>
              <w:rPr>
                <w:sz w:val="20"/>
              </w:rPr>
              <w:t>$28,718.95</w:t>
            </w:r>
          </w:p>
        </w:tc>
      </w:tr>
      <w:tr>
        <w:trPr>
          <w:trHeight w:val="344" w:hRule="atLeast"/>
        </w:trPr>
        <w:tc>
          <w:tcPr>
            <w:tcW w:w="3803" w:type="dxa"/>
            <w:tcBorders>
              <w:right w:val="single" w:sz="8" w:space="0" w:color="000000"/>
            </w:tcBorders>
          </w:tcPr>
          <w:p>
            <w:pPr>
              <w:pStyle w:val="TableParagraph"/>
              <w:spacing w:line="226" w:lineRule="exact" w:before="0"/>
              <w:ind w:left="108"/>
              <w:jc w:val="left"/>
              <w:rPr>
                <w:sz w:val="20"/>
              </w:rPr>
            </w:pPr>
            <w:r>
              <w:rPr>
                <w:sz w:val="20"/>
              </w:rPr>
              <w:t>Condominio en zona de riesgo</w:t>
            </w:r>
          </w:p>
        </w:tc>
        <w:tc>
          <w:tcPr>
            <w:tcW w:w="1439" w:type="dxa"/>
            <w:tcBorders>
              <w:left w:val="single" w:sz="8" w:space="0" w:color="000000"/>
            </w:tcBorders>
          </w:tcPr>
          <w:p>
            <w:pPr>
              <w:pStyle w:val="TableParagraph"/>
              <w:spacing w:line="226" w:lineRule="exact" w:before="0"/>
              <w:ind w:left="96"/>
              <w:jc w:val="left"/>
              <w:rPr>
                <w:sz w:val="20"/>
              </w:rPr>
            </w:pPr>
            <w:r>
              <w:rPr>
                <w:sz w:val="20"/>
              </w:rPr>
              <w:t>$271,712.55</w:t>
            </w:r>
          </w:p>
        </w:tc>
        <w:tc>
          <w:tcPr>
            <w:tcW w:w="1552" w:type="dxa"/>
          </w:tcPr>
          <w:p>
            <w:pPr>
              <w:pStyle w:val="TableParagraph"/>
              <w:spacing w:line="226" w:lineRule="exact" w:before="0"/>
              <w:ind w:left="220"/>
              <w:jc w:val="left"/>
              <w:rPr>
                <w:sz w:val="20"/>
              </w:rPr>
            </w:pPr>
            <w:r>
              <w:rPr>
                <w:sz w:val="20"/>
              </w:rPr>
              <w:t>$246,323.26</w:t>
            </w:r>
          </w:p>
        </w:tc>
        <w:tc>
          <w:tcPr>
            <w:tcW w:w="1529" w:type="dxa"/>
            <w:tcBorders>
              <w:right w:val="single" w:sz="8" w:space="0" w:color="000000"/>
            </w:tcBorders>
          </w:tcPr>
          <w:p>
            <w:pPr>
              <w:pStyle w:val="TableParagraph"/>
              <w:spacing w:line="226" w:lineRule="exact" w:before="0"/>
              <w:ind w:left="220"/>
              <w:jc w:val="left"/>
              <w:rPr>
                <w:sz w:val="20"/>
              </w:rPr>
            </w:pPr>
            <w:r>
              <w:rPr>
                <w:sz w:val="20"/>
              </w:rPr>
              <w:t>$25,389.30</w:t>
            </w:r>
          </w:p>
        </w:tc>
      </w:tr>
      <w:tr>
        <w:trPr>
          <w:trHeight w:val="344" w:hRule="atLeast"/>
        </w:trPr>
        <w:tc>
          <w:tcPr>
            <w:tcW w:w="3803" w:type="dxa"/>
            <w:tcBorders>
              <w:right w:val="single" w:sz="8" w:space="0" w:color="000000"/>
            </w:tcBorders>
          </w:tcPr>
          <w:p>
            <w:pPr>
              <w:pStyle w:val="TableParagraph"/>
              <w:spacing w:line="227" w:lineRule="exact" w:before="0"/>
              <w:ind w:left="108"/>
              <w:jc w:val="left"/>
              <w:rPr>
                <w:sz w:val="20"/>
              </w:rPr>
            </w:pPr>
            <w:r>
              <w:rPr>
                <w:sz w:val="20"/>
              </w:rPr>
              <w:t>Promedio</w:t>
            </w:r>
          </w:p>
        </w:tc>
        <w:tc>
          <w:tcPr>
            <w:tcW w:w="4520" w:type="dxa"/>
            <w:gridSpan w:val="3"/>
            <w:tcBorders>
              <w:left w:val="single" w:sz="8" w:space="0" w:color="000000"/>
              <w:right w:val="single" w:sz="8" w:space="0" w:color="000000"/>
            </w:tcBorders>
            <w:shd w:val="clear" w:color="auto" w:fill="C0C0C0"/>
          </w:tcPr>
          <w:p>
            <w:pPr>
              <w:pStyle w:val="TableParagraph"/>
              <w:spacing w:line="227" w:lineRule="exact" w:before="0"/>
              <w:ind w:right="294"/>
              <w:rPr>
                <w:sz w:val="20"/>
              </w:rPr>
            </w:pPr>
            <w:r>
              <w:rPr>
                <w:sz w:val="20"/>
              </w:rPr>
              <w:t>$28,363.59</w:t>
            </w:r>
          </w:p>
        </w:tc>
      </w:tr>
    </w:tbl>
    <w:p>
      <w:pPr>
        <w:spacing w:after="0" w:line="227" w:lineRule="exact"/>
        <w:rPr>
          <w:sz w:val="20"/>
        </w:rPr>
        <w:sectPr>
          <w:pgSz w:w="12240" w:h="15840"/>
          <w:pgMar w:header="0" w:footer="982" w:top="1360" w:bottom="1260" w:left="400" w:right="400"/>
        </w:sectPr>
      </w:pPr>
    </w:p>
    <w:p>
      <w:pPr>
        <w:pStyle w:val="BodyText"/>
        <w:spacing w:line="360" w:lineRule="auto" w:before="79"/>
        <w:ind w:left="1040" w:right="1037"/>
        <w:jc w:val="both"/>
      </w:pPr>
      <w:r>
        <w:rPr/>
        <w:t>De conformidad con este resultado, se observa que, según el modelo seleccionado, la diferencia promedio estimada que determina el servicio de vista no remunerado en la ZPLC es de $28,363.59 por inmueble. Tomando en cuenta que el tamaño promedio de construcción</w:t>
      </w:r>
      <w:r>
        <w:rPr>
          <w:spacing w:val="-21"/>
        </w:rPr>
        <w:t> </w:t>
      </w:r>
      <w:r>
        <w:rPr/>
        <w:t>en</w:t>
      </w:r>
      <w:r>
        <w:rPr>
          <w:spacing w:val="-19"/>
        </w:rPr>
        <w:t> </w:t>
      </w:r>
      <w:r>
        <w:rPr/>
        <w:t>los</w:t>
      </w:r>
      <w:r>
        <w:rPr>
          <w:spacing w:val="-14"/>
        </w:rPr>
        <w:t> </w:t>
      </w:r>
      <w:r>
        <w:rPr/>
        <w:t>inmuebles</w:t>
      </w:r>
      <w:r>
        <w:rPr>
          <w:spacing w:val="-18"/>
        </w:rPr>
        <w:t> </w:t>
      </w:r>
      <w:r>
        <w:rPr/>
        <w:t>es</w:t>
      </w:r>
      <w:r>
        <w:rPr>
          <w:spacing w:val="-15"/>
        </w:rPr>
        <w:t> </w:t>
      </w:r>
      <w:r>
        <w:rPr/>
        <w:t>de</w:t>
      </w:r>
      <w:r>
        <w:rPr>
          <w:spacing w:val="-20"/>
        </w:rPr>
        <w:t> </w:t>
      </w:r>
      <w:r>
        <w:rPr/>
        <w:t>306.28</w:t>
      </w:r>
      <w:r>
        <w:rPr>
          <w:spacing w:val="-16"/>
        </w:rPr>
        <w:t> </w:t>
      </w:r>
      <w:r>
        <w:rPr/>
        <w:t>metros</w:t>
      </w:r>
      <w:r>
        <w:rPr>
          <w:spacing w:val="-32"/>
        </w:rPr>
        <w:t> </w:t>
      </w:r>
      <w:r>
        <w:rPr/>
        <w:t>cuadrados,</w:t>
      </w:r>
      <w:r>
        <w:rPr>
          <w:spacing w:val="-17"/>
        </w:rPr>
        <w:t> </w:t>
      </w:r>
      <w:r>
        <w:rPr/>
        <w:t>ello</w:t>
      </w:r>
      <w:r>
        <w:rPr>
          <w:spacing w:val="-20"/>
        </w:rPr>
        <w:t> </w:t>
      </w:r>
      <w:r>
        <w:rPr/>
        <w:t>implica</w:t>
      </w:r>
      <w:r>
        <w:rPr>
          <w:spacing w:val="-17"/>
        </w:rPr>
        <w:t> </w:t>
      </w:r>
      <w:r>
        <w:rPr/>
        <w:t>una</w:t>
      </w:r>
      <w:r>
        <w:rPr>
          <w:spacing w:val="-20"/>
        </w:rPr>
        <w:t> </w:t>
      </w:r>
      <w:r>
        <w:rPr/>
        <w:t>diferencia de</w:t>
      </w:r>
      <w:r>
        <w:rPr>
          <w:spacing w:val="40"/>
        </w:rPr>
        <w:t> </w:t>
      </w:r>
      <w:r>
        <w:rPr/>
        <w:t>$92.61</w:t>
      </w:r>
      <w:r>
        <w:rPr>
          <w:spacing w:val="41"/>
        </w:rPr>
        <w:t> </w:t>
      </w:r>
      <w:r>
        <w:rPr/>
        <w:t>por</w:t>
      </w:r>
      <w:r>
        <w:rPr>
          <w:spacing w:val="45"/>
        </w:rPr>
        <w:t> </w:t>
      </w:r>
      <w:r>
        <w:rPr/>
        <w:t>metro</w:t>
      </w:r>
      <w:r>
        <w:rPr>
          <w:spacing w:val="40"/>
        </w:rPr>
        <w:t> </w:t>
      </w:r>
      <w:r>
        <w:rPr/>
        <w:t>cuadrado</w:t>
      </w:r>
      <w:r>
        <w:rPr>
          <w:spacing w:val="41"/>
        </w:rPr>
        <w:t> </w:t>
      </w:r>
      <w:r>
        <w:rPr/>
        <w:t>de</w:t>
      </w:r>
      <w:r>
        <w:rPr>
          <w:spacing w:val="40"/>
        </w:rPr>
        <w:t> </w:t>
      </w:r>
      <w:r>
        <w:rPr/>
        <w:t>construcción.</w:t>
      </w:r>
      <w:r>
        <w:rPr>
          <w:spacing w:val="48"/>
        </w:rPr>
        <w:t> </w:t>
      </w:r>
      <w:r>
        <w:rPr/>
        <w:t>Con</w:t>
      </w:r>
      <w:r>
        <w:rPr>
          <w:spacing w:val="40"/>
        </w:rPr>
        <w:t> </w:t>
      </w:r>
      <w:r>
        <w:rPr/>
        <w:t>base</w:t>
      </w:r>
      <w:r>
        <w:rPr>
          <w:spacing w:val="41"/>
        </w:rPr>
        <w:t> </w:t>
      </w:r>
      <w:r>
        <w:rPr/>
        <w:t>en</w:t>
      </w:r>
      <w:r>
        <w:rPr>
          <w:spacing w:val="40"/>
        </w:rPr>
        <w:t> </w:t>
      </w:r>
      <w:r>
        <w:rPr/>
        <w:t>un</w:t>
      </w:r>
      <w:r>
        <w:rPr>
          <w:spacing w:val="41"/>
        </w:rPr>
        <w:t> </w:t>
      </w:r>
      <w:r>
        <w:rPr/>
        <w:t>valor</w:t>
      </w:r>
      <w:r>
        <w:rPr>
          <w:spacing w:val="41"/>
        </w:rPr>
        <w:t> </w:t>
      </w:r>
      <w:r>
        <w:rPr/>
        <w:t>promedio</w:t>
      </w:r>
      <w:r>
        <w:rPr>
          <w:spacing w:val="41"/>
        </w:rPr>
        <w:t> </w:t>
      </w:r>
      <w:r>
        <w:rPr/>
        <w:t>de</w:t>
      </w:r>
    </w:p>
    <w:p>
      <w:pPr>
        <w:pStyle w:val="BodyText"/>
        <w:spacing w:line="362" w:lineRule="auto"/>
        <w:ind w:left="1040" w:right="1040"/>
        <w:jc w:val="both"/>
      </w:pPr>
      <w:r>
        <w:rPr/>
        <w:t>$354,484.03 y un valor promedio del metro de construcción de $1,151.57 por metro, el aporte del servicio de vista rondaría un 8% del valor promedio.</w:t>
      </w:r>
    </w:p>
    <w:p>
      <w:pPr>
        <w:pStyle w:val="Heading2"/>
        <w:numPr>
          <w:ilvl w:val="0"/>
          <w:numId w:val="8"/>
        </w:numPr>
        <w:tabs>
          <w:tab w:pos="1761" w:val="left" w:leader="none"/>
        </w:tabs>
        <w:spacing w:line="362" w:lineRule="auto" w:before="229" w:after="0"/>
        <w:ind w:left="1040" w:right="1029" w:firstLine="0"/>
        <w:jc w:val="both"/>
      </w:pPr>
      <w:bookmarkStart w:name="_bookmark55" w:id="75"/>
      <w:bookmarkEnd w:id="75"/>
      <w:r>
        <w:rPr>
          <w:b w:val="0"/>
        </w:rPr>
      </w:r>
      <w:bookmarkStart w:name="_bookmark55" w:id="76"/>
      <w:bookmarkEnd w:id="76"/>
      <w:r>
        <w:rPr/>
        <w:t>T</w:t>
      </w:r>
      <w:r>
        <w:rPr/>
        <w:t>aller</w:t>
      </w:r>
      <w:r>
        <w:rPr>
          <w:spacing w:val="-16"/>
        </w:rPr>
        <w:t> </w:t>
      </w:r>
      <w:r>
        <w:rPr/>
        <w:t>de</w:t>
      </w:r>
      <w:r>
        <w:rPr>
          <w:spacing w:val="-16"/>
        </w:rPr>
        <w:t> </w:t>
      </w:r>
      <w:r>
        <w:rPr/>
        <w:t>Presentación</w:t>
      </w:r>
      <w:r>
        <w:rPr>
          <w:spacing w:val="-13"/>
        </w:rPr>
        <w:t> </w:t>
      </w:r>
      <w:r>
        <w:rPr/>
        <w:t>a</w:t>
      </w:r>
      <w:r>
        <w:rPr>
          <w:spacing w:val="-12"/>
        </w:rPr>
        <w:t> </w:t>
      </w:r>
      <w:r>
        <w:rPr/>
        <w:t>Actores</w:t>
      </w:r>
      <w:r>
        <w:rPr>
          <w:spacing w:val="-16"/>
        </w:rPr>
        <w:t> </w:t>
      </w:r>
      <w:r>
        <w:rPr/>
        <w:t>Comunales</w:t>
      </w:r>
      <w:r>
        <w:rPr>
          <w:spacing w:val="-16"/>
        </w:rPr>
        <w:t> </w:t>
      </w:r>
      <w:r>
        <w:rPr/>
        <w:t>y</w:t>
      </w:r>
      <w:r>
        <w:rPr>
          <w:spacing w:val="-19"/>
        </w:rPr>
        <w:t> </w:t>
      </w:r>
      <w:r>
        <w:rPr/>
        <w:t>Planteamiento</w:t>
      </w:r>
      <w:r>
        <w:rPr>
          <w:spacing w:val="-13"/>
        </w:rPr>
        <w:t> </w:t>
      </w:r>
      <w:r>
        <w:rPr/>
        <w:t>del</w:t>
      </w:r>
      <w:r>
        <w:rPr>
          <w:spacing w:val="-13"/>
        </w:rPr>
        <w:t> </w:t>
      </w:r>
      <w:r>
        <w:rPr/>
        <w:t>Proceso</w:t>
      </w:r>
      <w:r>
        <w:rPr>
          <w:spacing w:val="-8"/>
        </w:rPr>
        <w:t> </w:t>
      </w:r>
      <w:r>
        <w:rPr/>
        <w:t>de Consulta Multicriterial de Alternativas de</w:t>
      </w:r>
      <w:r>
        <w:rPr>
          <w:spacing w:val="-2"/>
        </w:rPr>
        <w:t> </w:t>
      </w:r>
      <w:r>
        <w:rPr/>
        <w:t>Política.</w:t>
      </w:r>
    </w:p>
    <w:p>
      <w:pPr>
        <w:pStyle w:val="BodyText"/>
        <w:spacing w:line="360" w:lineRule="auto" w:before="199"/>
        <w:ind w:left="1040" w:right="1034"/>
        <w:jc w:val="both"/>
      </w:pPr>
      <w:r>
        <w:rPr/>
        <w:t>Los</w:t>
      </w:r>
      <w:r>
        <w:rPr>
          <w:spacing w:val="-19"/>
        </w:rPr>
        <w:t> </w:t>
      </w:r>
      <w:r>
        <w:rPr/>
        <w:t>resultados</w:t>
      </w:r>
      <w:r>
        <w:rPr>
          <w:spacing w:val="-19"/>
        </w:rPr>
        <w:t> </w:t>
      </w:r>
      <w:r>
        <w:rPr/>
        <w:t>de</w:t>
      </w:r>
      <w:r>
        <w:rPr>
          <w:spacing w:val="-20"/>
        </w:rPr>
        <w:t> </w:t>
      </w:r>
      <w:r>
        <w:rPr/>
        <w:t>la</w:t>
      </w:r>
      <w:r>
        <w:rPr>
          <w:spacing w:val="-21"/>
        </w:rPr>
        <w:t> </w:t>
      </w:r>
      <w:r>
        <w:rPr/>
        <w:t>situación</w:t>
      </w:r>
      <w:r>
        <w:rPr>
          <w:spacing w:val="-20"/>
        </w:rPr>
        <w:t> </w:t>
      </w:r>
      <w:r>
        <w:rPr/>
        <w:t>fáctica,</w:t>
      </w:r>
      <w:r>
        <w:rPr>
          <w:spacing w:val="-18"/>
        </w:rPr>
        <w:t> </w:t>
      </w:r>
      <w:r>
        <w:rPr/>
        <w:t>el</w:t>
      </w:r>
      <w:r>
        <w:rPr>
          <w:spacing w:val="-19"/>
        </w:rPr>
        <w:t> </w:t>
      </w:r>
      <w:r>
        <w:rPr/>
        <w:t>modelo</w:t>
      </w:r>
      <w:r>
        <w:rPr>
          <w:spacing w:val="-21"/>
        </w:rPr>
        <w:t> </w:t>
      </w:r>
      <w:r>
        <w:rPr/>
        <w:t>teórico</w:t>
      </w:r>
      <w:r>
        <w:rPr>
          <w:spacing w:val="-20"/>
        </w:rPr>
        <w:t> </w:t>
      </w:r>
      <w:r>
        <w:rPr/>
        <w:t>de</w:t>
      </w:r>
      <w:r>
        <w:rPr>
          <w:spacing w:val="-17"/>
        </w:rPr>
        <w:t> </w:t>
      </w:r>
      <w:r>
        <w:rPr/>
        <w:t>Deuda</w:t>
      </w:r>
      <w:r>
        <w:rPr>
          <w:spacing w:val="-20"/>
        </w:rPr>
        <w:t> </w:t>
      </w:r>
      <w:r>
        <w:rPr/>
        <w:t>Ecológica</w:t>
      </w:r>
      <w:r>
        <w:rPr>
          <w:spacing w:val="-20"/>
        </w:rPr>
        <w:t> </w:t>
      </w:r>
      <w:r>
        <w:rPr/>
        <w:t>desarrollado, la</w:t>
      </w:r>
      <w:r>
        <w:rPr>
          <w:spacing w:val="-13"/>
        </w:rPr>
        <w:t> </w:t>
      </w:r>
      <w:r>
        <w:rPr/>
        <w:t>estimación</w:t>
      </w:r>
      <w:r>
        <w:rPr>
          <w:spacing w:val="-13"/>
        </w:rPr>
        <w:t> </w:t>
      </w:r>
      <w:r>
        <w:rPr/>
        <w:t>comparativa</w:t>
      </w:r>
      <w:r>
        <w:rPr>
          <w:spacing w:val="-13"/>
        </w:rPr>
        <w:t> </w:t>
      </w:r>
      <w:r>
        <w:rPr/>
        <w:t>de</w:t>
      </w:r>
      <w:r>
        <w:rPr>
          <w:spacing w:val="-13"/>
        </w:rPr>
        <w:t> </w:t>
      </w:r>
      <w:r>
        <w:rPr/>
        <w:t>las</w:t>
      </w:r>
      <w:r>
        <w:rPr>
          <w:spacing w:val="-12"/>
        </w:rPr>
        <w:t> </w:t>
      </w:r>
      <w:r>
        <w:rPr/>
        <w:t>huellas</w:t>
      </w:r>
      <w:r>
        <w:rPr>
          <w:spacing w:val="-11"/>
        </w:rPr>
        <w:t> </w:t>
      </w:r>
      <w:r>
        <w:rPr/>
        <w:t>ecológicas</w:t>
      </w:r>
      <w:r>
        <w:rPr>
          <w:spacing w:val="-7"/>
        </w:rPr>
        <w:t> </w:t>
      </w:r>
      <w:r>
        <w:rPr/>
        <w:t>y</w:t>
      </w:r>
      <w:r>
        <w:rPr>
          <w:spacing w:val="-15"/>
        </w:rPr>
        <w:t> </w:t>
      </w:r>
      <w:r>
        <w:rPr/>
        <w:t>valores</w:t>
      </w:r>
      <w:r>
        <w:rPr>
          <w:spacing w:val="-11"/>
        </w:rPr>
        <w:t> </w:t>
      </w:r>
      <w:r>
        <w:rPr/>
        <w:t>fiscales</w:t>
      </w:r>
      <w:r>
        <w:rPr>
          <w:spacing w:val="-8"/>
        </w:rPr>
        <w:t> </w:t>
      </w:r>
      <w:r>
        <w:rPr/>
        <w:t>y</w:t>
      </w:r>
      <w:r>
        <w:rPr>
          <w:spacing w:val="-14"/>
        </w:rPr>
        <w:t> </w:t>
      </w:r>
      <w:r>
        <w:rPr/>
        <w:t>los</w:t>
      </w:r>
      <w:r>
        <w:rPr>
          <w:spacing w:val="-12"/>
        </w:rPr>
        <w:t> </w:t>
      </w:r>
      <w:r>
        <w:rPr/>
        <w:t>resultados</w:t>
      </w:r>
      <w:r>
        <w:rPr>
          <w:spacing w:val="-11"/>
        </w:rPr>
        <w:t> </w:t>
      </w:r>
      <w:r>
        <w:rPr/>
        <w:t>de la</w:t>
      </w:r>
      <w:r>
        <w:rPr>
          <w:spacing w:val="-8"/>
        </w:rPr>
        <w:t> </w:t>
      </w:r>
      <w:r>
        <w:rPr/>
        <w:t>estimación</w:t>
      </w:r>
      <w:r>
        <w:rPr>
          <w:spacing w:val="-7"/>
        </w:rPr>
        <w:t> </w:t>
      </w:r>
      <w:r>
        <w:rPr/>
        <w:t>del</w:t>
      </w:r>
      <w:r>
        <w:rPr>
          <w:spacing w:val="-6"/>
        </w:rPr>
        <w:t> </w:t>
      </w:r>
      <w:r>
        <w:rPr/>
        <w:t>valor</w:t>
      </w:r>
      <w:r>
        <w:rPr>
          <w:spacing w:val="-1"/>
        </w:rPr>
        <w:t> </w:t>
      </w:r>
      <w:r>
        <w:rPr/>
        <w:t>monetario</w:t>
      </w:r>
      <w:r>
        <w:rPr>
          <w:spacing w:val="-7"/>
        </w:rPr>
        <w:t> </w:t>
      </w:r>
      <w:r>
        <w:rPr/>
        <w:t>del</w:t>
      </w:r>
      <w:r>
        <w:rPr>
          <w:spacing w:val="-6"/>
        </w:rPr>
        <w:t> </w:t>
      </w:r>
      <w:r>
        <w:rPr/>
        <w:t>servicio</w:t>
      </w:r>
      <w:r>
        <w:rPr>
          <w:spacing w:val="-7"/>
        </w:rPr>
        <w:t> </w:t>
      </w:r>
      <w:r>
        <w:rPr/>
        <w:t>de</w:t>
      </w:r>
      <w:r>
        <w:rPr>
          <w:spacing w:val="-7"/>
        </w:rPr>
        <w:t> </w:t>
      </w:r>
      <w:r>
        <w:rPr/>
        <w:t>vista</w:t>
      </w:r>
      <w:r>
        <w:rPr>
          <w:spacing w:val="-7"/>
        </w:rPr>
        <w:t> </w:t>
      </w:r>
      <w:r>
        <w:rPr/>
        <w:t>fueron</w:t>
      </w:r>
      <w:r>
        <w:rPr>
          <w:spacing w:val="-7"/>
        </w:rPr>
        <w:t> </w:t>
      </w:r>
      <w:r>
        <w:rPr/>
        <w:t>presentados</w:t>
      </w:r>
      <w:r>
        <w:rPr>
          <w:spacing w:val="-1"/>
        </w:rPr>
        <w:t> </w:t>
      </w:r>
      <w:r>
        <w:rPr/>
        <w:t>en</w:t>
      </w:r>
      <w:r>
        <w:rPr>
          <w:spacing w:val="-3"/>
        </w:rPr>
        <w:t> </w:t>
      </w:r>
      <w:r>
        <w:rPr/>
        <w:t>un</w:t>
      </w:r>
      <w:r>
        <w:rPr>
          <w:spacing w:val="-7"/>
        </w:rPr>
        <w:t> </w:t>
      </w:r>
      <w:r>
        <w:rPr/>
        <w:t>taller</w:t>
      </w:r>
      <w:r>
        <w:rPr>
          <w:spacing w:val="-5"/>
        </w:rPr>
        <w:t> </w:t>
      </w:r>
      <w:r>
        <w:rPr/>
        <w:t>de actores comunales. Se logró una participación de 11 actores clave de organizaciones relevantes. Con el fin de conocer sus percepciones sobre los resultados y su nivel de comprensión del valor (en un sentido de lenguaje </w:t>
      </w:r>
      <w:r>
        <w:rPr>
          <w:spacing w:val="-2"/>
        </w:rPr>
        <w:t>más </w:t>
      </w:r>
      <w:r>
        <w:rPr/>
        <w:t>amplio que sólo el crematístico) de</w:t>
      </w:r>
      <w:r>
        <w:rPr>
          <w:spacing w:val="-9"/>
        </w:rPr>
        <w:t> </w:t>
      </w:r>
      <w:r>
        <w:rPr/>
        <w:t>los</w:t>
      </w:r>
      <w:r>
        <w:rPr>
          <w:spacing w:val="-6"/>
        </w:rPr>
        <w:t> </w:t>
      </w:r>
      <w:r>
        <w:rPr/>
        <w:t>servicios</w:t>
      </w:r>
      <w:r>
        <w:rPr>
          <w:spacing w:val="-6"/>
        </w:rPr>
        <w:t> </w:t>
      </w:r>
      <w:r>
        <w:rPr/>
        <w:t>ecosistémicos</w:t>
      </w:r>
      <w:r>
        <w:rPr>
          <w:spacing w:val="-7"/>
        </w:rPr>
        <w:t> </w:t>
      </w:r>
      <w:r>
        <w:rPr/>
        <w:t>de</w:t>
      </w:r>
      <w:r>
        <w:rPr>
          <w:spacing w:val="-8"/>
        </w:rPr>
        <w:t> </w:t>
      </w:r>
      <w:r>
        <w:rPr/>
        <w:t>la</w:t>
      </w:r>
      <w:r>
        <w:rPr>
          <w:spacing w:val="-8"/>
        </w:rPr>
        <w:t> </w:t>
      </w:r>
      <w:r>
        <w:rPr/>
        <w:t>ZPLC,</w:t>
      </w:r>
      <w:r>
        <w:rPr>
          <w:spacing w:val="-5"/>
        </w:rPr>
        <w:t> </w:t>
      </w:r>
      <w:r>
        <w:rPr/>
        <w:t>se</w:t>
      </w:r>
      <w:r>
        <w:rPr>
          <w:spacing w:val="-8"/>
        </w:rPr>
        <w:t> </w:t>
      </w:r>
      <w:r>
        <w:rPr/>
        <w:t>les</w:t>
      </w:r>
      <w:r>
        <w:rPr>
          <w:spacing w:val="-7"/>
        </w:rPr>
        <w:t> </w:t>
      </w:r>
      <w:r>
        <w:rPr/>
        <w:t>plantearon</w:t>
      </w:r>
      <w:r>
        <w:rPr>
          <w:spacing w:val="-8"/>
        </w:rPr>
        <w:t> </w:t>
      </w:r>
      <w:r>
        <w:rPr/>
        <w:t>cuatro</w:t>
      </w:r>
      <w:r>
        <w:rPr>
          <w:spacing w:val="-7"/>
        </w:rPr>
        <w:t> </w:t>
      </w:r>
      <w:r>
        <w:rPr/>
        <w:t>preguntas</w:t>
      </w:r>
      <w:r>
        <w:rPr>
          <w:spacing w:val="-6"/>
        </w:rPr>
        <w:t> </w:t>
      </w:r>
      <w:r>
        <w:rPr/>
        <w:t>(Anexo</w:t>
      </w:r>
      <w:r>
        <w:rPr>
          <w:spacing w:val="-8"/>
        </w:rPr>
        <w:t> </w:t>
      </w:r>
      <w:r>
        <w:rPr/>
        <w:t>6) en una herramienta con respuestas</w:t>
      </w:r>
      <w:r>
        <w:rPr>
          <w:spacing w:val="-5"/>
        </w:rPr>
        <w:t> </w:t>
      </w:r>
      <w:r>
        <w:rPr/>
        <w:t>anónimas.</w:t>
      </w:r>
    </w:p>
    <w:p>
      <w:pPr>
        <w:pStyle w:val="BodyText"/>
        <w:spacing w:line="360" w:lineRule="auto" w:before="201"/>
        <w:ind w:left="1040" w:right="1036"/>
        <w:jc w:val="both"/>
      </w:pPr>
      <w:r>
        <w:rPr/>
        <w:t>Respecto a la consulta de si como representantes de un grupo de actores que de una u otra forma dependen del manejo sostenible y la conservación de la ZPLC consideraban que el servicio de vista que provee la zona es importante, la presentación de resultados parece haber generado un consenso pues el 100% de los participantes estuvieron de acuerdo con el hecho del que el mismo es importante. En los comentarios recolectados se plantearon como razones el aumento en la plusvalía de las propiedades, la armonía con el medio ambiente y un mejor comportamiento social. Pueden verse los detalles de sus comentarios al final del Anexo 6.</w:t>
      </w:r>
    </w:p>
    <w:p>
      <w:pPr>
        <w:pStyle w:val="BodyText"/>
        <w:spacing w:line="360" w:lineRule="auto" w:before="201"/>
        <w:ind w:left="1040" w:right="1039"/>
        <w:jc w:val="both"/>
      </w:pPr>
      <w:r>
        <w:rPr/>
        <w:t>Respecto a la consulta de si consideraban que algún otro servicio ecosistémico era importante para el grupo de actores que representaron en el taller. Casi la mitad consideró solamente el servicio de vista. El 18% consideró que el servicio de agua</w:t>
      </w:r>
    </w:p>
    <w:p>
      <w:pPr>
        <w:spacing w:after="0" w:line="360" w:lineRule="auto"/>
        <w:jc w:val="both"/>
        <w:sectPr>
          <w:pgSz w:w="12240" w:h="15840"/>
          <w:pgMar w:header="0" w:footer="982" w:top="1360" w:bottom="1260" w:left="400" w:right="400"/>
        </w:sectPr>
      </w:pPr>
    </w:p>
    <w:p>
      <w:pPr>
        <w:pStyle w:val="BodyText"/>
        <w:spacing w:line="357" w:lineRule="auto" w:before="79"/>
        <w:ind w:left="1040" w:right="1035"/>
        <w:jc w:val="both"/>
      </w:pPr>
      <w:r>
        <w:rPr/>
        <w:t>potable también es importante. Un 36% de los actores no consideraron otros servicios adicionales.</w:t>
      </w:r>
    </w:p>
    <w:p>
      <w:pPr>
        <w:pStyle w:val="BodyText"/>
        <w:spacing w:line="360" w:lineRule="auto" w:before="206"/>
        <w:ind w:left="1040" w:right="1038"/>
        <w:jc w:val="both"/>
      </w:pPr>
      <w:r>
        <w:rPr/>
        <w:t>Respecto a su opinión sobre la posibilidad de mejorar la situación social de las comunidades</w:t>
      </w:r>
      <w:r>
        <w:rPr>
          <w:spacing w:val="-19"/>
        </w:rPr>
        <w:t> </w:t>
      </w:r>
      <w:r>
        <w:rPr/>
        <w:t>que</w:t>
      </w:r>
      <w:r>
        <w:rPr>
          <w:spacing w:val="-20"/>
        </w:rPr>
        <w:t> </w:t>
      </w:r>
      <w:r>
        <w:rPr/>
        <w:t>están</w:t>
      </w:r>
      <w:r>
        <w:rPr>
          <w:spacing w:val="-20"/>
        </w:rPr>
        <w:t> </w:t>
      </w:r>
      <w:r>
        <w:rPr/>
        <w:t>dentro</w:t>
      </w:r>
      <w:r>
        <w:rPr>
          <w:spacing w:val="-20"/>
        </w:rPr>
        <w:t> </w:t>
      </w:r>
      <w:r>
        <w:rPr/>
        <w:t>de</w:t>
      </w:r>
      <w:r>
        <w:rPr>
          <w:spacing w:val="-20"/>
        </w:rPr>
        <w:t> </w:t>
      </w:r>
      <w:r>
        <w:rPr/>
        <w:t>la</w:t>
      </w:r>
      <w:r>
        <w:rPr>
          <w:spacing w:val="-20"/>
        </w:rPr>
        <w:t> </w:t>
      </w:r>
      <w:r>
        <w:rPr/>
        <w:t>ZPLC</w:t>
      </w:r>
      <w:r>
        <w:rPr>
          <w:spacing w:val="-19"/>
        </w:rPr>
        <w:t> </w:t>
      </w:r>
      <w:r>
        <w:rPr/>
        <w:t>con</w:t>
      </w:r>
      <w:r>
        <w:rPr>
          <w:spacing w:val="-20"/>
        </w:rPr>
        <w:t> </w:t>
      </w:r>
      <w:r>
        <w:rPr/>
        <w:t>recursos</w:t>
      </w:r>
      <w:r>
        <w:rPr>
          <w:spacing w:val="-18"/>
        </w:rPr>
        <w:t> </w:t>
      </w:r>
      <w:r>
        <w:rPr/>
        <w:t>provenientes</w:t>
      </w:r>
      <w:r>
        <w:rPr>
          <w:spacing w:val="-18"/>
        </w:rPr>
        <w:t> </w:t>
      </w:r>
      <w:r>
        <w:rPr/>
        <w:t>del</w:t>
      </w:r>
      <w:r>
        <w:rPr>
          <w:spacing w:val="-19"/>
        </w:rPr>
        <w:t> </w:t>
      </w:r>
      <w:r>
        <w:rPr/>
        <w:t>valor</w:t>
      </w:r>
      <w:r>
        <w:rPr>
          <w:spacing w:val="-18"/>
        </w:rPr>
        <w:t> </w:t>
      </w:r>
      <w:r>
        <w:rPr/>
        <w:t>monetario del</w:t>
      </w:r>
      <w:r>
        <w:rPr>
          <w:spacing w:val="-8"/>
        </w:rPr>
        <w:t> </w:t>
      </w:r>
      <w:r>
        <w:rPr/>
        <w:t>servicio</w:t>
      </w:r>
      <w:r>
        <w:rPr>
          <w:spacing w:val="-9"/>
        </w:rPr>
        <w:t> </w:t>
      </w:r>
      <w:r>
        <w:rPr/>
        <w:t>de</w:t>
      </w:r>
      <w:r>
        <w:rPr>
          <w:spacing w:val="-8"/>
        </w:rPr>
        <w:t> </w:t>
      </w:r>
      <w:r>
        <w:rPr/>
        <w:t>vista</w:t>
      </w:r>
      <w:r>
        <w:rPr>
          <w:spacing w:val="-9"/>
        </w:rPr>
        <w:t> </w:t>
      </w:r>
      <w:r>
        <w:rPr/>
        <w:t>que</w:t>
      </w:r>
      <w:r>
        <w:rPr>
          <w:spacing w:val="-8"/>
        </w:rPr>
        <w:t> </w:t>
      </w:r>
      <w:r>
        <w:rPr/>
        <w:t>se</w:t>
      </w:r>
      <w:r>
        <w:rPr>
          <w:spacing w:val="-12"/>
        </w:rPr>
        <w:t> </w:t>
      </w:r>
      <w:r>
        <w:rPr/>
        <w:t>les</w:t>
      </w:r>
      <w:r>
        <w:rPr>
          <w:spacing w:val="-7"/>
        </w:rPr>
        <w:t> </w:t>
      </w:r>
      <w:r>
        <w:rPr/>
        <w:t>presentó,</w:t>
      </w:r>
      <w:r>
        <w:rPr>
          <w:spacing w:val="-6"/>
        </w:rPr>
        <w:t> </w:t>
      </w:r>
      <w:r>
        <w:rPr/>
        <w:t>el</w:t>
      </w:r>
      <w:r>
        <w:rPr>
          <w:spacing w:val="-7"/>
        </w:rPr>
        <w:t> </w:t>
      </w:r>
      <w:r>
        <w:rPr/>
        <w:t>90%</w:t>
      </w:r>
      <w:r>
        <w:rPr>
          <w:spacing w:val="-9"/>
        </w:rPr>
        <w:t> </w:t>
      </w:r>
      <w:r>
        <w:rPr/>
        <w:t>estuvo</w:t>
      </w:r>
      <w:r>
        <w:rPr>
          <w:spacing w:val="-8"/>
        </w:rPr>
        <w:t> </w:t>
      </w:r>
      <w:r>
        <w:rPr/>
        <w:t>de</w:t>
      </w:r>
      <w:r>
        <w:rPr>
          <w:spacing w:val="-8"/>
        </w:rPr>
        <w:t> </w:t>
      </w:r>
      <w:r>
        <w:rPr/>
        <w:t>acuerdo.</w:t>
      </w:r>
      <w:r>
        <w:rPr>
          <w:spacing w:val="-6"/>
        </w:rPr>
        <w:t> </w:t>
      </w:r>
      <w:r>
        <w:rPr/>
        <w:t>Este</w:t>
      </w:r>
      <w:r>
        <w:rPr>
          <w:spacing w:val="-8"/>
        </w:rPr>
        <w:t> </w:t>
      </w:r>
      <w:r>
        <w:rPr/>
        <w:t>grupo</w:t>
      </w:r>
      <w:r>
        <w:rPr>
          <w:spacing w:val="-9"/>
        </w:rPr>
        <w:t> </w:t>
      </w:r>
      <w:r>
        <w:rPr/>
        <w:t>comentó que se podrían tomar recursos económicos para poder capacitar a los vecinos de las comunidades en manejo ambiental, además de poner </w:t>
      </w:r>
      <w:r>
        <w:rPr>
          <w:spacing w:val="-2"/>
        </w:rPr>
        <w:t>más </w:t>
      </w:r>
      <w:r>
        <w:rPr/>
        <w:t>recursos en el tema de seguridad. El único participante que se expresó escéptico consideró que se requieren fuertes alianzas públicas para mejorar la situación social de las comunidades aledañas a la</w:t>
      </w:r>
      <w:r>
        <w:rPr>
          <w:spacing w:val="-3"/>
        </w:rPr>
        <w:t> </w:t>
      </w:r>
      <w:r>
        <w:rPr/>
        <w:t>ZPLC.</w:t>
      </w:r>
    </w:p>
    <w:p>
      <w:pPr>
        <w:pStyle w:val="BodyText"/>
        <w:spacing w:line="360" w:lineRule="auto" w:before="201"/>
        <w:ind w:left="1040" w:right="1039"/>
        <w:jc w:val="both"/>
      </w:pPr>
      <w:r>
        <w:rPr/>
        <w:t>Respecto a la consulta de si estarían de acuerdo en participar en un proceso de diálogo entre diferentes actores con el fin de explorar mecanismos por medio de los cuales se pueda identificar recursos provenientes de este servicio de vista que puedan orientarse no</w:t>
      </w:r>
      <w:r>
        <w:rPr>
          <w:spacing w:val="-13"/>
        </w:rPr>
        <w:t> </w:t>
      </w:r>
      <w:r>
        <w:rPr/>
        <w:t>solo</w:t>
      </w:r>
      <w:r>
        <w:rPr>
          <w:spacing w:val="-13"/>
        </w:rPr>
        <w:t> </w:t>
      </w:r>
      <w:r>
        <w:rPr/>
        <w:t>a</w:t>
      </w:r>
      <w:r>
        <w:rPr>
          <w:spacing w:val="-9"/>
        </w:rPr>
        <w:t> </w:t>
      </w:r>
      <w:r>
        <w:rPr/>
        <w:t>mejorar</w:t>
      </w:r>
      <w:r>
        <w:rPr>
          <w:spacing w:val="-10"/>
        </w:rPr>
        <w:t> </w:t>
      </w:r>
      <w:r>
        <w:rPr/>
        <w:t>las</w:t>
      </w:r>
      <w:r>
        <w:rPr>
          <w:spacing w:val="-11"/>
        </w:rPr>
        <w:t> </w:t>
      </w:r>
      <w:r>
        <w:rPr/>
        <w:t>condiciones</w:t>
      </w:r>
      <w:r>
        <w:rPr>
          <w:spacing w:val="-11"/>
        </w:rPr>
        <w:t> </w:t>
      </w:r>
      <w:r>
        <w:rPr/>
        <w:t>sociales</w:t>
      </w:r>
      <w:r>
        <w:rPr>
          <w:spacing w:val="-11"/>
        </w:rPr>
        <w:t> </w:t>
      </w:r>
      <w:r>
        <w:rPr/>
        <w:t>de</w:t>
      </w:r>
      <w:r>
        <w:rPr>
          <w:spacing w:val="-12"/>
        </w:rPr>
        <w:t> </w:t>
      </w:r>
      <w:r>
        <w:rPr/>
        <w:t>esas</w:t>
      </w:r>
      <w:r>
        <w:rPr>
          <w:spacing w:val="-11"/>
        </w:rPr>
        <w:t> </w:t>
      </w:r>
      <w:r>
        <w:rPr/>
        <w:t>comunidades,</w:t>
      </w:r>
      <w:r>
        <w:rPr>
          <w:spacing w:val="-10"/>
        </w:rPr>
        <w:t> </w:t>
      </w:r>
      <w:r>
        <w:rPr/>
        <w:t>sino</w:t>
      </w:r>
      <w:r>
        <w:rPr>
          <w:spacing w:val="-12"/>
        </w:rPr>
        <w:t> </w:t>
      </w:r>
      <w:r>
        <w:rPr/>
        <w:t>también</w:t>
      </w:r>
      <w:r>
        <w:rPr>
          <w:spacing w:val="-13"/>
        </w:rPr>
        <w:t> </w:t>
      </w:r>
      <w:r>
        <w:rPr/>
        <w:t>a</w:t>
      </w:r>
      <w:r>
        <w:rPr>
          <w:spacing w:val="-13"/>
        </w:rPr>
        <w:t> </w:t>
      </w:r>
      <w:r>
        <w:rPr/>
        <w:t>mejorar la conservación de la ZPLC, el resultado fue similar a la pregunta anterior (90% de disposición). Se expresaron favorables en el sentido de que lo harían por la importancia de</w:t>
      </w:r>
      <w:r>
        <w:rPr>
          <w:spacing w:val="-17"/>
        </w:rPr>
        <w:t> </w:t>
      </w:r>
      <w:r>
        <w:rPr/>
        <w:t>sensibilizar</w:t>
      </w:r>
      <w:r>
        <w:rPr>
          <w:spacing w:val="-15"/>
        </w:rPr>
        <w:t> </w:t>
      </w:r>
      <w:r>
        <w:rPr/>
        <w:t>a</w:t>
      </w:r>
      <w:r>
        <w:rPr>
          <w:spacing w:val="-13"/>
        </w:rPr>
        <w:t> </w:t>
      </w:r>
      <w:r>
        <w:rPr/>
        <w:t>diferentes</w:t>
      </w:r>
      <w:r>
        <w:rPr>
          <w:spacing w:val="-15"/>
        </w:rPr>
        <w:t> </w:t>
      </w:r>
      <w:r>
        <w:rPr/>
        <w:t>sectores</w:t>
      </w:r>
      <w:r>
        <w:rPr>
          <w:spacing w:val="-15"/>
        </w:rPr>
        <w:t> </w:t>
      </w:r>
      <w:r>
        <w:rPr/>
        <w:t>sociales,</w:t>
      </w:r>
      <w:r>
        <w:rPr>
          <w:spacing w:val="-14"/>
        </w:rPr>
        <w:t> </w:t>
      </w:r>
      <w:r>
        <w:rPr/>
        <w:t>así</w:t>
      </w:r>
      <w:r>
        <w:rPr>
          <w:spacing w:val="-14"/>
        </w:rPr>
        <w:t> </w:t>
      </w:r>
      <w:r>
        <w:rPr/>
        <w:t>como</w:t>
      </w:r>
      <w:r>
        <w:rPr>
          <w:spacing w:val="-16"/>
        </w:rPr>
        <w:t> </w:t>
      </w:r>
      <w:r>
        <w:rPr/>
        <w:t>a</w:t>
      </w:r>
      <w:r>
        <w:rPr>
          <w:spacing w:val="-14"/>
        </w:rPr>
        <w:t> </w:t>
      </w:r>
      <w:r>
        <w:rPr/>
        <w:t>los</w:t>
      </w:r>
      <w:r>
        <w:rPr>
          <w:spacing w:val="-14"/>
        </w:rPr>
        <w:t> </w:t>
      </w:r>
      <w:r>
        <w:rPr/>
        <w:t>vecinos</w:t>
      </w:r>
      <w:r>
        <w:rPr>
          <w:spacing w:val="-15"/>
        </w:rPr>
        <w:t> </w:t>
      </w:r>
      <w:r>
        <w:rPr/>
        <w:t>de</w:t>
      </w:r>
      <w:r>
        <w:rPr>
          <w:spacing w:val="-17"/>
        </w:rPr>
        <w:t> </w:t>
      </w:r>
      <w:r>
        <w:rPr/>
        <w:t>las</w:t>
      </w:r>
      <w:r>
        <w:rPr>
          <w:spacing w:val="-15"/>
        </w:rPr>
        <w:t> </w:t>
      </w:r>
      <w:r>
        <w:rPr/>
        <w:t>comunidades aledañas, integrando diferentes sectores al tema ambiental para la conservación de la ZPLC.</w:t>
      </w:r>
      <w:r>
        <w:rPr>
          <w:spacing w:val="-9"/>
        </w:rPr>
        <w:t> </w:t>
      </w:r>
      <w:r>
        <w:rPr/>
        <w:t>La</w:t>
      </w:r>
      <w:r>
        <w:rPr>
          <w:spacing w:val="-11"/>
        </w:rPr>
        <w:t> </w:t>
      </w:r>
      <w:r>
        <w:rPr/>
        <w:t>persona</w:t>
      </w:r>
      <w:r>
        <w:rPr>
          <w:spacing w:val="-7"/>
        </w:rPr>
        <w:t> </w:t>
      </w:r>
      <w:r>
        <w:rPr/>
        <w:t>que</w:t>
      </w:r>
      <w:r>
        <w:rPr>
          <w:spacing w:val="-12"/>
        </w:rPr>
        <w:t> </w:t>
      </w:r>
      <w:r>
        <w:rPr/>
        <w:t>se</w:t>
      </w:r>
      <w:r>
        <w:rPr>
          <w:spacing w:val="-7"/>
        </w:rPr>
        <w:t> </w:t>
      </w:r>
      <w:r>
        <w:rPr/>
        <w:t>mostró</w:t>
      </w:r>
      <w:r>
        <w:rPr>
          <w:spacing w:val="-11"/>
        </w:rPr>
        <w:t> </w:t>
      </w:r>
      <w:r>
        <w:rPr/>
        <w:t>escéptica</w:t>
      </w:r>
      <w:r>
        <w:rPr>
          <w:spacing w:val="-11"/>
        </w:rPr>
        <w:t> </w:t>
      </w:r>
      <w:r>
        <w:rPr/>
        <w:t>de</w:t>
      </w:r>
      <w:r>
        <w:rPr>
          <w:spacing w:val="-8"/>
        </w:rPr>
        <w:t> </w:t>
      </w:r>
      <w:r>
        <w:rPr/>
        <w:t>participar</w:t>
      </w:r>
      <w:r>
        <w:rPr>
          <w:spacing w:val="-9"/>
        </w:rPr>
        <w:t> </w:t>
      </w:r>
      <w:r>
        <w:rPr/>
        <w:t>indicó</w:t>
      </w:r>
      <w:r>
        <w:rPr>
          <w:spacing w:val="-11"/>
        </w:rPr>
        <w:t> </w:t>
      </w:r>
      <w:r>
        <w:rPr/>
        <w:t>que</w:t>
      </w:r>
      <w:r>
        <w:rPr>
          <w:spacing w:val="-12"/>
        </w:rPr>
        <w:t> </w:t>
      </w:r>
      <w:r>
        <w:rPr/>
        <w:t>si</w:t>
      </w:r>
      <w:r>
        <w:rPr>
          <w:spacing w:val="-10"/>
        </w:rPr>
        <w:t> </w:t>
      </w:r>
      <w:r>
        <w:rPr/>
        <w:t>en</w:t>
      </w:r>
      <w:r>
        <w:rPr>
          <w:spacing w:val="-11"/>
        </w:rPr>
        <w:t> </w:t>
      </w:r>
      <w:r>
        <w:rPr/>
        <w:t>algún</w:t>
      </w:r>
      <w:r>
        <w:rPr>
          <w:spacing w:val="-7"/>
        </w:rPr>
        <w:t> </w:t>
      </w:r>
      <w:r>
        <w:rPr/>
        <w:t>momento formaría parte de este dialogo sería hasta que los vecinos actuales de diferentes clases sociales, tanto la clase alta como la baja, estén de acuerdo en</w:t>
      </w:r>
      <w:r>
        <w:rPr>
          <w:spacing w:val="-14"/>
        </w:rPr>
        <w:t> </w:t>
      </w:r>
      <w:r>
        <w:rPr/>
        <w:t>conversar.</w:t>
      </w:r>
    </w:p>
    <w:p>
      <w:pPr>
        <w:pStyle w:val="BodyText"/>
        <w:spacing w:line="360" w:lineRule="auto" w:before="199"/>
        <w:ind w:left="1040" w:right="1039"/>
        <w:jc w:val="both"/>
      </w:pPr>
      <w:r>
        <w:rPr/>
        <w:t>Debe</w:t>
      </w:r>
      <w:r>
        <w:rPr>
          <w:spacing w:val="-13"/>
        </w:rPr>
        <w:t> </w:t>
      </w:r>
      <w:r>
        <w:rPr/>
        <w:t>recordarse</w:t>
      </w:r>
      <w:r>
        <w:rPr>
          <w:spacing w:val="-13"/>
        </w:rPr>
        <w:t> </w:t>
      </w:r>
      <w:r>
        <w:rPr/>
        <w:t>que,</w:t>
      </w:r>
      <w:r>
        <w:rPr>
          <w:spacing w:val="-11"/>
        </w:rPr>
        <w:t> </w:t>
      </w:r>
      <w:r>
        <w:rPr/>
        <w:t>conforme</w:t>
      </w:r>
      <w:r>
        <w:rPr>
          <w:spacing w:val="-12"/>
        </w:rPr>
        <w:t> </w:t>
      </w:r>
      <w:r>
        <w:rPr/>
        <w:t>se</w:t>
      </w:r>
      <w:r>
        <w:rPr>
          <w:spacing w:val="-13"/>
        </w:rPr>
        <w:t> </w:t>
      </w:r>
      <w:r>
        <w:rPr/>
        <w:t>dijo</w:t>
      </w:r>
      <w:r>
        <w:rPr>
          <w:spacing w:val="-13"/>
        </w:rPr>
        <w:t> </w:t>
      </w:r>
      <w:r>
        <w:rPr/>
        <w:t>antes,</w:t>
      </w:r>
      <w:r>
        <w:rPr>
          <w:spacing w:val="-9"/>
        </w:rPr>
        <w:t> </w:t>
      </w:r>
      <w:r>
        <w:rPr/>
        <w:t>por</w:t>
      </w:r>
      <w:r>
        <w:rPr>
          <w:spacing w:val="-11"/>
        </w:rPr>
        <w:t> </w:t>
      </w:r>
      <w:r>
        <w:rPr/>
        <w:t>cuestión</w:t>
      </w:r>
      <w:r>
        <w:rPr>
          <w:spacing w:val="-13"/>
        </w:rPr>
        <w:t> </w:t>
      </w:r>
      <w:r>
        <w:rPr/>
        <w:t>de</w:t>
      </w:r>
      <w:r>
        <w:rPr>
          <w:spacing w:val="-13"/>
        </w:rPr>
        <w:t> </w:t>
      </w:r>
      <w:r>
        <w:rPr/>
        <w:t>inmediatez</w:t>
      </w:r>
      <w:r>
        <w:rPr>
          <w:spacing w:val="-14"/>
        </w:rPr>
        <w:t> </w:t>
      </w:r>
      <w:r>
        <w:rPr/>
        <w:t>y</w:t>
      </w:r>
      <w:r>
        <w:rPr>
          <w:spacing w:val="-15"/>
        </w:rPr>
        <w:t> </w:t>
      </w:r>
      <w:r>
        <w:rPr/>
        <w:t>conocimiento de la problemática de la ZPLC no se invitaron representantes estrictamente de comunidades deudoras. Su participación se contempla como parte del proceso multicriterial</w:t>
      </w:r>
      <w:r>
        <w:rPr>
          <w:spacing w:val="-19"/>
        </w:rPr>
        <w:t> </w:t>
      </w:r>
      <w:r>
        <w:rPr/>
        <w:t>aquí</w:t>
      </w:r>
      <w:r>
        <w:rPr>
          <w:spacing w:val="-17"/>
        </w:rPr>
        <w:t> </w:t>
      </w:r>
      <w:r>
        <w:rPr/>
        <w:t>propuesto</w:t>
      </w:r>
      <w:r>
        <w:rPr>
          <w:spacing w:val="-20"/>
        </w:rPr>
        <w:t> </w:t>
      </w:r>
      <w:r>
        <w:rPr/>
        <w:t>e</w:t>
      </w:r>
      <w:r>
        <w:rPr>
          <w:spacing w:val="-19"/>
        </w:rPr>
        <w:t> </w:t>
      </w:r>
      <w:r>
        <w:rPr/>
        <w:t>implica</w:t>
      </w:r>
      <w:r>
        <w:rPr>
          <w:spacing w:val="-16"/>
        </w:rPr>
        <w:t> </w:t>
      </w:r>
      <w:r>
        <w:rPr/>
        <w:t>un</w:t>
      </w:r>
      <w:r>
        <w:rPr>
          <w:spacing w:val="-20"/>
        </w:rPr>
        <w:t> </w:t>
      </w:r>
      <w:r>
        <w:rPr/>
        <w:t>proceso</w:t>
      </w:r>
      <w:r>
        <w:rPr>
          <w:spacing w:val="-19"/>
        </w:rPr>
        <w:t> </w:t>
      </w:r>
      <w:r>
        <w:rPr/>
        <w:t>de</w:t>
      </w:r>
      <w:r>
        <w:rPr>
          <w:spacing w:val="-20"/>
        </w:rPr>
        <w:t> </w:t>
      </w:r>
      <w:r>
        <w:rPr/>
        <w:t>sensibilización</w:t>
      </w:r>
      <w:r>
        <w:rPr>
          <w:spacing w:val="-20"/>
        </w:rPr>
        <w:t> </w:t>
      </w:r>
      <w:r>
        <w:rPr/>
        <w:t>sobre</w:t>
      </w:r>
      <w:r>
        <w:rPr>
          <w:spacing w:val="-19"/>
        </w:rPr>
        <w:t> </w:t>
      </w:r>
      <w:r>
        <w:rPr/>
        <w:t>la</w:t>
      </w:r>
      <w:r>
        <w:rPr>
          <w:spacing w:val="-20"/>
        </w:rPr>
        <w:t> </w:t>
      </w:r>
      <w:r>
        <w:rPr/>
        <w:t>problemática en</w:t>
      </w:r>
      <w:r>
        <w:rPr>
          <w:spacing w:val="-2"/>
        </w:rPr>
        <w:t> </w:t>
      </w:r>
      <w:r>
        <w:rPr/>
        <w:t>examen.</w:t>
      </w:r>
    </w:p>
    <w:p>
      <w:pPr>
        <w:pStyle w:val="BodyText"/>
        <w:spacing w:line="360" w:lineRule="auto" w:before="203"/>
        <w:ind w:left="1040" w:right="1037"/>
        <w:jc w:val="both"/>
      </w:pPr>
      <w:r>
        <w:rPr/>
        <w:t>Con</w:t>
      </w:r>
      <w:r>
        <w:rPr>
          <w:spacing w:val="-9"/>
        </w:rPr>
        <w:t> </w:t>
      </w:r>
      <w:r>
        <w:rPr/>
        <w:t>estas</w:t>
      </w:r>
      <w:r>
        <w:rPr>
          <w:spacing w:val="-6"/>
        </w:rPr>
        <w:t> </w:t>
      </w:r>
      <w:r>
        <w:rPr/>
        <w:t>indicaciones</w:t>
      </w:r>
      <w:r>
        <w:rPr>
          <w:spacing w:val="-6"/>
        </w:rPr>
        <w:t> </w:t>
      </w:r>
      <w:r>
        <w:rPr/>
        <w:t>se</w:t>
      </w:r>
      <w:r>
        <w:rPr>
          <w:spacing w:val="-4"/>
        </w:rPr>
        <w:t> </w:t>
      </w:r>
      <w:r>
        <w:rPr/>
        <w:t>puede</w:t>
      </w:r>
      <w:r>
        <w:rPr>
          <w:spacing w:val="-6"/>
        </w:rPr>
        <w:t> </w:t>
      </w:r>
      <w:r>
        <w:rPr/>
        <w:t>plantear,</w:t>
      </w:r>
      <w:r>
        <w:rPr>
          <w:spacing w:val="-5"/>
        </w:rPr>
        <w:t> </w:t>
      </w:r>
      <w:r>
        <w:rPr/>
        <w:t>con</w:t>
      </w:r>
      <w:r>
        <w:rPr>
          <w:spacing w:val="-8"/>
        </w:rPr>
        <w:t> </w:t>
      </w:r>
      <w:r>
        <w:rPr/>
        <w:t>base</w:t>
      </w:r>
      <w:r>
        <w:rPr>
          <w:spacing w:val="-9"/>
        </w:rPr>
        <w:t> </w:t>
      </w:r>
      <w:r>
        <w:rPr/>
        <w:t>en</w:t>
      </w:r>
      <w:r>
        <w:rPr>
          <w:spacing w:val="-8"/>
        </w:rPr>
        <w:t> </w:t>
      </w:r>
      <w:r>
        <w:rPr/>
        <w:t>las</w:t>
      </w:r>
      <w:r>
        <w:rPr>
          <w:spacing w:val="-6"/>
        </w:rPr>
        <w:t> </w:t>
      </w:r>
      <w:r>
        <w:rPr/>
        <w:t>aplicaciones</w:t>
      </w:r>
      <w:r>
        <w:rPr>
          <w:spacing w:val="-6"/>
        </w:rPr>
        <w:t> </w:t>
      </w:r>
      <w:r>
        <w:rPr/>
        <w:t>de</w:t>
      </w:r>
      <w:r>
        <w:rPr>
          <w:spacing w:val="-8"/>
        </w:rPr>
        <w:t> </w:t>
      </w:r>
      <w:r>
        <w:rPr/>
        <w:t>los</w:t>
      </w:r>
      <w:r>
        <w:rPr>
          <w:spacing w:val="-6"/>
        </w:rPr>
        <w:t> </w:t>
      </w:r>
      <w:r>
        <w:rPr/>
        <w:t>procesos multicriteriales en Costa Rica y otras latitudes en Centroamérica, la realización de este proceso</w:t>
      </w:r>
      <w:r>
        <w:rPr>
          <w:spacing w:val="-7"/>
        </w:rPr>
        <w:t> </w:t>
      </w:r>
      <w:r>
        <w:rPr/>
        <w:t>de</w:t>
      </w:r>
      <w:r>
        <w:rPr>
          <w:spacing w:val="-6"/>
        </w:rPr>
        <w:t> </w:t>
      </w:r>
      <w:r>
        <w:rPr/>
        <w:t>conformidad</w:t>
      </w:r>
      <w:r>
        <w:rPr>
          <w:spacing w:val="-7"/>
        </w:rPr>
        <w:t> </w:t>
      </w:r>
      <w:r>
        <w:rPr/>
        <w:t>con</w:t>
      </w:r>
      <w:r>
        <w:rPr>
          <w:spacing w:val="-6"/>
        </w:rPr>
        <w:t> </w:t>
      </w:r>
      <w:r>
        <w:rPr/>
        <w:t>las</w:t>
      </w:r>
      <w:r>
        <w:rPr>
          <w:spacing w:val="-5"/>
        </w:rPr>
        <w:t> </w:t>
      </w:r>
      <w:r>
        <w:rPr/>
        <w:t>siguientes</w:t>
      </w:r>
      <w:r>
        <w:rPr>
          <w:spacing w:val="-5"/>
        </w:rPr>
        <w:t> </w:t>
      </w:r>
      <w:r>
        <w:rPr/>
        <w:t>prescripciones.</w:t>
      </w:r>
      <w:r>
        <w:rPr>
          <w:spacing w:val="2"/>
        </w:rPr>
        <w:t> </w:t>
      </w:r>
      <w:r>
        <w:rPr/>
        <w:t>Conforme</w:t>
      </w:r>
      <w:r>
        <w:rPr>
          <w:spacing w:val="-7"/>
        </w:rPr>
        <w:t> </w:t>
      </w:r>
      <w:r>
        <w:rPr/>
        <w:t>antes</w:t>
      </w:r>
      <w:r>
        <w:rPr>
          <w:spacing w:val="-4"/>
        </w:rPr>
        <w:t> </w:t>
      </w:r>
      <w:r>
        <w:rPr/>
        <w:t>se</w:t>
      </w:r>
      <w:r>
        <w:rPr>
          <w:spacing w:val="-7"/>
        </w:rPr>
        <w:t> </w:t>
      </w:r>
      <w:r>
        <w:rPr/>
        <w:t>adelantó,</w:t>
      </w:r>
    </w:p>
    <w:p>
      <w:pPr>
        <w:spacing w:after="0" w:line="360" w:lineRule="auto"/>
        <w:jc w:val="both"/>
        <w:sectPr>
          <w:pgSz w:w="12240" w:h="15840"/>
          <w:pgMar w:header="0" w:footer="982" w:top="1360" w:bottom="1260" w:left="400" w:right="400"/>
        </w:sectPr>
      </w:pPr>
    </w:p>
    <w:p>
      <w:pPr>
        <w:pStyle w:val="BodyText"/>
        <w:spacing w:line="357" w:lineRule="auto" w:before="79"/>
        <w:ind w:left="1040" w:right="1039"/>
        <w:jc w:val="both"/>
      </w:pPr>
      <w:r>
        <w:rPr/>
        <w:t>el proceso multicriterial tiene en común que ante un problema decisorio establece un marco de evaluación participativo que respeta la diversidad de lenguajes de valoración.</w:t>
      </w:r>
    </w:p>
    <w:p>
      <w:pPr>
        <w:pStyle w:val="BodyText"/>
        <w:spacing w:line="360" w:lineRule="auto" w:before="206"/>
        <w:ind w:left="1040" w:right="1037"/>
        <w:jc w:val="both"/>
      </w:pPr>
      <w:r>
        <w:rPr/>
        <w:t>Se propone expandir el modelo de Munda et al. (1994) a siete pasos para mejor comprensión: 1) Establecer el contexto de la decisión (Objetivo, Actores, Contexto Geográfico); 2) Identificar los criterios de valor/desempeño (Matriz); 3) Describir/valorar el desempeño de cada opción según los criterios; 4) Asignar pesos a los diversos criterios; 5) Combinar los resultados y pesos; 6) Examinar los resultados y 7) Realizar análisis de sensibilidad (Munda, et al., 1994; Falconí &amp; Burbano, 2004; Munda, 2004; Sanabria, 2006).</w:t>
      </w:r>
    </w:p>
    <w:p>
      <w:pPr>
        <w:pStyle w:val="BodyText"/>
        <w:spacing w:line="360" w:lineRule="auto" w:before="199"/>
        <w:ind w:left="1040" w:right="1034"/>
        <w:jc w:val="both"/>
      </w:pPr>
      <w:r>
        <w:rPr/>
        <w:t>En</w:t>
      </w:r>
      <w:r>
        <w:rPr>
          <w:spacing w:val="-5"/>
        </w:rPr>
        <w:t> </w:t>
      </w:r>
      <w:r>
        <w:rPr/>
        <w:t>el</w:t>
      </w:r>
      <w:r>
        <w:rPr>
          <w:spacing w:val="-4"/>
        </w:rPr>
        <w:t> </w:t>
      </w:r>
      <w:r>
        <w:rPr/>
        <w:t>caso</w:t>
      </w:r>
      <w:r>
        <w:rPr>
          <w:spacing w:val="-4"/>
        </w:rPr>
        <w:t> </w:t>
      </w:r>
      <w:r>
        <w:rPr/>
        <w:t>de</w:t>
      </w:r>
      <w:r>
        <w:rPr>
          <w:spacing w:val="-5"/>
        </w:rPr>
        <w:t> </w:t>
      </w:r>
      <w:r>
        <w:rPr/>
        <w:t>la</w:t>
      </w:r>
      <w:r>
        <w:rPr>
          <w:spacing w:val="-4"/>
        </w:rPr>
        <w:t> </w:t>
      </w:r>
      <w:r>
        <w:rPr/>
        <w:t>situación</w:t>
      </w:r>
      <w:r>
        <w:rPr>
          <w:spacing w:val="-4"/>
        </w:rPr>
        <w:t> </w:t>
      </w:r>
      <w:r>
        <w:rPr/>
        <w:t>de</w:t>
      </w:r>
      <w:r>
        <w:rPr>
          <w:spacing w:val="-5"/>
        </w:rPr>
        <w:t> </w:t>
      </w:r>
      <w:r>
        <w:rPr/>
        <w:t>conflictividad</w:t>
      </w:r>
      <w:r>
        <w:rPr>
          <w:spacing w:val="-4"/>
        </w:rPr>
        <w:t> </w:t>
      </w:r>
      <w:r>
        <w:rPr/>
        <w:t>socioambiental</w:t>
      </w:r>
      <w:r>
        <w:rPr>
          <w:spacing w:val="-4"/>
        </w:rPr>
        <w:t> </w:t>
      </w:r>
      <w:r>
        <w:rPr/>
        <w:t>de</w:t>
      </w:r>
      <w:r>
        <w:rPr>
          <w:spacing w:val="-4"/>
        </w:rPr>
        <w:t> </w:t>
      </w:r>
      <w:r>
        <w:rPr/>
        <w:t>la</w:t>
      </w:r>
      <w:r>
        <w:rPr>
          <w:spacing w:val="-5"/>
        </w:rPr>
        <w:t> </w:t>
      </w:r>
      <w:r>
        <w:rPr/>
        <w:t>ZPLC,</w:t>
      </w:r>
      <w:r>
        <w:rPr>
          <w:spacing w:val="-2"/>
        </w:rPr>
        <w:t> </w:t>
      </w:r>
      <w:r>
        <w:rPr/>
        <w:t>se</w:t>
      </w:r>
      <w:r>
        <w:rPr>
          <w:spacing w:val="4"/>
        </w:rPr>
        <w:t> </w:t>
      </w:r>
      <w:r>
        <w:rPr/>
        <w:t>propondría</w:t>
      </w:r>
      <w:r>
        <w:rPr>
          <w:spacing w:val="-4"/>
        </w:rPr>
        <w:t> </w:t>
      </w:r>
      <w:r>
        <w:rPr/>
        <w:t>en este estudio este proceso para que los diferentes grupos de actores puedan manifestar su voz con igualdad de consideración. De esa manera se puede realizar un proceso de posibles</w:t>
      </w:r>
      <w:r>
        <w:rPr>
          <w:spacing w:val="-8"/>
        </w:rPr>
        <w:t> </w:t>
      </w:r>
      <w:r>
        <w:rPr/>
        <w:t>escenarios</w:t>
      </w:r>
      <w:r>
        <w:rPr>
          <w:spacing w:val="-7"/>
        </w:rPr>
        <w:t> </w:t>
      </w:r>
      <w:r>
        <w:rPr/>
        <w:t>con</w:t>
      </w:r>
      <w:r>
        <w:rPr>
          <w:spacing w:val="-9"/>
        </w:rPr>
        <w:t> </w:t>
      </w:r>
      <w:r>
        <w:rPr/>
        <w:t>el</w:t>
      </w:r>
      <w:r>
        <w:rPr>
          <w:spacing w:val="-8"/>
        </w:rPr>
        <w:t> </w:t>
      </w:r>
      <w:r>
        <w:rPr/>
        <w:t>objetivo</w:t>
      </w:r>
      <w:r>
        <w:rPr>
          <w:spacing w:val="-9"/>
        </w:rPr>
        <w:t> </w:t>
      </w:r>
      <w:r>
        <w:rPr/>
        <w:t>principal</w:t>
      </w:r>
      <w:r>
        <w:rPr>
          <w:spacing w:val="-9"/>
        </w:rPr>
        <w:t> </w:t>
      </w:r>
      <w:r>
        <w:rPr/>
        <w:t>de</w:t>
      </w:r>
      <w:r>
        <w:rPr>
          <w:spacing w:val="-9"/>
        </w:rPr>
        <w:t> </w:t>
      </w:r>
      <w:r>
        <w:rPr/>
        <w:t>encontrar</w:t>
      </w:r>
      <w:r>
        <w:rPr>
          <w:spacing w:val="-3"/>
        </w:rPr>
        <w:t> </w:t>
      </w:r>
      <w:r>
        <w:rPr/>
        <w:t>medidas</w:t>
      </w:r>
      <w:r>
        <w:rPr>
          <w:spacing w:val="-8"/>
        </w:rPr>
        <w:t> </w:t>
      </w:r>
      <w:r>
        <w:rPr/>
        <w:t>compensatorias</w:t>
      </w:r>
      <w:r>
        <w:rPr>
          <w:spacing w:val="-7"/>
        </w:rPr>
        <w:t> </w:t>
      </w:r>
      <w:r>
        <w:rPr/>
        <w:t>de</w:t>
      </w:r>
      <w:r>
        <w:rPr>
          <w:spacing w:val="-9"/>
        </w:rPr>
        <w:t> </w:t>
      </w:r>
      <w:r>
        <w:rPr/>
        <w:t>la Deuda Ecológica del país y de las comunidades circundantes de la ZPLC a nivel de política, sea local o</w:t>
      </w:r>
      <w:r>
        <w:rPr>
          <w:spacing w:val="-3"/>
        </w:rPr>
        <w:t> </w:t>
      </w:r>
      <w:r>
        <w:rPr/>
        <w:t>nacional.</w:t>
      </w:r>
    </w:p>
    <w:p>
      <w:pPr>
        <w:pStyle w:val="BodyText"/>
        <w:spacing w:line="360" w:lineRule="auto" w:before="201"/>
        <w:ind w:left="1040" w:right="1038"/>
        <w:jc w:val="both"/>
      </w:pPr>
      <w:r>
        <w:rPr/>
        <w:t>Se plantea seguir un proceso similar al aplicado en Costa Rica y Panamá por varios estudios, en el cual el proceso de evaluación de múltiples criterios de escenarios se realiza mediante la combinación de talleres de expertos y focales ajustados al contexto geográfico y social de la zona (Marozzi &amp; Solís, 2007; Aguilar-González &amp; Moulaert, 2013; Aguilar, et al., 2013b). En ese proceso, se plantean tres etapas (Figura 29): 1) La definición</w:t>
      </w:r>
      <w:r>
        <w:rPr>
          <w:spacing w:val="-14"/>
        </w:rPr>
        <w:t> </w:t>
      </w:r>
      <w:r>
        <w:rPr/>
        <w:t>de</w:t>
      </w:r>
      <w:r>
        <w:rPr>
          <w:spacing w:val="-13"/>
        </w:rPr>
        <w:t> </w:t>
      </w:r>
      <w:r>
        <w:rPr/>
        <w:t>los</w:t>
      </w:r>
      <w:r>
        <w:rPr>
          <w:spacing w:val="-11"/>
        </w:rPr>
        <w:t> </w:t>
      </w:r>
      <w:r>
        <w:rPr/>
        <w:t>criterios</w:t>
      </w:r>
      <w:r>
        <w:rPr>
          <w:spacing w:val="-11"/>
        </w:rPr>
        <w:t> </w:t>
      </w:r>
      <w:r>
        <w:rPr/>
        <w:t>para</w:t>
      </w:r>
      <w:r>
        <w:rPr>
          <w:spacing w:val="-13"/>
        </w:rPr>
        <w:t> </w:t>
      </w:r>
      <w:r>
        <w:rPr/>
        <w:t>evaluar</w:t>
      </w:r>
      <w:r>
        <w:rPr>
          <w:spacing w:val="-11"/>
        </w:rPr>
        <w:t> </w:t>
      </w:r>
      <w:r>
        <w:rPr/>
        <w:t>los</w:t>
      </w:r>
      <w:r>
        <w:rPr>
          <w:spacing w:val="-12"/>
        </w:rPr>
        <w:t> </w:t>
      </w:r>
      <w:r>
        <w:rPr/>
        <w:t>escenarios</w:t>
      </w:r>
      <w:r>
        <w:rPr>
          <w:spacing w:val="-11"/>
        </w:rPr>
        <w:t> </w:t>
      </w:r>
      <w:r>
        <w:rPr/>
        <w:t>(ecológicos,</w:t>
      </w:r>
      <w:r>
        <w:rPr>
          <w:spacing w:val="-10"/>
        </w:rPr>
        <w:t> </w:t>
      </w:r>
      <w:r>
        <w:rPr/>
        <w:t>sociales</w:t>
      </w:r>
      <w:r>
        <w:rPr>
          <w:spacing w:val="-8"/>
        </w:rPr>
        <w:t> </w:t>
      </w:r>
      <w:r>
        <w:rPr/>
        <w:t>y</w:t>
      </w:r>
      <w:r>
        <w:rPr>
          <w:spacing w:val="-11"/>
        </w:rPr>
        <w:t> </w:t>
      </w:r>
      <w:r>
        <w:rPr/>
        <w:t>económicos con</w:t>
      </w:r>
      <w:r>
        <w:rPr>
          <w:spacing w:val="-5"/>
        </w:rPr>
        <w:t> </w:t>
      </w:r>
      <w:r>
        <w:rPr/>
        <w:t>el</w:t>
      </w:r>
      <w:r>
        <w:rPr>
          <w:spacing w:val="-5"/>
        </w:rPr>
        <w:t> </w:t>
      </w:r>
      <w:r>
        <w:rPr/>
        <w:t>fin</w:t>
      </w:r>
      <w:r>
        <w:rPr>
          <w:spacing w:val="-5"/>
        </w:rPr>
        <w:t> </w:t>
      </w:r>
      <w:r>
        <w:rPr/>
        <w:t>de</w:t>
      </w:r>
      <w:r>
        <w:rPr>
          <w:spacing w:val="-4"/>
        </w:rPr>
        <w:t> </w:t>
      </w:r>
      <w:r>
        <w:rPr/>
        <w:t>encontrar</w:t>
      </w:r>
      <w:r>
        <w:rPr>
          <w:spacing w:val="-3"/>
        </w:rPr>
        <w:t> </w:t>
      </w:r>
      <w:r>
        <w:rPr/>
        <w:t>un</w:t>
      </w:r>
      <w:r>
        <w:rPr>
          <w:spacing w:val="-5"/>
        </w:rPr>
        <w:t> </w:t>
      </w:r>
      <w:r>
        <w:rPr/>
        <w:t>marco</w:t>
      </w:r>
      <w:r>
        <w:rPr>
          <w:spacing w:val="-5"/>
        </w:rPr>
        <w:t> </w:t>
      </w:r>
      <w:r>
        <w:rPr/>
        <w:t>de</w:t>
      </w:r>
      <w:r>
        <w:rPr>
          <w:spacing w:val="-5"/>
        </w:rPr>
        <w:t> </w:t>
      </w:r>
      <w:r>
        <w:rPr/>
        <w:t>criterios</w:t>
      </w:r>
      <w:r>
        <w:rPr>
          <w:spacing w:val="-2"/>
        </w:rPr>
        <w:t> </w:t>
      </w:r>
      <w:r>
        <w:rPr/>
        <w:t>sostenibles);</w:t>
      </w:r>
      <w:r>
        <w:rPr>
          <w:spacing w:val="-2"/>
        </w:rPr>
        <w:t> </w:t>
      </w:r>
      <w:r>
        <w:rPr/>
        <w:t>2)</w:t>
      </w:r>
      <w:r>
        <w:rPr>
          <w:spacing w:val="-3"/>
        </w:rPr>
        <w:t> </w:t>
      </w:r>
      <w:r>
        <w:rPr/>
        <w:t>La</w:t>
      </w:r>
      <w:r>
        <w:rPr>
          <w:spacing w:val="-5"/>
        </w:rPr>
        <w:t> </w:t>
      </w:r>
      <w:r>
        <w:rPr/>
        <w:t>definición</w:t>
      </w:r>
      <w:r>
        <w:rPr>
          <w:spacing w:val="-5"/>
        </w:rPr>
        <w:t> </w:t>
      </w:r>
      <w:r>
        <w:rPr/>
        <w:t>de</w:t>
      </w:r>
      <w:r>
        <w:rPr>
          <w:spacing w:val="-5"/>
        </w:rPr>
        <w:t> </w:t>
      </w:r>
      <w:r>
        <w:rPr/>
        <w:t>pesos</w:t>
      </w:r>
      <w:r>
        <w:rPr>
          <w:spacing w:val="-2"/>
        </w:rPr>
        <w:t> </w:t>
      </w:r>
      <w:r>
        <w:rPr/>
        <w:t>para los criterios; 3) La evaluación de los</w:t>
      </w:r>
      <w:r>
        <w:rPr>
          <w:spacing w:val="6"/>
        </w:rPr>
        <w:t> </w:t>
      </w:r>
      <w:r>
        <w:rPr/>
        <w:t>escenarios.</w:t>
      </w:r>
    </w:p>
    <w:p>
      <w:pPr>
        <w:pStyle w:val="BodyText"/>
        <w:spacing w:line="360" w:lineRule="auto" w:before="201"/>
        <w:ind w:left="1040" w:right="1029"/>
        <w:jc w:val="both"/>
      </w:pPr>
      <w:r>
        <w:rPr/>
        <w:t>Los</w:t>
      </w:r>
      <w:r>
        <w:rPr>
          <w:spacing w:val="-11"/>
        </w:rPr>
        <w:t> </w:t>
      </w:r>
      <w:r>
        <w:rPr/>
        <w:t>primeros</w:t>
      </w:r>
      <w:r>
        <w:rPr>
          <w:spacing w:val="-11"/>
        </w:rPr>
        <w:t> </w:t>
      </w:r>
      <w:r>
        <w:rPr/>
        <w:t>talleres</w:t>
      </w:r>
      <w:r>
        <w:rPr>
          <w:spacing w:val="-11"/>
        </w:rPr>
        <w:t> </w:t>
      </w:r>
      <w:r>
        <w:rPr/>
        <w:t>de</w:t>
      </w:r>
      <w:r>
        <w:rPr>
          <w:spacing w:val="-13"/>
        </w:rPr>
        <w:t> </w:t>
      </w:r>
      <w:r>
        <w:rPr/>
        <w:t>las</w:t>
      </w:r>
      <w:r>
        <w:rPr>
          <w:spacing w:val="-11"/>
        </w:rPr>
        <w:t> </w:t>
      </w:r>
      <w:r>
        <w:rPr/>
        <w:t>etapas</w:t>
      </w:r>
      <w:r>
        <w:rPr>
          <w:spacing w:val="-11"/>
        </w:rPr>
        <w:t> </w:t>
      </w:r>
      <w:r>
        <w:rPr/>
        <w:t>1</w:t>
      </w:r>
      <w:r>
        <w:rPr>
          <w:spacing w:val="-13"/>
        </w:rPr>
        <w:t> </w:t>
      </w:r>
      <w:r>
        <w:rPr/>
        <w:t>y</w:t>
      </w:r>
      <w:r>
        <w:rPr>
          <w:spacing w:val="-11"/>
        </w:rPr>
        <w:t> </w:t>
      </w:r>
      <w:r>
        <w:rPr/>
        <w:t>2</w:t>
      </w:r>
      <w:r>
        <w:rPr>
          <w:spacing w:val="-13"/>
        </w:rPr>
        <w:t> </w:t>
      </w:r>
      <w:r>
        <w:rPr/>
        <w:t>combinarían</w:t>
      </w:r>
      <w:r>
        <w:rPr>
          <w:spacing w:val="-13"/>
        </w:rPr>
        <w:t> </w:t>
      </w:r>
      <w:r>
        <w:rPr/>
        <w:t>las</w:t>
      </w:r>
      <w:r>
        <w:rPr>
          <w:spacing w:val="-11"/>
        </w:rPr>
        <w:t> </w:t>
      </w:r>
      <w:r>
        <w:rPr/>
        <w:t>técnicas</w:t>
      </w:r>
      <w:r>
        <w:rPr>
          <w:spacing w:val="-11"/>
        </w:rPr>
        <w:t> </w:t>
      </w:r>
      <w:r>
        <w:rPr/>
        <w:t>de</w:t>
      </w:r>
      <w:r>
        <w:rPr>
          <w:spacing w:val="-13"/>
        </w:rPr>
        <w:t> </w:t>
      </w:r>
      <w:r>
        <w:rPr/>
        <w:t>consulta</w:t>
      </w:r>
      <w:r>
        <w:rPr>
          <w:spacing w:val="-13"/>
        </w:rPr>
        <w:t> </w:t>
      </w:r>
      <w:r>
        <w:rPr/>
        <w:t>a</w:t>
      </w:r>
      <w:r>
        <w:rPr>
          <w:spacing w:val="-12"/>
        </w:rPr>
        <w:t> </w:t>
      </w:r>
      <w:r>
        <w:rPr/>
        <w:t>expertos con una modificación de lo que se puede llamar un ejercicio Delphi convencional (Okoli &amp; Pawloski, 2004). Este método se desarrolla en la década de los 1950 con el objetivo de obtener consensos de grupos de expertos. Muchas variaciones se han desarrollado. Se han sintetizado como características comunes que es un método para estructurar un proceso</w:t>
      </w:r>
      <w:r>
        <w:rPr>
          <w:spacing w:val="-4"/>
        </w:rPr>
        <w:t> </w:t>
      </w:r>
      <w:r>
        <w:rPr/>
        <w:t>de</w:t>
      </w:r>
      <w:r>
        <w:rPr>
          <w:spacing w:val="-7"/>
        </w:rPr>
        <w:t> </w:t>
      </w:r>
      <w:r>
        <w:rPr/>
        <w:t>comunicación</w:t>
      </w:r>
      <w:r>
        <w:rPr>
          <w:spacing w:val="-8"/>
        </w:rPr>
        <w:t> </w:t>
      </w:r>
      <w:r>
        <w:rPr/>
        <w:t>grupal</w:t>
      </w:r>
      <w:r>
        <w:rPr>
          <w:spacing w:val="-6"/>
        </w:rPr>
        <w:t> </w:t>
      </w:r>
      <w:r>
        <w:rPr/>
        <w:t>con</w:t>
      </w:r>
      <w:r>
        <w:rPr>
          <w:spacing w:val="-8"/>
        </w:rPr>
        <w:t> </w:t>
      </w:r>
      <w:r>
        <w:rPr/>
        <w:t>el</w:t>
      </w:r>
      <w:r>
        <w:rPr>
          <w:spacing w:val="-4"/>
        </w:rPr>
        <w:t> </w:t>
      </w:r>
      <w:r>
        <w:rPr/>
        <w:t>fin</w:t>
      </w:r>
      <w:r>
        <w:rPr>
          <w:spacing w:val="-8"/>
        </w:rPr>
        <w:t> </w:t>
      </w:r>
      <w:r>
        <w:rPr/>
        <w:t>de</w:t>
      </w:r>
      <w:r>
        <w:rPr>
          <w:spacing w:val="-7"/>
        </w:rPr>
        <w:t> </w:t>
      </w:r>
      <w:r>
        <w:rPr/>
        <w:t>que</w:t>
      </w:r>
      <w:r>
        <w:rPr>
          <w:spacing w:val="-8"/>
        </w:rPr>
        <w:t> </w:t>
      </w:r>
      <w:r>
        <w:rPr/>
        <w:t>un</w:t>
      </w:r>
      <w:r>
        <w:rPr>
          <w:spacing w:val="-7"/>
        </w:rPr>
        <w:t> </w:t>
      </w:r>
      <w:r>
        <w:rPr/>
        <w:t>grupo</w:t>
      </w:r>
      <w:r>
        <w:rPr>
          <w:spacing w:val="-7"/>
        </w:rPr>
        <w:t> </w:t>
      </w:r>
      <w:r>
        <w:rPr/>
        <w:t>de</w:t>
      </w:r>
      <w:r>
        <w:rPr>
          <w:spacing w:val="-8"/>
        </w:rPr>
        <w:t> </w:t>
      </w:r>
      <w:r>
        <w:rPr/>
        <w:t>individuos,</w:t>
      </w:r>
      <w:r>
        <w:rPr>
          <w:spacing w:val="-4"/>
        </w:rPr>
        <w:t> </w:t>
      </w:r>
      <w:r>
        <w:rPr/>
        <w:t>como</w:t>
      </w:r>
      <w:r>
        <w:rPr>
          <w:spacing w:val="-8"/>
        </w:rPr>
        <w:t> </w:t>
      </w:r>
      <w:r>
        <w:rPr/>
        <w:t>un</w:t>
      </w:r>
      <w:r>
        <w:rPr>
          <w:spacing w:val="-7"/>
        </w:rPr>
        <w:t> </w:t>
      </w:r>
      <w:r>
        <w:rPr/>
        <w:t>todo,</w:t>
      </w:r>
    </w:p>
    <w:p>
      <w:pPr>
        <w:spacing w:after="0" w:line="360" w:lineRule="auto"/>
        <w:jc w:val="both"/>
        <w:sectPr>
          <w:pgSz w:w="12240" w:h="15840"/>
          <w:pgMar w:header="0" w:footer="982" w:top="1360" w:bottom="1260" w:left="400" w:right="400"/>
        </w:sectPr>
      </w:pPr>
    </w:p>
    <w:p>
      <w:pPr>
        <w:pStyle w:val="BodyText"/>
        <w:spacing w:line="360" w:lineRule="auto" w:before="79"/>
        <w:ind w:left="1040" w:right="1031"/>
        <w:jc w:val="both"/>
      </w:pPr>
      <w:r>
        <w:rPr/>
        <w:t>analice un problema complejo que incluye: a) alguna retroalimentación de las contribuciones</w:t>
      </w:r>
      <w:r>
        <w:rPr>
          <w:spacing w:val="-16"/>
        </w:rPr>
        <w:t> </w:t>
      </w:r>
      <w:r>
        <w:rPr/>
        <w:t>individuales</w:t>
      </w:r>
      <w:r>
        <w:rPr>
          <w:spacing w:val="-11"/>
        </w:rPr>
        <w:t> </w:t>
      </w:r>
      <w:r>
        <w:rPr/>
        <w:t>de</w:t>
      </w:r>
      <w:r>
        <w:rPr>
          <w:spacing w:val="-17"/>
        </w:rPr>
        <w:t> </w:t>
      </w:r>
      <w:r>
        <w:rPr/>
        <w:t>información</w:t>
      </w:r>
      <w:r>
        <w:rPr>
          <w:spacing w:val="-14"/>
        </w:rPr>
        <w:t> </w:t>
      </w:r>
      <w:r>
        <w:rPr/>
        <w:t>y</w:t>
      </w:r>
      <w:r>
        <w:rPr>
          <w:spacing w:val="-19"/>
        </w:rPr>
        <w:t> </w:t>
      </w:r>
      <w:r>
        <w:rPr/>
        <w:t>conocimiento;</w:t>
      </w:r>
      <w:r>
        <w:rPr>
          <w:spacing w:val="-14"/>
        </w:rPr>
        <w:t> </w:t>
      </w:r>
      <w:r>
        <w:rPr/>
        <w:t>b)</w:t>
      </w:r>
      <w:r>
        <w:rPr>
          <w:spacing w:val="-16"/>
        </w:rPr>
        <w:t> </w:t>
      </w:r>
      <w:r>
        <w:rPr/>
        <w:t>alguna</w:t>
      </w:r>
      <w:r>
        <w:rPr>
          <w:spacing w:val="-17"/>
        </w:rPr>
        <w:t> </w:t>
      </w:r>
      <w:r>
        <w:rPr/>
        <w:t>evaluación</w:t>
      </w:r>
      <w:r>
        <w:rPr>
          <w:spacing w:val="-17"/>
        </w:rPr>
        <w:t> </w:t>
      </w:r>
      <w:r>
        <w:rPr/>
        <w:t>de</w:t>
      </w:r>
      <w:r>
        <w:rPr>
          <w:spacing w:val="-17"/>
        </w:rPr>
        <w:t> </w:t>
      </w:r>
      <w:r>
        <w:rPr/>
        <w:t>juicio o perspectiva grupal; c) alguna oportunidad para que los y las participantes revisen sus perspectivas y d) algún grado de anonimidad para las respuestas individuales (Okoli &amp; Pawloski, 2004).</w:t>
      </w:r>
    </w:p>
    <w:p>
      <w:pPr>
        <w:pStyle w:val="BodyText"/>
        <w:rPr>
          <w:sz w:val="20"/>
        </w:rPr>
      </w:pPr>
    </w:p>
    <w:p>
      <w:pPr>
        <w:pStyle w:val="BodyText"/>
        <w:spacing w:before="7"/>
        <w:rPr>
          <w:sz w:val="13"/>
        </w:rPr>
      </w:pPr>
      <w:r>
        <w:rPr/>
        <w:drawing>
          <wp:anchor distT="0" distB="0" distL="0" distR="0" allowOverlap="1" layoutInCell="1" locked="0" behindDoc="0" simplePos="0" relativeHeight="85">
            <wp:simplePos x="0" y="0"/>
            <wp:positionH relativeFrom="page">
              <wp:posOffset>1709843</wp:posOffset>
            </wp:positionH>
            <wp:positionV relativeFrom="paragraph">
              <wp:posOffset>124229</wp:posOffset>
            </wp:positionV>
            <wp:extent cx="4371986" cy="2519172"/>
            <wp:effectExtent l="0" t="0" r="0" b="0"/>
            <wp:wrapTopAndBottom/>
            <wp:docPr id="69" name="image60.jpeg"/>
            <wp:cNvGraphicFramePr>
              <a:graphicFrameLocks noChangeAspect="1"/>
            </wp:cNvGraphicFramePr>
            <a:graphic>
              <a:graphicData uri="http://schemas.openxmlformats.org/drawingml/2006/picture">
                <pic:pic>
                  <pic:nvPicPr>
                    <pic:cNvPr id="70" name="image60.jpeg"/>
                    <pic:cNvPicPr/>
                  </pic:nvPicPr>
                  <pic:blipFill>
                    <a:blip r:embed="rId93" cstate="print"/>
                    <a:stretch>
                      <a:fillRect/>
                    </a:stretch>
                  </pic:blipFill>
                  <pic:spPr>
                    <a:xfrm>
                      <a:off x="0" y="0"/>
                      <a:ext cx="4371986" cy="2519172"/>
                    </a:xfrm>
                    <a:prstGeom prst="rect">
                      <a:avLst/>
                    </a:prstGeom>
                  </pic:spPr>
                </pic:pic>
              </a:graphicData>
            </a:graphic>
          </wp:anchor>
        </w:drawing>
      </w:r>
    </w:p>
    <w:p>
      <w:pPr>
        <w:pStyle w:val="BodyText"/>
        <w:spacing w:before="10"/>
        <w:rPr>
          <w:sz w:val="29"/>
        </w:rPr>
      </w:pPr>
    </w:p>
    <w:p>
      <w:pPr>
        <w:spacing w:line="242" w:lineRule="auto" w:before="0"/>
        <w:ind w:left="1097" w:right="1099" w:firstLine="0"/>
        <w:jc w:val="center"/>
        <w:rPr>
          <w:i/>
          <w:sz w:val="20"/>
        </w:rPr>
      </w:pPr>
      <w:bookmarkStart w:name="_bookmark56" w:id="77"/>
      <w:bookmarkEnd w:id="77"/>
      <w:r>
        <w:rPr/>
      </w:r>
      <w:r>
        <w:rPr>
          <w:i/>
          <w:sz w:val="20"/>
        </w:rPr>
        <w:t>Figura 29- Diagrama del Proceso Multicriterial que se Propone para Discutir Opciones para Compensar </w:t>
      </w:r>
      <w:r>
        <w:rPr>
          <w:i/>
          <w:sz w:val="20"/>
        </w:rPr>
        <w:t>la Deuda Ecológica con la ZPLC.</w:t>
      </w:r>
    </w:p>
    <w:p>
      <w:pPr>
        <w:spacing w:line="225" w:lineRule="exact" w:before="0"/>
        <w:ind w:left="1099" w:right="1099" w:firstLine="0"/>
        <w:jc w:val="center"/>
        <w:rPr>
          <w:i/>
          <w:sz w:val="20"/>
        </w:rPr>
      </w:pPr>
      <w:r>
        <w:rPr>
          <w:i/>
          <w:sz w:val="20"/>
        </w:rPr>
        <w:t>Fuente: Elaboración Propia.</w:t>
      </w:r>
    </w:p>
    <w:p>
      <w:pPr>
        <w:pStyle w:val="BodyText"/>
        <w:spacing w:before="10"/>
        <w:rPr>
          <w:i/>
          <w:sz w:val="27"/>
        </w:rPr>
      </w:pPr>
    </w:p>
    <w:p>
      <w:pPr>
        <w:pStyle w:val="BodyText"/>
        <w:spacing w:line="360" w:lineRule="auto" w:before="1"/>
        <w:ind w:left="1040" w:right="1030"/>
        <w:jc w:val="both"/>
      </w:pPr>
      <w:r>
        <w:rPr/>
        <w:t>La técnica se aplicaría en el marco de un taller con varias herramientas y una combinación de trabajo individual y grupal con varias fases de evaluación. Estas fases deben contar con doble moderador (uno general y uno por sub-grupo). La convocatoria buscaría tener la representación de sectores de expertos nacionales/regionales con conocimiento sólido de la situación socio-ambiental del Área de Conservación Central y del</w:t>
      </w:r>
      <w:r>
        <w:rPr>
          <w:spacing w:val="-5"/>
        </w:rPr>
        <w:t> </w:t>
      </w:r>
      <w:r>
        <w:rPr/>
        <w:t>marco</w:t>
      </w:r>
      <w:r>
        <w:rPr>
          <w:spacing w:val="-5"/>
        </w:rPr>
        <w:t> </w:t>
      </w:r>
      <w:r>
        <w:rPr/>
        <w:t>institucional</w:t>
      </w:r>
      <w:r>
        <w:rPr>
          <w:spacing w:val="-5"/>
        </w:rPr>
        <w:t> </w:t>
      </w:r>
      <w:r>
        <w:rPr/>
        <w:t>y</w:t>
      </w:r>
      <w:r>
        <w:rPr>
          <w:spacing w:val="-7"/>
        </w:rPr>
        <w:t> </w:t>
      </w:r>
      <w:r>
        <w:rPr/>
        <w:t>técnico</w:t>
      </w:r>
      <w:r>
        <w:rPr>
          <w:spacing w:val="-5"/>
        </w:rPr>
        <w:t> </w:t>
      </w:r>
      <w:r>
        <w:rPr/>
        <w:t>de</w:t>
      </w:r>
      <w:r>
        <w:rPr>
          <w:spacing w:val="-5"/>
        </w:rPr>
        <w:t> </w:t>
      </w:r>
      <w:r>
        <w:rPr/>
        <w:t>la ZPLC.</w:t>
      </w:r>
      <w:r>
        <w:rPr>
          <w:spacing w:val="-2"/>
        </w:rPr>
        <w:t> </w:t>
      </w:r>
      <w:r>
        <w:rPr/>
        <w:t>Por</w:t>
      </w:r>
      <w:r>
        <w:rPr>
          <w:spacing w:val="-3"/>
        </w:rPr>
        <w:t> </w:t>
      </w:r>
      <w:r>
        <w:rPr/>
        <w:t>ello,</w:t>
      </w:r>
      <w:r>
        <w:rPr>
          <w:spacing w:val="-3"/>
        </w:rPr>
        <w:t> </w:t>
      </w:r>
      <w:r>
        <w:rPr/>
        <w:t>se</w:t>
      </w:r>
      <w:r>
        <w:rPr>
          <w:spacing w:val="-4"/>
        </w:rPr>
        <w:t> </w:t>
      </w:r>
      <w:r>
        <w:rPr/>
        <w:t>plantea</w:t>
      </w:r>
      <w:r>
        <w:rPr>
          <w:spacing w:val="-5"/>
        </w:rPr>
        <w:t> </w:t>
      </w:r>
      <w:r>
        <w:rPr/>
        <w:t>que</w:t>
      </w:r>
      <w:r>
        <w:rPr>
          <w:spacing w:val="-5"/>
        </w:rPr>
        <w:t> </w:t>
      </w:r>
      <w:r>
        <w:rPr/>
        <w:t>se</w:t>
      </w:r>
      <w:r>
        <w:rPr>
          <w:spacing w:val="-5"/>
        </w:rPr>
        <w:t> </w:t>
      </w:r>
      <w:r>
        <w:rPr/>
        <w:t>centre</w:t>
      </w:r>
      <w:r>
        <w:rPr>
          <w:spacing w:val="-4"/>
        </w:rPr>
        <w:t> </w:t>
      </w:r>
      <w:r>
        <w:rPr/>
        <w:t>la</w:t>
      </w:r>
      <w:r>
        <w:rPr>
          <w:spacing w:val="-5"/>
        </w:rPr>
        <w:t> </w:t>
      </w:r>
      <w:r>
        <w:rPr/>
        <w:t>misma en</w:t>
      </w:r>
      <w:r>
        <w:rPr>
          <w:spacing w:val="-16"/>
        </w:rPr>
        <w:t> </w:t>
      </w:r>
      <w:r>
        <w:rPr/>
        <w:t>los</w:t>
      </w:r>
      <w:r>
        <w:rPr>
          <w:spacing w:val="-13"/>
        </w:rPr>
        <w:t> </w:t>
      </w:r>
      <w:r>
        <w:rPr/>
        <w:t>Consejos</w:t>
      </w:r>
      <w:r>
        <w:rPr>
          <w:spacing w:val="-14"/>
        </w:rPr>
        <w:t> </w:t>
      </w:r>
      <w:r>
        <w:rPr/>
        <w:t>Regional</w:t>
      </w:r>
      <w:r>
        <w:rPr>
          <w:spacing w:val="-14"/>
        </w:rPr>
        <w:t> </w:t>
      </w:r>
      <w:r>
        <w:rPr/>
        <w:t>(CORAC)</w:t>
      </w:r>
      <w:r>
        <w:rPr>
          <w:spacing w:val="-14"/>
        </w:rPr>
        <w:t> </w:t>
      </w:r>
      <w:r>
        <w:rPr/>
        <w:t>del</w:t>
      </w:r>
      <w:r>
        <w:rPr>
          <w:spacing w:val="-14"/>
        </w:rPr>
        <w:t> </w:t>
      </w:r>
      <w:r>
        <w:rPr/>
        <w:t>Área</w:t>
      </w:r>
      <w:r>
        <w:rPr>
          <w:spacing w:val="-16"/>
        </w:rPr>
        <w:t> </w:t>
      </w:r>
      <w:r>
        <w:rPr/>
        <w:t>de</w:t>
      </w:r>
      <w:r>
        <w:rPr>
          <w:spacing w:val="-15"/>
        </w:rPr>
        <w:t> </w:t>
      </w:r>
      <w:r>
        <w:rPr/>
        <w:t>Conservación</w:t>
      </w:r>
      <w:r>
        <w:rPr>
          <w:spacing w:val="-15"/>
        </w:rPr>
        <w:t> </w:t>
      </w:r>
      <w:r>
        <w:rPr/>
        <w:t>Central</w:t>
      </w:r>
      <w:r>
        <w:rPr>
          <w:spacing w:val="-11"/>
        </w:rPr>
        <w:t> </w:t>
      </w:r>
      <w:r>
        <w:rPr/>
        <w:t>y</w:t>
      </w:r>
      <w:r>
        <w:rPr>
          <w:spacing w:val="-17"/>
        </w:rPr>
        <w:t> </w:t>
      </w:r>
      <w:r>
        <w:rPr/>
        <w:t>el</w:t>
      </w:r>
      <w:r>
        <w:rPr>
          <w:spacing w:val="-15"/>
        </w:rPr>
        <w:t> </w:t>
      </w:r>
      <w:r>
        <w:rPr/>
        <w:t>Consejo</w:t>
      </w:r>
      <w:r>
        <w:rPr>
          <w:spacing w:val="-11"/>
        </w:rPr>
        <w:t> </w:t>
      </w:r>
      <w:r>
        <w:rPr/>
        <w:t>Local de</w:t>
      </w:r>
      <w:r>
        <w:rPr>
          <w:spacing w:val="-12"/>
        </w:rPr>
        <w:t> </w:t>
      </w:r>
      <w:r>
        <w:rPr/>
        <w:t>la</w:t>
      </w:r>
      <w:r>
        <w:rPr>
          <w:spacing w:val="-12"/>
        </w:rPr>
        <w:t> </w:t>
      </w:r>
      <w:r>
        <w:rPr/>
        <w:t>ZPLC.</w:t>
      </w:r>
      <w:r>
        <w:rPr>
          <w:spacing w:val="-8"/>
        </w:rPr>
        <w:t> </w:t>
      </w:r>
      <w:r>
        <w:rPr/>
        <w:t>En</w:t>
      </w:r>
      <w:r>
        <w:rPr>
          <w:spacing w:val="-12"/>
        </w:rPr>
        <w:t> </w:t>
      </w:r>
      <w:r>
        <w:rPr/>
        <w:t>el</w:t>
      </w:r>
      <w:r>
        <w:rPr>
          <w:spacing w:val="-11"/>
        </w:rPr>
        <w:t> </w:t>
      </w:r>
      <w:r>
        <w:rPr/>
        <w:t>CORAC</w:t>
      </w:r>
      <w:r>
        <w:rPr>
          <w:spacing w:val="-11"/>
        </w:rPr>
        <w:t> </w:t>
      </w:r>
      <w:r>
        <w:rPr/>
        <w:t>se</w:t>
      </w:r>
      <w:r>
        <w:rPr>
          <w:spacing w:val="-12"/>
        </w:rPr>
        <w:t> </w:t>
      </w:r>
      <w:r>
        <w:rPr/>
        <w:t>combina</w:t>
      </w:r>
      <w:r>
        <w:rPr>
          <w:spacing w:val="-8"/>
        </w:rPr>
        <w:t> </w:t>
      </w:r>
      <w:r>
        <w:rPr/>
        <w:t>la</w:t>
      </w:r>
      <w:r>
        <w:rPr>
          <w:spacing w:val="-11"/>
        </w:rPr>
        <w:t> </w:t>
      </w:r>
      <w:r>
        <w:rPr/>
        <w:t>participación</w:t>
      </w:r>
      <w:r>
        <w:rPr>
          <w:spacing w:val="-12"/>
        </w:rPr>
        <w:t> </w:t>
      </w:r>
      <w:r>
        <w:rPr/>
        <w:t>de</w:t>
      </w:r>
      <w:r>
        <w:rPr>
          <w:spacing w:val="-11"/>
        </w:rPr>
        <w:t> </w:t>
      </w:r>
      <w:r>
        <w:rPr/>
        <w:t>los</w:t>
      </w:r>
      <w:r>
        <w:rPr>
          <w:spacing w:val="-10"/>
        </w:rPr>
        <w:t> </w:t>
      </w:r>
      <w:r>
        <w:rPr/>
        <w:t>funcionarios</w:t>
      </w:r>
      <w:r>
        <w:rPr>
          <w:spacing w:val="-10"/>
        </w:rPr>
        <w:t> </w:t>
      </w:r>
      <w:r>
        <w:rPr/>
        <w:t>del</w:t>
      </w:r>
      <w:r>
        <w:rPr>
          <w:spacing w:val="-7"/>
        </w:rPr>
        <w:t> </w:t>
      </w:r>
      <w:r>
        <w:rPr/>
        <w:t>SINAC</w:t>
      </w:r>
      <w:r>
        <w:rPr>
          <w:spacing w:val="-12"/>
        </w:rPr>
        <w:t> </w:t>
      </w:r>
      <w:r>
        <w:rPr/>
        <w:t>con la participación de las organizaciones de la sociedad civil, instituciones educativas, empresa privada, los gestores ambientales de gobiernos municipales y otras instituciones públicas atinentes al sector. El Consejo Local fundamentalmente agrupa a los</w:t>
      </w:r>
      <w:r>
        <w:rPr>
          <w:spacing w:val="16"/>
        </w:rPr>
        <w:t> </w:t>
      </w:r>
      <w:r>
        <w:rPr/>
        <w:t>funcionarios</w:t>
      </w:r>
      <w:r>
        <w:rPr>
          <w:spacing w:val="16"/>
        </w:rPr>
        <w:t> </w:t>
      </w:r>
      <w:r>
        <w:rPr/>
        <w:t>locales</w:t>
      </w:r>
      <w:r>
        <w:rPr>
          <w:spacing w:val="17"/>
        </w:rPr>
        <w:t> </w:t>
      </w:r>
      <w:r>
        <w:rPr/>
        <w:t>del</w:t>
      </w:r>
      <w:r>
        <w:rPr>
          <w:spacing w:val="14"/>
        </w:rPr>
        <w:t> </w:t>
      </w:r>
      <w:r>
        <w:rPr/>
        <w:t>SINAC,</w:t>
      </w:r>
      <w:r>
        <w:rPr>
          <w:spacing w:val="17"/>
        </w:rPr>
        <w:t> </w:t>
      </w:r>
      <w:r>
        <w:rPr/>
        <w:t>la</w:t>
      </w:r>
      <w:r>
        <w:rPr>
          <w:spacing w:val="19"/>
        </w:rPr>
        <w:t> </w:t>
      </w:r>
      <w:r>
        <w:rPr/>
        <w:t>ASOPROCA,</w:t>
      </w:r>
      <w:r>
        <w:rPr>
          <w:spacing w:val="17"/>
        </w:rPr>
        <w:t> </w:t>
      </w:r>
      <w:r>
        <w:rPr/>
        <w:t>ASMOCICU</w:t>
      </w:r>
      <w:r>
        <w:rPr>
          <w:spacing w:val="14"/>
        </w:rPr>
        <w:t> </w:t>
      </w:r>
      <w:r>
        <w:rPr/>
        <w:t>y</w:t>
      </w:r>
      <w:r>
        <w:rPr>
          <w:spacing w:val="13"/>
        </w:rPr>
        <w:t> </w:t>
      </w:r>
      <w:r>
        <w:rPr/>
        <w:t>la</w:t>
      </w:r>
      <w:r>
        <w:rPr>
          <w:spacing w:val="14"/>
        </w:rPr>
        <w:t> </w:t>
      </w:r>
      <w:r>
        <w:rPr/>
        <w:t>Municipalidad</w:t>
      </w:r>
      <w:r>
        <w:rPr>
          <w:spacing w:val="15"/>
        </w:rPr>
        <w:t> </w:t>
      </w:r>
      <w:r>
        <w:rPr/>
        <w:t>de</w:t>
      </w:r>
    </w:p>
    <w:p>
      <w:pPr>
        <w:spacing w:after="0" w:line="360" w:lineRule="auto"/>
        <w:jc w:val="both"/>
        <w:sectPr>
          <w:pgSz w:w="12240" w:h="15840"/>
          <w:pgMar w:header="0" w:footer="982" w:top="1360" w:bottom="1260" w:left="400" w:right="400"/>
        </w:sectPr>
      </w:pPr>
    </w:p>
    <w:p>
      <w:pPr>
        <w:pStyle w:val="BodyText"/>
        <w:spacing w:line="360" w:lineRule="auto" w:before="79"/>
        <w:ind w:left="1040" w:right="1034"/>
        <w:jc w:val="both"/>
      </w:pPr>
      <w:r>
        <w:rPr/>
        <w:t>La Unión. Con el fin de desarrollar un conjunto base de escenarios y los criterios para desarrollarlos se propone realizar una sesión con cada uno de éstos en sus sedes (San Luis de Santo Domingo de Heredia y Tres Ríos).</w:t>
      </w:r>
    </w:p>
    <w:p>
      <w:pPr>
        <w:pStyle w:val="BodyText"/>
        <w:spacing w:line="360" w:lineRule="auto" w:before="199"/>
        <w:ind w:left="1040" w:right="1036"/>
        <w:jc w:val="both"/>
      </w:pPr>
      <w:r>
        <w:rPr/>
        <w:t>El siguiente paso de cada etapa consistiría en un proceso estructurado de talleres focales. Los grupos focales contarían con doble moderador (uno general y uno por sub- grupo). En este paso </w:t>
      </w:r>
      <w:r>
        <w:rPr>
          <w:spacing w:val="3"/>
        </w:rPr>
        <w:t>se </w:t>
      </w:r>
      <w:r>
        <w:rPr/>
        <w:t>buscaría, conforme lo prescribe la metodología, crear una selección de grupos constituidos de manera formal y estructurada para tratar un tema concreto en un plazo determinado y respetando una serie de reglas de procedimiento (Dawson &amp; Manderson, 1993; Kitzinger, 1995). El objetivo acá sería el consultar, refinar y validar las propuestas de escenarios base, criterios y pesos que se desarrollan en los procesos Delphi. En este caso, se plantea la participación de las organizaciones locales de</w:t>
      </w:r>
      <w:r>
        <w:rPr>
          <w:spacing w:val="-6"/>
        </w:rPr>
        <w:t> </w:t>
      </w:r>
      <w:r>
        <w:rPr/>
        <w:t>las</w:t>
      </w:r>
      <w:r>
        <w:rPr>
          <w:spacing w:val="-4"/>
        </w:rPr>
        <w:t> </w:t>
      </w:r>
      <w:r>
        <w:rPr/>
        <w:t>comunidades</w:t>
      </w:r>
      <w:r>
        <w:rPr>
          <w:spacing w:val="-4"/>
        </w:rPr>
        <w:t> </w:t>
      </w:r>
      <w:r>
        <w:rPr/>
        <w:t>deudoras y</w:t>
      </w:r>
      <w:r>
        <w:rPr>
          <w:spacing w:val="-8"/>
        </w:rPr>
        <w:t> </w:t>
      </w:r>
      <w:r>
        <w:rPr/>
        <w:t>acreedoras</w:t>
      </w:r>
      <w:r>
        <w:rPr>
          <w:spacing w:val="-4"/>
        </w:rPr>
        <w:t> </w:t>
      </w:r>
      <w:r>
        <w:rPr/>
        <w:t>y</w:t>
      </w:r>
      <w:r>
        <w:rPr>
          <w:spacing w:val="-4"/>
        </w:rPr>
        <w:t> </w:t>
      </w:r>
      <w:r>
        <w:rPr/>
        <w:t>de</w:t>
      </w:r>
      <w:r>
        <w:rPr>
          <w:spacing w:val="-6"/>
        </w:rPr>
        <w:t> </w:t>
      </w:r>
      <w:r>
        <w:rPr/>
        <w:t>los</w:t>
      </w:r>
      <w:r>
        <w:rPr>
          <w:spacing w:val="-3"/>
        </w:rPr>
        <w:t> </w:t>
      </w:r>
      <w:r>
        <w:rPr/>
        <w:t>gobiernos</w:t>
      </w:r>
      <w:r>
        <w:rPr>
          <w:spacing w:val="-4"/>
        </w:rPr>
        <w:t> </w:t>
      </w:r>
      <w:r>
        <w:rPr/>
        <w:t>municipales.</w:t>
      </w:r>
      <w:r>
        <w:rPr>
          <w:spacing w:val="-1"/>
        </w:rPr>
        <w:t> </w:t>
      </w:r>
      <w:r>
        <w:rPr/>
        <w:t>Se</w:t>
      </w:r>
      <w:r>
        <w:rPr>
          <w:spacing w:val="-6"/>
        </w:rPr>
        <w:t> </w:t>
      </w:r>
      <w:r>
        <w:rPr/>
        <w:t>propone realizar estos talleres en dos localidades: Tres Ríos en La Unión y Patarrá en Desamparados</w:t>
      </w:r>
      <w:r>
        <w:rPr>
          <w:spacing w:val="-14"/>
        </w:rPr>
        <w:t> </w:t>
      </w:r>
      <w:r>
        <w:rPr/>
        <w:t>con</w:t>
      </w:r>
      <w:r>
        <w:rPr>
          <w:spacing w:val="-13"/>
        </w:rPr>
        <w:t> </w:t>
      </w:r>
      <w:r>
        <w:rPr/>
        <w:t>el</w:t>
      </w:r>
      <w:r>
        <w:rPr>
          <w:spacing w:val="-16"/>
        </w:rPr>
        <w:t> </w:t>
      </w:r>
      <w:r>
        <w:rPr/>
        <w:t>fin</w:t>
      </w:r>
      <w:r>
        <w:rPr>
          <w:spacing w:val="-16"/>
        </w:rPr>
        <w:t> </w:t>
      </w:r>
      <w:r>
        <w:rPr/>
        <w:t>de</w:t>
      </w:r>
      <w:r>
        <w:rPr>
          <w:spacing w:val="-17"/>
        </w:rPr>
        <w:t> </w:t>
      </w:r>
      <w:r>
        <w:rPr/>
        <w:t>poder</w:t>
      </w:r>
      <w:r>
        <w:rPr>
          <w:spacing w:val="-15"/>
        </w:rPr>
        <w:t> </w:t>
      </w:r>
      <w:r>
        <w:rPr/>
        <w:t>captar</w:t>
      </w:r>
      <w:r>
        <w:rPr>
          <w:spacing w:val="-14"/>
        </w:rPr>
        <w:t> </w:t>
      </w:r>
      <w:r>
        <w:rPr/>
        <w:t>participación</w:t>
      </w:r>
      <w:r>
        <w:rPr>
          <w:spacing w:val="-17"/>
        </w:rPr>
        <w:t> </w:t>
      </w:r>
      <w:r>
        <w:rPr/>
        <w:t>de</w:t>
      </w:r>
      <w:r>
        <w:rPr>
          <w:spacing w:val="-17"/>
        </w:rPr>
        <w:t> </w:t>
      </w:r>
      <w:r>
        <w:rPr/>
        <w:t>las</w:t>
      </w:r>
      <w:r>
        <w:rPr>
          <w:spacing w:val="-14"/>
        </w:rPr>
        <w:t> </w:t>
      </w:r>
      <w:r>
        <w:rPr/>
        <w:t>diversas</w:t>
      </w:r>
      <w:r>
        <w:rPr>
          <w:spacing w:val="-11"/>
        </w:rPr>
        <w:t> </w:t>
      </w:r>
      <w:r>
        <w:rPr/>
        <w:t>zonas</w:t>
      </w:r>
      <w:r>
        <w:rPr>
          <w:spacing w:val="-11"/>
        </w:rPr>
        <w:t> </w:t>
      </w:r>
      <w:r>
        <w:rPr/>
        <w:t>geográficas de la</w:t>
      </w:r>
      <w:r>
        <w:rPr>
          <w:spacing w:val="-3"/>
        </w:rPr>
        <w:t> </w:t>
      </w:r>
      <w:r>
        <w:rPr/>
        <w:t>ZPLC.</w:t>
      </w:r>
    </w:p>
    <w:p>
      <w:pPr>
        <w:pStyle w:val="BodyText"/>
        <w:spacing w:line="360" w:lineRule="auto" w:before="201"/>
        <w:ind w:left="1040" w:right="1038"/>
        <w:jc w:val="both"/>
      </w:pPr>
      <w:r>
        <w:rPr/>
        <w:t>Estos procesos permitirían desarrollar una matriz de desempeño o impacto (Cuadro 21) para</w:t>
      </w:r>
      <w:r>
        <w:rPr>
          <w:spacing w:val="-20"/>
        </w:rPr>
        <w:t> </w:t>
      </w:r>
      <w:r>
        <w:rPr/>
        <w:t>los</w:t>
      </w:r>
      <w:r>
        <w:rPr>
          <w:spacing w:val="-17"/>
        </w:rPr>
        <w:t> </w:t>
      </w:r>
      <w:r>
        <w:rPr/>
        <w:t>escenarios</w:t>
      </w:r>
      <w:r>
        <w:rPr>
          <w:spacing w:val="-13"/>
        </w:rPr>
        <w:t> </w:t>
      </w:r>
      <w:r>
        <w:rPr/>
        <w:t>y</w:t>
      </w:r>
      <w:r>
        <w:rPr>
          <w:spacing w:val="-21"/>
        </w:rPr>
        <w:t> </w:t>
      </w:r>
      <w:r>
        <w:rPr/>
        <w:t>criterios</w:t>
      </w:r>
      <w:r>
        <w:rPr>
          <w:spacing w:val="-17"/>
        </w:rPr>
        <w:t> </w:t>
      </w:r>
      <w:r>
        <w:rPr/>
        <w:t>de</w:t>
      </w:r>
      <w:r>
        <w:rPr>
          <w:spacing w:val="-19"/>
        </w:rPr>
        <w:t> </w:t>
      </w:r>
      <w:r>
        <w:rPr/>
        <w:t>evaluación</w:t>
      </w:r>
      <w:r>
        <w:rPr>
          <w:spacing w:val="-15"/>
        </w:rPr>
        <w:t> </w:t>
      </w:r>
      <w:r>
        <w:rPr/>
        <w:t>que</w:t>
      </w:r>
      <w:r>
        <w:rPr>
          <w:spacing w:val="-20"/>
        </w:rPr>
        <w:t> </w:t>
      </w:r>
      <w:r>
        <w:rPr/>
        <w:t>se</w:t>
      </w:r>
      <w:r>
        <w:rPr>
          <w:spacing w:val="-19"/>
        </w:rPr>
        <w:t> </w:t>
      </w:r>
      <w:r>
        <w:rPr/>
        <w:t>presentarían</w:t>
      </w:r>
      <w:r>
        <w:rPr>
          <w:spacing w:val="-19"/>
        </w:rPr>
        <w:t> </w:t>
      </w:r>
      <w:r>
        <w:rPr/>
        <w:t>en</w:t>
      </w:r>
      <w:r>
        <w:rPr>
          <w:spacing w:val="-19"/>
        </w:rPr>
        <w:t> </w:t>
      </w:r>
      <w:r>
        <w:rPr/>
        <w:t>dos</w:t>
      </w:r>
      <w:r>
        <w:rPr>
          <w:spacing w:val="-17"/>
        </w:rPr>
        <w:t> </w:t>
      </w:r>
      <w:r>
        <w:rPr/>
        <w:t>talleres</w:t>
      </w:r>
      <w:r>
        <w:rPr>
          <w:spacing w:val="-17"/>
        </w:rPr>
        <w:t> </w:t>
      </w:r>
      <w:r>
        <w:rPr/>
        <w:t>de</w:t>
      </w:r>
      <w:r>
        <w:rPr>
          <w:spacing w:val="-19"/>
        </w:rPr>
        <w:t> </w:t>
      </w:r>
      <w:r>
        <w:rPr/>
        <w:t>visión (En Tres Ríos y Patarrá). En los mismos se consolidaría la participación de todos los sectores con el fin de conocer su criterio respecto a los escenarios y desempeño de conformidad con los criterios</w:t>
      </w:r>
      <w:r>
        <w:rPr>
          <w:spacing w:val="-2"/>
        </w:rPr>
        <w:t> </w:t>
      </w:r>
      <w:r>
        <w:rPr/>
        <w:t>desarrollados.</w:t>
      </w:r>
    </w:p>
    <w:p>
      <w:pPr>
        <w:spacing w:before="0"/>
        <w:ind w:left="1094" w:right="1099" w:firstLine="0"/>
        <w:jc w:val="center"/>
        <w:rPr>
          <w:i/>
          <w:sz w:val="20"/>
        </w:rPr>
      </w:pPr>
      <w:bookmarkStart w:name="_bookmark57" w:id="78"/>
      <w:bookmarkEnd w:id="78"/>
      <w:r>
        <w:rPr/>
      </w:r>
      <w:r>
        <w:rPr>
          <w:i/>
          <w:sz w:val="20"/>
        </w:rPr>
        <w:t>Cuadro 21- Ejemplo de Matriz de Desempeño o Impacto.</w:t>
      </w:r>
    </w:p>
    <w:p>
      <w:pPr>
        <w:spacing w:before="1"/>
        <w:ind w:left="1098" w:right="1099" w:firstLine="0"/>
        <w:jc w:val="center"/>
        <w:rPr>
          <w:sz w:val="24"/>
        </w:rPr>
      </w:pPr>
      <w:r>
        <w:rPr>
          <w:i/>
          <w:sz w:val="20"/>
        </w:rPr>
        <w:t>Fuente: Elaboración Propia</w:t>
      </w:r>
      <w:r>
        <w:rPr>
          <w:sz w:val="24"/>
        </w:rPr>
        <w:t>.</w:t>
      </w:r>
    </w:p>
    <w:p>
      <w:pPr>
        <w:pStyle w:val="BodyText"/>
        <w:spacing w:before="6" w:after="1"/>
        <w:rPr>
          <w:sz w:val="29"/>
        </w:rPr>
      </w:pPr>
    </w:p>
    <w:tbl>
      <w:tblPr>
        <w:tblW w:w="0" w:type="auto"/>
        <w:jc w:val="left"/>
        <w:tblInd w:w="10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71"/>
        <w:gridCol w:w="1866"/>
        <w:gridCol w:w="1871"/>
        <w:gridCol w:w="1871"/>
        <w:gridCol w:w="1876"/>
      </w:tblGrid>
      <w:tr>
        <w:trPr>
          <w:trHeight w:val="545" w:hRule="atLeast"/>
        </w:trPr>
        <w:tc>
          <w:tcPr>
            <w:tcW w:w="1871" w:type="dxa"/>
            <w:tcBorders>
              <w:bottom w:val="single" w:sz="24" w:space="0" w:color="000000"/>
            </w:tcBorders>
          </w:tcPr>
          <w:p>
            <w:pPr>
              <w:pStyle w:val="TableParagraph"/>
              <w:spacing w:line="223" w:lineRule="exact" w:before="0"/>
              <w:ind w:left="458" w:right="460"/>
              <w:jc w:val="center"/>
              <w:rPr>
                <w:b/>
                <w:sz w:val="20"/>
              </w:rPr>
            </w:pPr>
            <w:r>
              <w:rPr>
                <w:b/>
                <w:sz w:val="20"/>
              </w:rPr>
              <w:t>Opciones</w:t>
            </w:r>
          </w:p>
        </w:tc>
        <w:tc>
          <w:tcPr>
            <w:tcW w:w="1866" w:type="dxa"/>
            <w:tcBorders>
              <w:bottom w:val="single" w:sz="24" w:space="0" w:color="000000"/>
            </w:tcBorders>
          </w:tcPr>
          <w:p>
            <w:pPr>
              <w:pStyle w:val="TableParagraph"/>
              <w:spacing w:line="223" w:lineRule="exact" w:before="0"/>
              <w:ind w:left="470" w:right="476"/>
              <w:jc w:val="center"/>
              <w:rPr>
                <w:b/>
                <w:sz w:val="20"/>
              </w:rPr>
            </w:pPr>
            <w:r>
              <w:rPr>
                <w:b/>
                <w:sz w:val="20"/>
              </w:rPr>
              <w:t>Criterio 1</w:t>
            </w:r>
          </w:p>
        </w:tc>
        <w:tc>
          <w:tcPr>
            <w:tcW w:w="1871" w:type="dxa"/>
            <w:tcBorders>
              <w:bottom w:val="single" w:sz="24" w:space="0" w:color="000000"/>
            </w:tcBorders>
          </w:tcPr>
          <w:p>
            <w:pPr>
              <w:pStyle w:val="TableParagraph"/>
              <w:spacing w:line="223" w:lineRule="exact" w:before="0"/>
              <w:ind w:left="458" w:right="458"/>
              <w:jc w:val="center"/>
              <w:rPr>
                <w:b/>
                <w:sz w:val="20"/>
              </w:rPr>
            </w:pPr>
            <w:r>
              <w:rPr>
                <w:b/>
                <w:sz w:val="20"/>
              </w:rPr>
              <w:t>Criterio 2</w:t>
            </w:r>
          </w:p>
        </w:tc>
        <w:tc>
          <w:tcPr>
            <w:tcW w:w="1871" w:type="dxa"/>
            <w:tcBorders>
              <w:bottom w:val="single" w:sz="24" w:space="0" w:color="000000"/>
            </w:tcBorders>
          </w:tcPr>
          <w:p>
            <w:pPr>
              <w:pStyle w:val="TableParagraph"/>
              <w:spacing w:line="223" w:lineRule="exact" w:before="0"/>
              <w:ind w:left="458" w:right="460"/>
              <w:jc w:val="center"/>
              <w:rPr>
                <w:b/>
                <w:sz w:val="20"/>
              </w:rPr>
            </w:pPr>
            <w:r>
              <w:rPr>
                <w:b/>
                <w:sz w:val="20"/>
              </w:rPr>
              <w:t>Criterio 3</w:t>
            </w:r>
          </w:p>
        </w:tc>
        <w:tc>
          <w:tcPr>
            <w:tcW w:w="1876" w:type="dxa"/>
            <w:tcBorders>
              <w:bottom w:val="single" w:sz="24" w:space="0" w:color="000000"/>
            </w:tcBorders>
          </w:tcPr>
          <w:p>
            <w:pPr>
              <w:pStyle w:val="TableParagraph"/>
              <w:spacing w:line="223" w:lineRule="exact" w:before="0"/>
              <w:ind w:left="476" w:right="480"/>
              <w:jc w:val="center"/>
              <w:rPr>
                <w:b/>
                <w:sz w:val="20"/>
              </w:rPr>
            </w:pPr>
            <w:r>
              <w:rPr>
                <w:b/>
                <w:sz w:val="20"/>
              </w:rPr>
              <w:t>Criterio 4</w:t>
            </w:r>
          </w:p>
        </w:tc>
      </w:tr>
      <w:tr>
        <w:trPr>
          <w:trHeight w:val="543" w:hRule="atLeast"/>
        </w:trPr>
        <w:tc>
          <w:tcPr>
            <w:tcW w:w="1871" w:type="dxa"/>
            <w:tcBorders>
              <w:top w:val="single" w:sz="24" w:space="0" w:color="000000"/>
              <w:right w:val="single" w:sz="8" w:space="0" w:color="000000"/>
            </w:tcBorders>
          </w:tcPr>
          <w:p>
            <w:pPr>
              <w:pStyle w:val="TableParagraph"/>
              <w:spacing w:line="222" w:lineRule="exact" w:before="0"/>
              <w:ind w:left="350" w:right="345"/>
              <w:jc w:val="center"/>
              <w:rPr>
                <w:b/>
                <w:sz w:val="20"/>
              </w:rPr>
            </w:pPr>
            <w:r>
              <w:rPr>
                <w:b/>
                <w:sz w:val="20"/>
              </w:rPr>
              <w:t>Opción 1</w:t>
            </w:r>
          </w:p>
        </w:tc>
        <w:tc>
          <w:tcPr>
            <w:tcW w:w="1866" w:type="dxa"/>
            <w:tcBorders>
              <w:top w:val="single" w:sz="24" w:space="0" w:color="000000"/>
              <w:left w:val="single" w:sz="8" w:space="0" w:color="000000"/>
            </w:tcBorders>
            <w:shd w:val="clear" w:color="auto" w:fill="C0C0C0"/>
          </w:tcPr>
          <w:p>
            <w:pPr>
              <w:pStyle w:val="TableParagraph"/>
              <w:spacing w:line="222" w:lineRule="exact" w:before="0"/>
              <w:ind w:right="13"/>
              <w:jc w:val="center"/>
              <w:rPr>
                <w:b/>
                <w:sz w:val="20"/>
              </w:rPr>
            </w:pPr>
            <w:r>
              <w:rPr>
                <w:b/>
                <w:sz w:val="20"/>
              </w:rPr>
              <w:t>…</w:t>
            </w:r>
          </w:p>
        </w:tc>
        <w:tc>
          <w:tcPr>
            <w:tcW w:w="1871" w:type="dxa"/>
            <w:tcBorders>
              <w:top w:val="single" w:sz="24" w:space="0" w:color="000000"/>
            </w:tcBorders>
            <w:shd w:val="clear" w:color="auto" w:fill="C0C0C0"/>
          </w:tcPr>
          <w:p>
            <w:pPr>
              <w:pStyle w:val="TableParagraph"/>
              <w:spacing w:line="222" w:lineRule="exact" w:before="0"/>
              <w:ind w:left="2"/>
              <w:jc w:val="center"/>
              <w:rPr>
                <w:b/>
                <w:sz w:val="20"/>
              </w:rPr>
            </w:pPr>
            <w:r>
              <w:rPr>
                <w:b/>
                <w:sz w:val="20"/>
              </w:rPr>
              <w:t>…</w:t>
            </w:r>
          </w:p>
        </w:tc>
        <w:tc>
          <w:tcPr>
            <w:tcW w:w="1871" w:type="dxa"/>
            <w:tcBorders>
              <w:top w:val="single" w:sz="24" w:space="0" w:color="000000"/>
            </w:tcBorders>
            <w:shd w:val="clear" w:color="auto" w:fill="C0C0C0"/>
          </w:tcPr>
          <w:p>
            <w:pPr>
              <w:pStyle w:val="TableParagraph"/>
              <w:spacing w:line="222" w:lineRule="exact" w:before="0"/>
              <w:jc w:val="center"/>
              <w:rPr>
                <w:b/>
                <w:sz w:val="20"/>
              </w:rPr>
            </w:pPr>
            <w:r>
              <w:rPr>
                <w:b/>
                <w:sz w:val="20"/>
              </w:rPr>
              <w:t>…</w:t>
            </w:r>
          </w:p>
        </w:tc>
        <w:tc>
          <w:tcPr>
            <w:tcW w:w="1876" w:type="dxa"/>
            <w:tcBorders>
              <w:top w:val="single" w:sz="24" w:space="0" w:color="000000"/>
              <w:right w:val="single" w:sz="8" w:space="0" w:color="000000"/>
            </w:tcBorders>
            <w:shd w:val="clear" w:color="auto" w:fill="C0C0C0"/>
          </w:tcPr>
          <w:p>
            <w:pPr>
              <w:pStyle w:val="TableParagraph"/>
              <w:spacing w:line="222" w:lineRule="exact" w:before="0"/>
              <w:ind w:left="5"/>
              <w:jc w:val="center"/>
              <w:rPr>
                <w:b/>
                <w:sz w:val="20"/>
              </w:rPr>
            </w:pPr>
            <w:r>
              <w:rPr>
                <w:b/>
                <w:sz w:val="20"/>
              </w:rPr>
              <w:t>…</w:t>
            </w:r>
          </w:p>
        </w:tc>
      </w:tr>
      <w:tr>
        <w:trPr>
          <w:trHeight w:val="548" w:hRule="atLeast"/>
        </w:trPr>
        <w:tc>
          <w:tcPr>
            <w:tcW w:w="1871" w:type="dxa"/>
            <w:tcBorders>
              <w:right w:val="single" w:sz="8" w:space="0" w:color="000000"/>
            </w:tcBorders>
          </w:tcPr>
          <w:p>
            <w:pPr>
              <w:pStyle w:val="TableParagraph"/>
              <w:spacing w:line="222" w:lineRule="exact" w:before="0"/>
              <w:ind w:left="350" w:right="345"/>
              <w:jc w:val="center"/>
              <w:rPr>
                <w:b/>
                <w:sz w:val="20"/>
              </w:rPr>
            </w:pPr>
            <w:r>
              <w:rPr>
                <w:b/>
                <w:sz w:val="20"/>
              </w:rPr>
              <w:t>Opción 2</w:t>
            </w:r>
          </w:p>
        </w:tc>
        <w:tc>
          <w:tcPr>
            <w:tcW w:w="1866" w:type="dxa"/>
            <w:tcBorders>
              <w:left w:val="single" w:sz="8" w:space="0" w:color="000000"/>
            </w:tcBorders>
          </w:tcPr>
          <w:p>
            <w:pPr>
              <w:pStyle w:val="TableParagraph"/>
              <w:spacing w:line="222" w:lineRule="exact" w:before="0"/>
              <w:ind w:right="13"/>
              <w:jc w:val="center"/>
              <w:rPr>
                <w:b/>
                <w:sz w:val="20"/>
              </w:rPr>
            </w:pPr>
            <w:r>
              <w:rPr>
                <w:b/>
                <w:sz w:val="20"/>
              </w:rPr>
              <w:t>…</w:t>
            </w:r>
          </w:p>
        </w:tc>
        <w:tc>
          <w:tcPr>
            <w:tcW w:w="1871" w:type="dxa"/>
          </w:tcPr>
          <w:p>
            <w:pPr>
              <w:pStyle w:val="TableParagraph"/>
              <w:spacing w:line="222" w:lineRule="exact" w:before="0"/>
              <w:ind w:left="2"/>
              <w:jc w:val="center"/>
              <w:rPr>
                <w:b/>
                <w:sz w:val="20"/>
              </w:rPr>
            </w:pPr>
            <w:r>
              <w:rPr>
                <w:b/>
                <w:sz w:val="20"/>
              </w:rPr>
              <w:t>…</w:t>
            </w:r>
          </w:p>
        </w:tc>
        <w:tc>
          <w:tcPr>
            <w:tcW w:w="1871" w:type="dxa"/>
          </w:tcPr>
          <w:p>
            <w:pPr>
              <w:pStyle w:val="TableParagraph"/>
              <w:spacing w:line="222" w:lineRule="exact" w:before="0"/>
              <w:jc w:val="center"/>
              <w:rPr>
                <w:b/>
                <w:sz w:val="20"/>
              </w:rPr>
            </w:pPr>
            <w:r>
              <w:rPr>
                <w:b/>
                <w:sz w:val="20"/>
              </w:rPr>
              <w:t>…</w:t>
            </w:r>
          </w:p>
        </w:tc>
        <w:tc>
          <w:tcPr>
            <w:tcW w:w="1876" w:type="dxa"/>
            <w:tcBorders>
              <w:right w:val="single" w:sz="8" w:space="0" w:color="000000"/>
            </w:tcBorders>
          </w:tcPr>
          <w:p>
            <w:pPr>
              <w:pStyle w:val="TableParagraph"/>
              <w:spacing w:line="222" w:lineRule="exact" w:before="0"/>
              <w:ind w:left="5"/>
              <w:jc w:val="center"/>
              <w:rPr>
                <w:b/>
                <w:sz w:val="20"/>
              </w:rPr>
            </w:pPr>
            <w:r>
              <w:rPr>
                <w:b/>
                <w:sz w:val="20"/>
              </w:rPr>
              <w:t>…</w:t>
            </w:r>
          </w:p>
        </w:tc>
      </w:tr>
      <w:tr>
        <w:trPr>
          <w:trHeight w:val="543" w:hRule="atLeast"/>
        </w:trPr>
        <w:tc>
          <w:tcPr>
            <w:tcW w:w="1871" w:type="dxa"/>
            <w:tcBorders>
              <w:right w:val="single" w:sz="8" w:space="0" w:color="000000"/>
            </w:tcBorders>
          </w:tcPr>
          <w:p>
            <w:pPr>
              <w:pStyle w:val="TableParagraph"/>
              <w:spacing w:line="222" w:lineRule="exact" w:before="0"/>
              <w:ind w:left="350" w:right="345"/>
              <w:jc w:val="center"/>
              <w:rPr>
                <w:b/>
                <w:sz w:val="20"/>
              </w:rPr>
            </w:pPr>
            <w:r>
              <w:rPr>
                <w:b/>
                <w:sz w:val="20"/>
              </w:rPr>
              <w:t>Opción 3</w:t>
            </w:r>
          </w:p>
        </w:tc>
        <w:tc>
          <w:tcPr>
            <w:tcW w:w="1866" w:type="dxa"/>
            <w:tcBorders>
              <w:left w:val="single" w:sz="8" w:space="0" w:color="000000"/>
            </w:tcBorders>
            <w:shd w:val="clear" w:color="auto" w:fill="C0C0C0"/>
          </w:tcPr>
          <w:p>
            <w:pPr>
              <w:pStyle w:val="TableParagraph"/>
              <w:spacing w:line="222" w:lineRule="exact" w:before="0"/>
              <w:ind w:right="13"/>
              <w:jc w:val="center"/>
              <w:rPr>
                <w:b/>
                <w:sz w:val="20"/>
              </w:rPr>
            </w:pPr>
            <w:r>
              <w:rPr>
                <w:b/>
                <w:sz w:val="20"/>
              </w:rPr>
              <w:t>…</w:t>
            </w:r>
          </w:p>
        </w:tc>
        <w:tc>
          <w:tcPr>
            <w:tcW w:w="1871" w:type="dxa"/>
            <w:shd w:val="clear" w:color="auto" w:fill="C0C0C0"/>
          </w:tcPr>
          <w:p>
            <w:pPr>
              <w:pStyle w:val="TableParagraph"/>
              <w:spacing w:line="222" w:lineRule="exact" w:before="0"/>
              <w:ind w:left="2"/>
              <w:jc w:val="center"/>
              <w:rPr>
                <w:b/>
                <w:sz w:val="20"/>
              </w:rPr>
            </w:pPr>
            <w:r>
              <w:rPr>
                <w:b/>
                <w:sz w:val="20"/>
              </w:rPr>
              <w:t>…</w:t>
            </w:r>
          </w:p>
        </w:tc>
        <w:tc>
          <w:tcPr>
            <w:tcW w:w="1871" w:type="dxa"/>
            <w:shd w:val="clear" w:color="auto" w:fill="C0C0C0"/>
          </w:tcPr>
          <w:p>
            <w:pPr>
              <w:pStyle w:val="TableParagraph"/>
              <w:spacing w:line="222" w:lineRule="exact" w:before="0"/>
              <w:jc w:val="center"/>
              <w:rPr>
                <w:b/>
                <w:sz w:val="20"/>
              </w:rPr>
            </w:pPr>
            <w:r>
              <w:rPr>
                <w:b/>
                <w:sz w:val="20"/>
              </w:rPr>
              <w:t>…</w:t>
            </w:r>
          </w:p>
        </w:tc>
        <w:tc>
          <w:tcPr>
            <w:tcW w:w="1876" w:type="dxa"/>
            <w:tcBorders>
              <w:right w:val="single" w:sz="8" w:space="0" w:color="000000"/>
            </w:tcBorders>
            <w:shd w:val="clear" w:color="auto" w:fill="C0C0C0"/>
          </w:tcPr>
          <w:p>
            <w:pPr>
              <w:pStyle w:val="TableParagraph"/>
              <w:spacing w:line="222" w:lineRule="exact" w:before="0"/>
              <w:ind w:left="5"/>
              <w:jc w:val="center"/>
              <w:rPr>
                <w:b/>
                <w:sz w:val="20"/>
              </w:rPr>
            </w:pPr>
            <w:r>
              <w:rPr>
                <w:b/>
                <w:sz w:val="20"/>
              </w:rPr>
              <w:t>…</w:t>
            </w:r>
          </w:p>
        </w:tc>
      </w:tr>
      <w:tr>
        <w:trPr>
          <w:trHeight w:val="544" w:hRule="atLeast"/>
        </w:trPr>
        <w:tc>
          <w:tcPr>
            <w:tcW w:w="1871" w:type="dxa"/>
            <w:tcBorders>
              <w:right w:val="single" w:sz="8" w:space="0" w:color="000000"/>
            </w:tcBorders>
          </w:tcPr>
          <w:p>
            <w:pPr>
              <w:pStyle w:val="TableParagraph"/>
              <w:spacing w:line="222" w:lineRule="exact" w:before="0"/>
              <w:ind w:left="350" w:right="345"/>
              <w:jc w:val="center"/>
              <w:rPr>
                <w:b/>
                <w:sz w:val="20"/>
              </w:rPr>
            </w:pPr>
            <w:r>
              <w:rPr>
                <w:b/>
                <w:sz w:val="20"/>
              </w:rPr>
              <w:t>Opción 4</w:t>
            </w:r>
          </w:p>
        </w:tc>
        <w:tc>
          <w:tcPr>
            <w:tcW w:w="1866" w:type="dxa"/>
            <w:tcBorders>
              <w:left w:val="single" w:sz="8" w:space="0" w:color="000000"/>
            </w:tcBorders>
          </w:tcPr>
          <w:p>
            <w:pPr>
              <w:pStyle w:val="TableParagraph"/>
              <w:spacing w:line="222" w:lineRule="exact" w:before="0"/>
              <w:ind w:right="13"/>
              <w:jc w:val="center"/>
              <w:rPr>
                <w:b/>
                <w:sz w:val="20"/>
              </w:rPr>
            </w:pPr>
            <w:r>
              <w:rPr>
                <w:b/>
                <w:sz w:val="20"/>
              </w:rPr>
              <w:t>…</w:t>
            </w:r>
          </w:p>
        </w:tc>
        <w:tc>
          <w:tcPr>
            <w:tcW w:w="1871" w:type="dxa"/>
          </w:tcPr>
          <w:p>
            <w:pPr>
              <w:pStyle w:val="TableParagraph"/>
              <w:spacing w:line="222" w:lineRule="exact" w:before="0"/>
              <w:ind w:left="2"/>
              <w:jc w:val="center"/>
              <w:rPr>
                <w:b/>
                <w:sz w:val="20"/>
              </w:rPr>
            </w:pPr>
            <w:r>
              <w:rPr>
                <w:b/>
                <w:sz w:val="20"/>
              </w:rPr>
              <w:t>…</w:t>
            </w:r>
          </w:p>
        </w:tc>
        <w:tc>
          <w:tcPr>
            <w:tcW w:w="1871" w:type="dxa"/>
          </w:tcPr>
          <w:p>
            <w:pPr>
              <w:pStyle w:val="TableParagraph"/>
              <w:spacing w:line="222" w:lineRule="exact" w:before="0"/>
              <w:jc w:val="center"/>
              <w:rPr>
                <w:b/>
                <w:sz w:val="20"/>
              </w:rPr>
            </w:pPr>
            <w:r>
              <w:rPr>
                <w:b/>
                <w:sz w:val="20"/>
              </w:rPr>
              <w:t>…</w:t>
            </w:r>
          </w:p>
        </w:tc>
        <w:tc>
          <w:tcPr>
            <w:tcW w:w="1876" w:type="dxa"/>
            <w:tcBorders>
              <w:right w:val="single" w:sz="8" w:space="0" w:color="000000"/>
            </w:tcBorders>
          </w:tcPr>
          <w:p>
            <w:pPr>
              <w:pStyle w:val="TableParagraph"/>
              <w:spacing w:line="222" w:lineRule="exact" w:before="0"/>
              <w:ind w:left="5"/>
              <w:jc w:val="center"/>
              <w:rPr>
                <w:b/>
                <w:sz w:val="20"/>
              </w:rPr>
            </w:pPr>
            <w:r>
              <w:rPr>
                <w:b/>
                <w:sz w:val="20"/>
              </w:rPr>
              <w:t>…</w:t>
            </w:r>
          </w:p>
        </w:tc>
      </w:tr>
      <w:tr>
        <w:trPr>
          <w:trHeight w:val="543" w:hRule="atLeast"/>
        </w:trPr>
        <w:tc>
          <w:tcPr>
            <w:tcW w:w="1871" w:type="dxa"/>
            <w:tcBorders>
              <w:right w:val="single" w:sz="8" w:space="0" w:color="000000"/>
            </w:tcBorders>
          </w:tcPr>
          <w:p>
            <w:pPr>
              <w:pStyle w:val="TableParagraph"/>
              <w:spacing w:line="222" w:lineRule="exact" w:before="0"/>
              <w:ind w:left="352" w:right="345"/>
              <w:jc w:val="center"/>
              <w:rPr>
                <w:b/>
                <w:sz w:val="20"/>
              </w:rPr>
            </w:pPr>
            <w:r>
              <w:rPr>
                <w:b/>
                <w:sz w:val="20"/>
              </w:rPr>
              <w:t>…Opción m</w:t>
            </w:r>
          </w:p>
        </w:tc>
        <w:tc>
          <w:tcPr>
            <w:tcW w:w="1866" w:type="dxa"/>
            <w:tcBorders>
              <w:left w:val="single" w:sz="8" w:space="0" w:color="000000"/>
            </w:tcBorders>
            <w:shd w:val="clear" w:color="auto" w:fill="C0C0C0"/>
          </w:tcPr>
          <w:p>
            <w:pPr>
              <w:pStyle w:val="TableParagraph"/>
              <w:spacing w:line="222" w:lineRule="exact" w:before="0"/>
              <w:ind w:right="13"/>
              <w:jc w:val="center"/>
              <w:rPr>
                <w:b/>
                <w:sz w:val="20"/>
              </w:rPr>
            </w:pPr>
            <w:r>
              <w:rPr>
                <w:b/>
                <w:sz w:val="20"/>
              </w:rPr>
              <w:t>…</w:t>
            </w:r>
          </w:p>
        </w:tc>
        <w:tc>
          <w:tcPr>
            <w:tcW w:w="1871" w:type="dxa"/>
            <w:shd w:val="clear" w:color="auto" w:fill="C0C0C0"/>
          </w:tcPr>
          <w:p>
            <w:pPr>
              <w:pStyle w:val="TableParagraph"/>
              <w:spacing w:line="222" w:lineRule="exact" w:before="0"/>
              <w:ind w:left="2"/>
              <w:jc w:val="center"/>
              <w:rPr>
                <w:b/>
                <w:sz w:val="20"/>
              </w:rPr>
            </w:pPr>
            <w:r>
              <w:rPr>
                <w:b/>
                <w:sz w:val="20"/>
              </w:rPr>
              <w:t>…</w:t>
            </w:r>
          </w:p>
        </w:tc>
        <w:tc>
          <w:tcPr>
            <w:tcW w:w="1871" w:type="dxa"/>
            <w:shd w:val="clear" w:color="auto" w:fill="C0C0C0"/>
          </w:tcPr>
          <w:p>
            <w:pPr>
              <w:pStyle w:val="TableParagraph"/>
              <w:spacing w:line="222" w:lineRule="exact" w:before="0"/>
              <w:jc w:val="center"/>
              <w:rPr>
                <w:b/>
                <w:sz w:val="20"/>
              </w:rPr>
            </w:pPr>
            <w:r>
              <w:rPr>
                <w:b/>
                <w:sz w:val="20"/>
              </w:rPr>
              <w:t>…</w:t>
            </w:r>
          </w:p>
        </w:tc>
        <w:tc>
          <w:tcPr>
            <w:tcW w:w="1876" w:type="dxa"/>
            <w:tcBorders>
              <w:right w:val="single" w:sz="8" w:space="0" w:color="000000"/>
            </w:tcBorders>
            <w:shd w:val="clear" w:color="auto" w:fill="C0C0C0"/>
          </w:tcPr>
          <w:p>
            <w:pPr>
              <w:pStyle w:val="TableParagraph"/>
              <w:spacing w:line="222" w:lineRule="exact" w:before="0"/>
              <w:ind w:left="5"/>
              <w:jc w:val="center"/>
              <w:rPr>
                <w:b/>
                <w:sz w:val="20"/>
              </w:rPr>
            </w:pPr>
            <w:r>
              <w:rPr>
                <w:b/>
                <w:sz w:val="20"/>
              </w:rPr>
              <w:t>…</w:t>
            </w:r>
          </w:p>
        </w:tc>
      </w:tr>
    </w:tbl>
    <w:p>
      <w:pPr>
        <w:spacing w:after="0" w:line="222" w:lineRule="exact"/>
        <w:jc w:val="center"/>
        <w:rPr>
          <w:sz w:val="20"/>
        </w:rPr>
        <w:sectPr>
          <w:pgSz w:w="12240" w:h="15840"/>
          <w:pgMar w:header="0" w:footer="982" w:top="1360" w:bottom="1260" w:left="400" w:right="400"/>
        </w:sectPr>
      </w:pPr>
    </w:p>
    <w:p>
      <w:pPr>
        <w:pStyle w:val="BodyText"/>
        <w:rPr>
          <w:sz w:val="20"/>
        </w:rPr>
      </w:pPr>
    </w:p>
    <w:p>
      <w:pPr>
        <w:pStyle w:val="BodyText"/>
        <w:spacing w:before="10"/>
        <w:rPr>
          <w:sz w:val="19"/>
        </w:rPr>
      </w:pPr>
    </w:p>
    <w:p>
      <w:pPr>
        <w:pStyle w:val="BodyText"/>
        <w:spacing w:line="360" w:lineRule="auto" w:before="93"/>
        <w:ind w:left="1040" w:right="1040"/>
        <w:jc w:val="both"/>
      </w:pPr>
      <w:r>
        <w:rPr/>
        <w:t>Se</w:t>
      </w:r>
      <w:r>
        <w:rPr>
          <w:spacing w:val="-17"/>
        </w:rPr>
        <w:t> </w:t>
      </w:r>
      <w:r>
        <w:rPr/>
        <w:t>planteará</w:t>
      </w:r>
      <w:r>
        <w:rPr>
          <w:spacing w:val="-16"/>
        </w:rPr>
        <w:t> </w:t>
      </w:r>
      <w:r>
        <w:rPr/>
        <w:t>la</w:t>
      </w:r>
      <w:r>
        <w:rPr>
          <w:spacing w:val="-12"/>
        </w:rPr>
        <w:t> </w:t>
      </w:r>
      <w:r>
        <w:rPr/>
        <w:t>expresión</w:t>
      </w:r>
      <w:r>
        <w:rPr>
          <w:spacing w:val="-13"/>
        </w:rPr>
        <w:t> </w:t>
      </w:r>
      <w:r>
        <w:rPr/>
        <w:t>lexicográfica</w:t>
      </w:r>
      <w:r>
        <w:rPr>
          <w:spacing w:val="-12"/>
        </w:rPr>
        <w:t> </w:t>
      </w:r>
      <w:r>
        <w:rPr/>
        <w:t>de</w:t>
      </w:r>
      <w:r>
        <w:rPr>
          <w:spacing w:val="-17"/>
        </w:rPr>
        <w:t> </w:t>
      </w:r>
      <w:r>
        <w:rPr/>
        <w:t>las</w:t>
      </w:r>
      <w:r>
        <w:rPr>
          <w:spacing w:val="-10"/>
        </w:rPr>
        <w:t> </w:t>
      </w:r>
      <w:r>
        <w:rPr/>
        <w:t>preferencias</w:t>
      </w:r>
      <w:r>
        <w:rPr>
          <w:spacing w:val="-15"/>
        </w:rPr>
        <w:t> </w:t>
      </w:r>
      <w:r>
        <w:rPr/>
        <w:t>para</w:t>
      </w:r>
      <w:r>
        <w:rPr>
          <w:spacing w:val="-16"/>
        </w:rPr>
        <w:t> </w:t>
      </w:r>
      <w:r>
        <w:rPr/>
        <w:t>los</w:t>
      </w:r>
      <w:r>
        <w:rPr>
          <w:spacing w:val="-11"/>
        </w:rPr>
        <w:t> </w:t>
      </w:r>
      <w:r>
        <w:rPr/>
        <w:t>grupos</w:t>
      </w:r>
      <w:r>
        <w:rPr>
          <w:spacing w:val="-14"/>
        </w:rPr>
        <w:t> </w:t>
      </w:r>
      <w:r>
        <w:rPr/>
        <w:t>en</w:t>
      </w:r>
      <w:r>
        <w:rPr>
          <w:spacing w:val="-12"/>
        </w:rPr>
        <w:t> </w:t>
      </w:r>
      <w:r>
        <w:rPr/>
        <w:t>una</w:t>
      </w:r>
      <w:r>
        <w:rPr>
          <w:spacing w:val="-17"/>
        </w:rPr>
        <w:t> </w:t>
      </w:r>
      <w:r>
        <w:rPr/>
        <w:t>escala de 1 a 9 que exprese las preferencias de los actores. Para efectos de ordenación didáctica</w:t>
      </w:r>
      <w:r>
        <w:rPr>
          <w:spacing w:val="-17"/>
        </w:rPr>
        <w:t> </w:t>
      </w:r>
      <w:r>
        <w:rPr/>
        <w:t>y</w:t>
      </w:r>
      <w:r>
        <w:rPr>
          <w:spacing w:val="-22"/>
        </w:rPr>
        <w:t> </w:t>
      </w:r>
      <w:r>
        <w:rPr/>
        <w:t>exploración</w:t>
      </w:r>
      <w:r>
        <w:rPr>
          <w:spacing w:val="-21"/>
        </w:rPr>
        <w:t> </w:t>
      </w:r>
      <w:r>
        <w:rPr/>
        <w:t>de</w:t>
      </w:r>
      <w:r>
        <w:rPr>
          <w:spacing w:val="-16"/>
        </w:rPr>
        <w:t> </w:t>
      </w:r>
      <w:r>
        <w:rPr/>
        <w:t>alianzas</w:t>
      </w:r>
      <w:r>
        <w:rPr>
          <w:spacing w:val="-19"/>
        </w:rPr>
        <w:t> </w:t>
      </w:r>
      <w:r>
        <w:rPr/>
        <w:t>sociales,</w:t>
      </w:r>
      <w:r>
        <w:rPr>
          <w:spacing w:val="-17"/>
        </w:rPr>
        <w:t> </w:t>
      </w:r>
      <w:r>
        <w:rPr/>
        <w:t>se</w:t>
      </w:r>
      <w:r>
        <w:rPr>
          <w:spacing w:val="-17"/>
        </w:rPr>
        <w:t> </w:t>
      </w:r>
      <w:r>
        <w:rPr/>
        <w:t>propone</w:t>
      </w:r>
      <w:r>
        <w:rPr>
          <w:spacing w:val="-20"/>
        </w:rPr>
        <w:t> </w:t>
      </w:r>
      <w:r>
        <w:rPr/>
        <w:t>utilizar</w:t>
      </w:r>
      <w:r>
        <w:rPr>
          <w:spacing w:val="-19"/>
        </w:rPr>
        <w:t> </w:t>
      </w:r>
      <w:r>
        <w:rPr/>
        <w:t>la</w:t>
      </w:r>
      <w:r>
        <w:rPr>
          <w:spacing w:val="-20"/>
        </w:rPr>
        <w:t> </w:t>
      </w:r>
      <w:r>
        <w:rPr/>
        <w:t>herramienta</w:t>
      </w:r>
      <w:r>
        <w:rPr>
          <w:spacing w:val="-21"/>
        </w:rPr>
        <w:t> </w:t>
      </w:r>
      <w:r>
        <w:rPr/>
        <w:t>de</w:t>
      </w:r>
      <w:r>
        <w:rPr>
          <w:spacing w:val="-20"/>
        </w:rPr>
        <w:t> </w:t>
      </w:r>
      <w:r>
        <w:rPr/>
        <w:t>análisis multicriterial NAIADE (Novel Approach to Imprecise Assessment and Decision Environments</w:t>
      </w:r>
      <w:r>
        <w:rPr>
          <w:spacing w:val="-12"/>
        </w:rPr>
        <w:t> </w:t>
      </w:r>
      <w:r>
        <w:rPr/>
        <w:t>–</w:t>
      </w:r>
      <w:r>
        <w:rPr>
          <w:spacing w:val="-15"/>
        </w:rPr>
        <w:t> </w:t>
      </w:r>
      <w:r>
        <w:rPr/>
        <w:t>Enfoque</w:t>
      </w:r>
      <w:r>
        <w:rPr>
          <w:spacing w:val="-14"/>
        </w:rPr>
        <w:t> </w:t>
      </w:r>
      <w:r>
        <w:rPr/>
        <w:t>Novedoso</w:t>
      </w:r>
      <w:r>
        <w:rPr>
          <w:spacing w:val="-15"/>
        </w:rPr>
        <w:t> </w:t>
      </w:r>
      <w:r>
        <w:rPr/>
        <w:t>para</w:t>
      </w:r>
      <w:r>
        <w:rPr>
          <w:spacing w:val="-14"/>
        </w:rPr>
        <w:t> </w:t>
      </w:r>
      <w:r>
        <w:rPr/>
        <w:t>Ambientes</w:t>
      </w:r>
      <w:r>
        <w:rPr>
          <w:spacing w:val="-13"/>
        </w:rPr>
        <w:t> </w:t>
      </w:r>
      <w:r>
        <w:rPr/>
        <w:t>de</w:t>
      </w:r>
      <w:r>
        <w:rPr>
          <w:spacing w:val="-14"/>
        </w:rPr>
        <w:t> </w:t>
      </w:r>
      <w:r>
        <w:rPr/>
        <w:t>Evaluación</w:t>
      </w:r>
      <w:r>
        <w:rPr>
          <w:spacing w:val="-15"/>
        </w:rPr>
        <w:t> </w:t>
      </w:r>
      <w:r>
        <w:rPr/>
        <w:t>Imprecisa</w:t>
      </w:r>
      <w:r>
        <w:rPr>
          <w:spacing w:val="-11"/>
        </w:rPr>
        <w:t> </w:t>
      </w:r>
      <w:r>
        <w:rPr/>
        <w:t>y</w:t>
      </w:r>
      <w:r>
        <w:rPr>
          <w:spacing w:val="-16"/>
        </w:rPr>
        <w:t> </w:t>
      </w:r>
      <w:r>
        <w:rPr/>
        <w:t>Decisión) (Munda, 2006).</w:t>
      </w:r>
    </w:p>
    <w:p>
      <w:pPr>
        <w:pStyle w:val="BodyText"/>
        <w:spacing w:line="360" w:lineRule="auto" w:before="200"/>
        <w:ind w:left="1040" w:right="1040"/>
        <w:jc w:val="both"/>
      </w:pPr>
      <w:r>
        <w:rPr/>
        <w:t>Esta</w:t>
      </w:r>
      <w:r>
        <w:rPr>
          <w:spacing w:val="-12"/>
        </w:rPr>
        <w:t> </w:t>
      </w:r>
      <w:r>
        <w:rPr/>
        <w:t>herramienta</w:t>
      </w:r>
      <w:r>
        <w:rPr>
          <w:spacing w:val="-7"/>
        </w:rPr>
        <w:t> </w:t>
      </w:r>
      <w:r>
        <w:rPr/>
        <w:t>permite</w:t>
      </w:r>
      <w:r>
        <w:rPr>
          <w:spacing w:val="-8"/>
        </w:rPr>
        <w:t> </w:t>
      </w:r>
      <w:r>
        <w:rPr/>
        <w:t>ordenar</w:t>
      </w:r>
      <w:r>
        <w:rPr>
          <w:spacing w:val="-6"/>
        </w:rPr>
        <w:t> </w:t>
      </w:r>
      <w:r>
        <w:rPr/>
        <w:t>los</w:t>
      </w:r>
      <w:r>
        <w:rPr>
          <w:spacing w:val="-7"/>
        </w:rPr>
        <w:t> </w:t>
      </w:r>
      <w:r>
        <w:rPr/>
        <w:t>escenarios</w:t>
      </w:r>
      <w:r>
        <w:rPr>
          <w:spacing w:val="-6"/>
        </w:rPr>
        <w:t> </w:t>
      </w:r>
      <w:r>
        <w:rPr/>
        <w:t>de</w:t>
      </w:r>
      <w:r>
        <w:rPr>
          <w:spacing w:val="-12"/>
        </w:rPr>
        <w:t> </w:t>
      </w:r>
      <w:r>
        <w:rPr/>
        <w:t>acuerdo</w:t>
      </w:r>
      <w:r>
        <w:rPr>
          <w:spacing w:val="-12"/>
        </w:rPr>
        <w:t> </w:t>
      </w:r>
      <w:r>
        <w:rPr/>
        <w:t>con</w:t>
      </w:r>
      <w:r>
        <w:rPr>
          <w:spacing w:val="-12"/>
        </w:rPr>
        <w:t> </w:t>
      </w:r>
      <w:r>
        <w:rPr/>
        <w:t>su</w:t>
      </w:r>
      <w:r>
        <w:rPr>
          <w:spacing w:val="-12"/>
        </w:rPr>
        <w:t> </w:t>
      </w:r>
      <w:r>
        <w:rPr/>
        <w:t>desempeño</w:t>
      </w:r>
      <w:r>
        <w:rPr>
          <w:spacing w:val="-8"/>
        </w:rPr>
        <w:t> </w:t>
      </w:r>
      <w:r>
        <w:rPr/>
        <w:t>y</w:t>
      </w:r>
      <w:r>
        <w:rPr>
          <w:spacing w:val="-10"/>
        </w:rPr>
        <w:t> </w:t>
      </w:r>
      <w:r>
        <w:rPr/>
        <w:t>de</w:t>
      </w:r>
      <w:r>
        <w:rPr>
          <w:spacing w:val="-12"/>
        </w:rPr>
        <w:t> </w:t>
      </w:r>
      <w:r>
        <w:rPr/>
        <w:t>las preferencias</w:t>
      </w:r>
      <w:r>
        <w:rPr>
          <w:spacing w:val="-7"/>
        </w:rPr>
        <w:t> </w:t>
      </w:r>
      <w:r>
        <w:rPr/>
        <w:t>de</w:t>
      </w:r>
      <w:r>
        <w:rPr>
          <w:spacing w:val="-9"/>
        </w:rPr>
        <w:t> </w:t>
      </w:r>
      <w:r>
        <w:rPr/>
        <w:t>los</w:t>
      </w:r>
      <w:r>
        <w:rPr>
          <w:spacing w:val="-6"/>
        </w:rPr>
        <w:t> </w:t>
      </w:r>
      <w:r>
        <w:rPr/>
        <w:t>actores.</w:t>
      </w:r>
      <w:r>
        <w:rPr>
          <w:spacing w:val="-4"/>
        </w:rPr>
        <w:t> </w:t>
      </w:r>
      <w:r>
        <w:rPr/>
        <w:t>Asimismo,</w:t>
      </w:r>
      <w:r>
        <w:rPr>
          <w:spacing w:val="-5"/>
        </w:rPr>
        <w:t> </w:t>
      </w:r>
      <w:r>
        <w:rPr/>
        <w:t>permite,</w:t>
      </w:r>
      <w:r>
        <w:rPr>
          <w:spacing w:val="-6"/>
        </w:rPr>
        <w:t> </w:t>
      </w:r>
      <w:r>
        <w:rPr/>
        <w:t>con</w:t>
      </w:r>
      <w:r>
        <w:rPr>
          <w:spacing w:val="-8"/>
        </w:rPr>
        <w:t> </w:t>
      </w:r>
      <w:r>
        <w:rPr/>
        <w:t>el</w:t>
      </w:r>
      <w:r>
        <w:rPr>
          <w:spacing w:val="-8"/>
        </w:rPr>
        <w:t> </w:t>
      </w:r>
      <w:r>
        <w:rPr/>
        <w:t>fin</w:t>
      </w:r>
      <w:r>
        <w:rPr>
          <w:spacing w:val="-9"/>
        </w:rPr>
        <w:t> </w:t>
      </w:r>
      <w:r>
        <w:rPr/>
        <w:t>de</w:t>
      </w:r>
      <w:r>
        <w:rPr>
          <w:spacing w:val="-8"/>
        </w:rPr>
        <w:t> </w:t>
      </w:r>
      <w:r>
        <w:rPr/>
        <w:t>implementar</w:t>
      </w:r>
      <w:r>
        <w:rPr>
          <w:spacing w:val="-7"/>
        </w:rPr>
        <w:t> </w:t>
      </w:r>
      <w:r>
        <w:rPr/>
        <w:t>los</w:t>
      </w:r>
      <w:r>
        <w:rPr>
          <w:spacing w:val="-6"/>
        </w:rPr>
        <w:t> </w:t>
      </w:r>
      <w:r>
        <w:rPr/>
        <w:t>escenarios preferentes,</w:t>
      </w:r>
      <w:r>
        <w:rPr>
          <w:spacing w:val="-10"/>
        </w:rPr>
        <w:t> </w:t>
      </w:r>
      <w:r>
        <w:rPr/>
        <w:t>determinar</w:t>
      </w:r>
      <w:r>
        <w:rPr>
          <w:spacing w:val="-11"/>
        </w:rPr>
        <w:t> </w:t>
      </w:r>
      <w:r>
        <w:rPr/>
        <w:t>la</w:t>
      </w:r>
      <w:r>
        <w:rPr>
          <w:spacing w:val="-13"/>
        </w:rPr>
        <w:t> </w:t>
      </w:r>
      <w:r>
        <w:rPr/>
        <w:t>cercanía</w:t>
      </w:r>
      <w:r>
        <w:rPr>
          <w:spacing w:val="-8"/>
        </w:rPr>
        <w:t> </w:t>
      </w:r>
      <w:r>
        <w:rPr/>
        <w:t>entre</w:t>
      </w:r>
      <w:r>
        <w:rPr>
          <w:spacing w:val="-13"/>
        </w:rPr>
        <w:t> </w:t>
      </w:r>
      <w:r>
        <w:rPr/>
        <w:t>los</w:t>
      </w:r>
      <w:r>
        <w:rPr>
          <w:spacing w:val="-11"/>
        </w:rPr>
        <w:t> </w:t>
      </w:r>
      <w:r>
        <w:rPr/>
        <w:t>diferentes</w:t>
      </w:r>
      <w:r>
        <w:rPr>
          <w:spacing w:val="-10"/>
        </w:rPr>
        <w:t> </w:t>
      </w:r>
      <w:r>
        <w:rPr/>
        <w:t>actores</w:t>
      </w:r>
      <w:r>
        <w:rPr>
          <w:spacing w:val="-11"/>
        </w:rPr>
        <w:t> </w:t>
      </w:r>
      <w:r>
        <w:rPr/>
        <w:t>sociales</w:t>
      </w:r>
      <w:r>
        <w:rPr>
          <w:spacing w:val="-11"/>
        </w:rPr>
        <w:t> </w:t>
      </w:r>
      <w:r>
        <w:rPr/>
        <w:t>con</w:t>
      </w:r>
      <w:r>
        <w:rPr>
          <w:spacing w:val="-9"/>
        </w:rPr>
        <w:t> </w:t>
      </w:r>
      <w:r>
        <w:rPr/>
        <w:t>base</w:t>
      </w:r>
      <w:r>
        <w:rPr>
          <w:spacing w:val="-12"/>
        </w:rPr>
        <w:t> </w:t>
      </w:r>
      <w:r>
        <w:rPr/>
        <w:t>en</w:t>
      </w:r>
      <w:r>
        <w:rPr>
          <w:spacing w:val="-13"/>
        </w:rPr>
        <w:t> </w:t>
      </w:r>
      <w:r>
        <w:rPr/>
        <w:t>sus expresiones de preferencias (Figura</w:t>
      </w:r>
      <w:r>
        <w:rPr>
          <w:spacing w:val="5"/>
        </w:rPr>
        <w:t> </w:t>
      </w:r>
      <w:r>
        <w:rPr/>
        <w:t>30).</w:t>
      </w:r>
    </w:p>
    <w:p>
      <w:pPr>
        <w:pStyle w:val="BodyText"/>
        <w:spacing w:line="360" w:lineRule="auto" w:before="201" w:after="2"/>
        <w:ind w:left="1040" w:right="1041"/>
        <w:jc w:val="both"/>
      </w:pPr>
      <w:r>
        <w:rPr/>
        <w:t>La Figura 30 nos presenta un ejemplo de los resultados de NAIADE en el cual se evaluaron tres escenarios llamados Optimista, Tendencial y Pesimista (Panel Izquierdo) para combatir la degradación de los suelos en Panamá. Se puede observar en el panel derecho la cercanía entre las expresiones de preferencias de los diversos grupos de actores en ese proceso (CONALSED – Instituciones de la Comisión Nacional de Lucha contra la Sequía y la Desertificación, otras instituciones, ONGs y representantes del sector productivo (Aguilar, et al.,</w:t>
      </w:r>
      <w:r>
        <w:rPr>
          <w:spacing w:val="4"/>
        </w:rPr>
        <w:t> </w:t>
      </w:r>
      <w:r>
        <w:rPr/>
        <w:t>2013b).</w:t>
      </w:r>
    </w:p>
    <w:p>
      <w:pPr>
        <w:pStyle w:val="BodyText"/>
        <w:ind w:left="1349"/>
        <w:rPr>
          <w:sz w:val="20"/>
        </w:rPr>
      </w:pPr>
      <w:r>
        <w:rPr>
          <w:sz w:val="20"/>
        </w:rPr>
        <w:drawing>
          <wp:inline distT="0" distB="0" distL="0" distR="0">
            <wp:extent cx="5564233" cy="2499360"/>
            <wp:effectExtent l="0" t="0" r="0" b="0"/>
            <wp:docPr id="71" name="image61.jpeg"/>
            <wp:cNvGraphicFramePr>
              <a:graphicFrameLocks noChangeAspect="1"/>
            </wp:cNvGraphicFramePr>
            <a:graphic>
              <a:graphicData uri="http://schemas.openxmlformats.org/drawingml/2006/picture">
                <pic:pic>
                  <pic:nvPicPr>
                    <pic:cNvPr id="72" name="image61.jpeg"/>
                    <pic:cNvPicPr/>
                  </pic:nvPicPr>
                  <pic:blipFill>
                    <a:blip r:embed="rId94" cstate="print"/>
                    <a:stretch>
                      <a:fillRect/>
                    </a:stretch>
                  </pic:blipFill>
                  <pic:spPr>
                    <a:xfrm>
                      <a:off x="0" y="0"/>
                      <a:ext cx="5564233" cy="2499360"/>
                    </a:xfrm>
                    <a:prstGeom prst="rect">
                      <a:avLst/>
                    </a:prstGeom>
                  </pic:spPr>
                </pic:pic>
              </a:graphicData>
            </a:graphic>
          </wp:inline>
        </w:drawing>
      </w:r>
      <w:r>
        <w:rPr>
          <w:sz w:val="20"/>
        </w:rPr>
      </w:r>
    </w:p>
    <w:p>
      <w:pPr>
        <w:pStyle w:val="BodyText"/>
        <w:spacing w:before="9"/>
        <w:rPr>
          <w:sz w:val="28"/>
        </w:rPr>
      </w:pPr>
    </w:p>
    <w:p>
      <w:pPr>
        <w:spacing w:before="1"/>
        <w:ind w:left="4425" w:right="2602" w:hanging="1617"/>
        <w:jc w:val="left"/>
        <w:rPr>
          <w:i/>
          <w:sz w:val="20"/>
        </w:rPr>
      </w:pPr>
      <w:bookmarkStart w:name="_bookmark58" w:id="79"/>
      <w:bookmarkEnd w:id="79"/>
      <w:r>
        <w:rPr/>
      </w:r>
      <w:r>
        <w:rPr>
          <w:i/>
          <w:sz w:val="20"/>
        </w:rPr>
        <w:t>Figura 30- Ejemplo de Resultados de Procesamiento de NAIADE. </w:t>
      </w:r>
      <w:r>
        <w:rPr>
          <w:i/>
          <w:sz w:val="20"/>
        </w:rPr>
        <w:t>Fuente: Aguilar et. al (2013b)</w:t>
      </w:r>
    </w:p>
    <w:p>
      <w:pPr>
        <w:spacing w:after="0"/>
        <w:jc w:val="left"/>
        <w:rPr>
          <w:sz w:val="20"/>
        </w:rPr>
        <w:sectPr>
          <w:pgSz w:w="12240" w:h="15840"/>
          <w:pgMar w:header="0" w:footer="982" w:top="1500" w:bottom="1260" w:left="400" w:right="400"/>
        </w:sectPr>
      </w:pPr>
    </w:p>
    <w:p>
      <w:pPr>
        <w:pStyle w:val="Heading2"/>
        <w:numPr>
          <w:ilvl w:val="0"/>
          <w:numId w:val="8"/>
        </w:numPr>
        <w:tabs>
          <w:tab w:pos="1761" w:val="left" w:leader="none"/>
        </w:tabs>
        <w:spacing w:line="240" w:lineRule="auto" w:before="75" w:after="0"/>
        <w:ind w:left="1760" w:right="0" w:hanging="721"/>
        <w:jc w:val="both"/>
      </w:pPr>
      <w:bookmarkStart w:name="_bookmark59" w:id="80"/>
      <w:bookmarkEnd w:id="80"/>
      <w:r>
        <w:rPr>
          <w:b w:val="0"/>
        </w:rPr>
      </w:r>
      <w:bookmarkStart w:name="_bookmark59" w:id="81"/>
      <w:bookmarkEnd w:id="81"/>
      <w:r>
        <w:rPr/>
        <w:t>B</w:t>
      </w:r>
      <w:r>
        <w:rPr/>
        <w:t>reve</w:t>
      </w:r>
      <w:r>
        <w:rPr>
          <w:spacing w:val="-1"/>
        </w:rPr>
        <w:t> </w:t>
      </w:r>
      <w:r>
        <w:rPr/>
        <w:t>Discusión</w:t>
      </w:r>
    </w:p>
    <w:p>
      <w:pPr>
        <w:pStyle w:val="BodyText"/>
        <w:spacing w:line="360" w:lineRule="auto" w:before="200"/>
        <w:ind w:left="1040" w:right="1034"/>
        <w:jc w:val="both"/>
      </w:pPr>
      <w:r>
        <w:rPr/>
        <w:t>En un estudio antecedente se realizó una estimación del valor monetario anual de los servicios</w:t>
      </w:r>
      <w:r>
        <w:rPr>
          <w:spacing w:val="-6"/>
        </w:rPr>
        <w:t> </w:t>
      </w:r>
      <w:r>
        <w:rPr/>
        <w:t>ecosistémicos</w:t>
      </w:r>
      <w:r>
        <w:rPr>
          <w:spacing w:val="-3"/>
        </w:rPr>
        <w:t> </w:t>
      </w:r>
      <w:r>
        <w:rPr/>
        <w:t>que</w:t>
      </w:r>
      <w:r>
        <w:rPr>
          <w:spacing w:val="-7"/>
        </w:rPr>
        <w:t> </w:t>
      </w:r>
      <w:r>
        <w:rPr/>
        <w:t>se</w:t>
      </w:r>
      <w:r>
        <w:rPr>
          <w:spacing w:val="-8"/>
        </w:rPr>
        <w:t> </w:t>
      </w:r>
      <w:r>
        <w:rPr/>
        <w:t>producen</w:t>
      </w:r>
      <w:r>
        <w:rPr>
          <w:spacing w:val="-5"/>
        </w:rPr>
        <w:t> </w:t>
      </w:r>
      <w:r>
        <w:rPr/>
        <w:t>en</w:t>
      </w:r>
      <w:r>
        <w:rPr>
          <w:spacing w:val="-4"/>
        </w:rPr>
        <w:t> </w:t>
      </w:r>
      <w:r>
        <w:rPr/>
        <w:t>la</w:t>
      </w:r>
      <w:r>
        <w:rPr>
          <w:spacing w:val="-8"/>
        </w:rPr>
        <w:t> </w:t>
      </w:r>
      <w:r>
        <w:rPr/>
        <w:t>ZPLC</w:t>
      </w:r>
      <w:r>
        <w:rPr>
          <w:spacing w:val="-7"/>
        </w:rPr>
        <w:t> </w:t>
      </w:r>
      <w:r>
        <w:rPr/>
        <w:t>usando</w:t>
      </w:r>
      <w:r>
        <w:rPr>
          <w:spacing w:val="-4"/>
        </w:rPr>
        <w:t> </w:t>
      </w:r>
      <w:r>
        <w:rPr/>
        <w:t>el</w:t>
      </w:r>
      <w:r>
        <w:rPr>
          <w:spacing w:val="-4"/>
        </w:rPr>
        <w:t> </w:t>
      </w:r>
      <w:r>
        <w:rPr/>
        <w:t>método</w:t>
      </w:r>
      <w:r>
        <w:rPr>
          <w:spacing w:val="-4"/>
        </w:rPr>
        <w:t> </w:t>
      </w:r>
      <w:r>
        <w:rPr/>
        <w:t>de</w:t>
      </w:r>
      <w:r>
        <w:rPr>
          <w:spacing w:val="-8"/>
        </w:rPr>
        <w:t> </w:t>
      </w:r>
      <w:r>
        <w:rPr/>
        <w:t>transferencia del valor y la base de estudios de la ONG estadounidense Earth Economics. Se estimó con base en las hectáreas por uso de la tierra reportadas en el Plan de Manejo de la ZPLC</w:t>
      </w:r>
      <w:r>
        <w:rPr>
          <w:spacing w:val="-16"/>
        </w:rPr>
        <w:t> </w:t>
      </w:r>
      <w:r>
        <w:rPr/>
        <w:t>(Cuadro</w:t>
      </w:r>
      <w:r>
        <w:rPr>
          <w:spacing w:val="-16"/>
        </w:rPr>
        <w:t> </w:t>
      </w:r>
      <w:r>
        <w:rPr/>
        <w:t>22).</w:t>
      </w:r>
      <w:r>
        <w:rPr>
          <w:spacing w:val="-14"/>
        </w:rPr>
        <w:t> </w:t>
      </w:r>
      <w:r>
        <w:rPr/>
        <w:t>Según</w:t>
      </w:r>
      <w:r>
        <w:rPr>
          <w:spacing w:val="-16"/>
        </w:rPr>
        <w:t> </w:t>
      </w:r>
      <w:r>
        <w:rPr/>
        <w:t>éstos</w:t>
      </w:r>
      <w:r>
        <w:rPr>
          <w:spacing w:val="-15"/>
        </w:rPr>
        <w:t> </w:t>
      </w:r>
      <w:r>
        <w:rPr/>
        <w:t>resultados,</w:t>
      </w:r>
      <w:r>
        <w:rPr>
          <w:spacing w:val="-14"/>
        </w:rPr>
        <w:t> </w:t>
      </w:r>
      <w:r>
        <w:rPr/>
        <w:t>el</w:t>
      </w:r>
      <w:r>
        <w:rPr>
          <w:spacing w:val="-15"/>
        </w:rPr>
        <w:t> </w:t>
      </w:r>
      <w:r>
        <w:rPr/>
        <w:t>valor</w:t>
      </w:r>
      <w:r>
        <w:rPr>
          <w:spacing w:val="-15"/>
        </w:rPr>
        <w:t> </w:t>
      </w:r>
      <w:r>
        <w:rPr/>
        <w:t>monetario</w:t>
      </w:r>
      <w:r>
        <w:rPr>
          <w:spacing w:val="-16"/>
        </w:rPr>
        <w:t> </w:t>
      </w:r>
      <w:r>
        <w:rPr/>
        <w:t>total</w:t>
      </w:r>
      <w:r>
        <w:rPr>
          <w:spacing w:val="-16"/>
        </w:rPr>
        <w:t> </w:t>
      </w:r>
      <w:r>
        <w:rPr/>
        <w:t>anual</w:t>
      </w:r>
      <w:r>
        <w:rPr>
          <w:spacing w:val="-16"/>
        </w:rPr>
        <w:t> </w:t>
      </w:r>
      <w:r>
        <w:rPr/>
        <w:t>de</w:t>
      </w:r>
      <w:r>
        <w:rPr>
          <w:spacing w:val="-13"/>
        </w:rPr>
        <w:t> </w:t>
      </w:r>
      <w:r>
        <w:rPr/>
        <w:t>los</w:t>
      </w:r>
      <w:r>
        <w:rPr>
          <w:spacing w:val="-14"/>
        </w:rPr>
        <w:t> </w:t>
      </w:r>
      <w:r>
        <w:rPr/>
        <w:t>servicios ambientales de la ZPLC se puede estimar en un rango entre $1,4 y $4,8 millones de dólares al</w:t>
      </w:r>
      <w:r>
        <w:rPr>
          <w:spacing w:val="-1"/>
        </w:rPr>
        <w:t> </w:t>
      </w:r>
      <w:r>
        <w:rPr/>
        <w:t>año.</w:t>
      </w:r>
    </w:p>
    <w:p>
      <w:pPr>
        <w:spacing w:before="201"/>
        <w:ind w:left="1094" w:right="1099" w:firstLine="0"/>
        <w:jc w:val="center"/>
        <w:rPr>
          <w:i/>
          <w:sz w:val="20"/>
        </w:rPr>
      </w:pPr>
      <w:bookmarkStart w:name="_bookmark60" w:id="82"/>
      <w:bookmarkEnd w:id="82"/>
      <w:r>
        <w:rPr/>
      </w:r>
      <w:r>
        <w:rPr>
          <w:i/>
          <w:sz w:val="20"/>
        </w:rPr>
        <w:t>Cuadro 22- Estimación de los Servicios Ambientales Generados Anualmente en la Zona Protectora La </w:t>
      </w:r>
      <w:r>
        <w:rPr>
          <w:i/>
          <w:sz w:val="20"/>
        </w:rPr>
        <w:t>Carpintera.</w:t>
      </w:r>
    </w:p>
    <w:p>
      <w:pPr>
        <w:spacing w:before="0"/>
        <w:ind w:left="1096" w:right="1099" w:firstLine="0"/>
        <w:jc w:val="center"/>
        <w:rPr>
          <w:i/>
          <w:sz w:val="20"/>
        </w:rPr>
      </w:pPr>
      <w:r>
        <w:rPr>
          <w:i/>
          <w:sz w:val="20"/>
        </w:rPr>
        <w:t>Fuente: Aguilar González (2015).</w:t>
      </w:r>
    </w:p>
    <w:p>
      <w:pPr>
        <w:pStyle w:val="BodyText"/>
        <w:spacing w:before="5"/>
        <w:rPr>
          <w:i/>
          <w:sz w:val="28"/>
        </w:rPr>
      </w:pPr>
    </w:p>
    <w:tbl>
      <w:tblPr>
        <w:tblW w:w="0" w:type="auto"/>
        <w:jc w:val="left"/>
        <w:tblInd w:w="1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06"/>
        <w:gridCol w:w="1253"/>
        <w:gridCol w:w="1275"/>
        <w:gridCol w:w="1362"/>
        <w:gridCol w:w="1578"/>
        <w:gridCol w:w="2260"/>
      </w:tblGrid>
      <w:tr>
        <w:trPr>
          <w:trHeight w:val="582" w:hRule="atLeast"/>
        </w:trPr>
        <w:tc>
          <w:tcPr>
            <w:tcW w:w="2106" w:type="dxa"/>
            <w:shd w:val="clear" w:color="auto" w:fill="000000"/>
          </w:tcPr>
          <w:p>
            <w:pPr>
              <w:pStyle w:val="TableParagraph"/>
              <w:spacing w:line="360" w:lineRule="auto" w:before="8"/>
              <w:ind w:left="115" w:right="570"/>
              <w:jc w:val="left"/>
              <w:rPr>
                <w:b/>
                <w:sz w:val="16"/>
              </w:rPr>
            </w:pPr>
            <w:r>
              <w:rPr>
                <w:b/>
                <w:color w:val="FFFFFF"/>
                <w:sz w:val="16"/>
              </w:rPr>
              <w:t>Datos de Uso de La Tierra</w:t>
            </w:r>
          </w:p>
        </w:tc>
        <w:tc>
          <w:tcPr>
            <w:tcW w:w="1253" w:type="dxa"/>
            <w:shd w:val="clear" w:color="auto" w:fill="000000"/>
          </w:tcPr>
          <w:p>
            <w:pPr>
              <w:pStyle w:val="TableParagraph"/>
              <w:spacing w:line="240" w:lineRule="auto" w:before="0"/>
              <w:jc w:val="left"/>
              <w:rPr>
                <w:rFonts w:ascii="Times New Roman"/>
                <w:sz w:val="20"/>
              </w:rPr>
            </w:pPr>
          </w:p>
        </w:tc>
        <w:tc>
          <w:tcPr>
            <w:tcW w:w="2637" w:type="dxa"/>
            <w:gridSpan w:val="2"/>
            <w:shd w:val="clear" w:color="auto" w:fill="000000"/>
          </w:tcPr>
          <w:p>
            <w:pPr>
              <w:pStyle w:val="TableParagraph"/>
              <w:spacing w:line="360" w:lineRule="auto" w:before="8"/>
              <w:ind w:left="1018" w:hanging="569"/>
              <w:jc w:val="left"/>
              <w:rPr>
                <w:sz w:val="16"/>
              </w:rPr>
            </w:pPr>
            <w:r>
              <w:rPr>
                <w:color w:val="FFFFFF"/>
                <w:sz w:val="16"/>
              </w:rPr>
              <w:t>Valores Bajos y Altos por Hectárea</w:t>
            </w:r>
          </w:p>
        </w:tc>
        <w:tc>
          <w:tcPr>
            <w:tcW w:w="3838" w:type="dxa"/>
            <w:gridSpan w:val="2"/>
            <w:shd w:val="clear" w:color="auto" w:fill="000000"/>
          </w:tcPr>
          <w:p>
            <w:pPr>
              <w:pStyle w:val="TableParagraph"/>
              <w:spacing w:line="240" w:lineRule="auto" w:before="8"/>
              <w:ind w:left="654"/>
              <w:jc w:val="left"/>
              <w:rPr>
                <w:sz w:val="16"/>
              </w:rPr>
            </w:pPr>
            <w:r>
              <w:rPr>
                <w:color w:val="FFFFFF"/>
                <w:sz w:val="16"/>
              </w:rPr>
              <w:t>Valores Altos y Bajos con Hectáreas</w:t>
            </w:r>
          </w:p>
        </w:tc>
      </w:tr>
      <w:tr>
        <w:trPr>
          <w:trHeight w:val="340" w:hRule="atLeast"/>
        </w:trPr>
        <w:tc>
          <w:tcPr>
            <w:tcW w:w="2106" w:type="dxa"/>
            <w:tcBorders>
              <w:left w:val="single" w:sz="8" w:space="0" w:color="000000"/>
              <w:bottom w:val="single" w:sz="8" w:space="0" w:color="000000"/>
            </w:tcBorders>
          </w:tcPr>
          <w:p>
            <w:pPr>
              <w:pStyle w:val="TableParagraph"/>
              <w:spacing w:line="240" w:lineRule="auto" w:before="0"/>
              <w:jc w:val="left"/>
              <w:rPr>
                <w:rFonts w:ascii="Times New Roman"/>
                <w:sz w:val="20"/>
              </w:rPr>
            </w:pPr>
          </w:p>
        </w:tc>
        <w:tc>
          <w:tcPr>
            <w:tcW w:w="1253" w:type="dxa"/>
            <w:tcBorders>
              <w:bottom w:val="single" w:sz="8" w:space="0" w:color="000000"/>
            </w:tcBorders>
          </w:tcPr>
          <w:p>
            <w:pPr>
              <w:pStyle w:val="TableParagraph"/>
              <w:spacing w:line="182" w:lineRule="exact" w:before="0"/>
              <w:ind w:left="74" w:right="107"/>
              <w:jc w:val="center"/>
              <w:rPr>
                <w:b/>
                <w:sz w:val="16"/>
              </w:rPr>
            </w:pPr>
            <w:r>
              <w:rPr>
                <w:b/>
                <w:sz w:val="16"/>
              </w:rPr>
              <w:t>Area Total Ha</w:t>
            </w:r>
          </w:p>
        </w:tc>
        <w:tc>
          <w:tcPr>
            <w:tcW w:w="1275" w:type="dxa"/>
            <w:tcBorders>
              <w:bottom w:val="single" w:sz="8" w:space="0" w:color="000000"/>
            </w:tcBorders>
          </w:tcPr>
          <w:p>
            <w:pPr>
              <w:pStyle w:val="TableParagraph"/>
              <w:spacing w:line="182" w:lineRule="exact" w:before="0"/>
              <w:ind w:left="534"/>
              <w:jc w:val="left"/>
              <w:rPr>
                <w:b/>
                <w:i/>
                <w:sz w:val="16"/>
              </w:rPr>
            </w:pPr>
            <w:r>
              <w:rPr>
                <w:b/>
                <w:i/>
                <w:sz w:val="16"/>
              </w:rPr>
              <w:t>Bajo</w:t>
            </w:r>
          </w:p>
        </w:tc>
        <w:tc>
          <w:tcPr>
            <w:tcW w:w="1362" w:type="dxa"/>
            <w:tcBorders>
              <w:bottom w:val="single" w:sz="8" w:space="0" w:color="000000"/>
            </w:tcBorders>
          </w:tcPr>
          <w:p>
            <w:pPr>
              <w:pStyle w:val="TableParagraph"/>
              <w:spacing w:line="182" w:lineRule="exact" w:before="0"/>
              <w:ind w:left="623"/>
              <w:jc w:val="left"/>
              <w:rPr>
                <w:b/>
                <w:i/>
                <w:sz w:val="16"/>
              </w:rPr>
            </w:pPr>
            <w:r>
              <w:rPr>
                <w:b/>
                <w:i/>
                <w:sz w:val="16"/>
              </w:rPr>
              <w:t>Alto</w:t>
            </w:r>
          </w:p>
        </w:tc>
        <w:tc>
          <w:tcPr>
            <w:tcW w:w="1578" w:type="dxa"/>
            <w:tcBorders>
              <w:bottom w:val="single" w:sz="8" w:space="0" w:color="000000"/>
            </w:tcBorders>
          </w:tcPr>
          <w:p>
            <w:pPr>
              <w:pStyle w:val="TableParagraph"/>
              <w:spacing w:line="182" w:lineRule="exact" w:before="0"/>
              <w:ind w:left="730"/>
              <w:jc w:val="left"/>
              <w:rPr>
                <w:b/>
                <w:i/>
                <w:sz w:val="16"/>
              </w:rPr>
            </w:pPr>
            <w:r>
              <w:rPr>
                <w:b/>
                <w:i/>
                <w:sz w:val="16"/>
              </w:rPr>
              <w:t>Bajo</w:t>
            </w:r>
          </w:p>
        </w:tc>
        <w:tc>
          <w:tcPr>
            <w:tcW w:w="2260" w:type="dxa"/>
            <w:tcBorders>
              <w:bottom w:val="single" w:sz="8" w:space="0" w:color="000000"/>
              <w:right w:val="single" w:sz="8" w:space="0" w:color="000000"/>
            </w:tcBorders>
          </w:tcPr>
          <w:p>
            <w:pPr>
              <w:pStyle w:val="TableParagraph"/>
              <w:spacing w:line="182" w:lineRule="exact" w:before="0"/>
              <w:ind w:left="1043" w:right="855"/>
              <w:jc w:val="center"/>
              <w:rPr>
                <w:b/>
                <w:i/>
                <w:sz w:val="16"/>
              </w:rPr>
            </w:pPr>
            <w:r>
              <w:rPr>
                <w:b/>
                <w:i/>
                <w:sz w:val="16"/>
              </w:rPr>
              <w:t>Alto</w:t>
            </w:r>
          </w:p>
        </w:tc>
      </w:tr>
      <w:tr>
        <w:trPr>
          <w:trHeight w:val="295" w:hRule="atLeast"/>
        </w:trPr>
        <w:tc>
          <w:tcPr>
            <w:tcW w:w="2106" w:type="dxa"/>
            <w:tcBorders>
              <w:top w:val="single" w:sz="8" w:space="0" w:color="000000"/>
              <w:left w:val="single" w:sz="8" w:space="0" w:color="000000"/>
              <w:bottom w:val="single" w:sz="12" w:space="0" w:color="000000"/>
            </w:tcBorders>
          </w:tcPr>
          <w:p>
            <w:pPr>
              <w:pStyle w:val="TableParagraph"/>
              <w:spacing w:line="182" w:lineRule="exact" w:before="0"/>
              <w:ind w:left="105"/>
              <w:jc w:val="left"/>
              <w:rPr>
                <w:sz w:val="16"/>
              </w:rPr>
            </w:pPr>
            <w:r>
              <w:rPr>
                <w:sz w:val="16"/>
              </w:rPr>
              <w:t>Bosque Tropical</w:t>
            </w:r>
          </w:p>
        </w:tc>
        <w:tc>
          <w:tcPr>
            <w:tcW w:w="1253" w:type="dxa"/>
            <w:tcBorders>
              <w:top w:val="single" w:sz="8" w:space="0" w:color="000000"/>
              <w:bottom w:val="single" w:sz="12" w:space="0" w:color="000000"/>
            </w:tcBorders>
          </w:tcPr>
          <w:p>
            <w:pPr>
              <w:pStyle w:val="TableParagraph"/>
              <w:spacing w:line="182" w:lineRule="exact" w:before="0"/>
              <w:ind w:left="74" w:right="102"/>
              <w:jc w:val="center"/>
              <w:rPr>
                <w:sz w:val="16"/>
              </w:rPr>
            </w:pPr>
            <w:r>
              <w:rPr>
                <w:sz w:val="16"/>
              </w:rPr>
              <w:t>812</w:t>
            </w:r>
          </w:p>
        </w:tc>
        <w:tc>
          <w:tcPr>
            <w:tcW w:w="1275" w:type="dxa"/>
            <w:tcBorders>
              <w:top w:val="single" w:sz="8" w:space="0" w:color="000000"/>
              <w:bottom w:val="single" w:sz="12" w:space="0" w:color="000000"/>
            </w:tcBorders>
          </w:tcPr>
          <w:p>
            <w:pPr>
              <w:pStyle w:val="TableParagraph"/>
              <w:spacing w:line="182" w:lineRule="exact" w:before="0"/>
              <w:ind w:left="150"/>
              <w:jc w:val="left"/>
              <w:rPr>
                <w:sz w:val="16"/>
              </w:rPr>
            </w:pPr>
            <w:r>
              <w:rPr>
                <w:sz w:val="16"/>
              </w:rPr>
              <w:t>$ 1.668,54</w:t>
            </w:r>
          </w:p>
        </w:tc>
        <w:tc>
          <w:tcPr>
            <w:tcW w:w="1362" w:type="dxa"/>
            <w:tcBorders>
              <w:top w:val="single" w:sz="8" w:space="0" w:color="000000"/>
              <w:bottom w:val="single" w:sz="12" w:space="0" w:color="000000"/>
            </w:tcBorders>
          </w:tcPr>
          <w:p>
            <w:pPr>
              <w:pStyle w:val="TableParagraph"/>
              <w:spacing w:line="182" w:lineRule="exact" w:before="0"/>
              <w:ind w:left="295"/>
              <w:jc w:val="left"/>
              <w:rPr>
                <w:sz w:val="16"/>
              </w:rPr>
            </w:pPr>
            <w:r>
              <w:rPr>
                <w:sz w:val="16"/>
              </w:rPr>
              <w:t>$ 5.510,35</w:t>
            </w:r>
          </w:p>
        </w:tc>
        <w:tc>
          <w:tcPr>
            <w:tcW w:w="1578" w:type="dxa"/>
            <w:tcBorders>
              <w:top w:val="single" w:sz="8" w:space="0" w:color="000000"/>
              <w:bottom w:val="single" w:sz="12" w:space="0" w:color="000000"/>
            </w:tcBorders>
          </w:tcPr>
          <w:p>
            <w:pPr>
              <w:pStyle w:val="TableParagraph"/>
              <w:spacing w:line="182" w:lineRule="exact" w:before="0"/>
              <w:ind w:left="206"/>
              <w:jc w:val="left"/>
              <w:rPr>
                <w:sz w:val="16"/>
              </w:rPr>
            </w:pPr>
            <w:r>
              <w:rPr>
                <w:sz w:val="16"/>
              </w:rPr>
              <w:t>$ 1.354.858</w:t>
            </w:r>
          </w:p>
        </w:tc>
        <w:tc>
          <w:tcPr>
            <w:tcW w:w="2260" w:type="dxa"/>
            <w:tcBorders>
              <w:top w:val="single" w:sz="8" w:space="0" w:color="000000"/>
              <w:bottom w:val="single" w:sz="12" w:space="0" w:color="000000"/>
              <w:right w:val="single" w:sz="8" w:space="0" w:color="000000"/>
            </w:tcBorders>
          </w:tcPr>
          <w:p>
            <w:pPr>
              <w:pStyle w:val="TableParagraph"/>
              <w:spacing w:line="182" w:lineRule="exact" w:before="0"/>
              <w:ind w:left="328"/>
              <w:jc w:val="left"/>
              <w:rPr>
                <w:sz w:val="16"/>
              </w:rPr>
            </w:pPr>
            <w:r>
              <w:rPr>
                <w:sz w:val="16"/>
              </w:rPr>
              <w:t>$ 4.474.403</w:t>
            </w:r>
          </w:p>
        </w:tc>
      </w:tr>
      <w:tr>
        <w:trPr>
          <w:trHeight w:val="895" w:hRule="atLeast"/>
        </w:trPr>
        <w:tc>
          <w:tcPr>
            <w:tcW w:w="2106" w:type="dxa"/>
            <w:tcBorders>
              <w:top w:val="single" w:sz="12" w:space="0" w:color="000000"/>
              <w:left w:val="single" w:sz="8" w:space="0" w:color="000000"/>
              <w:bottom w:val="single" w:sz="8" w:space="0" w:color="000000"/>
            </w:tcBorders>
          </w:tcPr>
          <w:p>
            <w:pPr>
              <w:pStyle w:val="TableParagraph"/>
              <w:spacing w:line="360" w:lineRule="auto" w:before="0"/>
              <w:ind w:left="105" w:right="851"/>
              <w:jc w:val="both"/>
              <w:rPr>
                <w:sz w:val="16"/>
              </w:rPr>
            </w:pPr>
            <w:r>
              <w:rPr>
                <w:sz w:val="16"/>
              </w:rPr>
              <w:t>Charral/Tacotal, Reforestación y Recuperación</w:t>
            </w:r>
          </w:p>
        </w:tc>
        <w:tc>
          <w:tcPr>
            <w:tcW w:w="1253" w:type="dxa"/>
            <w:tcBorders>
              <w:top w:val="single" w:sz="12" w:space="0" w:color="000000"/>
              <w:bottom w:val="single" w:sz="8" w:space="0" w:color="000000"/>
            </w:tcBorders>
          </w:tcPr>
          <w:p>
            <w:pPr>
              <w:pStyle w:val="TableParagraph"/>
              <w:spacing w:line="177" w:lineRule="exact" w:before="0"/>
              <w:ind w:left="74" w:right="102"/>
              <w:jc w:val="center"/>
              <w:rPr>
                <w:sz w:val="16"/>
              </w:rPr>
            </w:pPr>
            <w:r>
              <w:rPr>
                <w:sz w:val="16"/>
              </w:rPr>
              <w:t>559</w:t>
            </w:r>
          </w:p>
        </w:tc>
        <w:tc>
          <w:tcPr>
            <w:tcW w:w="1275" w:type="dxa"/>
            <w:tcBorders>
              <w:top w:val="single" w:sz="12" w:space="0" w:color="000000"/>
              <w:bottom w:val="single" w:sz="8" w:space="0" w:color="000000"/>
            </w:tcBorders>
          </w:tcPr>
          <w:p>
            <w:pPr>
              <w:pStyle w:val="TableParagraph"/>
              <w:tabs>
                <w:tab w:pos="637" w:val="left" w:leader="none"/>
              </w:tabs>
              <w:spacing w:line="177" w:lineRule="exact" w:before="0"/>
              <w:ind w:left="150"/>
              <w:jc w:val="left"/>
              <w:rPr>
                <w:sz w:val="16"/>
              </w:rPr>
            </w:pPr>
            <w:r>
              <w:rPr>
                <w:sz w:val="16"/>
              </w:rPr>
              <w:t>$</w:t>
              <w:tab/>
              <w:t>6,60</w:t>
            </w:r>
          </w:p>
        </w:tc>
        <w:tc>
          <w:tcPr>
            <w:tcW w:w="1362" w:type="dxa"/>
            <w:tcBorders>
              <w:top w:val="single" w:sz="12" w:space="0" w:color="000000"/>
              <w:bottom w:val="single" w:sz="8" w:space="0" w:color="000000"/>
            </w:tcBorders>
          </w:tcPr>
          <w:p>
            <w:pPr>
              <w:pStyle w:val="TableParagraph"/>
              <w:tabs>
                <w:tab w:pos="691" w:val="left" w:leader="none"/>
              </w:tabs>
              <w:spacing w:line="177" w:lineRule="exact" w:before="0"/>
              <w:ind w:left="295"/>
              <w:jc w:val="left"/>
              <w:rPr>
                <w:sz w:val="16"/>
              </w:rPr>
            </w:pPr>
            <w:r>
              <w:rPr>
                <w:sz w:val="16"/>
              </w:rPr>
              <w:t>$</w:t>
              <w:tab/>
              <w:t>66,29</w:t>
            </w:r>
          </w:p>
        </w:tc>
        <w:tc>
          <w:tcPr>
            <w:tcW w:w="1578" w:type="dxa"/>
            <w:tcBorders>
              <w:top w:val="single" w:sz="12" w:space="0" w:color="000000"/>
              <w:bottom w:val="single" w:sz="8" w:space="0" w:color="000000"/>
            </w:tcBorders>
          </w:tcPr>
          <w:p>
            <w:pPr>
              <w:pStyle w:val="TableParagraph"/>
              <w:tabs>
                <w:tab w:pos="602" w:val="left" w:leader="none"/>
              </w:tabs>
              <w:spacing w:line="177" w:lineRule="exact" w:before="0"/>
              <w:ind w:left="206"/>
              <w:jc w:val="left"/>
              <w:rPr>
                <w:sz w:val="16"/>
              </w:rPr>
            </w:pPr>
            <w:r>
              <w:rPr>
                <w:sz w:val="16"/>
              </w:rPr>
              <w:t>$</w:t>
              <w:tab/>
              <w:t>3.688</w:t>
            </w:r>
          </w:p>
        </w:tc>
        <w:tc>
          <w:tcPr>
            <w:tcW w:w="2260" w:type="dxa"/>
            <w:tcBorders>
              <w:top w:val="single" w:sz="12" w:space="0" w:color="000000"/>
              <w:bottom w:val="single" w:sz="8" w:space="0" w:color="000000"/>
              <w:right w:val="single" w:sz="8" w:space="0" w:color="000000"/>
            </w:tcBorders>
          </w:tcPr>
          <w:p>
            <w:pPr>
              <w:pStyle w:val="TableParagraph"/>
              <w:tabs>
                <w:tab w:pos="724" w:val="left" w:leader="none"/>
              </w:tabs>
              <w:spacing w:line="177" w:lineRule="exact" w:before="0"/>
              <w:ind w:left="328"/>
              <w:jc w:val="left"/>
              <w:rPr>
                <w:sz w:val="16"/>
              </w:rPr>
            </w:pPr>
            <w:r>
              <w:rPr>
                <w:sz w:val="16"/>
              </w:rPr>
              <w:t>$</w:t>
              <w:tab/>
              <w:t>37.058</w:t>
            </w:r>
          </w:p>
        </w:tc>
      </w:tr>
      <w:tr>
        <w:trPr>
          <w:trHeight w:val="600" w:hRule="atLeast"/>
        </w:trPr>
        <w:tc>
          <w:tcPr>
            <w:tcW w:w="2106" w:type="dxa"/>
            <w:tcBorders>
              <w:top w:val="single" w:sz="8" w:space="0" w:color="000000"/>
              <w:left w:val="single" w:sz="8" w:space="0" w:color="000000"/>
              <w:bottom w:val="single" w:sz="8" w:space="0" w:color="000000"/>
            </w:tcBorders>
          </w:tcPr>
          <w:p>
            <w:pPr>
              <w:pStyle w:val="TableParagraph"/>
              <w:spacing w:line="360" w:lineRule="auto" w:before="0"/>
              <w:ind w:left="105" w:right="396"/>
              <w:jc w:val="left"/>
              <w:rPr>
                <w:sz w:val="16"/>
              </w:rPr>
            </w:pPr>
            <w:r>
              <w:rPr>
                <w:sz w:val="16"/>
              </w:rPr>
              <w:t>Cultivos Anuales, permanentes y pastos</w:t>
            </w:r>
          </w:p>
        </w:tc>
        <w:tc>
          <w:tcPr>
            <w:tcW w:w="1253" w:type="dxa"/>
            <w:tcBorders>
              <w:top w:val="single" w:sz="8" w:space="0" w:color="000000"/>
              <w:bottom w:val="single" w:sz="8" w:space="0" w:color="000000"/>
            </w:tcBorders>
          </w:tcPr>
          <w:p>
            <w:pPr>
              <w:pStyle w:val="TableParagraph"/>
              <w:spacing w:line="182" w:lineRule="exact" w:before="0"/>
              <w:ind w:left="74" w:right="102"/>
              <w:jc w:val="center"/>
              <w:rPr>
                <w:sz w:val="16"/>
              </w:rPr>
            </w:pPr>
            <w:r>
              <w:rPr>
                <w:sz w:val="16"/>
              </w:rPr>
              <w:t>769</w:t>
            </w:r>
          </w:p>
        </w:tc>
        <w:tc>
          <w:tcPr>
            <w:tcW w:w="1275" w:type="dxa"/>
            <w:tcBorders>
              <w:top w:val="single" w:sz="8" w:space="0" w:color="000000"/>
              <w:bottom w:val="single" w:sz="8" w:space="0" w:color="000000"/>
            </w:tcBorders>
          </w:tcPr>
          <w:p>
            <w:pPr>
              <w:pStyle w:val="TableParagraph"/>
              <w:tabs>
                <w:tab w:pos="637" w:val="left" w:leader="none"/>
              </w:tabs>
              <w:spacing w:line="182" w:lineRule="exact" w:before="0"/>
              <w:ind w:left="150"/>
              <w:jc w:val="left"/>
              <w:rPr>
                <w:sz w:val="16"/>
              </w:rPr>
            </w:pPr>
            <w:r>
              <w:rPr>
                <w:sz w:val="16"/>
              </w:rPr>
              <w:t>$</w:t>
              <w:tab/>
              <w:t>8,19</w:t>
            </w:r>
          </w:p>
        </w:tc>
        <w:tc>
          <w:tcPr>
            <w:tcW w:w="1362" w:type="dxa"/>
            <w:tcBorders>
              <w:top w:val="single" w:sz="8" w:space="0" w:color="000000"/>
              <w:bottom w:val="single" w:sz="8" w:space="0" w:color="000000"/>
            </w:tcBorders>
          </w:tcPr>
          <w:p>
            <w:pPr>
              <w:pStyle w:val="TableParagraph"/>
              <w:tabs>
                <w:tab w:pos="691" w:val="left" w:leader="none"/>
              </w:tabs>
              <w:spacing w:line="182" w:lineRule="exact" w:before="0"/>
              <w:ind w:left="295"/>
              <w:jc w:val="left"/>
              <w:rPr>
                <w:sz w:val="16"/>
              </w:rPr>
            </w:pPr>
            <w:r>
              <w:rPr>
                <w:sz w:val="16"/>
              </w:rPr>
              <w:t>$</w:t>
              <w:tab/>
              <w:t>39,54</w:t>
            </w:r>
          </w:p>
        </w:tc>
        <w:tc>
          <w:tcPr>
            <w:tcW w:w="1578" w:type="dxa"/>
            <w:tcBorders>
              <w:top w:val="single" w:sz="8" w:space="0" w:color="000000"/>
              <w:bottom w:val="single" w:sz="8" w:space="0" w:color="000000"/>
            </w:tcBorders>
          </w:tcPr>
          <w:p>
            <w:pPr>
              <w:pStyle w:val="TableParagraph"/>
              <w:tabs>
                <w:tab w:pos="649" w:val="left" w:leader="none"/>
              </w:tabs>
              <w:spacing w:line="182" w:lineRule="exact" w:before="0"/>
              <w:ind w:left="206"/>
              <w:jc w:val="left"/>
              <w:rPr>
                <w:sz w:val="16"/>
              </w:rPr>
            </w:pPr>
            <w:r>
              <w:rPr>
                <w:sz w:val="16"/>
              </w:rPr>
              <w:t>$</w:t>
              <w:tab/>
              <w:t>6.301</w:t>
            </w:r>
          </w:p>
        </w:tc>
        <w:tc>
          <w:tcPr>
            <w:tcW w:w="2260" w:type="dxa"/>
            <w:tcBorders>
              <w:top w:val="single" w:sz="8" w:space="0" w:color="000000"/>
              <w:bottom w:val="single" w:sz="8" w:space="0" w:color="000000"/>
              <w:right w:val="single" w:sz="8" w:space="0" w:color="000000"/>
            </w:tcBorders>
          </w:tcPr>
          <w:p>
            <w:pPr>
              <w:pStyle w:val="TableParagraph"/>
              <w:tabs>
                <w:tab w:pos="724" w:val="left" w:leader="none"/>
              </w:tabs>
              <w:spacing w:line="182" w:lineRule="exact" w:before="0"/>
              <w:ind w:left="328"/>
              <w:jc w:val="left"/>
              <w:rPr>
                <w:sz w:val="16"/>
              </w:rPr>
            </w:pPr>
            <w:r>
              <w:rPr>
                <w:sz w:val="16"/>
              </w:rPr>
              <w:t>$</w:t>
              <w:tab/>
              <w:t>30.408</w:t>
            </w:r>
          </w:p>
        </w:tc>
      </w:tr>
      <w:tr>
        <w:trPr>
          <w:trHeight w:val="300" w:hRule="atLeast"/>
        </w:trPr>
        <w:tc>
          <w:tcPr>
            <w:tcW w:w="2106" w:type="dxa"/>
            <w:tcBorders>
              <w:top w:val="single" w:sz="8" w:space="0" w:color="000000"/>
              <w:left w:val="single" w:sz="8" w:space="0" w:color="000000"/>
              <w:bottom w:val="single" w:sz="8" w:space="0" w:color="000000"/>
            </w:tcBorders>
          </w:tcPr>
          <w:p>
            <w:pPr>
              <w:pStyle w:val="TableParagraph"/>
              <w:spacing w:line="182" w:lineRule="exact" w:before="0"/>
              <w:ind w:left="105"/>
              <w:jc w:val="left"/>
              <w:rPr>
                <w:sz w:val="16"/>
              </w:rPr>
            </w:pPr>
            <w:r>
              <w:rPr>
                <w:sz w:val="16"/>
              </w:rPr>
              <w:t>Urbano</w:t>
            </w:r>
          </w:p>
        </w:tc>
        <w:tc>
          <w:tcPr>
            <w:tcW w:w="1253" w:type="dxa"/>
            <w:tcBorders>
              <w:top w:val="single" w:sz="8" w:space="0" w:color="000000"/>
              <w:bottom w:val="single" w:sz="8" w:space="0" w:color="000000"/>
            </w:tcBorders>
          </w:tcPr>
          <w:p>
            <w:pPr>
              <w:pStyle w:val="TableParagraph"/>
              <w:spacing w:line="182" w:lineRule="exact" w:before="0"/>
              <w:ind w:left="74" w:right="102"/>
              <w:jc w:val="center"/>
              <w:rPr>
                <w:sz w:val="16"/>
              </w:rPr>
            </w:pPr>
            <w:r>
              <w:rPr>
                <w:sz w:val="16"/>
              </w:rPr>
              <w:t>128</w:t>
            </w:r>
          </w:p>
        </w:tc>
        <w:tc>
          <w:tcPr>
            <w:tcW w:w="1275" w:type="dxa"/>
            <w:tcBorders>
              <w:top w:val="single" w:sz="8" w:space="0" w:color="000000"/>
              <w:bottom w:val="single" w:sz="8" w:space="0" w:color="000000"/>
            </w:tcBorders>
          </w:tcPr>
          <w:p>
            <w:pPr>
              <w:pStyle w:val="TableParagraph"/>
              <w:tabs>
                <w:tab w:pos="502" w:val="left" w:leader="none"/>
              </w:tabs>
              <w:spacing w:line="182" w:lineRule="exact" w:before="0"/>
              <w:ind w:left="150"/>
              <w:jc w:val="left"/>
              <w:rPr>
                <w:sz w:val="16"/>
              </w:rPr>
            </w:pPr>
            <w:r>
              <w:rPr>
                <w:sz w:val="16"/>
              </w:rPr>
              <w:t>$</w:t>
              <w:tab/>
              <w:t>522,18</w:t>
            </w:r>
          </w:p>
        </w:tc>
        <w:tc>
          <w:tcPr>
            <w:tcW w:w="1362" w:type="dxa"/>
            <w:tcBorders>
              <w:top w:val="single" w:sz="8" w:space="0" w:color="000000"/>
              <w:bottom w:val="single" w:sz="8" w:space="0" w:color="000000"/>
            </w:tcBorders>
          </w:tcPr>
          <w:p>
            <w:pPr>
              <w:pStyle w:val="TableParagraph"/>
              <w:spacing w:line="182" w:lineRule="exact" w:before="0"/>
              <w:ind w:left="295"/>
              <w:jc w:val="left"/>
              <w:rPr>
                <w:sz w:val="16"/>
              </w:rPr>
            </w:pPr>
            <w:r>
              <w:rPr>
                <w:sz w:val="16"/>
              </w:rPr>
              <w:t>$ 2.231,23</w:t>
            </w:r>
          </w:p>
        </w:tc>
        <w:tc>
          <w:tcPr>
            <w:tcW w:w="1578" w:type="dxa"/>
            <w:tcBorders>
              <w:top w:val="single" w:sz="8" w:space="0" w:color="000000"/>
              <w:bottom w:val="single" w:sz="8" w:space="0" w:color="000000"/>
            </w:tcBorders>
          </w:tcPr>
          <w:p>
            <w:pPr>
              <w:pStyle w:val="TableParagraph"/>
              <w:spacing w:line="182" w:lineRule="exact" w:before="0"/>
              <w:ind w:left="601"/>
              <w:jc w:val="left"/>
              <w:rPr>
                <w:sz w:val="16"/>
              </w:rPr>
            </w:pPr>
            <w:r>
              <w:rPr>
                <w:sz w:val="16"/>
              </w:rPr>
              <w:t>66.839</w:t>
            </w:r>
          </w:p>
        </w:tc>
        <w:tc>
          <w:tcPr>
            <w:tcW w:w="2260" w:type="dxa"/>
            <w:tcBorders>
              <w:top w:val="single" w:sz="8" w:space="0" w:color="000000"/>
              <w:bottom w:val="single" w:sz="8" w:space="0" w:color="000000"/>
              <w:right w:val="single" w:sz="8" w:space="0" w:color="000000"/>
            </w:tcBorders>
          </w:tcPr>
          <w:p>
            <w:pPr>
              <w:pStyle w:val="TableParagraph"/>
              <w:spacing w:line="182" w:lineRule="exact" w:before="0"/>
              <w:ind w:left="680"/>
              <w:jc w:val="left"/>
              <w:rPr>
                <w:sz w:val="16"/>
              </w:rPr>
            </w:pPr>
            <w:r>
              <w:rPr>
                <w:sz w:val="16"/>
              </w:rPr>
              <w:t>285.598</w:t>
            </w:r>
          </w:p>
        </w:tc>
      </w:tr>
      <w:tr>
        <w:trPr>
          <w:trHeight w:val="324" w:hRule="atLeast"/>
        </w:trPr>
        <w:tc>
          <w:tcPr>
            <w:tcW w:w="2106" w:type="dxa"/>
            <w:tcBorders>
              <w:top w:val="single" w:sz="8" w:space="0" w:color="000000"/>
              <w:left w:val="single" w:sz="8" w:space="0" w:color="000000"/>
              <w:bottom w:val="single" w:sz="8" w:space="0" w:color="000000"/>
            </w:tcBorders>
          </w:tcPr>
          <w:p>
            <w:pPr>
              <w:pStyle w:val="TableParagraph"/>
              <w:spacing w:line="182" w:lineRule="exact" w:before="0"/>
              <w:ind w:left="105"/>
              <w:jc w:val="left"/>
              <w:rPr>
                <w:sz w:val="16"/>
              </w:rPr>
            </w:pPr>
            <w:r>
              <w:rPr>
                <w:sz w:val="16"/>
              </w:rPr>
              <w:t>Terreno Descubierto</w:t>
            </w:r>
          </w:p>
        </w:tc>
        <w:tc>
          <w:tcPr>
            <w:tcW w:w="1253" w:type="dxa"/>
            <w:tcBorders>
              <w:top w:val="single" w:sz="8" w:space="0" w:color="000000"/>
              <w:bottom w:val="single" w:sz="8" w:space="0" w:color="000000"/>
            </w:tcBorders>
          </w:tcPr>
          <w:p>
            <w:pPr>
              <w:pStyle w:val="TableParagraph"/>
              <w:spacing w:line="182" w:lineRule="exact" w:before="0"/>
              <w:ind w:left="74" w:right="102"/>
              <w:jc w:val="center"/>
              <w:rPr>
                <w:sz w:val="16"/>
              </w:rPr>
            </w:pPr>
            <w:r>
              <w:rPr>
                <w:sz w:val="16"/>
              </w:rPr>
              <w:t>128</w:t>
            </w:r>
          </w:p>
        </w:tc>
        <w:tc>
          <w:tcPr>
            <w:tcW w:w="1275" w:type="dxa"/>
            <w:tcBorders>
              <w:top w:val="single" w:sz="8" w:space="0" w:color="000000"/>
              <w:bottom w:val="single" w:sz="8" w:space="0" w:color="000000"/>
            </w:tcBorders>
          </w:tcPr>
          <w:p>
            <w:pPr>
              <w:pStyle w:val="TableParagraph"/>
              <w:tabs>
                <w:tab w:pos="946" w:val="left" w:leader="none"/>
              </w:tabs>
              <w:spacing w:line="182" w:lineRule="exact" w:before="0"/>
              <w:ind w:left="150"/>
              <w:jc w:val="left"/>
              <w:rPr>
                <w:sz w:val="16"/>
              </w:rPr>
            </w:pPr>
            <w:r>
              <w:rPr>
                <w:sz w:val="16"/>
              </w:rPr>
              <w:t>$</w:t>
              <w:tab/>
              <w:t>-</w:t>
            </w:r>
          </w:p>
        </w:tc>
        <w:tc>
          <w:tcPr>
            <w:tcW w:w="1362" w:type="dxa"/>
            <w:tcBorders>
              <w:top w:val="single" w:sz="8" w:space="0" w:color="000000"/>
              <w:bottom w:val="single" w:sz="8" w:space="0" w:color="000000"/>
            </w:tcBorders>
          </w:tcPr>
          <w:p>
            <w:pPr>
              <w:pStyle w:val="TableParagraph"/>
              <w:spacing w:line="182" w:lineRule="exact" w:before="0"/>
              <w:ind w:left="295"/>
              <w:jc w:val="left"/>
              <w:rPr>
                <w:sz w:val="16"/>
              </w:rPr>
            </w:pPr>
            <w:r>
              <w:rPr>
                <w:w w:val="99"/>
                <w:sz w:val="16"/>
              </w:rPr>
              <w:t>$</w:t>
            </w:r>
          </w:p>
        </w:tc>
        <w:tc>
          <w:tcPr>
            <w:tcW w:w="1578" w:type="dxa"/>
            <w:tcBorders>
              <w:top w:val="single" w:sz="8" w:space="0" w:color="000000"/>
              <w:bottom w:val="single" w:sz="8" w:space="0" w:color="000000"/>
            </w:tcBorders>
          </w:tcPr>
          <w:p>
            <w:pPr>
              <w:pStyle w:val="TableParagraph"/>
              <w:tabs>
                <w:tab w:pos="1049" w:val="left" w:leader="none"/>
              </w:tabs>
              <w:spacing w:line="182" w:lineRule="exact" w:before="0"/>
              <w:ind w:left="206"/>
              <w:jc w:val="left"/>
              <w:rPr>
                <w:sz w:val="16"/>
              </w:rPr>
            </w:pPr>
            <w:r>
              <w:rPr>
                <w:sz w:val="16"/>
              </w:rPr>
              <w:t>$</w:t>
              <w:tab/>
              <w:t>-</w:t>
            </w:r>
          </w:p>
        </w:tc>
        <w:tc>
          <w:tcPr>
            <w:tcW w:w="2260" w:type="dxa"/>
            <w:tcBorders>
              <w:top w:val="single" w:sz="8" w:space="0" w:color="000000"/>
              <w:bottom w:val="single" w:sz="8" w:space="0" w:color="000000"/>
              <w:right w:val="single" w:sz="8" w:space="0" w:color="000000"/>
            </w:tcBorders>
          </w:tcPr>
          <w:p>
            <w:pPr>
              <w:pStyle w:val="TableParagraph"/>
              <w:tabs>
                <w:tab w:pos="1172" w:val="left" w:leader="none"/>
              </w:tabs>
              <w:spacing w:line="182" w:lineRule="exact" w:before="0"/>
              <w:ind w:left="328"/>
              <w:jc w:val="left"/>
              <w:rPr>
                <w:sz w:val="16"/>
              </w:rPr>
            </w:pPr>
            <w:r>
              <w:rPr>
                <w:sz w:val="16"/>
              </w:rPr>
              <w:t>$</w:t>
              <w:tab/>
              <w:t>-</w:t>
            </w:r>
          </w:p>
        </w:tc>
      </w:tr>
      <w:tr>
        <w:trPr>
          <w:trHeight w:val="300" w:hRule="atLeast"/>
        </w:trPr>
        <w:tc>
          <w:tcPr>
            <w:tcW w:w="2106" w:type="dxa"/>
            <w:tcBorders>
              <w:top w:val="single" w:sz="8" w:space="0" w:color="000000"/>
              <w:left w:val="single" w:sz="8" w:space="0" w:color="000000"/>
              <w:bottom w:val="single" w:sz="8" w:space="0" w:color="000000"/>
            </w:tcBorders>
          </w:tcPr>
          <w:p>
            <w:pPr>
              <w:pStyle w:val="TableParagraph"/>
              <w:spacing w:line="182" w:lineRule="exact" w:before="0"/>
              <w:ind w:left="105"/>
              <w:jc w:val="left"/>
              <w:rPr>
                <w:sz w:val="16"/>
              </w:rPr>
            </w:pPr>
            <w:r>
              <w:rPr>
                <w:sz w:val="16"/>
              </w:rPr>
              <w:t>Total</w:t>
            </w:r>
          </w:p>
        </w:tc>
        <w:tc>
          <w:tcPr>
            <w:tcW w:w="1253" w:type="dxa"/>
            <w:tcBorders>
              <w:top w:val="single" w:sz="8" w:space="0" w:color="000000"/>
              <w:bottom w:val="single" w:sz="8" w:space="0" w:color="000000"/>
            </w:tcBorders>
          </w:tcPr>
          <w:p>
            <w:pPr>
              <w:pStyle w:val="TableParagraph"/>
              <w:spacing w:line="182" w:lineRule="exact" w:before="0"/>
              <w:ind w:left="74" w:right="102"/>
              <w:jc w:val="center"/>
              <w:rPr>
                <w:sz w:val="16"/>
              </w:rPr>
            </w:pPr>
            <w:r>
              <w:rPr>
                <w:sz w:val="16"/>
              </w:rPr>
              <w:t>2396</w:t>
            </w:r>
          </w:p>
        </w:tc>
        <w:tc>
          <w:tcPr>
            <w:tcW w:w="1275" w:type="dxa"/>
            <w:tcBorders>
              <w:top w:val="single" w:sz="8" w:space="0" w:color="000000"/>
              <w:bottom w:val="single" w:sz="8" w:space="0" w:color="000000"/>
            </w:tcBorders>
          </w:tcPr>
          <w:p>
            <w:pPr>
              <w:pStyle w:val="TableParagraph"/>
              <w:spacing w:line="182" w:lineRule="exact" w:before="0"/>
              <w:ind w:left="150"/>
              <w:jc w:val="left"/>
              <w:rPr>
                <w:b/>
                <w:sz w:val="16"/>
              </w:rPr>
            </w:pPr>
            <w:r>
              <w:rPr>
                <w:b/>
                <w:sz w:val="16"/>
              </w:rPr>
              <w:t>$ 2.205,51</w:t>
            </w:r>
          </w:p>
        </w:tc>
        <w:tc>
          <w:tcPr>
            <w:tcW w:w="1362" w:type="dxa"/>
            <w:tcBorders>
              <w:top w:val="single" w:sz="8" w:space="0" w:color="000000"/>
              <w:bottom w:val="single" w:sz="8" w:space="0" w:color="000000"/>
            </w:tcBorders>
          </w:tcPr>
          <w:p>
            <w:pPr>
              <w:pStyle w:val="TableParagraph"/>
              <w:spacing w:line="182" w:lineRule="exact" w:before="0"/>
              <w:ind w:left="379"/>
              <w:jc w:val="left"/>
              <w:rPr>
                <w:b/>
                <w:sz w:val="16"/>
              </w:rPr>
            </w:pPr>
            <w:r>
              <w:rPr>
                <w:b/>
                <w:sz w:val="16"/>
              </w:rPr>
              <w:t>$ 7.847,42</w:t>
            </w:r>
          </w:p>
        </w:tc>
        <w:tc>
          <w:tcPr>
            <w:tcW w:w="1578" w:type="dxa"/>
            <w:tcBorders>
              <w:top w:val="single" w:sz="8" w:space="0" w:color="000000"/>
              <w:bottom w:val="single" w:sz="8" w:space="0" w:color="000000"/>
            </w:tcBorders>
          </w:tcPr>
          <w:p>
            <w:pPr>
              <w:pStyle w:val="TableParagraph"/>
              <w:spacing w:line="182" w:lineRule="exact" w:before="0"/>
              <w:ind w:left="206"/>
              <w:jc w:val="left"/>
              <w:rPr>
                <w:b/>
                <w:sz w:val="16"/>
              </w:rPr>
            </w:pPr>
            <w:r>
              <w:rPr>
                <w:b/>
                <w:sz w:val="16"/>
              </w:rPr>
              <w:t>$ 1.431.686,00</w:t>
            </w:r>
          </w:p>
        </w:tc>
        <w:tc>
          <w:tcPr>
            <w:tcW w:w="2260" w:type="dxa"/>
            <w:tcBorders>
              <w:top w:val="single" w:sz="8" w:space="0" w:color="000000"/>
              <w:bottom w:val="single" w:sz="8" w:space="0" w:color="000000"/>
              <w:right w:val="single" w:sz="8" w:space="0" w:color="000000"/>
            </w:tcBorders>
          </w:tcPr>
          <w:p>
            <w:pPr>
              <w:pStyle w:val="TableParagraph"/>
              <w:spacing w:line="182" w:lineRule="exact" w:before="0"/>
              <w:ind w:left="328"/>
              <w:jc w:val="left"/>
              <w:rPr>
                <w:b/>
                <w:sz w:val="16"/>
              </w:rPr>
            </w:pPr>
            <w:r>
              <w:rPr>
                <w:b/>
                <w:sz w:val="16"/>
              </w:rPr>
              <w:t>$ 4.827.467,02</w:t>
            </w:r>
          </w:p>
        </w:tc>
      </w:tr>
    </w:tbl>
    <w:p>
      <w:pPr>
        <w:pStyle w:val="BodyText"/>
        <w:rPr>
          <w:i/>
          <w:sz w:val="22"/>
        </w:rPr>
      </w:pPr>
    </w:p>
    <w:p>
      <w:pPr>
        <w:pStyle w:val="BodyText"/>
        <w:spacing w:before="5"/>
        <w:rPr>
          <w:i/>
          <w:sz w:val="31"/>
        </w:rPr>
      </w:pPr>
    </w:p>
    <w:p>
      <w:pPr>
        <w:pStyle w:val="BodyText"/>
        <w:spacing w:line="360" w:lineRule="auto"/>
        <w:ind w:left="1040" w:right="1042"/>
        <w:jc w:val="both"/>
      </w:pPr>
      <w:r>
        <w:rPr/>
        <w:t>Examinando</w:t>
      </w:r>
      <w:r>
        <w:rPr>
          <w:spacing w:val="-14"/>
        </w:rPr>
        <w:t> </w:t>
      </w:r>
      <w:r>
        <w:rPr/>
        <w:t>los</w:t>
      </w:r>
      <w:r>
        <w:rPr>
          <w:spacing w:val="-12"/>
        </w:rPr>
        <w:t> </w:t>
      </w:r>
      <w:r>
        <w:rPr/>
        <w:t>estudios</w:t>
      </w:r>
      <w:r>
        <w:rPr>
          <w:spacing w:val="-11"/>
        </w:rPr>
        <w:t> </w:t>
      </w:r>
      <w:r>
        <w:rPr/>
        <w:t>de</w:t>
      </w:r>
      <w:r>
        <w:rPr>
          <w:spacing w:val="-14"/>
        </w:rPr>
        <w:t> </w:t>
      </w:r>
      <w:r>
        <w:rPr/>
        <w:t>referencia</w:t>
      </w:r>
      <w:r>
        <w:rPr>
          <w:spacing w:val="-13"/>
        </w:rPr>
        <w:t> </w:t>
      </w:r>
      <w:r>
        <w:rPr/>
        <w:t>no</w:t>
      </w:r>
      <w:r>
        <w:rPr>
          <w:spacing w:val="-14"/>
        </w:rPr>
        <w:t> </w:t>
      </w:r>
      <w:r>
        <w:rPr/>
        <w:t>se</w:t>
      </w:r>
      <w:r>
        <w:rPr>
          <w:spacing w:val="-13"/>
        </w:rPr>
        <w:t> </w:t>
      </w:r>
      <w:r>
        <w:rPr/>
        <w:t>encuentra</w:t>
      </w:r>
      <w:r>
        <w:rPr>
          <w:spacing w:val="-14"/>
        </w:rPr>
        <w:t> </w:t>
      </w:r>
      <w:r>
        <w:rPr/>
        <w:t>en</w:t>
      </w:r>
      <w:r>
        <w:rPr>
          <w:spacing w:val="-13"/>
        </w:rPr>
        <w:t> </w:t>
      </w:r>
      <w:r>
        <w:rPr/>
        <w:t>las</w:t>
      </w:r>
      <w:r>
        <w:rPr>
          <w:spacing w:val="-12"/>
        </w:rPr>
        <w:t> </w:t>
      </w:r>
      <w:r>
        <w:rPr/>
        <w:t>fuentes</w:t>
      </w:r>
      <w:r>
        <w:rPr>
          <w:spacing w:val="-11"/>
        </w:rPr>
        <w:t> </w:t>
      </w:r>
      <w:r>
        <w:rPr/>
        <w:t>utilizadas</w:t>
      </w:r>
      <w:r>
        <w:rPr>
          <w:spacing w:val="-12"/>
        </w:rPr>
        <w:t> </w:t>
      </w:r>
      <w:r>
        <w:rPr/>
        <w:t>ninguna que incluya el servicio ecosistémico de vista para desarrollo inmobiliario. Desde esta perspectiva, vale la pena discutir los resultados presentados aquí en dos</w:t>
      </w:r>
      <w:r>
        <w:rPr>
          <w:spacing w:val="-21"/>
        </w:rPr>
        <w:t> </w:t>
      </w:r>
      <w:r>
        <w:rPr/>
        <w:t>sentidos.</w:t>
      </w:r>
    </w:p>
    <w:p>
      <w:pPr>
        <w:pStyle w:val="BodyText"/>
        <w:spacing w:line="360" w:lineRule="auto" w:before="199"/>
        <w:ind w:left="1040" w:right="1036"/>
        <w:jc w:val="both"/>
      </w:pPr>
      <w:r>
        <w:rPr/>
        <w:t>En primer lugar, la aplicación de un enfoque conjunto de Economía Ecológica y de Ecología Política permite ver, mediante los resultados de esta investigación, una dimensión más completa de los retos que enfrenta el manejo de las áreas silvestres protegidas en relación a las zonas urbanas y semiurbanas de América Latina: la inequidad socio-ambiental o injusticia ambiental. La derivación y adaptación del modelo de análisis de Deuda Ecológica permite deconstruir, sistematizar y comprender los</w:t>
      </w:r>
    </w:p>
    <w:p>
      <w:pPr>
        <w:spacing w:after="0" w:line="360" w:lineRule="auto"/>
        <w:jc w:val="both"/>
        <w:sectPr>
          <w:pgSz w:w="12240" w:h="15840"/>
          <w:pgMar w:header="0" w:footer="982" w:top="1360" w:bottom="1260" w:left="400" w:right="400"/>
        </w:sectPr>
      </w:pPr>
    </w:p>
    <w:p>
      <w:pPr>
        <w:pStyle w:val="BodyText"/>
        <w:spacing w:line="360" w:lineRule="auto" w:before="79"/>
        <w:ind w:left="1040" w:right="1032"/>
        <w:jc w:val="both"/>
      </w:pPr>
      <w:r>
        <w:rPr/>
        <w:t>diversos</w:t>
      </w:r>
      <w:r>
        <w:rPr>
          <w:spacing w:val="-7"/>
        </w:rPr>
        <w:t> </w:t>
      </w:r>
      <w:r>
        <w:rPr/>
        <w:t>elementos</w:t>
      </w:r>
      <w:r>
        <w:rPr>
          <w:spacing w:val="-7"/>
        </w:rPr>
        <w:t> </w:t>
      </w:r>
      <w:r>
        <w:rPr/>
        <w:t>que</w:t>
      </w:r>
      <w:r>
        <w:rPr>
          <w:spacing w:val="-7"/>
        </w:rPr>
        <w:t> </w:t>
      </w:r>
      <w:r>
        <w:rPr/>
        <w:t>componen</w:t>
      </w:r>
      <w:r>
        <w:rPr>
          <w:spacing w:val="-8"/>
        </w:rPr>
        <w:t> </w:t>
      </w:r>
      <w:r>
        <w:rPr/>
        <w:t>la</w:t>
      </w:r>
      <w:r>
        <w:rPr>
          <w:spacing w:val="-5"/>
        </w:rPr>
        <w:t> </w:t>
      </w:r>
      <w:r>
        <w:rPr/>
        <w:t>deuda</w:t>
      </w:r>
      <w:r>
        <w:rPr>
          <w:spacing w:val="-9"/>
        </w:rPr>
        <w:t> </w:t>
      </w:r>
      <w:r>
        <w:rPr/>
        <w:t>y</w:t>
      </w:r>
      <w:r>
        <w:rPr>
          <w:spacing w:val="-10"/>
        </w:rPr>
        <w:t> </w:t>
      </w:r>
      <w:r>
        <w:rPr/>
        <w:t>que</w:t>
      </w:r>
      <w:r>
        <w:rPr>
          <w:spacing w:val="-9"/>
        </w:rPr>
        <w:t> </w:t>
      </w:r>
      <w:r>
        <w:rPr/>
        <w:t>caracterizan</w:t>
      </w:r>
      <w:r>
        <w:rPr>
          <w:spacing w:val="-8"/>
        </w:rPr>
        <w:t> </w:t>
      </w:r>
      <w:r>
        <w:rPr/>
        <w:t>esa</w:t>
      </w:r>
      <w:r>
        <w:rPr>
          <w:spacing w:val="-9"/>
        </w:rPr>
        <w:t> </w:t>
      </w:r>
      <w:r>
        <w:rPr/>
        <w:t>injusticia.</w:t>
      </w:r>
      <w:r>
        <w:rPr>
          <w:spacing w:val="-6"/>
        </w:rPr>
        <w:t> </w:t>
      </w:r>
      <w:r>
        <w:rPr/>
        <w:t>En</w:t>
      </w:r>
      <w:r>
        <w:rPr>
          <w:spacing w:val="-8"/>
        </w:rPr>
        <w:t> </w:t>
      </w:r>
      <w:r>
        <w:rPr/>
        <w:t>el</w:t>
      </w:r>
      <w:r>
        <w:rPr>
          <w:spacing w:val="-8"/>
        </w:rPr>
        <w:t> </w:t>
      </w:r>
      <w:r>
        <w:rPr/>
        <w:t>caso de la ZPLC, se trata de servicios ecosistémicos asociados a limitaciones en las actividades humanas y limitaciones en usos de la tierra y desarrollo que no son ni han sido históricamente compensados. Se adicionan a ello cargas ambientales sufridas por las comunidades debidas al mal manejo de la zona y no compensadas históricamente junto con la conflictividad ambiental por el reconocimiento de los derechos ambientales de los habitantes de las comunidades urbano-marginales ubicadas dentro del área, mientras que actores sociales con poder económico han obtenido permisos para violentar las leyes de protección de la</w:t>
      </w:r>
      <w:r>
        <w:rPr>
          <w:spacing w:val="-4"/>
        </w:rPr>
        <w:t> </w:t>
      </w:r>
      <w:r>
        <w:rPr/>
        <w:t>zona.</w:t>
      </w:r>
    </w:p>
    <w:p>
      <w:pPr>
        <w:pStyle w:val="BodyText"/>
        <w:spacing w:line="360" w:lineRule="auto" w:before="199"/>
        <w:ind w:left="1040" w:right="1033"/>
        <w:jc w:val="both"/>
      </w:pPr>
      <w:r>
        <w:rPr/>
        <w:t>La</w:t>
      </w:r>
      <w:r>
        <w:rPr>
          <w:spacing w:val="-13"/>
        </w:rPr>
        <w:t> </w:t>
      </w:r>
      <w:r>
        <w:rPr/>
        <w:t>evidencia</w:t>
      </w:r>
      <w:r>
        <w:rPr>
          <w:spacing w:val="-12"/>
        </w:rPr>
        <w:t> </w:t>
      </w:r>
      <w:r>
        <w:rPr/>
        <w:t>que</w:t>
      </w:r>
      <w:r>
        <w:rPr>
          <w:spacing w:val="-11"/>
        </w:rPr>
        <w:t> </w:t>
      </w:r>
      <w:r>
        <w:rPr/>
        <w:t>combinan</w:t>
      </w:r>
      <w:r>
        <w:rPr>
          <w:spacing w:val="-12"/>
        </w:rPr>
        <w:t> </w:t>
      </w:r>
      <w:r>
        <w:rPr/>
        <w:t>los</w:t>
      </w:r>
      <w:r>
        <w:rPr>
          <w:spacing w:val="-11"/>
        </w:rPr>
        <w:t> </w:t>
      </w:r>
      <w:r>
        <w:rPr/>
        <w:t>resultados</w:t>
      </w:r>
      <w:r>
        <w:rPr>
          <w:spacing w:val="-10"/>
        </w:rPr>
        <w:t> </w:t>
      </w:r>
      <w:r>
        <w:rPr/>
        <w:t>proviene</w:t>
      </w:r>
      <w:r>
        <w:rPr>
          <w:spacing w:val="-10"/>
        </w:rPr>
        <w:t> </w:t>
      </w:r>
      <w:r>
        <w:rPr/>
        <w:t>de</w:t>
      </w:r>
      <w:r>
        <w:rPr>
          <w:spacing w:val="-13"/>
        </w:rPr>
        <w:t> </w:t>
      </w:r>
      <w:r>
        <w:rPr/>
        <w:t>la</w:t>
      </w:r>
      <w:r>
        <w:rPr>
          <w:spacing w:val="-12"/>
        </w:rPr>
        <w:t> </w:t>
      </w:r>
      <w:r>
        <w:rPr/>
        <w:t>revisión</w:t>
      </w:r>
      <w:r>
        <w:rPr>
          <w:spacing w:val="-12"/>
        </w:rPr>
        <w:t> </w:t>
      </w:r>
      <w:r>
        <w:rPr/>
        <w:t>de</w:t>
      </w:r>
      <w:r>
        <w:rPr>
          <w:spacing w:val="-12"/>
        </w:rPr>
        <w:t> </w:t>
      </w:r>
      <w:r>
        <w:rPr/>
        <w:t>la</w:t>
      </w:r>
      <w:r>
        <w:rPr>
          <w:spacing w:val="-13"/>
        </w:rPr>
        <w:t> </w:t>
      </w:r>
      <w:r>
        <w:rPr/>
        <w:t>historia</w:t>
      </w:r>
      <w:r>
        <w:rPr>
          <w:spacing w:val="-12"/>
        </w:rPr>
        <w:t> </w:t>
      </w:r>
      <w:r>
        <w:rPr/>
        <w:t>ambiental de</w:t>
      </w:r>
      <w:r>
        <w:rPr>
          <w:spacing w:val="-9"/>
        </w:rPr>
        <w:t> </w:t>
      </w:r>
      <w:r>
        <w:rPr/>
        <w:t>la</w:t>
      </w:r>
      <w:r>
        <w:rPr>
          <w:spacing w:val="-8"/>
        </w:rPr>
        <w:t> </w:t>
      </w:r>
      <w:r>
        <w:rPr/>
        <w:t>ZPLC</w:t>
      </w:r>
      <w:r>
        <w:rPr>
          <w:spacing w:val="-4"/>
        </w:rPr>
        <w:t> </w:t>
      </w:r>
      <w:r>
        <w:rPr/>
        <w:t>y</w:t>
      </w:r>
      <w:r>
        <w:rPr>
          <w:spacing w:val="-10"/>
        </w:rPr>
        <w:t> </w:t>
      </w:r>
      <w:r>
        <w:rPr/>
        <w:t>de</w:t>
      </w:r>
      <w:r>
        <w:rPr>
          <w:spacing w:val="-8"/>
        </w:rPr>
        <w:t> </w:t>
      </w:r>
      <w:r>
        <w:rPr/>
        <w:t>la</w:t>
      </w:r>
      <w:r>
        <w:rPr>
          <w:spacing w:val="-4"/>
        </w:rPr>
        <w:t> </w:t>
      </w:r>
      <w:r>
        <w:rPr/>
        <w:t>medición</w:t>
      </w:r>
      <w:r>
        <w:rPr>
          <w:spacing w:val="-8"/>
        </w:rPr>
        <w:t> </w:t>
      </w:r>
      <w:r>
        <w:rPr/>
        <w:t>comparativa</w:t>
      </w:r>
      <w:r>
        <w:rPr>
          <w:spacing w:val="-9"/>
        </w:rPr>
        <w:t> </w:t>
      </w:r>
      <w:r>
        <w:rPr/>
        <w:t>de</w:t>
      </w:r>
      <w:r>
        <w:rPr>
          <w:spacing w:val="-8"/>
        </w:rPr>
        <w:t> </w:t>
      </w:r>
      <w:r>
        <w:rPr/>
        <w:t>las</w:t>
      </w:r>
      <w:r>
        <w:rPr>
          <w:spacing w:val="-6"/>
        </w:rPr>
        <w:t> </w:t>
      </w:r>
      <w:r>
        <w:rPr/>
        <w:t>huellas</w:t>
      </w:r>
      <w:r>
        <w:rPr>
          <w:spacing w:val="-6"/>
        </w:rPr>
        <w:t> </w:t>
      </w:r>
      <w:r>
        <w:rPr/>
        <w:t>ecológicas</w:t>
      </w:r>
      <w:r>
        <w:rPr>
          <w:spacing w:val="-6"/>
        </w:rPr>
        <w:t> </w:t>
      </w:r>
      <w:r>
        <w:rPr/>
        <w:t>comunitarias</w:t>
      </w:r>
      <w:r>
        <w:rPr>
          <w:spacing w:val="-6"/>
        </w:rPr>
        <w:t> </w:t>
      </w:r>
      <w:r>
        <w:rPr/>
        <w:t>frente</w:t>
      </w:r>
      <w:r>
        <w:rPr>
          <w:spacing w:val="-9"/>
        </w:rPr>
        <w:t> </w:t>
      </w:r>
      <w:r>
        <w:rPr/>
        <w:t>a los valores fiscales de las propiedades en las zonas que aquí se han denominado deudora</w:t>
      </w:r>
      <w:r>
        <w:rPr>
          <w:spacing w:val="-12"/>
        </w:rPr>
        <w:t> </w:t>
      </w:r>
      <w:r>
        <w:rPr/>
        <w:t>y</w:t>
      </w:r>
      <w:r>
        <w:rPr>
          <w:spacing w:val="-17"/>
        </w:rPr>
        <w:t> </w:t>
      </w:r>
      <w:r>
        <w:rPr/>
        <w:t>acreedora.</w:t>
      </w:r>
      <w:r>
        <w:rPr>
          <w:spacing w:val="-12"/>
        </w:rPr>
        <w:t> </w:t>
      </w:r>
      <w:r>
        <w:rPr/>
        <w:t>Un</w:t>
      </w:r>
      <w:r>
        <w:rPr>
          <w:spacing w:val="-15"/>
        </w:rPr>
        <w:t> </w:t>
      </w:r>
      <w:r>
        <w:rPr/>
        <w:t>relleno</w:t>
      </w:r>
      <w:r>
        <w:rPr>
          <w:spacing w:val="-15"/>
        </w:rPr>
        <w:t> </w:t>
      </w:r>
      <w:r>
        <w:rPr/>
        <w:t>sanitario</w:t>
      </w:r>
      <w:r>
        <w:rPr>
          <w:spacing w:val="-15"/>
        </w:rPr>
        <w:t> </w:t>
      </w:r>
      <w:r>
        <w:rPr/>
        <w:t>dentro</w:t>
      </w:r>
      <w:r>
        <w:rPr>
          <w:spacing w:val="-15"/>
        </w:rPr>
        <w:t> </w:t>
      </w:r>
      <w:r>
        <w:rPr/>
        <w:t>de</w:t>
      </w:r>
      <w:r>
        <w:rPr>
          <w:spacing w:val="-15"/>
        </w:rPr>
        <w:t> </w:t>
      </w:r>
      <w:r>
        <w:rPr/>
        <w:t>un</w:t>
      </w:r>
      <w:r>
        <w:rPr>
          <w:spacing w:val="-15"/>
        </w:rPr>
        <w:t> </w:t>
      </w:r>
      <w:r>
        <w:rPr/>
        <w:t>área</w:t>
      </w:r>
      <w:r>
        <w:rPr>
          <w:spacing w:val="-15"/>
        </w:rPr>
        <w:t> </w:t>
      </w:r>
      <w:r>
        <w:rPr/>
        <w:t>silvestre</w:t>
      </w:r>
      <w:r>
        <w:rPr>
          <w:spacing w:val="-16"/>
        </w:rPr>
        <w:t> </w:t>
      </w:r>
      <w:r>
        <w:rPr/>
        <w:t>protegida</w:t>
      </w:r>
      <w:r>
        <w:rPr>
          <w:spacing w:val="-15"/>
        </w:rPr>
        <w:t> </w:t>
      </w:r>
      <w:r>
        <w:rPr/>
        <w:t>causando daños ambientales con potenciales efectos sobre la salud y la calidad de vida de comunidades urbano-marginales del sector noroeste de la ZPLC se ve acompañado de reticencia para la participación de esas comunidades en las decisiones de</w:t>
      </w:r>
      <w:r>
        <w:rPr>
          <w:spacing w:val="-34"/>
        </w:rPr>
        <w:t> </w:t>
      </w:r>
      <w:r>
        <w:rPr/>
        <w:t>conservación que las</w:t>
      </w:r>
      <w:r>
        <w:rPr>
          <w:spacing w:val="3"/>
        </w:rPr>
        <w:t> </w:t>
      </w:r>
      <w:r>
        <w:rPr/>
        <w:t>afectan.</w:t>
      </w:r>
    </w:p>
    <w:p>
      <w:pPr>
        <w:pStyle w:val="BodyText"/>
        <w:spacing w:line="360" w:lineRule="auto" w:before="201"/>
        <w:ind w:left="1040" w:right="1037"/>
        <w:jc w:val="both"/>
      </w:pPr>
      <w:r>
        <w:rPr/>
        <w:t>Esas decisiones de conservación y las condiciones estructurales que determinan la marginalidad de esas comunidades influyen en un valor fiscal de sus propiedades que es casi 15 veces menor que los valores más altos en las comunidades deudoras. A la par</w:t>
      </w:r>
      <w:r>
        <w:rPr>
          <w:spacing w:val="-6"/>
        </w:rPr>
        <w:t> </w:t>
      </w:r>
      <w:r>
        <w:rPr/>
        <w:t>de</w:t>
      </w:r>
      <w:r>
        <w:rPr>
          <w:spacing w:val="-7"/>
        </w:rPr>
        <w:t> </w:t>
      </w:r>
      <w:r>
        <w:rPr/>
        <w:t>ello,</w:t>
      </w:r>
      <w:r>
        <w:rPr>
          <w:spacing w:val="-5"/>
        </w:rPr>
        <w:t> </w:t>
      </w:r>
      <w:r>
        <w:rPr/>
        <w:t>las</w:t>
      </w:r>
      <w:r>
        <w:rPr>
          <w:spacing w:val="-1"/>
        </w:rPr>
        <w:t> </w:t>
      </w:r>
      <w:r>
        <w:rPr/>
        <w:t>mediciones</w:t>
      </w:r>
      <w:r>
        <w:rPr>
          <w:spacing w:val="-6"/>
        </w:rPr>
        <w:t> </w:t>
      </w:r>
      <w:r>
        <w:rPr/>
        <w:t>que</w:t>
      </w:r>
      <w:r>
        <w:rPr>
          <w:spacing w:val="-7"/>
        </w:rPr>
        <w:t> </w:t>
      </w:r>
      <w:r>
        <w:rPr/>
        <w:t>se</w:t>
      </w:r>
      <w:r>
        <w:rPr>
          <w:spacing w:val="-8"/>
        </w:rPr>
        <w:t> </w:t>
      </w:r>
      <w:r>
        <w:rPr/>
        <w:t>presentan</w:t>
      </w:r>
      <w:r>
        <w:rPr>
          <w:spacing w:val="-7"/>
        </w:rPr>
        <w:t> </w:t>
      </w:r>
      <w:r>
        <w:rPr/>
        <w:t>en</w:t>
      </w:r>
      <w:r>
        <w:rPr>
          <w:spacing w:val="-5"/>
        </w:rPr>
        <w:t> </w:t>
      </w:r>
      <w:r>
        <w:rPr/>
        <w:t>los</w:t>
      </w:r>
      <w:r>
        <w:rPr>
          <w:spacing w:val="-5"/>
        </w:rPr>
        <w:t> </w:t>
      </w:r>
      <w:r>
        <w:rPr/>
        <w:t>cuadros</w:t>
      </w:r>
      <w:r>
        <w:rPr>
          <w:spacing w:val="-5"/>
        </w:rPr>
        <w:t> </w:t>
      </w:r>
      <w:r>
        <w:rPr/>
        <w:t>14</w:t>
      </w:r>
      <w:r>
        <w:rPr>
          <w:spacing w:val="-3"/>
        </w:rPr>
        <w:t> </w:t>
      </w:r>
      <w:r>
        <w:rPr/>
        <w:t>y</w:t>
      </w:r>
      <w:r>
        <w:rPr>
          <w:spacing w:val="-9"/>
        </w:rPr>
        <w:t> </w:t>
      </w:r>
      <w:r>
        <w:rPr/>
        <w:t>15</w:t>
      </w:r>
      <w:r>
        <w:rPr>
          <w:spacing w:val="-7"/>
        </w:rPr>
        <w:t> </w:t>
      </w:r>
      <w:r>
        <w:rPr/>
        <w:t>demuestran</w:t>
      </w:r>
      <w:r>
        <w:rPr>
          <w:spacing w:val="-7"/>
        </w:rPr>
        <w:t> </w:t>
      </w:r>
      <w:r>
        <w:rPr/>
        <w:t>que</w:t>
      </w:r>
      <w:r>
        <w:rPr>
          <w:spacing w:val="-8"/>
        </w:rPr>
        <w:t> </w:t>
      </w:r>
      <w:r>
        <w:rPr/>
        <w:t>los modelos o posibilidades de consumo de las comunidades acreedoras están dejando Espacio</w:t>
      </w:r>
      <w:r>
        <w:rPr>
          <w:spacing w:val="-16"/>
        </w:rPr>
        <w:t> </w:t>
      </w:r>
      <w:r>
        <w:rPr/>
        <w:t>Ambiental</w:t>
      </w:r>
      <w:r>
        <w:rPr>
          <w:spacing w:val="-13"/>
        </w:rPr>
        <w:t> </w:t>
      </w:r>
      <w:r>
        <w:rPr/>
        <w:t>sin</w:t>
      </w:r>
      <w:r>
        <w:rPr>
          <w:spacing w:val="-15"/>
        </w:rPr>
        <w:t> </w:t>
      </w:r>
      <w:r>
        <w:rPr/>
        <w:t>utilizar,</w:t>
      </w:r>
      <w:r>
        <w:rPr>
          <w:spacing w:val="-12"/>
        </w:rPr>
        <w:t> </w:t>
      </w:r>
      <w:r>
        <w:rPr/>
        <w:t>si</w:t>
      </w:r>
      <w:r>
        <w:rPr>
          <w:spacing w:val="-15"/>
        </w:rPr>
        <w:t> </w:t>
      </w:r>
      <w:r>
        <w:rPr/>
        <w:t>se</w:t>
      </w:r>
      <w:r>
        <w:rPr>
          <w:spacing w:val="-15"/>
        </w:rPr>
        <w:t> </w:t>
      </w:r>
      <w:r>
        <w:rPr/>
        <w:t>le</w:t>
      </w:r>
      <w:r>
        <w:rPr>
          <w:spacing w:val="-15"/>
        </w:rPr>
        <w:t> </w:t>
      </w:r>
      <w:r>
        <w:rPr/>
        <w:t>compara</w:t>
      </w:r>
      <w:r>
        <w:rPr>
          <w:spacing w:val="-15"/>
        </w:rPr>
        <w:t> </w:t>
      </w:r>
      <w:r>
        <w:rPr/>
        <w:t>con</w:t>
      </w:r>
      <w:r>
        <w:rPr>
          <w:spacing w:val="-15"/>
        </w:rPr>
        <w:t> </w:t>
      </w:r>
      <w:r>
        <w:rPr/>
        <w:t>la</w:t>
      </w:r>
      <w:r>
        <w:rPr>
          <w:spacing w:val="-15"/>
        </w:rPr>
        <w:t> </w:t>
      </w:r>
      <w:r>
        <w:rPr/>
        <w:t>biocapacidad</w:t>
      </w:r>
      <w:r>
        <w:rPr>
          <w:spacing w:val="-16"/>
        </w:rPr>
        <w:t> </w:t>
      </w:r>
      <w:r>
        <w:rPr/>
        <w:t>del</w:t>
      </w:r>
      <w:r>
        <w:rPr>
          <w:spacing w:val="-9"/>
        </w:rPr>
        <w:t> </w:t>
      </w:r>
      <w:r>
        <w:rPr/>
        <w:t>país</w:t>
      </w:r>
      <w:r>
        <w:rPr>
          <w:spacing w:val="-13"/>
        </w:rPr>
        <w:t> </w:t>
      </w:r>
      <w:r>
        <w:rPr/>
        <w:t>y</w:t>
      </w:r>
      <w:r>
        <w:rPr>
          <w:spacing w:val="-17"/>
        </w:rPr>
        <w:t> </w:t>
      </w:r>
      <w:r>
        <w:rPr/>
        <w:t>del</w:t>
      </w:r>
      <w:r>
        <w:rPr>
          <w:spacing w:val="-15"/>
        </w:rPr>
        <w:t> </w:t>
      </w:r>
      <w:r>
        <w:rPr/>
        <w:t>mundo. Ese</w:t>
      </w:r>
      <w:r>
        <w:rPr>
          <w:spacing w:val="-10"/>
        </w:rPr>
        <w:t> </w:t>
      </w:r>
      <w:r>
        <w:rPr/>
        <w:t>umbral</w:t>
      </w:r>
      <w:r>
        <w:rPr>
          <w:spacing w:val="-8"/>
        </w:rPr>
        <w:t> </w:t>
      </w:r>
      <w:r>
        <w:rPr/>
        <w:t>está</w:t>
      </w:r>
      <w:r>
        <w:rPr>
          <w:spacing w:val="-9"/>
        </w:rPr>
        <w:t> </w:t>
      </w:r>
      <w:r>
        <w:rPr/>
        <w:t>siendo</w:t>
      </w:r>
      <w:r>
        <w:rPr>
          <w:spacing w:val="-9"/>
        </w:rPr>
        <w:t> </w:t>
      </w:r>
      <w:r>
        <w:rPr/>
        <w:t>sobrepasado</w:t>
      </w:r>
      <w:r>
        <w:rPr>
          <w:spacing w:val="-5"/>
        </w:rPr>
        <w:t> </w:t>
      </w:r>
      <w:r>
        <w:rPr/>
        <w:t>por</w:t>
      </w:r>
      <w:r>
        <w:rPr>
          <w:spacing w:val="-7"/>
        </w:rPr>
        <w:t> </w:t>
      </w:r>
      <w:r>
        <w:rPr/>
        <w:t>las</w:t>
      </w:r>
      <w:r>
        <w:rPr>
          <w:spacing w:val="-7"/>
        </w:rPr>
        <w:t> </w:t>
      </w:r>
      <w:r>
        <w:rPr/>
        <w:t>comunidades</w:t>
      </w:r>
      <w:r>
        <w:rPr>
          <w:spacing w:val="-7"/>
        </w:rPr>
        <w:t> </w:t>
      </w:r>
      <w:r>
        <w:rPr/>
        <w:t>deudoras,</w:t>
      </w:r>
      <w:r>
        <w:rPr>
          <w:spacing w:val="-7"/>
        </w:rPr>
        <w:t> </w:t>
      </w:r>
      <w:r>
        <w:rPr/>
        <w:t>encontrándose</w:t>
      </w:r>
      <w:r>
        <w:rPr>
          <w:spacing w:val="-9"/>
        </w:rPr>
        <w:t> </w:t>
      </w:r>
      <w:r>
        <w:rPr/>
        <w:t>las mismas en una situación de déficit ecológico que afecta negativamente la Huella Ecológica del país. Se ilustra en esas diferencias cuantitativas la configuración clara de la</w:t>
      </w:r>
      <w:r>
        <w:rPr>
          <w:spacing w:val="-8"/>
        </w:rPr>
        <w:t> </w:t>
      </w:r>
      <w:r>
        <w:rPr/>
        <w:t>injusticia</w:t>
      </w:r>
      <w:r>
        <w:rPr>
          <w:spacing w:val="-8"/>
        </w:rPr>
        <w:t> </w:t>
      </w:r>
      <w:r>
        <w:rPr/>
        <w:t>ambiental</w:t>
      </w:r>
      <w:r>
        <w:rPr>
          <w:spacing w:val="-6"/>
        </w:rPr>
        <w:t> </w:t>
      </w:r>
      <w:r>
        <w:rPr/>
        <w:t>en</w:t>
      </w:r>
      <w:r>
        <w:rPr>
          <w:spacing w:val="-4"/>
        </w:rPr>
        <w:t> </w:t>
      </w:r>
      <w:r>
        <w:rPr/>
        <w:t>la</w:t>
      </w:r>
      <w:r>
        <w:rPr>
          <w:spacing w:val="-8"/>
        </w:rPr>
        <w:t> </w:t>
      </w:r>
      <w:r>
        <w:rPr/>
        <w:t>ZPLC</w:t>
      </w:r>
      <w:r>
        <w:rPr>
          <w:spacing w:val="-6"/>
        </w:rPr>
        <w:t> </w:t>
      </w:r>
      <w:r>
        <w:rPr/>
        <w:t>respecto</w:t>
      </w:r>
      <w:r>
        <w:rPr>
          <w:spacing w:val="-8"/>
        </w:rPr>
        <w:t> </w:t>
      </w:r>
      <w:r>
        <w:rPr/>
        <w:t>a</w:t>
      </w:r>
      <w:r>
        <w:rPr>
          <w:spacing w:val="-7"/>
        </w:rPr>
        <w:t> </w:t>
      </w:r>
      <w:r>
        <w:rPr/>
        <w:t>la</w:t>
      </w:r>
      <w:r>
        <w:rPr>
          <w:spacing w:val="-4"/>
        </w:rPr>
        <w:t> </w:t>
      </w:r>
      <w:r>
        <w:rPr/>
        <w:t>distribución</w:t>
      </w:r>
      <w:r>
        <w:rPr>
          <w:spacing w:val="-8"/>
        </w:rPr>
        <w:t> </w:t>
      </w:r>
      <w:r>
        <w:rPr/>
        <w:t>de</w:t>
      </w:r>
      <w:r>
        <w:rPr>
          <w:spacing w:val="-3"/>
        </w:rPr>
        <w:t> </w:t>
      </w:r>
      <w:r>
        <w:rPr/>
        <w:t>los</w:t>
      </w:r>
      <w:r>
        <w:rPr>
          <w:spacing w:val="-6"/>
        </w:rPr>
        <w:t> </w:t>
      </w:r>
      <w:r>
        <w:rPr/>
        <w:t>costos</w:t>
      </w:r>
      <w:r>
        <w:rPr>
          <w:spacing w:val="-2"/>
        </w:rPr>
        <w:t> </w:t>
      </w:r>
      <w:r>
        <w:rPr/>
        <w:t>y</w:t>
      </w:r>
      <w:r>
        <w:rPr>
          <w:spacing w:val="-6"/>
        </w:rPr>
        <w:t> </w:t>
      </w:r>
      <w:r>
        <w:rPr/>
        <w:t>beneficios</w:t>
      </w:r>
      <w:r>
        <w:rPr>
          <w:spacing w:val="-6"/>
        </w:rPr>
        <w:t> </w:t>
      </w:r>
      <w:r>
        <w:rPr/>
        <w:t>de la conservación y el</w:t>
      </w:r>
      <w:r>
        <w:rPr>
          <w:spacing w:val="-4"/>
        </w:rPr>
        <w:t> </w:t>
      </w:r>
      <w:r>
        <w:rPr/>
        <w:t>desarrollo.</w:t>
      </w:r>
    </w:p>
    <w:p>
      <w:pPr>
        <w:pStyle w:val="BodyText"/>
        <w:spacing w:line="357" w:lineRule="auto" w:before="204"/>
        <w:ind w:left="1040" w:right="1034"/>
        <w:jc w:val="both"/>
      </w:pPr>
      <w:r>
        <w:rPr/>
        <w:t>En esta dirección este estudio contribuye a la literatura de Huella Ecológica estableciendo conexiones con la equidad a partir de la relación entre la apropiación</w:t>
      </w:r>
    </w:p>
    <w:p>
      <w:pPr>
        <w:spacing w:after="0" w:line="357" w:lineRule="auto"/>
        <w:jc w:val="both"/>
        <w:sectPr>
          <w:pgSz w:w="12240" w:h="15840"/>
          <w:pgMar w:header="0" w:footer="982" w:top="1360" w:bottom="1260" w:left="400" w:right="400"/>
        </w:sectPr>
      </w:pPr>
    </w:p>
    <w:p>
      <w:pPr>
        <w:pStyle w:val="BodyText"/>
        <w:spacing w:line="360" w:lineRule="auto" w:before="79"/>
        <w:ind w:left="1040" w:right="1038"/>
        <w:jc w:val="both"/>
      </w:pPr>
      <w:r>
        <w:rPr/>
        <w:t>injusta del Espacio Ambiental y los límites biofísicos del planeta. Ilustra asimismo el riesgo latente para América Latina de la adopción de los patrones propios de las sociedades urbanizadas, afluentes y de altos niveles de consumo que puede llevar incluso a países con vocación ambiental como Cosa Rica a ser países en déficit ecológico. Se debe recordar que el déficit ecológico del 7% respecto a la biocapacidad del país que se detecta en la muestra de comunidades deudoras tiene cierta concordancia con el déficit ecológico general del país que se reportó en un 8%.</w:t>
      </w:r>
    </w:p>
    <w:p>
      <w:pPr>
        <w:pStyle w:val="BodyText"/>
        <w:spacing w:line="360" w:lineRule="auto" w:before="199"/>
        <w:ind w:left="1040" w:right="1038"/>
        <w:jc w:val="both"/>
      </w:pPr>
      <w:r>
        <w:rPr/>
        <w:t>No</w:t>
      </w:r>
      <w:r>
        <w:rPr>
          <w:spacing w:val="-15"/>
        </w:rPr>
        <w:t> </w:t>
      </w:r>
      <w:r>
        <w:rPr/>
        <w:t>se</w:t>
      </w:r>
      <w:r>
        <w:rPr>
          <w:spacing w:val="-15"/>
        </w:rPr>
        <w:t> </w:t>
      </w:r>
      <w:r>
        <w:rPr/>
        <w:t>puede</w:t>
      </w:r>
      <w:r>
        <w:rPr>
          <w:spacing w:val="-15"/>
        </w:rPr>
        <w:t> </w:t>
      </w:r>
      <w:r>
        <w:rPr/>
        <w:t>demostrar</w:t>
      </w:r>
      <w:r>
        <w:rPr>
          <w:spacing w:val="-12"/>
        </w:rPr>
        <w:t> </w:t>
      </w:r>
      <w:r>
        <w:rPr/>
        <w:t>con</w:t>
      </w:r>
      <w:r>
        <w:rPr>
          <w:spacing w:val="-15"/>
        </w:rPr>
        <w:t> </w:t>
      </w:r>
      <w:r>
        <w:rPr/>
        <w:t>la</w:t>
      </w:r>
      <w:r>
        <w:rPr>
          <w:spacing w:val="-11"/>
        </w:rPr>
        <w:t> </w:t>
      </w:r>
      <w:r>
        <w:rPr/>
        <w:t>información</w:t>
      </w:r>
      <w:r>
        <w:rPr>
          <w:spacing w:val="-15"/>
        </w:rPr>
        <w:t> </w:t>
      </w:r>
      <w:r>
        <w:rPr/>
        <w:t>que</w:t>
      </w:r>
      <w:r>
        <w:rPr>
          <w:spacing w:val="-14"/>
        </w:rPr>
        <w:t> </w:t>
      </w:r>
      <w:r>
        <w:rPr/>
        <w:t>se</w:t>
      </w:r>
      <w:r>
        <w:rPr>
          <w:spacing w:val="-15"/>
        </w:rPr>
        <w:t> </w:t>
      </w:r>
      <w:r>
        <w:rPr/>
        <w:t>cuenta</w:t>
      </w:r>
      <w:r>
        <w:rPr>
          <w:spacing w:val="-11"/>
        </w:rPr>
        <w:t> </w:t>
      </w:r>
      <w:r>
        <w:rPr/>
        <w:t>que</w:t>
      </w:r>
      <w:r>
        <w:rPr>
          <w:spacing w:val="-14"/>
        </w:rPr>
        <w:t> </w:t>
      </w:r>
      <w:r>
        <w:rPr/>
        <w:t>las</w:t>
      </w:r>
      <w:r>
        <w:rPr>
          <w:spacing w:val="-13"/>
        </w:rPr>
        <w:t> </w:t>
      </w:r>
      <w:r>
        <w:rPr/>
        <w:t>comunidades</w:t>
      </w:r>
      <w:r>
        <w:rPr>
          <w:spacing w:val="-13"/>
        </w:rPr>
        <w:t> </w:t>
      </w:r>
      <w:r>
        <w:rPr/>
        <w:t>deudoras estén usando estrictamente el Espacio Ambiental que no usan las acreedoras. Dado el origen de los insumos y el impacto generalizado de aspectos como el consumo de combustible y la utilización de materiales sería posible inferirlo de alguna manera. Sin embargo, los resultados permiten establecer al menos una conexión en lo que respecta a</w:t>
      </w:r>
      <w:r>
        <w:rPr>
          <w:spacing w:val="-12"/>
        </w:rPr>
        <w:t> </w:t>
      </w:r>
      <w:r>
        <w:rPr/>
        <w:t>la</w:t>
      </w:r>
      <w:r>
        <w:rPr>
          <w:spacing w:val="-11"/>
        </w:rPr>
        <w:t> </w:t>
      </w:r>
      <w:r>
        <w:rPr/>
        <w:t>capacidad</w:t>
      </w:r>
      <w:r>
        <w:rPr>
          <w:spacing w:val="-11"/>
        </w:rPr>
        <w:t> </w:t>
      </w:r>
      <w:r>
        <w:rPr/>
        <w:t>de</w:t>
      </w:r>
      <w:r>
        <w:rPr>
          <w:spacing w:val="-11"/>
        </w:rPr>
        <w:t> </w:t>
      </w:r>
      <w:r>
        <w:rPr/>
        <w:t>consumo</w:t>
      </w:r>
      <w:r>
        <w:rPr>
          <w:spacing w:val="-11"/>
        </w:rPr>
        <w:t> </w:t>
      </w:r>
      <w:r>
        <w:rPr/>
        <w:t>que</w:t>
      </w:r>
      <w:r>
        <w:rPr>
          <w:spacing w:val="-11"/>
        </w:rPr>
        <w:t> </w:t>
      </w:r>
      <w:r>
        <w:rPr/>
        <w:t>se</w:t>
      </w:r>
      <w:r>
        <w:rPr>
          <w:spacing w:val="-11"/>
        </w:rPr>
        <w:t> </w:t>
      </w:r>
      <w:r>
        <w:rPr/>
        <w:t>genera</w:t>
      </w:r>
      <w:r>
        <w:rPr>
          <w:spacing w:val="-11"/>
        </w:rPr>
        <w:t> </w:t>
      </w:r>
      <w:r>
        <w:rPr/>
        <w:t>de</w:t>
      </w:r>
      <w:r>
        <w:rPr>
          <w:spacing w:val="-11"/>
        </w:rPr>
        <w:t> </w:t>
      </w:r>
      <w:r>
        <w:rPr/>
        <w:t>los</w:t>
      </w:r>
      <w:r>
        <w:rPr>
          <w:spacing w:val="-10"/>
        </w:rPr>
        <w:t> </w:t>
      </w:r>
      <w:r>
        <w:rPr/>
        <w:t>valores</w:t>
      </w:r>
      <w:r>
        <w:rPr>
          <w:spacing w:val="-9"/>
        </w:rPr>
        <w:t> </w:t>
      </w:r>
      <w:r>
        <w:rPr/>
        <w:t>fiscales</w:t>
      </w:r>
      <w:r>
        <w:rPr>
          <w:spacing w:val="-5"/>
        </w:rPr>
        <w:t> </w:t>
      </w:r>
      <w:r>
        <w:rPr/>
        <w:t>y</w:t>
      </w:r>
      <w:r>
        <w:rPr>
          <w:spacing w:val="-13"/>
        </w:rPr>
        <w:t> </w:t>
      </w:r>
      <w:r>
        <w:rPr/>
        <w:t>el</w:t>
      </w:r>
      <w:r>
        <w:rPr>
          <w:spacing w:val="-10"/>
        </w:rPr>
        <w:t> </w:t>
      </w:r>
      <w:r>
        <w:rPr/>
        <w:t>disfrute</w:t>
      </w:r>
      <w:r>
        <w:rPr>
          <w:spacing w:val="-11"/>
        </w:rPr>
        <w:t> </w:t>
      </w:r>
      <w:r>
        <w:rPr/>
        <w:t>gratuito</w:t>
      </w:r>
      <w:r>
        <w:rPr>
          <w:spacing w:val="-12"/>
        </w:rPr>
        <w:t> </w:t>
      </w:r>
      <w:r>
        <w:rPr/>
        <w:t>del servicio de</w:t>
      </w:r>
      <w:r>
        <w:rPr>
          <w:spacing w:val="-3"/>
        </w:rPr>
        <w:t> </w:t>
      </w:r>
      <w:r>
        <w:rPr/>
        <w:t>vista.</w:t>
      </w:r>
    </w:p>
    <w:p>
      <w:pPr>
        <w:pStyle w:val="BodyText"/>
        <w:spacing w:line="360" w:lineRule="auto" w:before="203"/>
        <w:ind w:left="1040" w:right="1036"/>
        <w:jc w:val="both"/>
      </w:pPr>
      <w:r>
        <w:rPr/>
        <w:t>Ahora bien, más allá de la detección de la inequidad, superando una visión simplista de la</w:t>
      </w:r>
      <w:r>
        <w:rPr>
          <w:spacing w:val="-13"/>
        </w:rPr>
        <w:t> </w:t>
      </w:r>
      <w:r>
        <w:rPr/>
        <w:t>valoración,</w:t>
      </w:r>
      <w:r>
        <w:rPr>
          <w:spacing w:val="-9"/>
        </w:rPr>
        <w:t> </w:t>
      </w:r>
      <w:r>
        <w:rPr/>
        <w:t>se</w:t>
      </w:r>
      <w:r>
        <w:rPr>
          <w:spacing w:val="-12"/>
        </w:rPr>
        <w:t> </w:t>
      </w:r>
      <w:r>
        <w:rPr/>
        <w:t>puede</w:t>
      </w:r>
      <w:r>
        <w:rPr>
          <w:spacing w:val="-13"/>
        </w:rPr>
        <w:t> </w:t>
      </w:r>
      <w:r>
        <w:rPr/>
        <w:t>valorar</w:t>
      </w:r>
      <w:r>
        <w:rPr>
          <w:spacing w:val="-10"/>
        </w:rPr>
        <w:t> </w:t>
      </w:r>
      <w:r>
        <w:rPr/>
        <w:t>para</w:t>
      </w:r>
      <w:r>
        <w:rPr>
          <w:spacing w:val="-12"/>
        </w:rPr>
        <w:t> </w:t>
      </w:r>
      <w:r>
        <w:rPr/>
        <w:t>cuantificar</w:t>
      </w:r>
      <w:r>
        <w:rPr>
          <w:spacing w:val="-10"/>
        </w:rPr>
        <w:t> </w:t>
      </w:r>
      <w:r>
        <w:rPr/>
        <w:t>la</w:t>
      </w:r>
      <w:r>
        <w:rPr>
          <w:spacing w:val="-12"/>
        </w:rPr>
        <w:t> </w:t>
      </w:r>
      <w:r>
        <w:rPr/>
        <w:t>Deuda</w:t>
      </w:r>
      <w:r>
        <w:rPr>
          <w:spacing w:val="-12"/>
        </w:rPr>
        <w:t> </w:t>
      </w:r>
      <w:r>
        <w:rPr/>
        <w:t>Ecológica</w:t>
      </w:r>
      <w:r>
        <w:rPr>
          <w:spacing w:val="-10"/>
        </w:rPr>
        <w:t> </w:t>
      </w:r>
      <w:r>
        <w:rPr/>
        <w:t>y</w:t>
      </w:r>
      <w:r>
        <w:rPr>
          <w:spacing w:val="-14"/>
        </w:rPr>
        <w:t> </w:t>
      </w:r>
      <w:r>
        <w:rPr/>
        <w:t>plantear</w:t>
      </w:r>
      <w:r>
        <w:rPr>
          <w:spacing w:val="-7"/>
        </w:rPr>
        <w:t> </w:t>
      </w:r>
      <w:r>
        <w:rPr/>
        <w:t>escenarios de</w:t>
      </w:r>
      <w:r>
        <w:rPr>
          <w:spacing w:val="-12"/>
        </w:rPr>
        <w:t> </w:t>
      </w:r>
      <w:r>
        <w:rPr/>
        <w:t>compensación.</w:t>
      </w:r>
      <w:r>
        <w:rPr>
          <w:spacing w:val="-7"/>
        </w:rPr>
        <w:t> </w:t>
      </w:r>
      <w:r>
        <w:rPr/>
        <w:t>La</w:t>
      </w:r>
      <w:r>
        <w:rPr>
          <w:spacing w:val="-11"/>
        </w:rPr>
        <w:t> </w:t>
      </w:r>
      <w:r>
        <w:rPr/>
        <w:t>ZPLC</w:t>
      </w:r>
      <w:r>
        <w:rPr>
          <w:spacing w:val="-10"/>
        </w:rPr>
        <w:t> </w:t>
      </w:r>
      <w:r>
        <w:rPr/>
        <w:t>genera</w:t>
      </w:r>
      <w:r>
        <w:rPr>
          <w:spacing w:val="-12"/>
        </w:rPr>
        <w:t> </w:t>
      </w:r>
      <w:r>
        <w:rPr/>
        <w:t>un</w:t>
      </w:r>
      <w:r>
        <w:rPr>
          <w:spacing w:val="-7"/>
        </w:rPr>
        <w:t> </w:t>
      </w:r>
      <w:r>
        <w:rPr/>
        <w:t>servicio</w:t>
      </w:r>
      <w:r>
        <w:rPr>
          <w:spacing w:val="-11"/>
        </w:rPr>
        <w:t> </w:t>
      </w:r>
      <w:r>
        <w:rPr/>
        <w:t>ecosistémico</w:t>
      </w:r>
      <w:r>
        <w:rPr>
          <w:spacing w:val="-11"/>
        </w:rPr>
        <w:t> </w:t>
      </w:r>
      <w:r>
        <w:rPr/>
        <w:t>no</w:t>
      </w:r>
      <w:r>
        <w:rPr>
          <w:spacing w:val="-12"/>
        </w:rPr>
        <w:t> </w:t>
      </w:r>
      <w:r>
        <w:rPr/>
        <w:t>compensado</w:t>
      </w:r>
      <w:r>
        <w:rPr>
          <w:spacing w:val="-7"/>
        </w:rPr>
        <w:t> </w:t>
      </w:r>
      <w:r>
        <w:rPr/>
        <w:t>de</w:t>
      </w:r>
      <w:r>
        <w:rPr>
          <w:spacing w:val="-11"/>
        </w:rPr>
        <w:t> </w:t>
      </w:r>
      <w:r>
        <w:rPr/>
        <w:t>vista</w:t>
      </w:r>
      <w:r>
        <w:rPr>
          <w:spacing w:val="-11"/>
        </w:rPr>
        <w:t> </w:t>
      </w:r>
      <w:r>
        <w:rPr/>
        <w:t>de</w:t>
      </w:r>
    </w:p>
    <w:p>
      <w:pPr>
        <w:pStyle w:val="BodyText"/>
        <w:spacing w:line="360" w:lineRule="auto"/>
        <w:ind w:left="1040" w:right="1036"/>
        <w:jc w:val="both"/>
      </w:pPr>
      <w:r>
        <w:rPr/>
        <w:t>$92.61 por metro cuadrado de construcción para los tipos de inmuebles incluidos en la muestra</w:t>
      </w:r>
      <w:r>
        <w:rPr>
          <w:spacing w:val="-9"/>
        </w:rPr>
        <w:t> </w:t>
      </w:r>
      <w:r>
        <w:rPr/>
        <w:t>de</w:t>
      </w:r>
      <w:r>
        <w:rPr>
          <w:spacing w:val="-9"/>
        </w:rPr>
        <w:t> </w:t>
      </w:r>
      <w:r>
        <w:rPr/>
        <w:t>las</w:t>
      </w:r>
      <w:r>
        <w:rPr>
          <w:spacing w:val="-8"/>
        </w:rPr>
        <w:t> </w:t>
      </w:r>
      <w:r>
        <w:rPr/>
        <w:t>comunidades</w:t>
      </w:r>
      <w:r>
        <w:rPr>
          <w:spacing w:val="-6"/>
        </w:rPr>
        <w:t> </w:t>
      </w:r>
      <w:r>
        <w:rPr/>
        <w:t>deudoras</w:t>
      </w:r>
      <w:r>
        <w:rPr>
          <w:spacing w:val="-6"/>
        </w:rPr>
        <w:t> </w:t>
      </w:r>
      <w:r>
        <w:rPr/>
        <w:t>que</w:t>
      </w:r>
      <w:r>
        <w:rPr>
          <w:spacing w:val="-9"/>
        </w:rPr>
        <w:t> </w:t>
      </w:r>
      <w:r>
        <w:rPr/>
        <w:t>se</w:t>
      </w:r>
      <w:r>
        <w:rPr>
          <w:spacing w:val="-9"/>
        </w:rPr>
        <w:t> </w:t>
      </w:r>
      <w:r>
        <w:rPr/>
        <w:t>usó</w:t>
      </w:r>
      <w:r>
        <w:rPr>
          <w:spacing w:val="-9"/>
        </w:rPr>
        <w:t> </w:t>
      </w:r>
      <w:r>
        <w:rPr/>
        <w:t>para</w:t>
      </w:r>
      <w:r>
        <w:rPr>
          <w:spacing w:val="-9"/>
        </w:rPr>
        <w:t> </w:t>
      </w:r>
      <w:r>
        <w:rPr/>
        <w:t>estimar</w:t>
      </w:r>
      <w:r>
        <w:rPr>
          <w:spacing w:val="-7"/>
        </w:rPr>
        <w:t> </w:t>
      </w:r>
      <w:r>
        <w:rPr/>
        <w:t>el</w:t>
      </w:r>
      <w:r>
        <w:rPr>
          <w:spacing w:val="-5"/>
        </w:rPr>
        <w:t> </w:t>
      </w:r>
      <w:r>
        <w:rPr/>
        <w:t>modelo</w:t>
      </w:r>
      <w:r>
        <w:rPr>
          <w:spacing w:val="-9"/>
        </w:rPr>
        <w:t> </w:t>
      </w:r>
      <w:r>
        <w:rPr/>
        <w:t>seleccionado. Este</w:t>
      </w:r>
      <w:r>
        <w:rPr>
          <w:spacing w:val="-8"/>
        </w:rPr>
        <w:t> </w:t>
      </w:r>
      <w:r>
        <w:rPr/>
        <w:t>valor</w:t>
      </w:r>
      <w:r>
        <w:rPr>
          <w:spacing w:val="-5"/>
        </w:rPr>
        <w:t> </w:t>
      </w:r>
      <w:r>
        <w:rPr/>
        <w:t>monetario</w:t>
      </w:r>
      <w:r>
        <w:rPr>
          <w:spacing w:val="-7"/>
        </w:rPr>
        <w:t> </w:t>
      </w:r>
      <w:r>
        <w:rPr/>
        <w:t>permite</w:t>
      </w:r>
      <w:r>
        <w:rPr>
          <w:spacing w:val="-7"/>
        </w:rPr>
        <w:t> </w:t>
      </w:r>
      <w:r>
        <w:rPr/>
        <w:t>agregar</w:t>
      </w:r>
      <w:r>
        <w:rPr>
          <w:spacing w:val="-2"/>
        </w:rPr>
        <w:t> </w:t>
      </w:r>
      <w:r>
        <w:rPr/>
        <w:t>una</w:t>
      </w:r>
      <w:r>
        <w:rPr>
          <w:spacing w:val="-7"/>
        </w:rPr>
        <w:t> </w:t>
      </w:r>
      <w:r>
        <w:rPr/>
        <w:t>dimensión</w:t>
      </w:r>
      <w:r>
        <w:rPr>
          <w:spacing w:val="-7"/>
        </w:rPr>
        <w:t> </w:t>
      </w:r>
      <w:r>
        <w:rPr/>
        <w:t>cuantitativa</w:t>
      </w:r>
      <w:r>
        <w:rPr>
          <w:spacing w:val="-7"/>
        </w:rPr>
        <w:t> </w:t>
      </w:r>
      <w:r>
        <w:rPr>
          <w:spacing w:val="-2"/>
        </w:rPr>
        <w:t>más </w:t>
      </w:r>
      <w:r>
        <w:rPr/>
        <w:t>a</w:t>
      </w:r>
      <w:r>
        <w:rPr>
          <w:spacing w:val="-7"/>
        </w:rPr>
        <w:t> </w:t>
      </w:r>
      <w:r>
        <w:rPr/>
        <w:t>la</w:t>
      </w:r>
      <w:r>
        <w:rPr>
          <w:spacing w:val="-7"/>
        </w:rPr>
        <w:t> </w:t>
      </w:r>
      <w:r>
        <w:rPr/>
        <w:t>evaluación</w:t>
      </w:r>
      <w:r>
        <w:rPr>
          <w:spacing w:val="-1"/>
        </w:rPr>
        <w:t> </w:t>
      </w:r>
      <w:r>
        <w:rPr/>
        <w:t>de justicia distributiva en la que se han mezclado indicadores biofísicos y monetarios y a dimensionar</w:t>
      </w:r>
      <w:r>
        <w:rPr>
          <w:spacing w:val="-19"/>
        </w:rPr>
        <w:t> </w:t>
      </w:r>
      <w:r>
        <w:rPr/>
        <w:t>la</w:t>
      </w:r>
      <w:r>
        <w:rPr>
          <w:spacing w:val="-20"/>
        </w:rPr>
        <w:t> </w:t>
      </w:r>
      <w:r>
        <w:rPr/>
        <w:t>profundidad</w:t>
      </w:r>
      <w:r>
        <w:rPr>
          <w:spacing w:val="-19"/>
        </w:rPr>
        <w:t> </w:t>
      </w:r>
      <w:r>
        <w:rPr/>
        <w:t>de</w:t>
      </w:r>
      <w:r>
        <w:rPr>
          <w:spacing w:val="-20"/>
        </w:rPr>
        <w:t> </w:t>
      </w:r>
      <w:r>
        <w:rPr/>
        <w:t>la</w:t>
      </w:r>
      <w:r>
        <w:rPr>
          <w:spacing w:val="-20"/>
        </w:rPr>
        <w:t> </w:t>
      </w:r>
      <w:r>
        <w:rPr/>
        <w:t>situación</w:t>
      </w:r>
      <w:r>
        <w:rPr>
          <w:spacing w:val="-20"/>
        </w:rPr>
        <w:t> </w:t>
      </w:r>
      <w:r>
        <w:rPr/>
        <w:t>de</w:t>
      </w:r>
      <w:r>
        <w:rPr>
          <w:spacing w:val="-20"/>
        </w:rPr>
        <w:t> </w:t>
      </w:r>
      <w:r>
        <w:rPr/>
        <w:t>inequidad</w:t>
      </w:r>
      <w:r>
        <w:rPr>
          <w:spacing w:val="-16"/>
        </w:rPr>
        <w:t> </w:t>
      </w:r>
      <w:r>
        <w:rPr/>
        <w:t>que</w:t>
      </w:r>
      <w:r>
        <w:rPr>
          <w:spacing w:val="-20"/>
        </w:rPr>
        <w:t> </w:t>
      </w:r>
      <w:r>
        <w:rPr/>
        <w:t>se</w:t>
      </w:r>
      <w:r>
        <w:rPr>
          <w:spacing w:val="-20"/>
        </w:rPr>
        <w:t> </w:t>
      </w:r>
      <w:r>
        <w:rPr/>
        <w:t>presenta</w:t>
      </w:r>
      <w:r>
        <w:rPr>
          <w:spacing w:val="-20"/>
        </w:rPr>
        <w:t> </w:t>
      </w:r>
      <w:r>
        <w:rPr/>
        <w:t>entre</w:t>
      </w:r>
      <w:r>
        <w:rPr>
          <w:spacing w:val="-20"/>
        </w:rPr>
        <w:t> </w:t>
      </w:r>
      <w:r>
        <w:rPr/>
        <w:t>los</w:t>
      </w:r>
      <w:r>
        <w:rPr>
          <w:spacing w:val="-18"/>
        </w:rPr>
        <w:t> </w:t>
      </w:r>
      <w:r>
        <w:rPr/>
        <w:t>actores relacionados a la</w:t>
      </w:r>
      <w:r>
        <w:rPr>
          <w:spacing w:val="-2"/>
        </w:rPr>
        <w:t> </w:t>
      </w:r>
      <w:r>
        <w:rPr/>
        <w:t>ZPLC.</w:t>
      </w:r>
    </w:p>
    <w:p>
      <w:pPr>
        <w:pStyle w:val="BodyText"/>
        <w:spacing w:line="360" w:lineRule="auto" w:before="199"/>
        <w:ind w:left="1040" w:right="1042"/>
        <w:jc w:val="both"/>
      </w:pPr>
      <w:r>
        <w:rPr/>
        <w:t>Una propuesta de escenario a considerar sería el proponer a los gobiernos municipales que tomen el porcentaje del impuesto territorial que recolectan, representado el valor monetario estimado y lo canalicen en beneficio de la educación y de acciones de mejoramiento de la calidad de vida de las comunidades acreedoras en la ZPLC. Ello incluso se podría negociar en sustitución del reintegro del valor recolectado en el cobro del</w:t>
      </w:r>
      <w:r>
        <w:rPr>
          <w:spacing w:val="-7"/>
        </w:rPr>
        <w:t> </w:t>
      </w:r>
      <w:r>
        <w:rPr/>
        <w:t>Timbre</w:t>
      </w:r>
      <w:r>
        <w:rPr>
          <w:spacing w:val="-8"/>
        </w:rPr>
        <w:t> </w:t>
      </w:r>
      <w:r>
        <w:rPr/>
        <w:t>Pro</w:t>
      </w:r>
      <w:r>
        <w:rPr>
          <w:spacing w:val="-7"/>
        </w:rPr>
        <w:t> </w:t>
      </w:r>
      <w:r>
        <w:rPr/>
        <w:t>Parques</w:t>
      </w:r>
      <w:r>
        <w:rPr>
          <w:spacing w:val="-6"/>
        </w:rPr>
        <w:t> </w:t>
      </w:r>
      <w:r>
        <w:rPr/>
        <w:t>Nacionales</w:t>
      </w:r>
      <w:r>
        <w:rPr>
          <w:spacing w:val="-2"/>
        </w:rPr>
        <w:t> </w:t>
      </w:r>
      <w:r>
        <w:rPr/>
        <w:t>que</w:t>
      </w:r>
      <w:r>
        <w:rPr>
          <w:spacing w:val="-7"/>
        </w:rPr>
        <w:t> </w:t>
      </w:r>
      <w:r>
        <w:rPr/>
        <w:t>deben</w:t>
      </w:r>
      <w:r>
        <w:rPr>
          <w:spacing w:val="-8"/>
        </w:rPr>
        <w:t> </w:t>
      </w:r>
      <w:r>
        <w:rPr/>
        <w:t>hacer</w:t>
      </w:r>
      <w:r>
        <w:rPr>
          <w:spacing w:val="-5"/>
        </w:rPr>
        <w:t> </w:t>
      </w:r>
      <w:r>
        <w:rPr/>
        <w:t>las</w:t>
      </w:r>
      <w:r>
        <w:rPr>
          <w:spacing w:val="-2"/>
        </w:rPr>
        <w:t> </w:t>
      </w:r>
      <w:r>
        <w:rPr/>
        <w:t>municipalidades</w:t>
      </w:r>
      <w:r>
        <w:rPr>
          <w:spacing w:val="-6"/>
        </w:rPr>
        <w:t> </w:t>
      </w:r>
      <w:r>
        <w:rPr/>
        <w:t>de</w:t>
      </w:r>
      <w:r>
        <w:rPr>
          <w:spacing w:val="-7"/>
        </w:rPr>
        <w:t> </w:t>
      </w:r>
      <w:r>
        <w:rPr/>
        <w:t>Costa</w:t>
      </w:r>
      <w:r>
        <w:rPr>
          <w:spacing w:val="-8"/>
        </w:rPr>
        <w:t> </w:t>
      </w:r>
      <w:r>
        <w:rPr/>
        <w:t>Rica</w:t>
      </w:r>
    </w:p>
    <w:p>
      <w:pPr>
        <w:spacing w:after="0" w:line="360" w:lineRule="auto"/>
        <w:jc w:val="both"/>
        <w:sectPr>
          <w:pgSz w:w="12240" w:h="15840"/>
          <w:pgMar w:header="0" w:footer="982" w:top="1360" w:bottom="1260" w:left="400" w:right="400"/>
        </w:sectPr>
      </w:pPr>
    </w:p>
    <w:p>
      <w:pPr>
        <w:pStyle w:val="BodyText"/>
        <w:spacing w:line="357" w:lineRule="auto" w:before="79"/>
        <w:ind w:left="1040" w:right="1047"/>
        <w:jc w:val="both"/>
      </w:pPr>
      <w:r>
        <w:rPr/>
        <w:t>al Fondo de Parques Nacionales. Asimismo, el valor estimado podría usarse para justificar el uso de recursos de ese Fondo en la misma dirección.</w:t>
      </w:r>
    </w:p>
    <w:p>
      <w:pPr>
        <w:pStyle w:val="BodyText"/>
        <w:spacing w:line="360" w:lineRule="auto" w:before="206"/>
        <w:ind w:left="1040" w:right="1033"/>
        <w:jc w:val="both"/>
      </w:pPr>
      <w:r>
        <w:rPr/>
        <w:t>En los aspectos metodológicos, esta estimación coincide con las tendencias detectadas en</w:t>
      </w:r>
      <w:r>
        <w:rPr>
          <w:spacing w:val="-22"/>
        </w:rPr>
        <w:t> </w:t>
      </w:r>
      <w:r>
        <w:rPr/>
        <w:t>tanto</w:t>
      </w:r>
      <w:r>
        <w:rPr>
          <w:spacing w:val="-21"/>
        </w:rPr>
        <w:t> </w:t>
      </w:r>
      <w:r>
        <w:rPr/>
        <w:t>las</w:t>
      </w:r>
      <w:r>
        <w:rPr>
          <w:spacing w:val="-20"/>
        </w:rPr>
        <w:t> </w:t>
      </w:r>
      <w:r>
        <w:rPr/>
        <w:t>características</w:t>
      </w:r>
      <w:r>
        <w:rPr>
          <w:spacing w:val="-19"/>
        </w:rPr>
        <w:t> </w:t>
      </w:r>
      <w:r>
        <w:rPr/>
        <w:t>específicas</w:t>
      </w:r>
      <w:r>
        <w:rPr>
          <w:spacing w:val="-16"/>
        </w:rPr>
        <w:t> </w:t>
      </w:r>
      <w:r>
        <w:rPr/>
        <w:t>del</w:t>
      </w:r>
      <w:r>
        <w:rPr>
          <w:spacing w:val="-21"/>
        </w:rPr>
        <w:t> </w:t>
      </w:r>
      <w:r>
        <w:rPr/>
        <w:t>contexto</w:t>
      </w:r>
      <w:r>
        <w:rPr>
          <w:spacing w:val="-21"/>
        </w:rPr>
        <w:t> </w:t>
      </w:r>
      <w:r>
        <w:rPr/>
        <w:t>geográfico</w:t>
      </w:r>
      <w:r>
        <w:rPr>
          <w:spacing w:val="-21"/>
        </w:rPr>
        <w:t> </w:t>
      </w:r>
      <w:r>
        <w:rPr/>
        <w:t>inmediato</w:t>
      </w:r>
      <w:r>
        <w:rPr>
          <w:spacing w:val="-22"/>
        </w:rPr>
        <w:t> </w:t>
      </w:r>
      <w:r>
        <w:rPr/>
        <w:t>que</w:t>
      </w:r>
      <w:r>
        <w:rPr>
          <w:spacing w:val="-18"/>
        </w:rPr>
        <w:t> </w:t>
      </w:r>
      <w:r>
        <w:rPr/>
        <w:t>se</w:t>
      </w:r>
      <w:r>
        <w:rPr>
          <w:spacing w:val="-21"/>
        </w:rPr>
        <w:t> </w:t>
      </w:r>
      <w:r>
        <w:rPr/>
        <w:t>examina son</w:t>
      </w:r>
      <w:r>
        <w:rPr>
          <w:spacing w:val="-9"/>
        </w:rPr>
        <w:t> </w:t>
      </w:r>
      <w:r>
        <w:rPr/>
        <w:t>determinantes</w:t>
      </w:r>
      <w:r>
        <w:rPr>
          <w:spacing w:val="-7"/>
        </w:rPr>
        <w:t> </w:t>
      </w:r>
      <w:r>
        <w:rPr/>
        <w:t>de</w:t>
      </w:r>
      <w:r>
        <w:rPr>
          <w:spacing w:val="-9"/>
        </w:rPr>
        <w:t> </w:t>
      </w:r>
      <w:r>
        <w:rPr/>
        <w:t>las</w:t>
      </w:r>
      <w:r>
        <w:rPr>
          <w:spacing w:val="-6"/>
        </w:rPr>
        <w:t> </w:t>
      </w:r>
      <w:r>
        <w:rPr/>
        <w:t>variables</w:t>
      </w:r>
      <w:r>
        <w:rPr>
          <w:spacing w:val="-7"/>
        </w:rPr>
        <w:t> </w:t>
      </w:r>
      <w:r>
        <w:rPr/>
        <w:t>que</w:t>
      </w:r>
      <w:r>
        <w:rPr>
          <w:spacing w:val="-9"/>
        </w:rPr>
        <w:t> </w:t>
      </w:r>
      <w:r>
        <w:rPr/>
        <w:t>afectan</w:t>
      </w:r>
      <w:r>
        <w:rPr>
          <w:spacing w:val="-8"/>
        </w:rPr>
        <w:t> </w:t>
      </w:r>
      <w:r>
        <w:rPr/>
        <w:t>el</w:t>
      </w:r>
      <w:r>
        <w:rPr>
          <w:spacing w:val="-8"/>
        </w:rPr>
        <w:t> </w:t>
      </w:r>
      <w:r>
        <w:rPr/>
        <w:t>precio</w:t>
      </w:r>
      <w:r>
        <w:rPr>
          <w:spacing w:val="-9"/>
        </w:rPr>
        <w:t> </w:t>
      </w:r>
      <w:r>
        <w:rPr/>
        <w:t>de</w:t>
      </w:r>
      <w:r>
        <w:rPr>
          <w:spacing w:val="-8"/>
        </w:rPr>
        <w:t> </w:t>
      </w:r>
      <w:r>
        <w:rPr/>
        <w:t>los</w:t>
      </w:r>
      <w:r>
        <w:rPr>
          <w:spacing w:val="-7"/>
        </w:rPr>
        <w:t> </w:t>
      </w:r>
      <w:r>
        <w:rPr/>
        <w:t>inmuebles.</w:t>
      </w:r>
      <w:r>
        <w:rPr>
          <w:spacing w:val="-1"/>
        </w:rPr>
        <w:t> </w:t>
      </w:r>
      <w:r>
        <w:rPr/>
        <w:t>El</w:t>
      </w:r>
      <w:r>
        <w:rPr>
          <w:spacing w:val="-9"/>
        </w:rPr>
        <w:t> </w:t>
      </w:r>
      <w:r>
        <w:rPr/>
        <w:t>servicio</w:t>
      </w:r>
      <w:r>
        <w:rPr>
          <w:spacing w:val="-9"/>
        </w:rPr>
        <w:t> </w:t>
      </w:r>
      <w:r>
        <w:rPr/>
        <w:t>de vista, de acuerdo con el modelo seleccionado, explica un 8% del comportamiento de</w:t>
      </w:r>
      <w:r>
        <w:rPr>
          <w:spacing w:val="-41"/>
        </w:rPr>
        <w:t> </w:t>
      </w:r>
      <w:r>
        <w:rPr/>
        <w:t>los precios, figura que parece razonable frente al porcentaje de entre un 30 y un 39% del cambio en los precios que la literatura atribuye a las características del entorno. En términos de las variables estructurales, el número de habitaciones, conforme lo documentaron los estudios antecedentes, y de baños, conforme lo indicó el modelo 4 modificado, se constituyen en factores determinantes del precio, junto con el tipo de inmueble.</w:t>
      </w:r>
    </w:p>
    <w:p>
      <w:pPr>
        <w:pStyle w:val="BodyText"/>
        <w:spacing w:line="360" w:lineRule="auto" w:before="201"/>
        <w:ind w:left="1040" w:right="1041"/>
        <w:jc w:val="both"/>
      </w:pPr>
      <w:r>
        <w:rPr/>
        <w:t>Las pruebas de MCD mostraron un potencial problema de MCD dados los FIV de las variables de habitaciones y baños. Sin embargo, los niveles no superaron los umbrales para considerar el problema como grave. Las correcciones que se debieron aplicar se originaron en el problema de HCD detectado tanto por las pruebas de graficación de residuos como por las pruebas de Breusch-Pagan y White. Se aplicó la corrección de White.</w:t>
      </w:r>
    </w:p>
    <w:p>
      <w:pPr>
        <w:pStyle w:val="BodyText"/>
        <w:spacing w:line="360" w:lineRule="auto" w:before="201"/>
        <w:ind w:left="1040" w:right="1044"/>
        <w:jc w:val="both"/>
      </w:pPr>
      <w:r>
        <w:rPr/>
        <w:t>Los resultados del análisis cuantitativo permiten completar el cuadro de deconstrucción de la Deuda Ecológica de la ZPLC. Puede observarse la inclusión de estas mediciones en las secciones de evaluación de justicia distributiva y compensatoria del Cuadro 23.</w:t>
      </w:r>
    </w:p>
    <w:p>
      <w:pPr>
        <w:pStyle w:val="BodyText"/>
        <w:spacing w:line="360" w:lineRule="auto" w:before="198"/>
        <w:ind w:left="1040" w:right="1044"/>
        <w:jc w:val="both"/>
      </w:pPr>
      <w:r>
        <w:rPr/>
        <w:t>Esta deconstrucción muestra la propuesta completa para poder utilizar el concepto de Deuda Ecológica en una forma más amplia, sustentando un enfoque de derechos y con la posibilidad de plantear cuantitativamente el tamaño de las inequidades, sea con fines de información, sea con la consideración de la posibilidad de compensación.</w:t>
      </w:r>
    </w:p>
    <w:p>
      <w:pPr>
        <w:pStyle w:val="BodyText"/>
        <w:spacing w:line="360" w:lineRule="auto" w:before="201"/>
        <w:ind w:left="1040" w:right="1037"/>
        <w:jc w:val="both"/>
      </w:pPr>
      <w:r>
        <w:rPr/>
        <w:t>El enfoque presentado aquí representa una propuesta innovadora en el sentido de generalizar el uso del concepto de Deuda Ecológica, permitiendo detectar tendencias y una comprensión sistematizada del CED. Asimismo, al integrar posibilidades de cuantificación permite el análisis de Ecología Política estadística. La utilización que se</w:t>
      </w:r>
    </w:p>
    <w:p>
      <w:pPr>
        <w:spacing w:after="0" w:line="360" w:lineRule="auto"/>
        <w:jc w:val="both"/>
        <w:sectPr>
          <w:pgSz w:w="12240" w:h="15840"/>
          <w:pgMar w:header="0" w:footer="982" w:top="1360" w:bottom="1260" w:left="400" w:right="400"/>
        </w:sectPr>
      </w:pPr>
    </w:p>
    <w:p>
      <w:pPr>
        <w:pStyle w:val="BodyText"/>
        <w:spacing w:line="357" w:lineRule="auto" w:before="79"/>
        <w:ind w:left="1040" w:right="1044"/>
        <w:jc w:val="both"/>
      </w:pPr>
      <w:r>
        <w:rPr/>
        <w:t>puede</w:t>
      </w:r>
      <w:r>
        <w:rPr>
          <w:spacing w:val="-12"/>
        </w:rPr>
        <w:t> </w:t>
      </w:r>
      <w:r>
        <w:rPr/>
        <w:t>dar</w:t>
      </w:r>
      <w:r>
        <w:rPr>
          <w:spacing w:val="-5"/>
        </w:rPr>
        <w:t> </w:t>
      </w:r>
      <w:r>
        <w:rPr/>
        <w:t>a</w:t>
      </w:r>
      <w:r>
        <w:rPr>
          <w:spacing w:val="-12"/>
        </w:rPr>
        <w:t> </w:t>
      </w:r>
      <w:r>
        <w:rPr/>
        <w:t>esta</w:t>
      </w:r>
      <w:r>
        <w:rPr>
          <w:spacing w:val="-10"/>
        </w:rPr>
        <w:t> </w:t>
      </w:r>
      <w:r>
        <w:rPr/>
        <w:t>propuesta</w:t>
      </w:r>
      <w:r>
        <w:rPr>
          <w:spacing w:val="-12"/>
        </w:rPr>
        <w:t> </w:t>
      </w:r>
      <w:r>
        <w:rPr/>
        <w:t>frente</w:t>
      </w:r>
      <w:r>
        <w:rPr>
          <w:spacing w:val="-11"/>
        </w:rPr>
        <w:t> </w:t>
      </w:r>
      <w:r>
        <w:rPr/>
        <w:t>a</w:t>
      </w:r>
      <w:r>
        <w:rPr>
          <w:spacing w:val="-8"/>
        </w:rPr>
        <w:t> </w:t>
      </w:r>
      <w:r>
        <w:rPr/>
        <w:t>diversas</w:t>
      </w:r>
      <w:r>
        <w:rPr>
          <w:spacing w:val="-9"/>
        </w:rPr>
        <w:t> </w:t>
      </w:r>
      <w:r>
        <w:rPr/>
        <w:t>situaciones</w:t>
      </w:r>
      <w:r>
        <w:rPr>
          <w:spacing w:val="-9"/>
        </w:rPr>
        <w:t> </w:t>
      </w:r>
      <w:r>
        <w:rPr/>
        <w:t>tiene</w:t>
      </w:r>
      <w:r>
        <w:rPr>
          <w:spacing w:val="-12"/>
        </w:rPr>
        <w:t> </w:t>
      </w:r>
      <w:r>
        <w:rPr/>
        <w:t>un</w:t>
      </w:r>
      <w:r>
        <w:rPr>
          <w:spacing w:val="-11"/>
        </w:rPr>
        <w:t> </w:t>
      </w:r>
      <w:r>
        <w:rPr/>
        <w:t>rango</w:t>
      </w:r>
      <w:r>
        <w:rPr>
          <w:spacing w:val="-12"/>
        </w:rPr>
        <w:t> </w:t>
      </w:r>
      <w:r>
        <w:rPr/>
        <w:t>amplio</w:t>
      </w:r>
      <w:r>
        <w:rPr>
          <w:spacing w:val="-11"/>
        </w:rPr>
        <w:t> </w:t>
      </w:r>
      <w:r>
        <w:rPr/>
        <w:t>con</w:t>
      </w:r>
      <w:r>
        <w:rPr>
          <w:spacing w:val="-11"/>
        </w:rPr>
        <w:t> </w:t>
      </w:r>
      <w:r>
        <w:rPr/>
        <w:t>base en un enfoque de</w:t>
      </w:r>
      <w:r>
        <w:rPr>
          <w:spacing w:val="-5"/>
        </w:rPr>
        <w:t> </w:t>
      </w:r>
      <w:r>
        <w:rPr/>
        <w:t>derechos.</w:t>
      </w:r>
    </w:p>
    <w:p>
      <w:pPr>
        <w:pStyle w:val="BodyText"/>
        <w:spacing w:line="360" w:lineRule="auto" w:before="206"/>
        <w:ind w:left="1040" w:right="1037"/>
        <w:jc w:val="both"/>
      </w:pPr>
      <w:r>
        <w:rPr/>
        <w:t>El diseño del proceso de seguimiento multicriterial que se propone para dar uso a los resultados de esta investigación da una oportunidad de aprovechar el proceso de desarrollo</w:t>
      </w:r>
      <w:r>
        <w:rPr>
          <w:spacing w:val="-10"/>
        </w:rPr>
        <w:t> </w:t>
      </w:r>
      <w:r>
        <w:rPr/>
        <w:t>de</w:t>
      </w:r>
      <w:r>
        <w:rPr>
          <w:spacing w:val="-10"/>
        </w:rPr>
        <w:t> </w:t>
      </w:r>
      <w:r>
        <w:rPr/>
        <w:t>escenarios</w:t>
      </w:r>
      <w:r>
        <w:rPr>
          <w:spacing w:val="-7"/>
        </w:rPr>
        <w:t> </w:t>
      </w:r>
      <w:r>
        <w:rPr/>
        <w:t>y</w:t>
      </w:r>
      <w:r>
        <w:rPr>
          <w:spacing w:val="-12"/>
        </w:rPr>
        <w:t> </w:t>
      </w:r>
      <w:r>
        <w:rPr/>
        <w:t>criterios</w:t>
      </w:r>
      <w:r>
        <w:rPr>
          <w:spacing w:val="-7"/>
        </w:rPr>
        <w:t> </w:t>
      </w:r>
      <w:r>
        <w:rPr/>
        <w:t>como</w:t>
      </w:r>
      <w:r>
        <w:rPr>
          <w:spacing w:val="-10"/>
        </w:rPr>
        <w:t> </w:t>
      </w:r>
      <w:r>
        <w:rPr/>
        <w:t>un</w:t>
      </w:r>
      <w:r>
        <w:rPr>
          <w:spacing w:val="-9"/>
        </w:rPr>
        <w:t> </w:t>
      </w:r>
      <w:r>
        <w:rPr/>
        <w:t>espacio</w:t>
      </w:r>
      <w:r>
        <w:rPr>
          <w:spacing w:val="-10"/>
        </w:rPr>
        <w:t> </w:t>
      </w:r>
      <w:r>
        <w:rPr/>
        <w:t>de</w:t>
      </w:r>
      <w:r>
        <w:rPr>
          <w:spacing w:val="-9"/>
        </w:rPr>
        <w:t> </w:t>
      </w:r>
      <w:r>
        <w:rPr/>
        <w:t>educación</w:t>
      </w:r>
      <w:r>
        <w:rPr>
          <w:spacing w:val="-10"/>
        </w:rPr>
        <w:t> </w:t>
      </w:r>
      <w:r>
        <w:rPr/>
        <w:t>para</w:t>
      </w:r>
      <w:r>
        <w:rPr>
          <w:spacing w:val="-9"/>
        </w:rPr>
        <w:t> </w:t>
      </w:r>
      <w:r>
        <w:rPr/>
        <w:t>los</w:t>
      </w:r>
      <w:r>
        <w:rPr>
          <w:spacing w:val="-8"/>
        </w:rPr>
        <w:t> </w:t>
      </w:r>
      <w:r>
        <w:rPr/>
        <w:t>participantes sobre</w:t>
      </w:r>
      <w:r>
        <w:rPr>
          <w:spacing w:val="-19"/>
        </w:rPr>
        <w:t> </w:t>
      </w:r>
      <w:r>
        <w:rPr/>
        <w:t>la</w:t>
      </w:r>
      <w:r>
        <w:rPr>
          <w:spacing w:val="-19"/>
        </w:rPr>
        <w:t> </w:t>
      </w:r>
      <w:r>
        <w:rPr/>
        <w:t>importancia</w:t>
      </w:r>
      <w:r>
        <w:rPr>
          <w:spacing w:val="-18"/>
        </w:rPr>
        <w:t> </w:t>
      </w:r>
      <w:r>
        <w:rPr/>
        <w:t>de</w:t>
      </w:r>
      <w:r>
        <w:rPr>
          <w:spacing w:val="-19"/>
        </w:rPr>
        <w:t> </w:t>
      </w:r>
      <w:r>
        <w:rPr/>
        <w:t>la</w:t>
      </w:r>
      <w:r>
        <w:rPr>
          <w:spacing w:val="-18"/>
        </w:rPr>
        <w:t> </w:t>
      </w:r>
      <w:r>
        <w:rPr/>
        <w:t>ZPLC</w:t>
      </w:r>
      <w:r>
        <w:rPr>
          <w:spacing w:val="-14"/>
        </w:rPr>
        <w:t> </w:t>
      </w:r>
      <w:r>
        <w:rPr/>
        <w:t>y</w:t>
      </w:r>
      <w:r>
        <w:rPr>
          <w:spacing w:val="-21"/>
        </w:rPr>
        <w:t> </w:t>
      </w:r>
      <w:r>
        <w:rPr/>
        <w:t>de</w:t>
      </w:r>
      <w:r>
        <w:rPr>
          <w:spacing w:val="-18"/>
        </w:rPr>
        <w:t> </w:t>
      </w:r>
      <w:r>
        <w:rPr/>
        <w:t>la</w:t>
      </w:r>
      <w:r>
        <w:rPr>
          <w:spacing w:val="-15"/>
        </w:rPr>
        <w:t> </w:t>
      </w:r>
      <w:r>
        <w:rPr/>
        <w:t>implementación</w:t>
      </w:r>
      <w:r>
        <w:rPr>
          <w:spacing w:val="-15"/>
        </w:rPr>
        <w:t> </w:t>
      </w:r>
      <w:r>
        <w:rPr/>
        <w:t>de</w:t>
      </w:r>
      <w:r>
        <w:rPr>
          <w:spacing w:val="-18"/>
        </w:rPr>
        <w:t> </w:t>
      </w:r>
      <w:r>
        <w:rPr/>
        <w:t>su</w:t>
      </w:r>
      <w:r>
        <w:rPr>
          <w:spacing w:val="-19"/>
        </w:rPr>
        <w:t> </w:t>
      </w:r>
      <w:r>
        <w:rPr/>
        <w:t>Plan</w:t>
      </w:r>
      <w:r>
        <w:rPr>
          <w:spacing w:val="-18"/>
        </w:rPr>
        <w:t> </w:t>
      </w:r>
      <w:r>
        <w:rPr/>
        <w:t>de</w:t>
      </w:r>
      <w:r>
        <w:rPr>
          <w:spacing w:val="-15"/>
        </w:rPr>
        <w:t> </w:t>
      </w:r>
      <w:r>
        <w:rPr/>
        <w:t>Manejo.</w:t>
      </w:r>
      <w:r>
        <w:rPr>
          <w:spacing w:val="-16"/>
        </w:rPr>
        <w:t> </w:t>
      </w:r>
      <w:r>
        <w:rPr/>
        <w:t>Asimismo, da la oportunidad para incorporar la voz de todos los actores con un valor equitativo dentro de un cuadro de discusión participativa sobre opciones que permitan medir el potencial de equilibrar las injusticias socio-ambientales que se han descrito</w:t>
      </w:r>
      <w:r>
        <w:rPr>
          <w:spacing w:val="-17"/>
        </w:rPr>
        <w:t> </w:t>
      </w:r>
      <w:r>
        <w:rPr/>
        <w:t>aquí.</w:t>
      </w:r>
    </w:p>
    <w:p>
      <w:pPr>
        <w:spacing w:line="237" w:lineRule="auto" w:before="78"/>
        <w:ind w:left="2465" w:right="1112" w:hanging="829"/>
        <w:jc w:val="both"/>
        <w:rPr>
          <w:i/>
          <w:sz w:val="20"/>
        </w:rPr>
      </w:pPr>
      <w:bookmarkStart w:name="_bookmark61" w:id="83"/>
      <w:bookmarkEnd w:id="83"/>
      <w:r>
        <w:rPr/>
      </w:r>
      <w:r>
        <w:rPr>
          <w:i/>
          <w:sz w:val="20"/>
        </w:rPr>
        <w:t>Cuadro 23- Deconstrucción Completa de los Elementos Constitutivos de la Deuda Ecológica en la </w:t>
      </w:r>
      <w:r>
        <w:rPr>
          <w:i/>
          <w:sz w:val="20"/>
        </w:rPr>
        <w:t>Conflictividad Socio-Ecológico Distributiva de la Zona Protectora La Carpintera.</w:t>
      </w:r>
    </w:p>
    <w:p>
      <w:pPr>
        <w:spacing w:before="31"/>
        <w:ind w:left="3597" w:right="0" w:firstLine="0"/>
        <w:jc w:val="both"/>
        <w:rPr>
          <w:i/>
          <w:sz w:val="20"/>
        </w:rPr>
      </w:pPr>
      <w:r>
        <w:rPr>
          <w:i/>
          <w:sz w:val="20"/>
        </w:rPr>
        <w:t>Fuente: Modificado de Aguilar González (2015).</w:t>
      </w:r>
    </w:p>
    <w:p>
      <w:pPr>
        <w:pStyle w:val="BodyText"/>
        <w:spacing w:before="2"/>
        <w:rPr>
          <w:i/>
          <w:sz w:val="18"/>
        </w:rPr>
      </w:pPr>
    </w:p>
    <w:tbl>
      <w:tblPr>
        <w:tblW w:w="0" w:type="auto"/>
        <w:jc w:val="left"/>
        <w:tblInd w:w="119"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712"/>
        <w:gridCol w:w="2069"/>
        <w:gridCol w:w="2568"/>
        <w:gridCol w:w="2565"/>
        <w:gridCol w:w="2293"/>
      </w:tblGrid>
      <w:tr>
        <w:trPr>
          <w:trHeight w:val="547" w:hRule="atLeast"/>
        </w:trPr>
        <w:tc>
          <w:tcPr>
            <w:tcW w:w="1712" w:type="dxa"/>
            <w:tcBorders>
              <w:top w:val="nil"/>
              <w:left w:val="nil"/>
              <w:right w:val="nil"/>
            </w:tcBorders>
          </w:tcPr>
          <w:p>
            <w:pPr>
              <w:pStyle w:val="TableParagraph"/>
              <w:spacing w:line="179" w:lineRule="exact" w:before="0"/>
              <w:ind w:left="912"/>
              <w:jc w:val="left"/>
              <w:rPr>
                <w:b/>
                <w:i/>
                <w:sz w:val="16"/>
              </w:rPr>
            </w:pPr>
            <w:r>
              <w:rPr>
                <w:b/>
                <w:i/>
                <w:sz w:val="16"/>
              </w:rPr>
              <w:t>Contexto</w:t>
            </w:r>
          </w:p>
          <w:p>
            <w:pPr>
              <w:pStyle w:val="TableParagraph"/>
              <w:spacing w:line="240" w:lineRule="auto" w:before="92"/>
              <w:ind w:left="756"/>
              <w:jc w:val="left"/>
              <w:rPr>
                <w:b/>
                <w:i/>
                <w:sz w:val="16"/>
              </w:rPr>
            </w:pPr>
            <w:r>
              <w:rPr>
                <w:b/>
                <w:i/>
                <w:sz w:val="16"/>
              </w:rPr>
              <w:t>Geográfico</w:t>
            </w:r>
          </w:p>
        </w:tc>
        <w:tc>
          <w:tcPr>
            <w:tcW w:w="2069" w:type="dxa"/>
            <w:tcBorders>
              <w:top w:val="nil"/>
              <w:left w:val="nil"/>
              <w:right w:val="nil"/>
            </w:tcBorders>
          </w:tcPr>
          <w:p>
            <w:pPr>
              <w:pStyle w:val="TableParagraph"/>
              <w:spacing w:line="179" w:lineRule="exact" w:before="0"/>
              <w:ind w:left="104"/>
              <w:jc w:val="left"/>
              <w:rPr>
                <w:b/>
                <w:sz w:val="16"/>
              </w:rPr>
            </w:pPr>
            <w:r>
              <w:rPr>
                <w:b/>
                <w:sz w:val="16"/>
              </w:rPr>
              <w:t>Acreedor/Deudor</w:t>
            </w:r>
          </w:p>
        </w:tc>
        <w:tc>
          <w:tcPr>
            <w:tcW w:w="2568" w:type="dxa"/>
            <w:tcBorders>
              <w:top w:val="nil"/>
              <w:left w:val="nil"/>
              <w:right w:val="nil"/>
            </w:tcBorders>
          </w:tcPr>
          <w:p>
            <w:pPr>
              <w:pStyle w:val="TableParagraph"/>
              <w:spacing w:line="179" w:lineRule="exact" w:before="0"/>
              <w:ind w:left="108"/>
              <w:jc w:val="left"/>
              <w:rPr>
                <w:b/>
                <w:sz w:val="16"/>
              </w:rPr>
            </w:pPr>
            <w:r>
              <w:rPr>
                <w:b/>
                <w:sz w:val="16"/>
              </w:rPr>
              <w:t>Hechos Causantes</w:t>
            </w:r>
          </w:p>
        </w:tc>
        <w:tc>
          <w:tcPr>
            <w:tcW w:w="2565" w:type="dxa"/>
            <w:tcBorders>
              <w:top w:val="nil"/>
              <w:left w:val="nil"/>
              <w:right w:val="nil"/>
            </w:tcBorders>
          </w:tcPr>
          <w:p>
            <w:pPr>
              <w:pStyle w:val="TableParagraph"/>
              <w:spacing w:line="179" w:lineRule="exact" w:before="0"/>
              <w:ind w:left="109"/>
              <w:jc w:val="left"/>
              <w:rPr>
                <w:b/>
                <w:sz w:val="16"/>
              </w:rPr>
            </w:pPr>
            <w:r>
              <w:rPr>
                <w:b/>
                <w:sz w:val="16"/>
              </w:rPr>
              <w:t>Evaluación de Justicia</w:t>
            </w:r>
          </w:p>
          <w:p>
            <w:pPr>
              <w:pStyle w:val="TableParagraph"/>
              <w:spacing w:line="240" w:lineRule="auto" w:before="92"/>
              <w:ind w:left="109"/>
              <w:jc w:val="left"/>
              <w:rPr>
                <w:b/>
                <w:sz w:val="16"/>
              </w:rPr>
            </w:pPr>
            <w:r>
              <w:rPr>
                <w:b/>
                <w:sz w:val="16"/>
              </w:rPr>
              <w:t>Distributiva</w:t>
            </w:r>
          </w:p>
        </w:tc>
        <w:tc>
          <w:tcPr>
            <w:tcW w:w="2293" w:type="dxa"/>
            <w:tcBorders>
              <w:top w:val="nil"/>
              <w:left w:val="nil"/>
              <w:right w:val="nil"/>
            </w:tcBorders>
          </w:tcPr>
          <w:p>
            <w:pPr>
              <w:pStyle w:val="TableParagraph"/>
              <w:spacing w:line="179" w:lineRule="exact" w:before="0"/>
              <w:ind w:left="105"/>
              <w:jc w:val="left"/>
              <w:rPr>
                <w:b/>
                <w:sz w:val="16"/>
              </w:rPr>
            </w:pPr>
            <w:r>
              <w:rPr>
                <w:b/>
                <w:sz w:val="16"/>
              </w:rPr>
              <w:t>Evaluación Compensatoria</w:t>
            </w:r>
          </w:p>
        </w:tc>
      </w:tr>
      <w:tr>
        <w:trPr>
          <w:trHeight w:val="6075" w:hRule="atLeast"/>
        </w:trPr>
        <w:tc>
          <w:tcPr>
            <w:tcW w:w="1712" w:type="dxa"/>
            <w:tcBorders>
              <w:left w:val="nil"/>
              <w:bottom w:val="nil"/>
            </w:tcBorders>
          </w:tcPr>
          <w:p>
            <w:pPr>
              <w:pStyle w:val="TableParagraph"/>
              <w:spacing w:line="360" w:lineRule="auto" w:before="0"/>
              <w:ind w:left="324" w:right="104" w:hanging="12"/>
              <w:rPr>
                <w:i/>
                <w:sz w:val="16"/>
              </w:rPr>
            </w:pPr>
            <w:r>
              <w:rPr>
                <w:i/>
                <w:sz w:val="16"/>
              </w:rPr>
              <w:t>ZPLC en</w:t>
            </w:r>
            <w:r>
              <w:rPr>
                <w:i/>
                <w:spacing w:val="-3"/>
                <w:sz w:val="16"/>
              </w:rPr>
              <w:t> </w:t>
            </w:r>
            <w:r>
              <w:rPr>
                <w:i/>
                <w:sz w:val="16"/>
              </w:rPr>
              <w:t>la</w:t>
            </w:r>
            <w:r>
              <w:rPr>
                <w:i/>
                <w:spacing w:val="2"/>
                <w:sz w:val="16"/>
              </w:rPr>
              <w:t> </w:t>
            </w:r>
            <w:r>
              <w:rPr>
                <w:i/>
                <w:spacing w:val="-3"/>
                <w:sz w:val="16"/>
              </w:rPr>
              <w:t>región</w:t>
            </w:r>
            <w:r>
              <w:rPr>
                <w:i/>
                <w:w w:val="99"/>
                <w:sz w:val="16"/>
              </w:rPr>
              <w:t> </w:t>
            </w:r>
            <w:r>
              <w:rPr>
                <w:i/>
                <w:sz w:val="16"/>
              </w:rPr>
              <w:t>este</w:t>
            </w:r>
            <w:r>
              <w:rPr>
                <w:i/>
                <w:spacing w:val="-5"/>
                <w:sz w:val="16"/>
              </w:rPr>
              <w:t> </w:t>
            </w:r>
            <w:r>
              <w:rPr>
                <w:i/>
                <w:sz w:val="16"/>
              </w:rPr>
              <w:t>del</w:t>
            </w:r>
            <w:r>
              <w:rPr>
                <w:i/>
                <w:spacing w:val="-3"/>
                <w:sz w:val="16"/>
              </w:rPr>
              <w:t> </w:t>
            </w:r>
            <w:r>
              <w:rPr>
                <w:i/>
                <w:sz w:val="16"/>
              </w:rPr>
              <w:t>Valle</w:t>
            </w:r>
            <w:r>
              <w:rPr>
                <w:i/>
                <w:w w:val="99"/>
                <w:sz w:val="16"/>
              </w:rPr>
              <w:t> </w:t>
            </w:r>
            <w:r>
              <w:rPr>
                <w:i/>
                <w:sz w:val="16"/>
              </w:rPr>
              <w:t>Central</w:t>
            </w:r>
            <w:r>
              <w:rPr>
                <w:i/>
                <w:spacing w:val="-3"/>
                <w:sz w:val="16"/>
              </w:rPr>
              <w:t> </w:t>
            </w:r>
            <w:r>
              <w:rPr>
                <w:i/>
                <w:sz w:val="16"/>
              </w:rPr>
              <w:t>de</w:t>
            </w:r>
            <w:r>
              <w:rPr>
                <w:i/>
                <w:spacing w:val="-4"/>
                <w:sz w:val="16"/>
              </w:rPr>
              <w:t> </w:t>
            </w:r>
            <w:r>
              <w:rPr>
                <w:i/>
                <w:sz w:val="16"/>
              </w:rPr>
              <w:t>Costa</w:t>
            </w:r>
            <w:r>
              <w:rPr>
                <w:i/>
                <w:w w:val="99"/>
                <w:sz w:val="16"/>
              </w:rPr>
              <w:t> </w:t>
            </w:r>
            <w:r>
              <w:rPr>
                <w:i/>
                <w:sz w:val="16"/>
              </w:rPr>
              <w:t>Rica, cantones</w:t>
            </w:r>
            <w:r>
              <w:rPr>
                <w:i/>
                <w:spacing w:val="-4"/>
                <w:sz w:val="16"/>
              </w:rPr>
              <w:t> </w:t>
            </w:r>
            <w:r>
              <w:rPr>
                <w:i/>
                <w:spacing w:val="-9"/>
                <w:sz w:val="16"/>
              </w:rPr>
              <w:t>de</w:t>
            </w:r>
          </w:p>
          <w:p>
            <w:pPr>
              <w:pStyle w:val="TableParagraph"/>
              <w:spacing w:line="360" w:lineRule="auto" w:before="0"/>
              <w:ind w:left="120" w:right="104" w:firstLine="800"/>
              <w:rPr>
                <w:i/>
                <w:sz w:val="16"/>
              </w:rPr>
            </w:pPr>
            <w:r>
              <w:rPr>
                <w:i/>
                <w:sz w:val="16"/>
              </w:rPr>
              <w:t>La</w:t>
            </w:r>
            <w:r>
              <w:rPr>
                <w:i/>
                <w:spacing w:val="2"/>
                <w:sz w:val="16"/>
              </w:rPr>
              <w:t> </w:t>
            </w:r>
            <w:r>
              <w:rPr>
                <w:i/>
                <w:spacing w:val="-4"/>
                <w:sz w:val="16"/>
              </w:rPr>
              <w:t>Unión,</w:t>
            </w:r>
            <w:r>
              <w:rPr>
                <w:i/>
                <w:w w:val="100"/>
                <w:sz w:val="16"/>
              </w:rPr>
              <w:t> </w:t>
            </w:r>
            <w:r>
              <w:rPr>
                <w:i/>
                <w:spacing w:val="-1"/>
                <w:sz w:val="16"/>
              </w:rPr>
              <w:t>Desamparados, </w:t>
            </w:r>
            <w:r>
              <w:rPr>
                <w:i/>
                <w:sz w:val="16"/>
              </w:rPr>
              <w:t>Curridabat y</w:t>
            </w:r>
            <w:r>
              <w:rPr>
                <w:i/>
                <w:spacing w:val="-2"/>
                <w:sz w:val="16"/>
              </w:rPr>
              <w:t> </w:t>
            </w:r>
            <w:r>
              <w:rPr>
                <w:i/>
                <w:spacing w:val="-3"/>
                <w:sz w:val="16"/>
              </w:rPr>
              <w:t>Cartago</w:t>
            </w:r>
          </w:p>
          <w:p>
            <w:pPr>
              <w:pStyle w:val="TableParagraph"/>
              <w:spacing w:line="360" w:lineRule="auto" w:before="0"/>
              <w:ind w:left="648" w:right="104" w:firstLine="112"/>
              <w:rPr>
                <w:i/>
                <w:sz w:val="16"/>
              </w:rPr>
            </w:pPr>
            <w:r>
              <w:rPr>
                <w:i/>
                <w:sz w:val="16"/>
              </w:rPr>
              <w:t>y</w:t>
            </w:r>
            <w:r>
              <w:rPr>
                <w:i/>
                <w:spacing w:val="1"/>
                <w:sz w:val="16"/>
              </w:rPr>
              <w:t> </w:t>
            </w:r>
            <w:r>
              <w:rPr>
                <w:i/>
                <w:sz w:val="16"/>
              </w:rPr>
              <w:t>sus</w:t>
            </w:r>
            <w:r>
              <w:rPr>
                <w:i/>
                <w:spacing w:val="2"/>
                <w:sz w:val="16"/>
              </w:rPr>
              <w:t> </w:t>
            </w:r>
            <w:r>
              <w:rPr>
                <w:i/>
                <w:spacing w:val="-5"/>
                <w:sz w:val="16"/>
              </w:rPr>
              <w:t>zonas</w:t>
            </w:r>
            <w:r>
              <w:rPr>
                <w:i/>
                <w:sz w:val="16"/>
              </w:rPr>
              <w:t> </w:t>
            </w:r>
            <w:r>
              <w:rPr>
                <w:i/>
                <w:spacing w:val="-1"/>
                <w:sz w:val="16"/>
              </w:rPr>
              <w:t>circundantes.</w:t>
            </w:r>
          </w:p>
        </w:tc>
        <w:tc>
          <w:tcPr>
            <w:tcW w:w="2069" w:type="dxa"/>
            <w:shd w:val="clear" w:color="auto" w:fill="CCCCCC"/>
          </w:tcPr>
          <w:p>
            <w:pPr>
              <w:pStyle w:val="TableParagraph"/>
              <w:spacing w:line="360" w:lineRule="auto" w:before="0"/>
              <w:ind w:left="99" w:right="121"/>
              <w:jc w:val="left"/>
              <w:rPr>
                <w:sz w:val="16"/>
              </w:rPr>
            </w:pPr>
            <w:r>
              <w:rPr>
                <w:sz w:val="16"/>
              </w:rPr>
              <w:t>ZPLC, propietarios y comunidades dentro de</w:t>
            </w:r>
            <w:r>
              <w:rPr>
                <w:spacing w:val="-12"/>
                <w:sz w:val="16"/>
              </w:rPr>
              <w:t> </w:t>
            </w:r>
            <w:r>
              <w:rPr>
                <w:sz w:val="16"/>
              </w:rPr>
              <w:t>la misma, Estado como propietario de algunas fincas y como responsable del manejo y conservación de las funciones ecosistémicas de la ZPLC/ Comunidades fuera de la ZPLC, empresa privada y comunidad nacional que se benefician de los bienes y servicios ambientales sin compensar su uso o los costos sociales/económicos de su</w:t>
            </w:r>
            <w:r>
              <w:rPr>
                <w:spacing w:val="-6"/>
                <w:sz w:val="16"/>
              </w:rPr>
              <w:t> </w:t>
            </w:r>
            <w:r>
              <w:rPr>
                <w:sz w:val="16"/>
              </w:rPr>
              <w:t>conservación.</w:t>
            </w:r>
          </w:p>
        </w:tc>
        <w:tc>
          <w:tcPr>
            <w:tcW w:w="2568" w:type="dxa"/>
            <w:shd w:val="clear" w:color="auto" w:fill="CCCCCC"/>
          </w:tcPr>
          <w:p>
            <w:pPr>
              <w:pStyle w:val="TableParagraph"/>
              <w:spacing w:line="360" w:lineRule="auto" w:before="0"/>
              <w:ind w:left="103" w:right="104"/>
              <w:jc w:val="left"/>
              <w:rPr>
                <w:sz w:val="16"/>
              </w:rPr>
            </w:pPr>
            <w:r>
              <w:rPr>
                <w:sz w:val="16"/>
              </w:rPr>
              <w:t>Servicios ambientales asociados a limitaciones en las actividades humanas y limitaciones en usos de la tierra y desarrollo que no son ni han sido históricamente compensados. Se adicionan a ello cargas ambientales sufridas por las comunidades debidas al mal manejo de la zona y no compensadas históricamente junto con la conflictividad ambiental por el reconocimiento de los derechos ambientales de los habitantes de las comunidades urbano-marginales ubicadas dentro del área, mientras que actores sociales con poder económico han obtenido permisos para violentar las leyes de protección de la zona.</w:t>
            </w:r>
          </w:p>
        </w:tc>
        <w:tc>
          <w:tcPr>
            <w:tcW w:w="2565" w:type="dxa"/>
            <w:shd w:val="clear" w:color="auto" w:fill="CCCCCC"/>
          </w:tcPr>
          <w:p>
            <w:pPr>
              <w:pStyle w:val="TableParagraph"/>
              <w:spacing w:line="360" w:lineRule="auto" w:before="0"/>
              <w:ind w:left="104" w:right="131"/>
              <w:jc w:val="left"/>
              <w:rPr>
                <w:sz w:val="16"/>
              </w:rPr>
            </w:pPr>
            <w:r>
              <w:rPr>
                <w:sz w:val="16"/>
              </w:rPr>
              <w:t>Los costos y beneficios de la conservación y el desarrollo en las áreas silvestres protegidas y sus zonas de influencia deben estar equitativamente distribuidos entre los diversos actores sociales.</w:t>
            </w:r>
          </w:p>
          <w:p>
            <w:pPr>
              <w:pStyle w:val="TableParagraph"/>
              <w:spacing w:line="360" w:lineRule="auto" w:before="0"/>
              <w:ind w:left="104" w:right="120"/>
              <w:jc w:val="left"/>
              <w:rPr>
                <w:sz w:val="16"/>
              </w:rPr>
            </w:pPr>
            <w:r>
              <w:rPr>
                <w:sz w:val="16"/>
              </w:rPr>
              <w:t>Las comunidades deudoras tienen un déficit ecológico de entre un 7 y un 13% respecto a la biocapacidad del planeta y</w:t>
            </w:r>
            <w:r>
              <w:rPr>
                <w:spacing w:val="-11"/>
                <w:sz w:val="16"/>
              </w:rPr>
              <w:t> </w:t>
            </w:r>
            <w:r>
              <w:rPr>
                <w:sz w:val="16"/>
              </w:rPr>
              <w:t>del país. El superávit ecológico de las comunidades acreedoras es de entre el 16% y el 26% respecto a la biocapacidad del planeta y del país. Los valores fiscales del metro cuadrado de los bienes raíces de las comunidades deudoras son en promedio entre siete y medio a casi quince veces mayores a</w:t>
            </w:r>
            <w:r>
              <w:rPr>
                <w:spacing w:val="-9"/>
                <w:sz w:val="16"/>
              </w:rPr>
              <w:t> </w:t>
            </w:r>
            <w:r>
              <w:rPr>
                <w:sz w:val="16"/>
              </w:rPr>
              <w:t>los</w:t>
            </w:r>
          </w:p>
          <w:p>
            <w:pPr>
              <w:pStyle w:val="TableParagraph"/>
              <w:spacing w:line="240" w:lineRule="auto" w:before="0"/>
              <w:ind w:left="104"/>
              <w:jc w:val="left"/>
              <w:rPr>
                <w:sz w:val="16"/>
              </w:rPr>
            </w:pPr>
            <w:r>
              <w:rPr>
                <w:sz w:val="16"/>
              </w:rPr>
              <w:t>de las comunidades</w:t>
            </w:r>
            <w:r>
              <w:rPr>
                <w:spacing w:val="-14"/>
                <w:sz w:val="16"/>
              </w:rPr>
              <w:t> </w:t>
            </w:r>
            <w:r>
              <w:rPr>
                <w:sz w:val="16"/>
              </w:rPr>
              <w:t>acreedoras.</w:t>
            </w:r>
          </w:p>
        </w:tc>
        <w:tc>
          <w:tcPr>
            <w:tcW w:w="2293" w:type="dxa"/>
            <w:shd w:val="clear" w:color="auto" w:fill="CCCCCC"/>
          </w:tcPr>
          <w:p>
            <w:pPr>
              <w:pStyle w:val="TableParagraph"/>
              <w:spacing w:line="360" w:lineRule="auto" w:before="0"/>
              <w:ind w:left="100" w:right="197"/>
              <w:jc w:val="left"/>
              <w:rPr>
                <w:sz w:val="16"/>
              </w:rPr>
            </w:pPr>
            <w:r>
              <w:rPr>
                <w:sz w:val="16"/>
              </w:rPr>
              <w:t>Las comunidades deudoras perciben una diferencia por metro cuadrado de construcción de $92.61 por el servicio de vista no compensado, un 8% del valor promedio.</w:t>
            </w:r>
          </w:p>
        </w:tc>
      </w:tr>
    </w:tbl>
    <w:p>
      <w:pPr>
        <w:pStyle w:val="BodyText"/>
        <w:rPr>
          <w:i/>
          <w:sz w:val="22"/>
        </w:rPr>
      </w:pPr>
    </w:p>
    <w:p>
      <w:pPr>
        <w:pStyle w:val="BodyText"/>
        <w:spacing w:before="1"/>
        <w:rPr>
          <w:i/>
          <w:sz w:val="31"/>
        </w:rPr>
      </w:pPr>
    </w:p>
    <w:p>
      <w:pPr>
        <w:pStyle w:val="BodyText"/>
        <w:spacing w:line="362" w:lineRule="auto" w:before="1"/>
        <w:ind w:left="1040" w:right="1046"/>
        <w:jc w:val="both"/>
      </w:pPr>
      <w:r>
        <w:rPr/>
        <w:t>Este proceso participativo, científicamente fundamentado debe realizarse, sin embargo, sin la mentalidad de que la conflictividad deba ser considerada necesariamente como</w:t>
      </w:r>
    </w:p>
    <w:p>
      <w:pPr>
        <w:spacing w:after="0" w:line="362" w:lineRule="auto"/>
        <w:jc w:val="both"/>
        <w:sectPr>
          <w:pgSz w:w="12240" w:h="15840"/>
          <w:pgMar w:header="0" w:footer="982" w:top="1360" w:bottom="1260" w:left="400" w:right="400"/>
        </w:sectPr>
      </w:pPr>
    </w:p>
    <w:p>
      <w:pPr>
        <w:pStyle w:val="BodyText"/>
        <w:spacing w:line="360" w:lineRule="auto" w:before="79"/>
        <w:ind w:left="1040" w:right="1037"/>
        <w:jc w:val="both"/>
      </w:pPr>
      <w:r>
        <w:rPr/>
        <w:t>algo negativo. El conflicto puede ser generador de fuerzas creativas que permitan llegar a soluciones más profundas que afecten las condiciones estructurales que generan la inequidad socio-ambiental (Martínez-Alier, 2004; Martínez-Alier, 2011).</w:t>
      </w:r>
    </w:p>
    <w:p>
      <w:pPr>
        <w:pStyle w:val="Heading2"/>
        <w:numPr>
          <w:ilvl w:val="0"/>
          <w:numId w:val="2"/>
        </w:numPr>
        <w:tabs>
          <w:tab w:pos="1761" w:val="left" w:leader="none"/>
        </w:tabs>
        <w:spacing w:line="240" w:lineRule="auto" w:before="195" w:after="0"/>
        <w:ind w:left="1760" w:right="0" w:hanging="721"/>
        <w:jc w:val="both"/>
      </w:pPr>
      <w:bookmarkStart w:name="_bookmark62" w:id="84"/>
      <w:bookmarkEnd w:id="84"/>
      <w:r>
        <w:rPr>
          <w:b w:val="0"/>
        </w:rPr>
      </w:r>
      <w:bookmarkStart w:name="_bookmark62" w:id="85"/>
      <w:bookmarkEnd w:id="85"/>
      <w:r>
        <w:rPr/>
        <w:t>C</w:t>
      </w:r>
      <w:r>
        <w:rPr/>
        <w:t>onclusiones y</w:t>
      </w:r>
      <w:r>
        <w:rPr>
          <w:spacing w:val="-5"/>
        </w:rPr>
        <w:t> </w:t>
      </w:r>
      <w:r>
        <w:rPr/>
        <w:t>Recomendaciones</w:t>
      </w:r>
    </w:p>
    <w:p>
      <w:pPr>
        <w:pStyle w:val="BodyText"/>
        <w:spacing w:line="360" w:lineRule="auto" w:before="204"/>
        <w:ind w:left="1040" w:right="1037"/>
        <w:jc w:val="both"/>
      </w:pPr>
      <w:r>
        <w:rPr/>
        <w:t>Se puede considerar como comprobada la hipótesis de trabajo alternativa, rechazando la</w:t>
      </w:r>
      <w:r>
        <w:rPr>
          <w:spacing w:val="-16"/>
        </w:rPr>
        <w:t> </w:t>
      </w:r>
      <w:r>
        <w:rPr/>
        <w:t>hipótesis</w:t>
      </w:r>
      <w:r>
        <w:rPr>
          <w:spacing w:val="-10"/>
        </w:rPr>
        <w:t> </w:t>
      </w:r>
      <w:r>
        <w:rPr/>
        <w:t>nula.</w:t>
      </w:r>
      <w:r>
        <w:rPr>
          <w:spacing w:val="-12"/>
        </w:rPr>
        <w:t> </w:t>
      </w:r>
      <w:r>
        <w:rPr/>
        <w:t>La</w:t>
      </w:r>
      <w:r>
        <w:rPr>
          <w:spacing w:val="-16"/>
        </w:rPr>
        <w:t> </w:t>
      </w:r>
      <w:r>
        <w:rPr/>
        <w:t>aplicación</w:t>
      </w:r>
      <w:r>
        <w:rPr>
          <w:spacing w:val="-15"/>
        </w:rPr>
        <w:t> </w:t>
      </w:r>
      <w:r>
        <w:rPr/>
        <w:t>del</w:t>
      </w:r>
      <w:r>
        <w:rPr>
          <w:spacing w:val="-11"/>
        </w:rPr>
        <w:t> </w:t>
      </w:r>
      <w:r>
        <w:rPr/>
        <w:t>modelo</w:t>
      </w:r>
      <w:r>
        <w:rPr>
          <w:spacing w:val="-12"/>
        </w:rPr>
        <w:t> </w:t>
      </w:r>
      <w:r>
        <w:rPr/>
        <w:t>de</w:t>
      </w:r>
      <w:r>
        <w:rPr>
          <w:spacing w:val="-12"/>
        </w:rPr>
        <w:t> </w:t>
      </w:r>
      <w:r>
        <w:rPr/>
        <w:t>medición</w:t>
      </w:r>
      <w:r>
        <w:rPr>
          <w:spacing w:val="-15"/>
        </w:rPr>
        <w:t> </w:t>
      </w:r>
      <w:r>
        <w:rPr/>
        <w:t>de</w:t>
      </w:r>
      <w:r>
        <w:rPr>
          <w:spacing w:val="-16"/>
        </w:rPr>
        <w:t> </w:t>
      </w:r>
      <w:r>
        <w:rPr/>
        <w:t>la</w:t>
      </w:r>
      <w:r>
        <w:rPr>
          <w:spacing w:val="-8"/>
        </w:rPr>
        <w:t> </w:t>
      </w:r>
      <w:r>
        <w:rPr/>
        <w:t>Deuda</w:t>
      </w:r>
      <w:r>
        <w:rPr>
          <w:spacing w:val="-16"/>
        </w:rPr>
        <w:t> </w:t>
      </w:r>
      <w:r>
        <w:rPr/>
        <w:t>Ecológica</w:t>
      </w:r>
      <w:r>
        <w:rPr>
          <w:spacing w:val="-14"/>
        </w:rPr>
        <w:t> </w:t>
      </w:r>
      <w:r>
        <w:rPr/>
        <w:t>en</w:t>
      </w:r>
      <w:r>
        <w:rPr>
          <w:spacing w:val="-15"/>
        </w:rPr>
        <w:t> </w:t>
      </w:r>
      <w:r>
        <w:rPr/>
        <w:t>la</w:t>
      </w:r>
      <w:r>
        <w:rPr>
          <w:spacing w:val="-16"/>
        </w:rPr>
        <w:t> </w:t>
      </w:r>
      <w:r>
        <w:rPr/>
        <w:t>Zona Protectora La Carpintera ha generado información que puede ser útil para un proceso multicriterial que permita el manejo del CED que se presenta en la zona por la situación de injusticia ambiental que la caracteriza. Ello se comprueba mediante el examen del cumplimiento de los objetivos específicos</w:t>
      </w:r>
      <w:r>
        <w:rPr>
          <w:spacing w:val="1"/>
        </w:rPr>
        <w:t> </w:t>
      </w:r>
      <w:r>
        <w:rPr/>
        <w:t>propuestos.</w:t>
      </w:r>
    </w:p>
    <w:p>
      <w:pPr>
        <w:spacing w:line="360" w:lineRule="auto" w:before="201"/>
        <w:ind w:left="1040" w:right="1031" w:firstLine="0"/>
        <w:jc w:val="both"/>
        <w:rPr>
          <w:i/>
          <w:sz w:val="24"/>
        </w:rPr>
      </w:pPr>
      <w:r>
        <w:rPr>
          <w:sz w:val="24"/>
        </w:rPr>
        <w:t>El primer objetivo específico de esta investigación se logró mediante el análisis y adaptación teórica del concepto y ha quedado evidenciado en el cuadro 23, donde se completa</w:t>
      </w:r>
      <w:r>
        <w:rPr>
          <w:spacing w:val="-12"/>
          <w:sz w:val="24"/>
        </w:rPr>
        <w:t> </w:t>
      </w:r>
      <w:r>
        <w:rPr>
          <w:sz w:val="24"/>
        </w:rPr>
        <w:t>la</w:t>
      </w:r>
      <w:r>
        <w:rPr>
          <w:spacing w:val="-16"/>
          <w:sz w:val="24"/>
        </w:rPr>
        <w:t> </w:t>
      </w:r>
      <w:r>
        <w:rPr>
          <w:sz w:val="24"/>
        </w:rPr>
        <w:t>deconstrucción</w:t>
      </w:r>
      <w:r>
        <w:rPr>
          <w:spacing w:val="-16"/>
          <w:sz w:val="24"/>
        </w:rPr>
        <w:t> </w:t>
      </w:r>
      <w:r>
        <w:rPr>
          <w:sz w:val="24"/>
        </w:rPr>
        <w:t>de</w:t>
      </w:r>
      <w:r>
        <w:rPr>
          <w:spacing w:val="-16"/>
          <w:sz w:val="24"/>
        </w:rPr>
        <w:t> </w:t>
      </w:r>
      <w:r>
        <w:rPr>
          <w:sz w:val="24"/>
        </w:rPr>
        <w:t>la</w:t>
      </w:r>
      <w:r>
        <w:rPr>
          <w:spacing w:val="-12"/>
          <w:sz w:val="24"/>
        </w:rPr>
        <w:t> </w:t>
      </w:r>
      <w:r>
        <w:rPr>
          <w:sz w:val="24"/>
        </w:rPr>
        <w:t>Deuda</w:t>
      </w:r>
      <w:r>
        <w:rPr>
          <w:spacing w:val="-16"/>
          <w:sz w:val="24"/>
        </w:rPr>
        <w:t> </w:t>
      </w:r>
      <w:r>
        <w:rPr>
          <w:sz w:val="24"/>
        </w:rPr>
        <w:t>Ecológica</w:t>
      </w:r>
      <w:r>
        <w:rPr>
          <w:spacing w:val="-15"/>
          <w:sz w:val="24"/>
        </w:rPr>
        <w:t> </w:t>
      </w:r>
      <w:r>
        <w:rPr>
          <w:sz w:val="24"/>
        </w:rPr>
        <w:t>aplicada</w:t>
      </w:r>
      <w:r>
        <w:rPr>
          <w:spacing w:val="-16"/>
          <w:sz w:val="24"/>
        </w:rPr>
        <w:t> </w:t>
      </w:r>
      <w:r>
        <w:rPr>
          <w:sz w:val="24"/>
        </w:rPr>
        <w:t>a</w:t>
      </w:r>
      <w:r>
        <w:rPr>
          <w:spacing w:val="-15"/>
          <w:sz w:val="24"/>
        </w:rPr>
        <w:t> </w:t>
      </w:r>
      <w:r>
        <w:rPr>
          <w:sz w:val="24"/>
        </w:rPr>
        <w:t>la</w:t>
      </w:r>
      <w:r>
        <w:rPr>
          <w:spacing w:val="-16"/>
          <w:sz w:val="24"/>
        </w:rPr>
        <w:t> </w:t>
      </w:r>
      <w:r>
        <w:rPr>
          <w:sz w:val="24"/>
        </w:rPr>
        <w:t>ZPLC.</w:t>
      </w:r>
      <w:r>
        <w:rPr>
          <w:spacing w:val="-13"/>
          <w:sz w:val="24"/>
        </w:rPr>
        <w:t> </w:t>
      </w:r>
      <w:r>
        <w:rPr>
          <w:sz w:val="24"/>
        </w:rPr>
        <w:t>Se</w:t>
      </w:r>
      <w:r>
        <w:rPr>
          <w:spacing w:val="-16"/>
          <w:sz w:val="24"/>
        </w:rPr>
        <w:t> </w:t>
      </w:r>
      <w:r>
        <w:rPr>
          <w:sz w:val="24"/>
        </w:rPr>
        <w:t>ha</w:t>
      </w:r>
      <w:r>
        <w:rPr>
          <w:spacing w:val="-12"/>
          <w:sz w:val="24"/>
        </w:rPr>
        <w:t> </w:t>
      </w:r>
      <w:r>
        <w:rPr>
          <w:sz w:val="24"/>
        </w:rPr>
        <w:t>identificado un contexto geográfico específico, las partes deudoras y acreedoras y los hechos causantes de la Deuda Ecológica que se ha analizado. A ese cuadro se le ha realizado tanto una evaluación de justicia distributiva, desde un punto de vista de evaluación axiológica, así como una evaluación cuantitativa que abre la posibilidad de acciones compensatorias. Parte este análisis de definir la Deuda Ecológica como la </w:t>
      </w:r>
      <w:r>
        <w:rPr>
          <w:i/>
          <w:sz w:val="24"/>
        </w:rPr>
        <w:t>existencia de </w:t>
      </w:r>
      <w:r>
        <w:rPr>
          <w:i/>
          <w:sz w:val="24"/>
        </w:rPr>
        <w:t>situaciones determinadas por asimetrías de poder en las cuales un grupo de individuos, colectivos sociales o políticos, que comparten alguna característica común (vgr. género, clase social, raza, cultura, subdesarrollo, etc.) sufren desproporcionadamente por la injusta distribución de los costos y beneficios de la conservación y el desarrollo (vgr. las consecuencias de los daños ambientales la violación de sus derechos o la provisión/extracción de bienes o servicios ambientales) sin justa compensación social pudiendo ésta darse en forma pecuniaria, por aplicación de penas u en otra</w:t>
      </w:r>
      <w:r>
        <w:rPr>
          <w:i/>
          <w:spacing w:val="-27"/>
          <w:sz w:val="24"/>
        </w:rPr>
        <w:t> </w:t>
      </w:r>
      <w:r>
        <w:rPr>
          <w:i/>
          <w:sz w:val="24"/>
        </w:rPr>
        <w:t>forma.</w:t>
      </w:r>
    </w:p>
    <w:p>
      <w:pPr>
        <w:pStyle w:val="BodyText"/>
        <w:spacing w:line="360" w:lineRule="auto" w:before="203"/>
        <w:ind w:left="1040" w:right="1034"/>
        <w:jc w:val="both"/>
      </w:pPr>
      <w:r>
        <w:rPr/>
        <w:t>Se realizó la medición de la inequidad socio-ecológica desde una perspectiva biofísica mediante</w:t>
      </w:r>
      <w:r>
        <w:rPr>
          <w:spacing w:val="-17"/>
        </w:rPr>
        <w:t> </w:t>
      </w:r>
      <w:r>
        <w:rPr/>
        <w:t>el</w:t>
      </w:r>
      <w:r>
        <w:rPr>
          <w:spacing w:val="-12"/>
        </w:rPr>
        <w:t> </w:t>
      </w:r>
      <w:r>
        <w:rPr/>
        <w:t>análisis</w:t>
      </w:r>
      <w:r>
        <w:rPr>
          <w:spacing w:val="-15"/>
        </w:rPr>
        <w:t> </w:t>
      </w:r>
      <w:r>
        <w:rPr/>
        <w:t>comparativo</w:t>
      </w:r>
      <w:r>
        <w:rPr>
          <w:spacing w:val="-17"/>
        </w:rPr>
        <w:t> </w:t>
      </w:r>
      <w:r>
        <w:rPr/>
        <w:t>de</w:t>
      </w:r>
      <w:r>
        <w:rPr>
          <w:spacing w:val="-17"/>
        </w:rPr>
        <w:t> </w:t>
      </w:r>
      <w:r>
        <w:rPr/>
        <w:t>las</w:t>
      </w:r>
      <w:r>
        <w:rPr>
          <w:spacing w:val="-15"/>
        </w:rPr>
        <w:t> </w:t>
      </w:r>
      <w:r>
        <w:rPr/>
        <w:t>huellas</w:t>
      </w:r>
      <w:r>
        <w:rPr>
          <w:spacing w:val="-14"/>
        </w:rPr>
        <w:t> </w:t>
      </w:r>
      <w:r>
        <w:rPr/>
        <w:t>ecológicas</w:t>
      </w:r>
      <w:r>
        <w:rPr>
          <w:spacing w:val="-15"/>
        </w:rPr>
        <w:t> </w:t>
      </w:r>
      <w:r>
        <w:rPr/>
        <w:t>de</w:t>
      </w:r>
      <w:r>
        <w:rPr>
          <w:spacing w:val="-17"/>
        </w:rPr>
        <w:t> </w:t>
      </w:r>
      <w:r>
        <w:rPr/>
        <w:t>las</w:t>
      </w:r>
      <w:r>
        <w:rPr>
          <w:spacing w:val="-15"/>
        </w:rPr>
        <w:t> </w:t>
      </w:r>
      <w:r>
        <w:rPr/>
        <w:t>comunidades</w:t>
      </w:r>
      <w:r>
        <w:rPr>
          <w:spacing w:val="-10"/>
        </w:rPr>
        <w:t> </w:t>
      </w:r>
      <w:r>
        <w:rPr/>
        <w:t>deudoras y acreedoras. Esa medición se comparó con los valores fiscales por metro cuadrado de los inmuebles en las mismas zonas. Según los resultados, las comunidades deudoras tienen</w:t>
      </w:r>
      <w:r>
        <w:rPr>
          <w:spacing w:val="-8"/>
        </w:rPr>
        <w:t> </w:t>
      </w:r>
      <w:r>
        <w:rPr/>
        <w:t>un</w:t>
      </w:r>
      <w:r>
        <w:rPr>
          <w:spacing w:val="-11"/>
        </w:rPr>
        <w:t> </w:t>
      </w:r>
      <w:r>
        <w:rPr/>
        <w:t>déficit</w:t>
      </w:r>
      <w:r>
        <w:rPr>
          <w:spacing w:val="-9"/>
        </w:rPr>
        <w:t> </w:t>
      </w:r>
      <w:r>
        <w:rPr/>
        <w:t>ecológico</w:t>
      </w:r>
      <w:r>
        <w:rPr>
          <w:spacing w:val="-11"/>
        </w:rPr>
        <w:t> </w:t>
      </w:r>
      <w:r>
        <w:rPr/>
        <w:t>de</w:t>
      </w:r>
      <w:r>
        <w:rPr>
          <w:spacing w:val="-11"/>
        </w:rPr>
        <w:t> </w:t>
      </w:r>
      <w:r>
        <w:rPr/>
        <w:t>entre</w:t>
      </w:r>
      <w:r>
        <w:rPr>
          <w:spacing w:val="-7"/>
        </w:rPr>
        <w:t> </w:t>
      </w:r>
      <w:r>
        <w:rPr/>
        <w:t>un</w:t>
      </w:r>
      <w:r>
        <w:rPr>
          <w:spacing w:val="-8"/>
        </w:rPr>
        <w:t> </w:t>
      </w:r>
      <w:r>
        <w:rPr/>
        <w:t>7</w:t>
      </w:r>
      <w:r>
        <w:rPr>
          <w:spacing w:val="-11"/>
        </w:rPr>
        <w:t> </w:t>
      </w:r>
      <w:r>
        <w:rPr/>
        <w:t>y</w:t>
      </w:r>
      <w:r>
        <w:rPr>
          <w:spacing w:val="-9"/>
        </w:rPr>
        <w:t> </w:t>
      </w:r>
      <w:r>
        <w:rPr/>
        <w:t>un</w:t>
      </w:r>
      <w:r>
        <w:rPr>
          <w:spacing w:val="-12"/>
        </w:rPr>
        <w:t> </w:t>
      </w:r>
      <w:r>
        <w:rPr/>
        <w:t>13%</w:t>
      </w:r>
      <w:r>
        <w:rPr>
          <w:spacing w:val="-11"/>
        </w:rPr>
        <w:t> </w:t>
      </w:r>
      <w:r>
        <w:rPr/>
        <w:t>respecto</w:t>
      </w:r>
      <w:r>
        <w:rPr>
          <w:spacing w:val="-11"/>
        </w:rPr>
        <w:t> </w:t>
      </w:r>
      <w:r>
        <w:rPr/>
        <w:t>a</w:t>
      </w:r>
      <w:r>
        <w:rPr>
          <w:spacing w:val="-11"/>
        </w:rPr>
        <w:t> </w:t>
      </w:r>
      <w:r>
        <w:rPr/>
        <w:t>la</w:t>
      </w:r>
      <w:r>
        <w:rPr>
          <w:spacing w:val="-12"/>
        </w:rPr>
        <w:t> </w:t>
      </w:r>
      <w:r>
        <w:rPr/>
        <w:t>biocapacidad</w:t>
      </w:r>
      <w:r>
        <w:rPr>
          <w:spacing w:val="-7"/>
        </w:rPr>
        <w:t> </w:t>
      </w:r>
      <w:r>
        <w:rPr/>
        <w:t>del</w:t>
      </w:r>
      <w:r>
        <w:rPr>
          <w:spacing w:val="-10"/>
        </w:rPr>
        <w:t> </w:t>
      </w:r>
      <w:r>
        <w:rPr/>
        <w:t>planeta</w:t>
      </w:r>
    </w:p>
    <w:p>
      <w:pPr>
        <w:spacing w:after="0" w:line="360" w:lineRule="auto"/>
        <w:jc w:val="both"/>
        <w:sectPr>
          <w:pgSz w:w="12240" w:h="15840"/>
          <w:pgMar w:header="0" w:footer="982" w:top="1360" w:bottom="1260" w:left="400" w:right="400"/>
        </w:sectPr>
      </w:pPr>
    </w:p>
    <w:p>
      <w:pPr>
        <w:pStyle w:val="BodyText"/>
        <w:spacing w:line="360" w:lineRule="auto" w:before="79"/>
        <w:ind w:left="1040" w:right="1039"/>
        <w:jc w:val="both"/>
      </w:pPr>
      <w:r>
        <w:rPr/>
        <w:t>y de Costa Rica. El superávit ecológico de las comunidades acreedoras es de entre el 16%</w:t>
      </w:r>
      <w:r>
        <w:rPr>
          <w:spacing w:val="-16"/>
        </w:rPr>
        <w:t> </w:t>
      </w:r>
      <w:r>
        <w:rPr/>
        <w:t>y</w:t>
      </w:r>
      <w:r>
        <w:rPr>
          <w:spacing w:val="-22"/>
        </w:rPr>
        <w:t> </w:t>
      </w:r>
      <w:r>
        <w:rPr/>
        <w:t>el</w:t>
      </w:r>
      <w:r>
        <w:rPr>
          <w:spacing w:val="-18"/>
        </w:rPr>
        <w:t> </w:t>
      </w:r>
      <w:r>
        <w:rPr/>
        <w:t>21%</w:t>
      </w:r>
      <w:r>
        <w:rPr>
          <w:spacing w:val="-20"/>
        </w:rPr>
        <w:t> </w:t>
      </w:r>
      <w:r>
        <w:rPr/>
        <w:t>respecto</w:t>
      </w:r>
      <w:r>
        <w:rPr>
          <w:spacing w:val="-19"/>
        </w:rPr>
        <w:t> </w:t>
      </w:r>
      <w:r>
        <w:rPr/>
        <w:t>a</w:t>
      </w:r>
      <w:r>
        <w:rPr>
          <w:spacing w:val="-20"/>
        </w:rPr>
        <w:t> </w:t>
      </w:r>
      <w:r>
        <w:rPr/>
        <w:t>la</w:t>
      </w:r>
      <w:r>
        <w:rPr>
          <w:spacing w:val="-19"/>
        </w:rPr>
        <w:t> </w:t>
      </w:r>
      <w:r>
        <w:rPr/>
        <w:t>biocapacidad</w:t>
      </w:r>
      <w:r>
        <w:rPr>
          <w:spacing w:val="-20"/>
        </w:rPr>
        <w:t> </w:t>
      </w:r>
      <w:r>
        <w:rPr/>
        <w:t>del</w:t>
      </w:r>
      <w:r>
        <w:rPr>
          <w:spacing w:val="-18"/>
        </w:rPr>
        <w:t> </w:t>
      </w:r>
      <w:r>
        <w:rPr/>
        <w:t>planeta</w:t>
      </w:r>
      <w:r>
        <w:rPr>
          <w:spacing w:val="-16"/>
        </w:rPr>
        <w:t> </w:t>
      </w:r>
      <w:r>
        <w:rPr/>
        <w:t>y</w:t>
      </w:r>
      <w:r>
        <w:rPr>
          <w:spacing w:val="-21"/>
        </w:rPr>
        <w:t> </w:t>
      </w:r>
      <w:r>
        <w:rPr/>
        <w:t>de</w:t>
      </w:r>
      <w:r>
        <w:rPr>
          <w:spacing w:val="-20"/>
        </w:rPr>
        <w:t> </w:t>
      </w:r>
      <w:r>
        <w:rPr/>
        <w:t>Costa</w:t>
      </w:r>
      <w:r>
        <w:rPr>
          <w:spacing w:val="-19"/>
        </w:rPr>
        <w:t> </w:t>
      </w:r>
      <w:r>
        <w:rPr/>
        <w:t>Rica.</w:t>
      </w:r>
      <w:r>
        <w:rPr>
          <w:spacing w:val="-17"/>
        </w:rPr>
        <w:t> </w:t>
      </w:r>
      <w:r>
        <w:rPr/>
        <w:t>Los</w:t>
      </w:r>
      <w:r>
        <w:rPr>
          <w:spacing w:val="-15"/>
        </w:rPr>
        <w:t> </w:t>
      </w:r>
      <w:r>
        <w:rPr/>
        <w:t>valores</w:t>
      </w:r>
      <w:r>
        <w:rPr>
          <w:spacing w:val="-17"/>
        </w:rPr>
        <w:t> </w:t>
      </w:r>
      <w:r>
        <w:rPr/>
        <w:t>fiscales del metro cuadrado de los bienes raíces en las </w:t>
      </w:r>
      <w:r>
        <w:rPr>
          <w:spacing w:val="-3"/>
        </w:rPr>
        <w:t>zonas </w:t>
      </w:r>
      <w:r>
        <w:rPr/>
        <w:t>deudoras son en promedio entre siete y medio a casi quince veces mayores a los de las comunidades</w:t>
      </w:r>
      <w:r>
        <w:rPr>
          <w:spacing w:val="-18"/>
        </w:rPr>
        <w:t> </w:t>
      </w:r>
      <w:r>
        <w:rPr/>
        <w:t>acreedoras.</w:t>
      </w:r>
    </w:p>
    <w:p>
      <w:pPr>
        <w:pStyle w:val="BodyText"/>
        <w:spacing w:line="360" w:lineRule="auto" w:before="201"/>
        <w:ind w:left="1040" w:right="1037"/>
        <w:jc w:val="both"/>
      </w:pPr>
      <w:r>
        <w:rPr/>
        <w:t>Los</w:t>
      </w:r>
      <w:r>
        <w:rPr>
          <w:spacing w:val="-18"/>
        </w:rPr>
        <w:t> </w:t>
      </w:r>
      <w:r>
        <w:rPr/>
        <w:t>resultados</w:t>
      </w:r>
      <w:r>
        <w:rPr>
          <w:spacing w:val="-18"/>
        </w:rPr>
        <w:t> </w:t>
      </w:r>
      <w:r>
        <w:rPr/>
        <w:t>del</w:t>
      </w:r>
      <w:r>
        <w:rPr>
          <w:spacing w:val="-19"/>
        </w:rPr>
        <w:t> </w:t>
      </w:r>
      <w:r>
        <w:rPr/>
        <w:t>modelo</w:t>
      </w:r>
      <w:r>
        <w:rPr>
          <w:spacing w:val="-20"/>
        </w:rPr>
        <w:t> </w:t>
      </w:r>
      <w:r>
        <w:rPr/>
        <w:t>seleccionado</w:t>
      </w:r>
      <w:r>
        <w:rPr>
          <w:spacing w:val="-17"/>
        </w:rPr>
        <w:t> </w:t>
      </w:r>
      <w:r>
        <w:rPr/>
        <w:t>para</w:t>
      </w:r>
      <w:r>
        <w:rPr>
          <w:spacing w:val="-20"/>
        </w:rPr>
        <w:t> </w:t>
      </w:r>
      <w:r>
        <w:rPr/>
        <w:t>realizar</w:t>
      </w:r>
      <w:r>
        <w:rPr>
          <w:spacing w:val="-18"/>
        </w:rPr>
        <w:t> </w:t>
      </w:r>
      <w:r>
        <w:rPr/>
        <w:t>la</w:t>
      </w:r>
      <w:r>
        <w:rPr>
          <w:spacing w:val="-20"/>
        </w:rPr>
        <w:t> </w:t>
      </w:r>
      <w:r>
        <w:rPr/>
        <w:t>valoración</w:t>
      </w:r>
      <w:r>
        <w:rPr>
          <w:spacing w:val="-16"/>
        </w:rPr>
        <w:t> </w:t>
      </w:r>
      <w:r>
        <w:rPr/>
        <w:t>monetaria</w:t>
      </w:r>
      <w:r>
        <w:rPr>
          <w:spacing w:val="-16"/>
        </w:rPr>
        <w:t> </w:t>
      </w:r>
      <w:r>
        <w:rPr/>
        <w:t>de</w:t>
      </w:r>
      <w:r>
        <w:rPr>
          <w:spacing w:val="-20"/>
        </w:rPr>
        <w:t> </w:t>
      </w:r>
      <w:r>
        <w:rPr/>
        <w:t>la</w:t>
      </w:r>
      <w:r>
        <w:rPr>
          <w:spacing w:val="-16"/>
        </w:rPr>
        <w:t> </w:t>
      </w:r>
      <w:r>
        <w:rPr/>
        <w:t>deuda por</w:t>
      </w:r>
      <w:r>
        <w:rPr>
          <w:spacing w:val="-16"/>
        </w:rPr>
        <w:t> </w:t>
      </w:r>
      <w:r>
        <w:rPr/>
        <w:t>el</w:t>
      </w:r>
      <w:r>
        <w:rPr>
          <w:spacing w:val="-17"/>
        </w:rPr>
        <w:t> </w:t>
      </w:r>
      <w:r>
        <w:rPr/>
        <w:t>servicio</w:t>
      </w:r>
      <w:r>
        <w:rPr>
          <w:spacing w:val="-18"/>
        </w:rPr>
        <w:t> </w:t>
      </w:r>
      <w:r>
        <w:rPr/>
        <w:t>de</w:t>
      </w:r>
      <w:r>
        <w:rPr>
          <w:spacing w:val="-21"/>
        </w:rPr>
        <w:t> </w:t>
      </w:r>
      <w:r>
        <w:rPr/>
        <w:t>vista</w:t>
      </w:r>
      <w:r>
        <w:rPr>
          <w:spacing w:val="-17"/>
        </w:rPr>
        <w:t> </w:t>
      </w:r>
      <w:r>
        <w:rPr/>
        <w:t>no</w:t>
      </w:r>
      <w:r>
        <w:rPr>
          <w:spacing w:val="-18"/>
        </w:rPr>
        <w:t> </w:t>
      </w:r>
      <w:r>
        <w:rPr/>
        <w:t>compensado</w:t>
      </w:r>
      <w:r>
        <w:rPr>
          <w:spacing w:val="-11"/>
        </w:rPr>
        <w:t> </w:t>
      </w:r>
      <w:r>
        <w:rPr/>
        <w:t>sugieren</w:t>
      </w:r>
      <w:r>
        <w:rPr>
          <w:spacing w:val="-18"/>
        </w:rPr>
        <w:t> </w:t>
      </w:r>
      <w:r>
        <w:rPr/>
        <w:t>que</w:t>
      </w:r>
      <w:r>
        <w:rPr>
          <w:spacing w:val="-18"/>
        </w:rPr>
        <w:t> </w:t>
      </w:r>
      <w:r>
        <w:rPr/>
        <w:t>las</w:t>
      </w:r>
      <w:r>
        <w:rPr>
          <w:spacing w:val="-15"/>
        </w:rPr>
        <w:t> </w:t>
      </w:r>
      <w:r>
        <w:rPr/>
        <w:t>comunidades</w:t>
      </w:r>
      <w:r>
        <w:rPr>
          <w:spacing w:val="-16"/>
        </w:rPr>
        <w:t> </w:t>
      </w:r>
      <w:r>
        <w:rPr/>
        <w:t>deudoras</w:t>
      </w:r>
      <w:r>
        <w:rPr>
          <w:spacing w:val="-16"/>
        </w:rPr>
        <w:t> </w:t>
      </w:r>
      <w:r>
        <w:rPr/>
        <w:t>perciben una diferencia por metro cuadrado de construcción de $92.61 por el servicio de vista no compensado provisto por la ZPLC, un 8% del valor</w:t>
      </w:r>
      <w:r>
        <w:rPr>
          <w:spacing w:val="-4"/>
        </w:rPr>
        <w:t> </w:t>
      </w:r>
      <w:r>
        <w:rPr/>
        <w:t>promedio.</w:t>
      </w:r>
    </w:p>
    <w:p>
      <w:pPr>
        <w:pStyle w:val="BodyText"/>
        <w:spacing w:line="360" w:lineRule="auto" w:before="200"/>
        <w:ind w:left="1040" w:right="1040"/>
        <w:jc w:val="both"/>
      </w:pPr>
      <w:r>
        <w:rPr/>
        <w:t>Los actores de diversos sectores locales que participaron en el taller de presentación concordaron con que el servicio de vista que provee la zona es importante, asimismo reconocieron la posibilidad de mejorar la situación social de las comunidades que están dentro de la ZPLC con recursos provenientes del valor monetario del servicio de vista que se les presentó. El reconocimiento de los actores locales de la importancia de este hallazgo es un primer paso para sensibilizar a esas comunidades y al país de la dimensión</w:t>
      </w:r>
      <w:r>
        <w:rPr>
          <w:spacing w:val="-6"/>
        </w:rPr>
        <w:t> </w:t>
      </w:r>
      <w:r>
        <w:rPr/>
        <w:t>de</w:t>
      </w:r>
      <w:r>
        <w:rPr>
          <w:spacing w:val="-6"/>
        </w:rPr>
        <w:t> </w:t>
      </w:r>
      <w:r>
        <w:rPr/>
        <w:t>esta</w:t>
      </w:r>
      <w:r>
        <w:rPr>
          <w:spacing w:val="-5"/>
        </w:rPr>
        <w:t> </w:t>
      </w:r>
      <w:r>
        <w:rPr/>
        <w:t>inequidad.</w:t>
      </w:r>
      <w:r>
        <w:rPr>
          <w:spacing w:val="-4"/>
        </w:rPr>
        <w:t> </w:t>
      </w:r>
      <w:r>
        <w:rPr/>
        <w:t>Debe</w:t>
      </w:r>
      <w:r>
        <w:rPr>
          <w:spacing w:val="-5"/>
        </w:rPr>
        <w:t> </w:t>
      </w:r>
      <w:r>
        <w:rPr/>
        <w:t>tomarse</w:t>
      </w:r>
      <w:r>
        <w:rPr>
          <w:spacing w:val="-6"/>
        </w:rPr>
        <w:t> </w:t>
      </w:r>
      <w:r>
        <w:rPr/>
        <w:t>en</w:t>
      </w:r>
      <w:r>
        <w:rPr>
          <w:spacing w:val="-5"/>
        </w:rPr>
        <w:t> </w:t>
      </w:r>
      <w:r>
        <w:rPr/>
        <w:t>cuenta</w:t>
      </w:r>
      <w:r>
        <w:rPr>
          <w:spacing w:val="-6"/>
        </w:rPr>
        <w:t> </w:t>
      </w:r>
      <w:r>
        <w:rPr/>
        <w:t>que</w:t>
      </w:r>
      <w:r>
        <w:rPr>
          <w:spacing w:val="-5"/>
        </w:rPr>
        <w:t> </w:t>
      </w:r>
      <w:r>
        <w:rPr/>
        <w:t>los</w:t>
      </w:r>
      <w:r>
        <w:rPr>
          <w:spacing w:val="-4"/>
        </w:rPr>
        <w:t> </w:t>
      </w:r>
      <w:r>
        <w:rPr/>
        <w:t>resultados</w:t>
      </w:r>
      <w:r>
        <w:rPr>
          <w:spacing w:val="-4"/>
        </w:rPr>
        <w:t> </w:t>
      </w:r>
      <w:r>
        <w:rPr/>
        <w:t>de</w:t>
      </w:r>
      <w:r>
        <w:rPr>
          <w:spacing w:val="-5"/>
        </w:rPr>
        <w:t> </w:t>
      </w:r>
      <w:r>
        <w:rPr/>
        <w:t>los</w:t>
      </w:r>
      <w:r>
        <w:rPr>
          <w:spacing w:val="-4"/>
        </w:rPr>
        <w:t> </w:t>
      </w:r>
      <w:r>
        <w:rPr/>
        <w:t>talleres revelaron poco manejo por parte de los actores locales del concepto de servicios ecosistémicos y del diverso papel que juegan para el</w:t>
      </w:r>
      <w:r>
        <w:rPr>
          <w:spacing w:val="-10"/>
        </w:rPr>
        <w:t> </w:t>
      </w:r>
      <w:r>
        <w:rPr/>
        <w:t>área.</w:t>
      </w:r>
    </w:p>
    <w:p>
      <w:pPr>
        <w:pStyle w:val="BodyText"/>
        <w:spacing w:line="360" w:lineRule="auto" w:before="199"/>
        <w:ind w:left="1040" w:right="1038"/>
        <w:jc w:val="both"/>
      </w:pPr>
      <w:r>
        <w:rPr/>
        <w:t>Asimismo, se manifestaron de acuerdo en participar en un proceso de diálogo entre diferentes actores con el fin de explorar mecanismos por medio de los cuales se pueda identificar</w:t>
      </w:r>
      <w:r>
        <w:rPr>
          <w:spacing w:val="-8"/>
        </w:rPr>
        <w:t> </w:t>
      </w:r>
      <w:r>
        <w:rPr/>
        <w:t>recursos</w:t>
      </w:r>
      <w:r>
        <w:rPr>
          <w:spacing w:val="-7"/>
        </w:rPr>
        <w:t> </w:t>
      </w:r>
      <w:r>
        <w:rPr/>
        <w:t>provenientes</w:t>
      </w:r>
      <w:r>
        <w:rPr>
          <w:spacing w:val="-8"/>
        </w:rPr>
        <w:t> </w:t>
      </w:r>
      <w:r>
        <w:rPr/>
        <w:t>de</w:t>
      </w:r>
      <w:r>
        <w:rPr>
          <w:spacing w:val="-9"/>
        </w:rPr>
        <w:t> </w:t>
      </w:r>
      <w:r>
        <w:rPr/>
        <w:t>este</w:t>
      </w:r>
      <w:r>
        <w:rPr>
          <w:spacing w:val="-10"/>
        </w:rPr>
        <w:t> </w:t>
      </w:r>
      <w:r>
        <w:rPr/>
        <w:t>servicio</w:t>
      </w:r>
      <w:r>
        <w:rPr>
          <w:spacing w:val="-9"/>
        </w:rPr>
        <w:t> </w:t>
      </w:r>
      <w:r>
        <w:rPr/>
        <w:t>de</w:t>
      </w:r>
      <w:r>
        <w:rPr>
          <w:spacing w:val="-13"/>
        </w:rPr>
        <w:t> </w:t>
      </w:r>
      <w:r>
        <w:rPr/>
        <w:t>vista</w:t>
      </w:r>
      <w:r>
        <w:rPr>
          <w:spacing w:val="-13"/>
        </w:rPr>
        <w:t> </w:t>
      </w:r>
      <w:r>
        <w:rPr/>
        <w:t>por</w:t>
      </w:r>
      <w:r>
        <w:rPr>
          <w:spacing w:val="-8"/>
        </w:rPr>
        <w:t> </w:t>
      </w:r>
      <w:r>
        <w:rPr/>
        <w:t>ejemplo</w:t>
      </w:r>
      <w:r>
        <w:rPr>
          <w:spacing w:val="-9"/>
        </w:rPr>
        <w:t> </w:t>
      </w:r>
      <w:r>
        <w:rPr/>
        <w:t>(impuestos</w:t>
      </w:r>
      <w:r>
        <w:rPr>
          <w:spacing w:val="-8"/>
        </w:rPr>
        <w:t> </w:t>
      </w:r>
      <w:r>
        <w:rPr/>
        <w:t>que</w:t>
      </w:r>
      <w:r>
        <w:rPr>
          <w:spacing w:val="-9"/>
        </w:rPr>
        <w:t> </w:t>
      </w:r>
      <w:r>
        <w:rPr/>
        <w:t>se están cobrando) que puedan orientarse no solo a mejorar las condiciones sociales de esas comunidades, sino también a mejorar la conservación de la</w:t>
      </w:r>
      <w:r>
        <w:rPr>
          <w:spacing w:val="-9"/>
        </w:rPr>
        <w:t> </w:t>
      </w:r>
      <w:r>
        <w:rPr/>
        <w:t>ZPLC.</w:t>
      </w:r>
    </w:p>
    <w:p>
      <w:pPr>
        <w:pStyle w:val="BodyText"/>
        <w:spacing w:line="360" w:lineRule="auto" w:before="203"/>
        <w:ind w:left="1040" w:right="1036"/>
        <w:jc w:val="both"/>
      </w:pPr>
      <w:r>
        <w:rPr/>
        <w:t>El</w:t>
      </w:r>
      <w:r>
        <w:rPr>
          <w:spacing w:val="-13"/>
        </w:rPr>
        <w:t> </w:t>
      </w:r>
      <w:r>
        <w:rPr/>
        <w:t>enfoque</w:t>
      </w:r>
      <w:r>
        <w:rPr>
          <w:spacing w:val="-8"/>
        </w:rPr>
        <w:t> </w:t>
      </w:r>
      <w:r>
        <w:rPr/>
        <w:t>presentado</w:t>
      </w:r>
      <w:r>
        <w:rPr>
          <w:spacing w:val="-10"/>
        </w:rPr>
        <w:t> </w:t>
      </w:r>
      <w:r>
        <w:rPr/>
        <w:t>hasta</w:t>
      </w:r>
      <w:r>
        <w:rPr>
          <w:spacing w:val="-11"/>
        </w:rPr>
        <w:t> </w:t>
      </w:r>
      <w:r>
        <w:rPr/>
        <w:t>aquí</w:t>
      </w:r>
      <w:r>
        <w:rPr>
          <w:spacing w:val="-9"/>
        </w:rPr>
        <w:t> </w:t>
      </w:r>
      <w:r>
        <w:rPr/>
        <w:t>representa</w:t>
      </w:r>
      <w:r>
        <w:rPr>
          <w:spacing w:val="-9"/>
        </w:rPr>
        <w:t> </w:t>
      </w:r>
      <w:r>
        <w:rPr/>
        <w:t>una</w:t>
      </w:r>
      <w:r>
        <w:rPr>
          <w:spacing w:val="-8"/>
        </w:rPr>
        <w:t> </w:t>
      </w:r>
      <w:r>
        <w:rPr/>
        <w:t>propuesta</w:t>
      </w:r>
      <w:r>
        <w:rPr>
          <w:spacing w:val="-8"/>
        </w:rPr>
        <w:t> </w:t>
      </w:r>
      <w:r>
        <w:rPr/>
        <w:t>innovadora</w:t>
      </w:r>
      <w:r>
        <w:rPr>
          <w:spacing w:val="-8"/>
        </w:rPr>
        <w:t> </w:t>
      </w:r>
      <w:r>
        <w:rPr/>
        <w:t>en</w:t>
      </w:r>
      <w:r>
        <w:rPr>
          <w:spacing w:val="-9"/>
        </w:rPr>
        <w:t> </w:t>
      </w:r>
      <w:r>
        <w:rPr/>
        <w:t>el</w:t>
      </w:r>
      <w:r>
        <w:rPr>
          <w:spacing w:val="-11"/>
        </w:rPr>
        <w:t> </w:t>
      </w:r>
      <w:r>
        <w:rPr/>
        <w:t>sentido</w:t>
      </w:r>
      <w:r>
        <w:rPr>
          <w:spacing w:val="-12"/>
        </w:rPr>
        <w:t> </w:t>
      </w:r>
      <w:r>
        <w:rPr/>
        <w:t>de generalizar el uso del concepto de Deuda Ecológica, permitiendo detectar tendencias y una comprensión sistematizada del CED. Asimismo, al integrar posibilidades de cuantificación permite el análisis de Ecología Política estadística. La utilización que se puede dar a la presente propuesta frente a diversas situaciones tiene un rango amplio con base en un enfoque de</w:t>
      </w:r>
      <w:r>
        <w:rPr>
          <w:spacing w:val="-7"/>
        </w:rPr>
        <w:t> </w:t>
      </w:r>
      <w:r>
        <w:rPr/>
        <w:t>derechos.</w:t>
      </w:r>
    </w:p>
    <w:p>
      <w:pPr>
        <w:spacing w:after="0" w:line="360" w:lineRule="auto"/>
        <w:jc w:val="both"/>
        <w:sectPr>
          <w:pgSz w:w="12240" w:h="15840"/>
          <w:pgMar w:header="0" w:footer="982" w:top="1360" w:bottom="1260" w:left="400" w:right="400"/>
        </w:sectPr>
      </w:pPr>
    </w:p>
    <w:p>
      <w:pPr>
        <w:pStyle w:val="BodyText"/>
        <w:spacing w:line="360" w:lineRule="auto" w:before="79"/>
        <w:ind w:left="1040" w:right="1038"/>
        <w:jc w:val="both"/>
      </w:pPr>
      <w:r>
        <w:rPr/>
        <w:t>Respecto a las estimaciones realizadas en lo biofísico, futuros análisis pueden mejorar los</w:t>
      </w:r>
      <w:r>
        <w:rPr>
          <w:spacing w:val="-11"/>
        </w:rPr>
        <w:t> </w:t>
      </w:r>
      <w:r>
        <w:rPr/>
        <w:t>resultados</w:t>
      </w:r>
      <w:r>
        <w:rPr>
          <w:spacing w:val="-7"/>
        </w:rPr>
        <w:t> </w:t>
      </w:r>
      <w:r>
        <w:rPr/>
        <w:t>mediante</w:t>
      </w:r>
      <w:r>
        <w:rPr>
          <w:spacing w:val="-13"/>
        </w:rPr>
        <w:t> </w:t>
      </w:r>
      <w:r>
        <w:rPr/>
        <w:t>un</w:t>
      </w:r>
      <w:r>
        <w:rPr>
          <w:spacing w:val="-13"/>
        </w:rPr>
        <w:t> </w:t>
      </w:r>
      <w:r>
        <w:rPr/>
        <w:t>fortalecimiento</w:t>
      </w:r>
      <w:r>
        <w:rPr>
          <w:spacing w:val="-13"/>
        </w:rPr>
        <w:t> </w:t>
      </w:r>
      <w:r>
        <w:rPr/>
        <w:t>de</w:t>
      </w:r>
      <w:r>
        <w:rPr>
          <w:spacing w:val="-9"/>
        </w:rPr>
        <w:t> </w:t>
      </w:r>
      <w:r>
        <w:rPr/>
        <w:t>los</w:t>
      </w:r>
      <w:r>
        <w:rPr>
          <w:spacing w:val="-11"/>
        </w:rPr>
        <w:t> </w:t>
      </w:r>
      <w:r>
        <w:rPr/>
        <w:t>recursos</w:t>
      </w:r>
      <w:r>
        <w:rPr>
          <w:spacing w:val="-7"/>
        </w:rPr>
        <w:t> </w:t>
      </w:r>
      <w:r>
        <w:rPr/>
        <w:t>y</w:t>
      </w:r>
      <w:r>
        <w:rPr>
          <w:spacing w:val="-10"/>
        </w:rPr>
        <w:t> </w:t>
      </w:r>
      <w:r>
        <w:rPr/>
        <w:t>métodos</w:t>
      </w:r>
      <w:r>
        <w:rPr>
          <w:spacing w:val="-11"/>
        </w:rPr>
        <w:t> </w:t>
      </w:r>
      <w:r>
        <w:rPr/>
        <w:t>para</w:t>
      </w:r>
      <w:r>
        <w:rPr>
          <w:spacing w:val="-13"/>
        </w:rPr>
        <w:t> </w:t>
      </w:r>
      <w:r>
        <w:rPr/>
        <w:t>la</w:t>
      </w:r>
      <w:r>
        <w:rPr>
          <w:spacing w:val="-9"/>
        </w:rPr>
        <w:t> </w:t>
      </w:r>
      <w:r>
        <w:rPr/>
        <w:t>recolección de las muestras para los cálculos de huellas ecológicas comunitarias. Una posible medición adicional que podría sugerirse es la adopción de la idea de cuantificar el equivalente monetario del déficit ecológico computado frente al del superávit de las comunidades acreedoras. Asimismo, a pesar de estar </w:t>
      </w:r>
      <w:r>
        <w:rPr>
          <w:spacing w:val="-2"/>
        </w:rPr>
        <w:t>más </w:t>
      </w:r>
      <w:r>
        <w:rPr/>
        <w:t>allá de las posibilidades materiales de esta investigación, la aplicación de modelos espaciales para calcular el valor monetario del servicio de vista podría fortalecer las estimaciones</w:t>
      </w:r>
      <w:r>
        <w:rPr>
          <w:spacing w:val="-23"/>
        </w:rPr>
        <w:t> </w:t>
      </w:r>
      <w:r>
        <w:rPr/>
        <w:t>realizadas.</w:t>
      </w:r>
    </w:p>
    <w:p>
      <w:pPr>
        <w:pStyle w:val="BodyText"/>
        <w:spacing w:line="360" w:lineRule="auto" w:before="201"/>
        <w:ind w:left="1040" w:right="1040"/>
        <w:jc w:val="both"/>
      </w:pPr>
      <w:r>
        <w:rPr/>
        <w:t>Se plantea utilizar la información generada para seguir un proceso de evaluación de múltiples criterios de escenarios mediante la combinación de talleres de expertos y focales</w:t>
      </w:r>
      <w:r>
        <w:rPr>
          <w:spacing w:val="-11"/>
        </w:rPr>
        <w:t> </w:t>
      </w:r>
      <w:r>
        <w:rPr/>
        <w:t>ajustados</w:t>
      </w:r>
      <w:r>
        <w:rPr>
          <w:spacing w:val="-11"/>
        </w:rPr>
        <w:t> </w:t>
      </w:r>
      <w:r>
        <w:rPr/>
        <w:t>al</w:t>
      </w:r>
      <w:r>
        <w:rPr>
          <w:spacing w:val="-12"/>
        </w:rPr>
        <w:t> </w:t>
      </w:r>
      <w:r>
        <w:rPr/>
        <w:t>contexto</w:t>
      </w:r>
      <w:r>
        <w:rPr>
          <w:spacing w:val="-13"/>
        </w:rPr>
        <w:t> </w:t>
      </w:r>
      <w:r>
        <w:rPr/>
        <w:t>geográfico</w:t>
      </w:r>
      <w:r>
        <w:rPr>
          <w:spacing w:val="-13"/>
        </w:rPr>
        <w:t> </w:t>
      </w:r>
      <w:r>
        <w:rPr/>
        <w:t>y</w:t>
      </w:r>
      <w:r>
        <w:rPr>
          <w:spacing w:val="-14"/>
        </w:rPr>
        <w:t> </w:t>
      </w:r>
      <w:r>
        <w:rPr/>
        <w:t>social</w:t>
      </w:r>
      <w:r>
        <w:rPr>
          <w:spacing w:val="-12"/>
        </w:rPr>
        <w:t> </w:t>
      </w:r>
      <w:r>
        <w:rPr/>
        <w:t>de</w:t>
      </w:r>
      <w:r>
        <w:rPr>
          <w:spacing w:val="-13"/>
        </w:rPr>
        <w:t> </w:t>
      </w:r>
      <w:r>
        <w:rPr/>
        <w:t>la</w:t>
      </w:r>
      <w:r>
        <w:rPr>
          <w:spacing w:val="-13"/>
        </w:rPr>
        <w:t> </w:t>
      </w:r>
      <w:r>
        <w:rPr/>
        <w:t>zona.</w:t>
      </w:r>
      <w:r>
        <w:rPr>
          <w:spacing w:val="-10"/>
        </w:rPr>
        <w:t> </w:t>
      </w:r>
      <w:r>
        <w:rPr/>
        <w:t>En</w:t>
      </w:r>
      <w:r>
        <w:rPr>
          <w:spacing w:val="-12"/>
        </w:rPr>
        <w:t> </w:t>
      </w:r>
      <w:r>
        <w:rPr/>
        <w:t>ese</w:t>
      </w:r>
      <w:r>
        <w:rPr>
          <w:spacing w:val="-13"/>
        </w:rPr>
        <w:t> </w:t>
      </w:r>
      <w:r>
        <w:rPr/>
        <w:t>proceso,</w:t>
      </w:r>
      <w:r>
        <w:rPr>
          <w:spacing w:val="-6"/>
        </w:rPr>
        <w:t> </w:t>
      </w:r>
      <w:r>
        <w:rPr/>
        <w:t>se</w:t>
      </w:r>
      <w:r>
        <w:rPr>
          <w:spacing w:val="-13"/>
        </w:rPr>
        <w:t> </w:t>
      </w:r>
      <w:r>
        <w:rPr/>
        <w:t>plantean etapas de definición de criterios para evaluar los escenarios (ecológicos, sociales y económicos), definición de pesos para los criterios y de evaluación de los</w:t>
      </w:r>
      <w:r>
        <w:rPr>
          <w:spacing w:val="-30"/>
        </w:rPr>
        <w:t> </w:t>
      </w:r>
      <w:r>
        <w:rPr/>
        <w:t>escenarios.</w:t>
      </w:r>
    </w:p>
    <w:p>
      <w:pPr>
        <w:pStyle w:val="BodyText"/>
        <w:spacing w:line="360" w:lineRule="auto" w:before="199"/>
        <w:ind w:left="1040" w:right="1035"/>
        <w:jc w:val="both"/>
      </w:pPr>
      <w:r>
        <w:rPr/>
        <w:t>Estos procesos permiten desarrollar una matriz de desempeño o impacto para los escenarios</w:t>
      </w:r>
      <w:r>
        <w:rPr>
          <w:spacing w:val="-7"/>
        </w:rPr>
        <w:t> </w:t>
      </w:r>
      <w:r>
        <w:rPr/>
        <w:t>y</w:t>
      </w:r>
      <w:r>
        <w:rPr>
          <w:spacing w:val="-13"/>
        </w:rPr>
        <w:t> </w:t>
      </w:r>
      <w:r>
        <w:rPr/>
        <w:t>criterios</w:t>
      </w:r>
      <w:r>
        <w:rPr>
          <w:spacing w:val="-6"/>
        </w:rPr>
        <w:t> </w:t>
      </w:r>
      <w:r>
        <w:rPr/>
        <w:t>de</w:t>
      </w:r>
      <w:r>
        <w:rPr>
          <w:spacing w:val="-8"/>
        </w:rPr>
        <w:t> </w:t>
      </w:r>
      <w:r>
        <w:rPr/>
        <w:t>evaluación</w:t>
      </w:r>
      <w:r>
        <w:rPr>
          <w:spacing w:val="-8"/>
        </w:rPr>
        <w:t> </w:t>
      </w:r>
      <w:r>
        <w:rPr/>
        <w:t>que</w:t>
      </w:r>
      <w:r>
        <w:rPr>
          <w:spacing w:val="-12"/>
        </w:rPr>
        <w:t> </w:t>
      </w:r>
      <w:r>
        <w:rPr/>
        <w:t>se</w:t>
      </w:r>
      <w:r>
        <w:rPr>
          <w:spacing w:val="-8"/>
        </w:rPr>
        <w:t> </w:t>
      </w:r>
      <w:r>
        <w:rPr/>
        <w:t>presentarían</w:t>
      </w:r>
      <w:r>
        <w:rPr>
          <w:spacing w:val="-8"/>
        </w:rPr>
        <w:t> </w:t>
      </w:r>
      <w:r>
        <w:rPr/>
        <w:t>en</w:t>
      </w:r>
      <w:r>
        <w:rPr>
          <w:spacing w:val="-8"/>
        </w:rPr>
        <w:t> </w:t>
      </w:r>
      <w:r>
        <w:rPr/>
        <w:t>dos</w:t>
      </w:r>
      <w:r>
        <w:rPr>
          <w:spacing w:val="-10"/>
        </w:rPr>
        <w:t> </w:t>
      </w:r>
      <w:r>
        <w:rPr/>
        <w:t>talleres</w:t>
      </w:r>
      <w:r>
        <w:rPr>
          <w:spacing w:val="-10"/>
        </w:rPr>
        <w:t> </w:t>
      </w:r>
      <w:r>
        <w:rPr/>
        <w:t>de</w:t>
      </w:r>
      <w:r>
        <w:rPr>
          <w:spacing w:val="-8"/>
        </w:rPr>
        <w:t> </w:t>
      </w:r>
      <w:r>
        <w:rPr/>
        <w:t>visión.</w:t>
      </w:r>
      <w:r>
        <w:rPr>
          <w:spacing w:val="-9"/>
        </w:rPr>
        <w:t> </w:t>
      </w:r>
      <w:r>
        <w:rPr/>
        <w:t>En</w:t>
      </w:r>
      <w:r>
        <w:rPr>
          <w:spacing w:val="-12"/>
        </w:rPr>
        <w:t> </w:t>
      </w:r>
      <w:r>
        <w:rPr/>
        <w:t>los mismos se consolidaría la participación de todos los sectores con el fin de conocer su criterio respecto a los escenarios y desempeño de conformidad con los criterios desarrollados. Las ubicaciones y composición de actores se han diseñado para garantizar una representatividad democrática de todos los sectores de actores relevantes, facilitando la participación en relación a las localidades</w:t>
      </w:r>
      <w:r>
        <w:rPr>
          <w:spacing w:val="-11"/>
        </w:rPr>
        <w:t> </w:t>
      </w:r>
      <w:r>
        <w:rPr/>
        <w:t>sede.</w:t>
      </w:r>
    </w:p>
    <w:p>
      <w:pPr>
        <w:pStyle w:val="BodyText"/>
        <w:spacing w:line="360" w:lineRule="auto" w:before="203"/>
        <w:ind w:left="1040" w:right="1040"/>
        <w:jc w:val="both"/>
      </w:pPr>
      <w:r>
        <w:rPr/>
        <w:t>El</w:t>
      </w:r>
      <w:r>
        <w:rPr>
          <w:spacing w:val="-18"/>
        </w:rPr>
        <w:t> </w:t>
      </w:r>
      <w:r>
        <w:rPr/>
        <w:t>proceso</w:t>
      </w:r>
      <w:r>
        <w:rPr>
          <w:spacing w:val="-18"/>
        </w:rPr>
        <w:t> </w:t>
      </w:r>
      <w:r>
        <w:rPr/>
        <w:t>propuesto</w:t>
      </w:r>
      <w:r>
        <w:rPr>
          <w:spacing w:val="-17"/>
        </w:rPr>
        <w:t> </w:t>
      </w:r>
      <w:r>
        <w:rPr/>
        <w:t>sería</w:t>
      </w:r>
      <w:r>
        <w:rPr>
          <w:spacing w:val="-18"/>
        </w:rPr>
        <w:t> </w:t>
      </w:r>
      <w:r>
        <w:rPr/>
        <w:t>también</w:t>
      </w:r>
      <w:r>
        <w:rPr>
          <w:spacing w:val="-17"/>
        </w:rPr>
        <w:t> </w:t>
      </w:r>
      <w:r>
        <w:rPr/>
        <w:t>un</w:t>
      </w:r>
      <w:r>
        <w:rPr>
          <w:spacing w:val="-11"/>
        </w:rPr>
        <w:t> </w:t>
      </w:r>
      <w:r>
        <w:rPr/>
        <w:t>espacio</w:t>
      </w:r>
      <w:r>
        <w:rPr>
          <w:spacing w:val="-18"/>
        </w:rPr>
        <w:t> </w:t>
      </w:r>
      <w:r>
        <w:rPr/>
        <w:t>de</w:t>
      </w:r>
      <w:r>
        <w:rPr>
          <w:spacing w:val="-17"/>
        </w:rPr>
        <w:t> </w:t>
      </w:r>
      <w:r>
        <w:rPr/>
        <w:t>educación</w:t>
      </w:r>
      <w:r>
        <w:rPr>
          <w:spacing w:val="-18"/>
        </w:rPr>
        <w:t> </w:t>
      </w:r>
      <w:r>
        <w:rPr/>
        <w:t>para</w:t>
      </w:r>
      <w:r>
        <w:rPr>
          <w:spacing w:val="-18"/>
        </w:rPr>
        <w:t> </w:t>
      </w:r>
      <w:r>
        <w:rPr/>
        <w:t>los</w:t>
      </w:r>
      <w:r>
        <w:rPr>
          <w:spacing w:val="-15"/>
        </w:rPr>
        <w:t> </w:t>
      </w:r>
      <w:r>
        <w:rPr/>
        <w:t>participantes</w:t>
      </w:r>
      <w:r>
        <w:rPr>
          <w:spacing w:val="-16"/>
        </w:rPr>
        <w:t> </w:t>
      </w:r>
      <w:r>
        <w:rPr/>
        <w:t>sobre la importancia de la ZPLC y de la implementación de su Plan de Manejo. Asimismo, da la oportunidad para incorporar la voz de todos los actores con un valor equitativo dentro de un cuadro de discusión participativa sobre opciones que permitan medir el potencial de equilibrar las injusticias socio-ambientales que se han descrito</w:t>
      </w:r>
      <w:r>
        <w:rPr>
          <w:spacing w:val="-7"/>
        </w:rPr>
        <w:t> </w:t>
      </w:r>
      <w:r>
        <w:rPr/>
        <w:t>aquí.</w:t>
      </w:r>
    </w:p>
    <w:p>
      <w:pPr>
        <w:pStyle w:val="BodyText"/>
        <w:spacing w:line="360" w:lineRule="auto" w:before="198"/>
        <w:ind w:left="1040" w:right="1034"/>
        <w:jc w:val="both"/>
      </w:pPr>
      <w:r>
        <w:rPr/>
        <w:t>El incluir a las categorías de actores que se plantean en esta investigación está totalmente en concordancia con la definición hecha en el Plan de Manejo de un área de influencia inmediata en las comunidades y territorios inmediatos alrededor del límite exterior de la ZPLC y con la búsqueda de alianzas estratégicas con gobiernos locales,</w:t>
      </w:r>
    </w:p>
    <w:p>
      <w:pPr>
        <w:spacing w:after="0" w:line="360" w:lineRule="auto"/>
        <w:jc w:val="both"/>
        <w:sectPr>
          <w:pgSz w:w="12240" w:h="15840"/>
          <w:pgMar w:header="0" w:footer="982" w:top="1360" w:bottom="1260" w:left="400" w:right="400"/>
        </w:sectPr>
      </w:pPr>
    </w:p>
    <w:p>
      <w:pPr>
        <w:pStyle w:val="BodyText"/>
        <w:spacing w:line="360" w:lineRule="auto" w:before="79"/>
        <w:ind w:left="1040" w:right="1040"/>
        <w:jc w:val="both"/>
      </w:pPr>
      <w:r>
        <w:rPr/>
        <w:t>entidades estatales, comunidades y propietarios privados, para coordinar acciones conjuntas que coadyuven a la conservación de la ZP. Esos acuerdos permitirían fortalecer programas del plan como el de gestión comunitaria y educación ambiental.</w:t>
      </w:r>
    </w:p>
    <w:p>
      <w:pPr>
        <w:pStyle w:val="BodyText"/>
        <w:spacing w:line="360" w:lineRule="auto" w:before="199"/>
        <w:ind w:left="1040" w:right="1035"/>
        <w:jc w:val="both"/>
      </w:pPr>
      <w:r>
        <w:rPr/>
        <w:t>Posibilidades como el que se ubiquen recursos provenientes del servicio de vista no compensado permitirían contar con recursos para la implementación de los programas de</w:t>
      </w:r>
      <w:r>
        <w:rPr>
          <w:spacing w:val="-17"/>
        </w:rPr>
        <w:t> </w:t>
      </w:r>
      <w:r>
        <w:rPr/>
        <w:t>educación</w:t>
      </w:r>
      <w:r>
        <w:rPr>
          <w:spacing w:val="-17"/>
        </w:rPr>
        <w:t> </w:t>
      </w:r>
      <w:r>
        <w:rPr/>
        <w:t>ambiental</w:t>
      </w:r>
      <w:r>
        <w:rPr>
          <w:spacing w:val="-15"/>
        </w:rPr>
        <w:t> </w:t>
      </w:r>
      <w:r>
        <w:rPr/>
        <w:t>designados</w:t>
      </w:r>
      <w:r>
        <w:rPr>
          <w:spacing w:val="-15"/>
        </w:rPr>
        <w:t> </w:t>
      </w:r>
      <w:r>
        <w:rPr/>
        <w:t>para</w:t>
      </w:r>
      <w:r>
        <w:rPr>
          <w:spacing w:val="-17"/>
        </w:rPr>
        <w:t> </w:t>
      </w:r>
      <w:r>
        <w:rPr/>
        <w:t>las</w:t>
      </w:r>
      <w:r>
        <w:rPr>
          <w:spacing w:val="-15"/>
        </w:rPr>
        <w:t> </w:t>
      </w:r>
      <w:r>
        <w:rPr/>
        <w:t>zonas</w:t>
      </w:r>
      <w:r>
        <w:rPr>
          <w:spacing w:val="-15"/>
        </w:rPr>
        <w:t> </w:t>
      </w:r>
      <w:r>
        <w:rPr/>
        <w:t>urbano</w:t>
      </w:r>
      <w:r>
        <w:rPr>
          <w:spacing w:val="-17"/>
        </w:rPr>
        <w:t> </w:t>
      </w:r>
      <w:r>
        <w:rPr/>
        <w:t>marginales,</w:t>
      </w:r>
      <w:r>
        <w:rPr>
          <w:spacing w:val="-14"/>
        </w:rPr>
        <w:t> </w:t>
      </w:r>
      <w:r>
        <w:rPr/>
        <w:t>mejoramiento</w:t>
      </w:r>
      <w:r>
        <w:rPr>
          <w:spacing w:val="-17"/>
        </w:rPr>
        <w:t> </w:t>
      </w:r>
      <w:r>
        <w:rPr/>
        <w:t>del espacio habitacional y de la infraestructura comunal con espacios públicos arborizados, adecuado manejo y tratamiento de desechos y otros de manera que se supere la visión de simple control y vigilancia de la pobreza con una visión de desarrollo sostenible y solidario. Una acción concertada interinstitucionalmente con la participación del SINAC permitiría</w:t>
      </w:r>
      <w:r>
        <w:rPr>
          <w:spacing w:val="-9"/>
        </w:rPr>
        <w:t> </w:t>
      </w:r>
      <w:r>
        <w:rPr/>
        <w:t>superar</w:t>
      </w:r>
      <w:r>
        <w:rPr>
          <w:spacing w:val="-3"/>
        </w:rPr>
        <w:t> </w:t>
      </w:r>
      <w:r>
        <w:rPr/>
        <w:t>la</w:t>
      </w:r>
      <w:r>
        <w:rPr>
          <w:spacing w:val="-9"/>
        </w:rPr>
        <w:t> </w:t>
      </w:r>
      <w:r>
        <w:rPr/>
        <w:t>percepción</w:t>
      </w:r>
      <w:r>
        <w:rPr>
          <w:spacing w:val="-8"/>
        </w:rPr>
        <w:t> </w:t>
      </w:r>
      <w:r>
        <w:rPr/>
        <w:t>de</w:t>
      </w:r>
      <w:r>
        <w:rPr>
          <w:spacing w:val="-5"/>
        </w:rPr>
        <w:t> </w:t>
      </w:r>
      <w:r>
        <w:rPr/>
        <w:t>ausencia</w:t>
      </w:r>
      <w:r>
        <w:rPr>
          <w:spacing w:val="-5"/>
        </w:rPr>
        <w:t> </w:t>
      </w:r>
      <w:r>
        <w:rPr/>
        <w:t>del</w:t>
      </w:r>
      <w:r>
        <w:rPr>
          <w:spacing w:val="-4"/>
        </w:rPr>
        <w:t> </w:t>
      </w:r>
      <w:r>
        <w:rPr/>
        <w:t>MINAE.</w:t>
      </w:r>
      <w:r>
        <w:rPr>
          <w:spacing w:val="-6"/>
        </w:rPr>
        <w:t> </w:t>
      </w:r>
      <w:r>
        <w:rPr/>
        <w:t>Asimismo,</w:t>
      </w:r>
      <w:r>
        <w:rPr>
          <w:spacing w:val="-6"/>
        </w:rPr>
        <w:t> </w:t>
      </w:r>
      <w:r>
        <w:rPr/>
        <w:t>daría</w:t>
      </w:r>
      <w:r>
        <w:rPr>
          <w:spacing w:val="-5"/>
        </w:rPr>
        <w:t> </w:t>
      </w:r>
      <w:r>
        <w:rPr/>
        <w:t>la</w:t>
      </w:r>
      <w:r>
        <w:rPr>
          <w:spacing w:val="-5"/>
        </w:rPr>
        <w:t> </w:t>
      </w:r>
      <w:r>
        <w:rPr/>
        <w:t>oportunidad de combatir la morbilidad causada por las condiciones psicosociales, ambientales y socioeconómicas.</w:t>
      </w:r>
    </w:p>
    <w:p>
      <w:pPr>
        <w:pStyle w:val="BodyText"/>
        <w:spacing w:line="360" w:lineRule="auto" w:before="201"/>
        <w:ind w:left="1040" w:right="1042"/>
        <w:jc w:val="both"/>
      </w:pPr>
      <w:r>
        <w:rPr/>
        <w:t>Este proceso participativo, científicamente fundamentado debe realizarse, sin embargo, sin la mentalidad de que la conflictividad deba ser considerada necesariamente como algo negativo. El conflicto puede ser generador de fuerzas creativas que permitan llegar a soluciones más profundas que afecten realmente las condiciones estructurales que generan la inequidad socio-ambiental.</w:t>
      </w:r>
    </w:p>
    <w:p>
      <w:pPr>
        <w:pStyle w:val="Heading2"/>
        <w:numPr>
          <w:ilvl w:val="0"/>
          <w:numId w:val="2"/>
        </w:numPr>
        <w:tabs>
          <w:tab w:pos="1761" w:val="left" w:leader="none"/>
        </w:tabs>
        <w:spacing w:line="240" w:lineRule="auto" w:before="199" w:after="0"/>
        <w:ind w:left="1760" w:right="0" w:hanging="721"/>
        <w:jc w:val="both"/>
      </w:pPr>
      <w:bookmarkStart w:name="_bookmark63" w:id="86"/>
      <w:bookmarkEnd w:id="86"/>
      <w:r>
        <w:rPr/>
        <w:t>B</w:t>
      </w:r>
      <w:r>
        <w:rPr/>
        <w:t>ibliografía</w:t>
      </w:r>
    </w:p>
    <w:p>
      <w:pPr>
        <w:pStyle w:val="BodyText"/>
        <w:spacing w:before="9"/>
        <w:rPr>
          <w:b/>
          <w:sz w:val="35"/>
        </w:rPr>
      </w:pPr>
    </w:p>
    <w:p>
      <w:pPr>
        <w:spacing w:line="362" w:lineRule="auto" w:before="0"/>
        <w:ind w:left="1760" w:right="1047" w:hanging="720"/>
        <w:jc w:val="left"/>
        <w:rPr>
          <w:sz w:val="24"/>
        </w:rPr>
      </w:pPr>
      <w:r>
        <w:rPr>
          <w:sz w:val="24"/>
        </w:rPr>
        <w:t>Abramovitz, J. (1991). </w:t>
      </w:r>
      <w:r>
        <w:rPr>
          <w:i/>
          <w:sz w:val="24"/>
        </w:rPr>
        <w:t>Investing in Biological Diversity. US Research and Conservation </w:t>
      </w:r>
      <w:r>
        <w:rPr>
          <w:i/>
          <w:sz w:val="24"/>
        </w:rPr>
        <w:t>Efforts in Developing Countries. </w:t>
      </w:r>
      <w:r>
        <w:rPr>
          <w:sz w:val="24"/>
        </w:rPr>
        <w:t>Washington DC: World Resources Institute.</w:t>
      </w:r>
    </w:p>
    <w:p>
      <w:pPr>
        <w:pStyle w:val="BodyText"/>
        <w:spacing w:before="199"/>
        <w:ind w:left="1040"/>
      </w:pPr>
      <w:r>
        <w:rPr/>
        <w:t>Acción Ecológica. (1997). Deuda Externa-Deuda Ecológica, ¿Quién Debe a Quién?</w:t>
      </w:r>
    </w:p>
    <w:p>
      <w:pPr>
        <w:spacing w:before="136"/>
        <w:ind w:left="1760" w:right="0" w:firstLine="0"/>
        <w:jc w:val="left"/>
        <w:rPr>
          <w:sz w:val="24"/>
        </w:rPr>
      </w:pPr>
      <w:r>
        <w:rPr>
          <w:i/>
          <w:sz w:val="24"/>
        </w:rPr>
        <w:t>Ecología Política, 14</w:t>
      </w:r>
      <w:r>
        <w:rPr>
          <w:sz w:val="24"/>
        </w:rPr>
        <w:t>, 155-156.</w:t>
      </w:r>
    </w:p>
    <w:p>
      <w:pPr>
        <w:pStyle w:val="BodyText"/>
        <w:spacing w:before="3"/>
        <w:rPr>
          <w:sz w:val="29"/>
        </w:rPr>
      </w:pPr>
    </w:p>
    <w:p>
      <w:pPr>
        <w:spacing w:line="362" w:lineRule="auto" w:before="0"/>
        <w:ind w:left="1760" w:right="1134" w:hanging="720"/>
        <w:jc w:val="left"/>
        <w:rPr>
          <w:sz w:val="24"/>
        </w:rPr>
      </w:pPr>
      <w:r>
        <w:rPr>
          <w:sz w:val="24"/>
        </w:rPr>
        <w:t>Acosta, A. (1997). La Deuda Externa Acrecienta la Deuda Ecológica. </w:t>
      </w:r>
      <w:r>
        <w:rPr>
          <w:i/>
          <w:sz w:val="24"/>
        </w:rPr>
        <w:t>Ecología Política, </w:t>
      </w:r>
      <w:r>
        <w:rPr>
          <w:i/>
          <w:sz w:val="24"/>
        </w:rPr>
        <w:t>14</w:t>
      </w:r>
      <w:r>
        <w:rPr>
          <w:sz w:val="24"/>
        </w:rPr>
        <w:t>, 135-138.</w:t>
      </w:r>
    </w:p>
    <w:p>
      <w:pPr>
        <w:spacing w:line="362" w:lineRule="auto" w:before="194"/>
        <w:ind w:left="1760" w:right="1281" w:hanging="720"/>
        <w:jc w:val="left"/>
        <w:rPr>
          <w:sz w:val="24"/>
        </w:rPr>
      </w:pPr>
      <w:r>
        <w:rPr>
          <w:sz w:val="24"/>
        </w:rPr>
        <w:t>Acosta, A. (2010). </w:t>
      </w:r>
      <w:r>
        <w:rPr>
          <w:i/>
          <w:sz w:val="24"/>
        </w:rPr>
        <w:t>El Buen Vivir en el camino del post-desarrollo Una lectura desde la </w:t>
      </w:r>
      <w:r>
        <w:rPr>
          <w:i/>
          <w:sz w:val="24"/>
        </w:rPr>
        <w:t>Constitución de Montecristi. </w:t>
      </w:r>
      <w:r>
        <w:rPr>
          <w:sz w:val="24"/>
        </w:rPr>
        <w:t>Quito, Ecuador: Fundación Friedrich Ebert.</w:t>
      </w:r>
    </w:p>
    <w:p>
      <w:pPr>
        <w:spacing w:after="0" w:line="362" w:lineRule="auto"/>
        <w:jc w:val="left"/>
        <w:rPr>
          <w:sz w:val="24"/>
        </w:rPr>
        <w:sectPr>
          <w:pgSz w:w="12240" w:h="15840"/>
          <w:pgMar w:header="0" w:footer="982" w:top="1360" w:bottom="1260" w:left="400" w:right="400"/>
        </w:sectPr>
      </w:pPr>
    </w:p>
    <w:p>
      <w:pPr>
        <w:pStyle w:val="BodyText"/>
        <w:spacing w:line="360" w:lineRule="auto" w:before="79"/>
        <w:ind w:left="1760" w:right="1134" w:hanging="720"/>
      </w:pPr>
      <w:r>
        <w:rPr/>
        <w:t>Aguilar González, B. (2007). Reflexiones y estudios de caso utilizando una Teoría Mutidimensional del Valor: recomendaciones para Centroamérica. En UICN, </w:t>
      </w:r>
      <w:r>
        <w:rPr>
          <w:i/>
        </w:rPr>
        <w:t>Valoración Económica Ecológica y Ambiental </w:t>
      </w:r>
      <w:r>
        <w:rPr/>
        <w:t>(págs. 35-77). Heredia: Universidad Nacional de Costa Rica.</w:t>
      </w:r>
    </w:p>
    <w:p>
      <w:pPr>
        <w:spacing w:line="357" w:lineRule="auto" w:before="201"/>
        <w:ind w:left="1760" w:right="1495" w:hanging="720"/>
        <w:jc w:val="left"/>
        <w:rPr>
          <w:sz w:val="24"/>
        </w:rPr>
      </w:pPr>
      <w:r>
        <w:rPr>
          <w:sz w:val="24"/>
        </w:rPr>
        <w:t>Aguilar González, B. (2009). El Índice Integral de Salud de Ecosistemas (IISE): un indicador multicriterio de sustentabilidad netamente latinoamericano. </w:t>
      </w:r>
      <w:r>
        <w:rPr>
          <w:i/>
          <w:sz w:val="24"/>
        </w:rPr>
        <w:t>Revista </w:t>
      </w:r>
      <w:r>
        <w:rPr>
          <w:i/>
          <w:sz w:val="24"/>
        </w:rPr>
        <w:t>Iberoamericana de Economía Ecológica, 13</w:t>
      </w:r>
      <w:r>
        <w:rPr>
          <w:sz w:val="24"/>
        </w:rPr>
        <w:t>, 57-77.</w:t>
      </w:r>
    </w:p>
    <w:p>
      <w:pPr>
        <w:spacing w:line="360" w:lineRule="auto" w:before="206"/>
        <w:ind w:left="1760" w:right="1047" w:hanging="720"/>
        <w:jc w:val="left"/>
        <w:rPr>
          <w:sz w:val="24"/>
        </w:rPr>
      </w:pPr>
      <w:r>
        <w:rPr>
          <w:sz w:val="24"/>
        </w:rPr>
        <w:t>Aguilar González, B. (2013). Deuda ecológica y justicia ambiental: aplicaciones en América Latina y especificidades de Costa Rica. In W. Pengue, H. Feinstein, W. Pengue, &amp; H. Feinstein (Eds.), </w:t>
      </w:r>
      <w:r>
        <w:rPr>
          <w:i/>
          <w:sz w:val="24"/>
        </w:rPr>
        <w:t>Nuevos enfoques de la Economía Ecológica. Una </w:t>
      </w:r>
      <w:r>
        <w:rPr>
          <w:i/>
          <w:sz w:val="24"/>
        </w:rPr>
        <w:t>perspectiva latinoamericana sobre el desarrollo </w:t>
      </w:r>
      <w:r>
        <w:rPr>
          <w:sz w:val="24"/>
        </w:rPr>
        <w:t>(pp. 254-294). Buenos Aires: Lugar Editorial.</w:t>
      </w:r>
    </w:p>
    <w:p>
      <w:pPr>
        <w:spacing w:line="360" w:lineRule="auto" w:before="203"/>
        <w:ind w:left="1760" w:right="1009" w:hanging="720"/>
        <w:jc w:val="left"/>
        <w:rPr>
          <w:sz w:val="24"/>
        </w:rPr>
      </w:pPr>
      <w:r>
        <w:rPr>
          <w:sz w:val="24"/>
        </w:rPr>
        <w:t>Aguilar González, B. (2014). Decisiones deliberativas bajo un enfoque multicriterial para Latinoamérica. En M. Vallejo, &amp; M. Aguado (Edits.), </w:t>
      </w:r>
      <w:r>
        <w:rPr>
          <w:i/>
          <w:sz w:val="24"/>
        </w:rPr>
        <w:t>Reflexiones sobre los límites </w:t>
      </w:r>
      <w:r>
        <w:rPr>
          <w:i/>
          <w:sz w:val="24"/>
        </w:rPr>
        <w:t>al desarrollo. Memorias del VI Congreso Iberoamericano sobre Desarrollo y Ambiente VI CISDA </w:t>
      </w:r>
      <w:r>
        <w:rPr>
          <w:sz w:val="24"/>
        </w:rPr>
        <w:t>(págs. 83-130). Quito, Ecuador: FLACSO, Sede Ecuador; Secretaría Nacional de Planificación y Desarrollo.</w:t>
      </w:r>
    </w:p>
    <w:p>
      <w:pPr>
        <w:pStyle w:val="BodyText"/>
        <w:spacing w:line="357" w:lineRule="auto" w:before="199"/>
        <w:ind w:left="1760" w:right="1047" w:hanging="720"/>
      </w:pPr>
      <w:r>
        <w:rPr/>
        <w:t>Aguilar González, B. (2015). Deuda Ecológica e Injusticia Ambiental en Áreas Protegidas Semiurbanas: Estudio de Caso en la Zona Protectora La Carpintera en Costa Rica.70-86. </w:t>
      </w:r>
      <w:r>
        <w:rPr>
          <w:i/>
        </w:rPr>
        <w:t>Revista de Investigaciones Económicas:, 10</w:t>
      </w:r>
      <w:r>
        <w:rPr/>
        <w:t>(2), 70-86.</w:t>
      </w:r>
    </w:p>
    <w:p>
      <w:pPr>
        <w:spacing w:line="360" w:lineRule="auto" w:before="210"/>
        <w:ind w:left="1760" w:right="1047" w:hanging="720"/>
        <w:jc w:val="left"/>
        <w:rPr>
          <w:sz w:val="24"/>
        </w:rPr>
      </w:pPr>
      <w:r>
        <w:rPr>
          <w:sz w:val="24"/>
        </w:rPr>
        <w:t>Aguilar González, B. (2017). Economía ecológica y ecología política: ciencia socioambiental crítica y participativa ante las políticas públicas en la América Latina de hoy. En W. Pengue (Ed.), </w:t>
      </w:r>
      <w:r>
        <w:rPr>
          <w:i/>
          <w:sz w:val="24"/>
        </w:rPr>
        <w:t>El pensamiento ambiental del sur : </w:t>
      </w:r>
      <w:r>
        <w:rPr>
          <w:i/>
          <w:sz w:val="24"/>
        </w:rPr>
        <w:t>complejidad, recursos y ecología política latinoamericana </w:t>
      </w:r>
      <w:r>
        <w:rPr>
          <w:sz w:val="24"/>
        </w:rPr>
        <w:t>(págs. 295-318). Los Polvorines, Buenos Aires, Argentina: Universidad Nacional General Sarmiento.</w:t>
      </w:r>
    </w:p>
    <w:p>
      <w:pPr>
        <w:spacing w:line="362" w:lineRule="auto" w:before="195"/>
        <w:ind w:left="1760" w:right="1197" w:hanging="720"/>
        <w:jc w:val="both"/>
        <w:rPr>
          <w:sz w:val="24"/>
        </w:rPr>
      </w:pPr>
      <w:r>
        <w:rPr>
          <w:sz w:val="24"/>
        </w:rPr>
        <w:t>Aguilar González, B., &amp; Segura Bonilla, O. (2016). </w:t>
      </w:r>
      <w:r>
        <w:rPr>
          <w:i/>
          <w:sz w:val="24"/>
        </w:rPr>
        <w:t>Estado del Arte en Metodologías</w:t>
      </w:r>
      <w:r>
        <w:rPr>
          <w:i/>
          <w:spacing w:val="-40"/>
          <w:sz w:val="24"/>
        </w:rPr>
        <w:t> </w:t>
      </w:r>
      <w:r>
        <w:rPr>
          <w:i/>
          <w:sz w:val="24"/>
        </w:rPr>
        <w:t>de </w:t>
      </w:r>
      <w:r>
        <w:rPr>
          <w:i/>
          <w:sz w:val="24"/>
        </w:rPr>
        <w:t>Valoración de los Servicios Ecosistémicos y el Daño Ambiental. </w:t>
      </w:r>
      <w:r>
        <w:rPr>
          <w:sz w:val="24"/>
        </w:rPr>
        <w:t>Heredia, Costa Rica: CINPE,</w:t>
      </w:r>
      <w:r>
        <w:rPr>
          <w:spacing w:val="1"/>
          <w:sz w:val="24"/>
        </w:rPr>
        <w:t> </w:t>
      </w:r>
      <w:r>
        <w:rPr>
          <w:sz w:val="24"/>
        </w:rPr>
        <w:t>UNA.</w:t>
      </w:r>
    </w:p>
    <w:p>
      <w:pPr>
        <w:spacing w:after="0" w:line="362" w:lineRule="auto"/>
        <w:jc w:val="both"/>
        <w:rPr>
          <w:sz w:val="24"/>
        </w:rPr>
        <w:sectPr>
          <w:pgSz w:w="12240" w:h="15840"/>
          <w:pgMar w:header="0" w:footer="982" w:top="1360" w:bottom="1260" w:left="400" w:right="400"/>
        </w:sectPr>
      </w:pPr>
    </w:p>
    <w:p>
      <w:pPr>
        <w:pStyle w:val="BodyText"/>
        <w:spacing w:before="79"/>
        <w:ind w:left="1040"/>
      </w:pPr>
      <w:r>
        <w:rPr/>
        <w:t>Aguilar González, B., Kocian, M., Batker, D., Hidalgo, M., León, E., Córdoba, K., . . .</w:t>
      </w:r>
    </w:p>
    <w:p>
      <w:pPr>
        <w:spacing w:line="360" w:lineRule="auto" w:before="132"/>
        <w:ind w:left="1760" w:right="1081" w:firstLine="0"/>
        <w:jc w:val="left"/>
        <w:rPr>
          <w:sz w:val="24"/>
        </w:rPr>
      </w:pPr>
      <w:r>
        <w:rPr>
          <w:sz w:val="24"/>
        </w:rPr>
        <w:t>Oduber Rivera, J. (2012). </w:t>
      </w:r>
      <w:r>
        <w:rPr>
          <w:i/>
          <w:sz w:val="24"/>
        </w:rPr>
        <w:t>Valoración Económico-Ecológica Rápida de los Daños </w:t>
      </w:r>
      <w:r>
        <w:rPr>
          <w:i/>
          <w:sz w:val="24"/>
        </w:rPr>
        <w:t>Ambientales Relacionados a los Cambios en la Cobertura del Suelo en la Fincas Propiedad de Industrias Infinito luego de la Resolución 244-2008-SCH del Área de Conservación Huetar Norte. </w:t>
      </w:r>
      <w:r>
        <w:rPr>
          <w:sz w:val="24"/>
        </w:rPr>
        <w:t>San José, Costa Rica: Fundación Neotrópica.</w:t>
      </w:r>
    </w:p>
    <w:p>
      <w:pPr>
        <w:spacing w:line="362" w:lineRule="auto" w:before="201"/>
        <w:ind w:left="1760" w:right="1189" w:hanging="720"/>
        <w:jc w:val="left"/>
        <w:rPr>
          <w:sz w:val="24"/>
        </w:rPr>
      </w:pPr>
      <w:r>
        <w:rPr>
          <w:sz w:val="24"/>
        </w:rPr>
        <w:t>Aguilar González, B., Martínez-Alier, J., Ortega, E., &amp; Pengue, W. (2010). </w:t>
      </w:r>
      <w:r>
        <w:rPr>
          <w:i/>
          <w:sz w:val="24"/>
        </w:rPr>
        <w:t>Claves de la </w:t>
      </w:r>
      <w:r>
        <w:rPr>
          <w:i/>
          <w:sz w:val="24"/>
        </w:rPr>
        <w:t>Economía de Occidente. Una mirada ecologista. Entrevistas de Carlos Rivas </w:t>
      </w:r>
      <w:r>
        <w:rPr>
          <w:sz w:val="24"/>
        </w:rPr>
        <w:t>(1era ed.). Buenos Aires, Argentina: Ediciones Kaicron.</w:t>
      </w:r>
    </w:p>
    <w:p>
      <w:pPr>
        <w:pStyle w:val="BodyText"/>
        <w:spacing w:line="355" w:lineRule="auto" w:before="198"/>
        <w:ind w:left="1760" w:right="1047" w:hanging="720"/>
      </w:pPr>
      <w:r>
        <w:rPr/>
        <w:t>Aguilar, B. (1999). Applications of Ecosystem Health for the Sustainability of Managed Ecosystems in Costa Rica. </w:t>
      </w:r>
      <w:r>
        <w:rPr>
          <w:i/>
        </w:rPr>
        <w:t>Ecosystem Health, 5</w:t>
      </w:r>
      <w:r>
        <w:rPr/>
        <w:t>(1), 36-48.</w:t>
      </w:r>
    </w:p>
    <w:p>
      <w:pPr>
        <w:spacing w:line="357" w:lineRule="auto" w:before="207"/>
        <w:ind w:left="1760" w:right="1047" w:hanging="720"/>
        <w:jc w:val="left"/>
        <w:rPr>
          <w:sz w:val="24"/>
        </w:rPr>
      </w:pPr>
      <w:r>
        <w:rPr>
          <w:sz w:val="24"/>
        </w:rPr>
        <w:t>Aguilar, B. (2002). </w:t>
      </w:r>
      <w:r>
        <w:rPr>
          <w:i/>
          <w:sz w:val="24"/>
        </w:rPr>
        <w:t>Paradigmas Económicos y Desarrollo Sostenible: La Economía al </w:t>
      </w:r>
      <w:r>
        <w:rPr>
          <w:i/>
          <w:sz w:val="24"/>
        </w:rPr>
        <w:t>Servicio de la Conservación </w:t>
      </w:r>
      <w:r>
        <w:rPr>
          <w:sz w:val="24"/>
        </w:rPr>
        <w:t>(1era. ed.). San José, Costa Rica: UNED.</w:t>
      </w:r>
    </w:p>
    <w:p>
      <w:pPr>
        <w:pStyle w:val="BodyText"/>
        <w:spacing w:line="357" w:lineRule="auto" w:before="210"/>
        <w:ind w:left="1760" w:right="1134" w:hanging="720"/>
      </w:pPr>
      <w:r>
        <w:rPr/>
        <w:t>Aguilar, B. (2007). Reflexiones y estudios de caso utilizando una Teoría Multidimensional del Valor: recomendaciones para Centroamérica. En R. Ulate, &amp; J. Cisneros, </w:t>
      </w:r>
      <w:r>
        <w:rPr>
          <w:i/>
        </w:rPr>
        <w:t>Valoración económica, ecológica y ambiental </w:t>
      </w:r>
      <w:r>
        <w:rPr/>
        <w:t>(págs. 37-77).</w:t>
      </w:r>
    </w:p>
    <w:p>
      <w:pPr>
        <w:pStyle w:val="BodyText"/>
        <w:spacing w:before="7"/>
        <w:ind w:left="1760"/>
      </w:pPr>
      <w:r>
        <w:rPr/>
        <w:t>Heredia, Costa Rica: Editorial Universidad Nacional.</w:t>
      </w:r>
    </w:p>
    <w:p>
      <w:pPr>
        <w:pStyle w:val="BodyText"/>
        <w:spacing w:before="6"/>
        <w:rPr>
          <w:sz w:val="29"/>
        </w:rPr>
      </w:pPr>
    </w:p>
    <w:p>
      <w:pPr>
        <w:pStyle w:val="BodyText"/>
        <w:spacing w:line="357" w:lineRule="auto"/>
        <w:ind w:left="1760" w:right="1047" w:hanging="720"/>
      </w:pPr>
      <w:r>
        <w:rPr/>
        <w:t>Aguilar, B. (2008). Oportunidades para la Economía Ecológica y Ecología Política en Costa Rica: La Zona Protectora Cerros de la Carpintera y Otros Parques de Papel en el Valle Central. </w:t>
      </w:r>
      <w:r>
        <w:rPr>
          <w:i/>
        </w:rPr>
        <w:t>Revista Economía y Sociedad, 33 y 34</w:t>
      </w:r>
      <w:r>
        <w:rPr/>
        <w:t>, 25-52.</w:t>
      </w:r>
    </w:p>
    <w:p>
      <w:pPr>
        <w:spacing w:line="360" w:lineRule="auto" w:before="207"/>
        <w:ind w:left="1760" w:right="1180" w:hanging="720"/>
        <w:jc w:val="left"/>
        <w:rPr>
          <w:sz w:val="24"/>
        </w:rPr>
      </w:pPr>
      <w:r>
        <w:rPr>
          <w:sz w:val="24"/>
        </w:rPr>
        <w:t>Aguilar, B., &amp; Klocker, J. (2000). The Costa Rican Coffee Industry. En C. Hall (Ed.), </w:t>
      </w:r>
      <w:r>
        <w:rPr>
          <w:i/>
          <w:sz w:val="24"/>
        </w:rPr>
        <w:t>Quantifying Sustainable Development. The Future of Tropical Economies </w:t>
      </w:r>
      <w:r>
        <w:rPr>
          <w:sz w:val="24"/>
        </w:rPr>
        <w:t>(págs. 595-628). San Diego, California, London, UK: Academic Press.</w:t>
      </w:r>
    </w:p>
    <w:p>
      <w:pPr>
        <w:pStyle w:val="BodyText"/>
        <w:spacing w:line="357" w:lineRule="auto" w:before="203"/>
        <w:ind w:left="1760" w:right="1047" w:hanging="720"/>
      </w:pPr>
      <w:r>
        <w:rPr/>
        <w:t>Aguilar, B., &amp; Semanchin, T. (1998). The Implications of Ecological Economic Theories of Value to Cost-Benefit Analysis: Importance of Alternative Valuation for Developing Nations with Special Emphasis on Central America. </w:t>
      </w:r>
      <w:r>
        <w:rPr>
          <w:i/>
        </w:rPr>
        <w:t>Indian Journal of </w:t>
      </w:r>
      <w:r>
        <w:rPr>
          <w:i/>
        </w:rPr>
        <w:t>Applied Economics, 7</w:t>
      </w:r>
      <w:r>
        <w:rPr/>
        <w:t>(3), 367-420.</w:t>
      </w:r>
    </w:p>
    <w:p>
      <w:pPr>
        <w:spacing w:after="0" w:line="357" w:lineRule="auto"/>
        <w:sectPr>
          <w:pgSz w:w="12240" w:h="15840"/>
          <w:pgMar w:header="0" w:footer="982" w:top="1360" w:bottom="1260" w:left="400" w:right="400"/>
        </w:sectPr>
      </w:pPr>
    </w:p>
    <w:p>
      <w:pPr>
        <w:pStyle w:val="BodyText"/>
        <w:spacing w:before="79"/>
        <w:ind w:left="1040"/>
      </w:pPr>
      <w:r>
        <w:rPr/>
        <w:t>Aguilar, B., Erbure, L., González, A., Jarquín, M., Lucke, I., Hidalgo, A., . . . Houndjinou,</w:t>
      </w:r>
    </w:p>
    <w:p>
      <w:pPr>
        <w:spacing w:line="362" w:lineRule="auto" w:before="132"/>
        <w:ind w:left="1760" w:right="1047" w:firstLine="0"/>
        <w:jc w:val="left"/>
        <w:rPr>
          <w:sz w:val="24"/>
        </w:rPr>
      </w:pPr>
      <w:r>
        <w:rPr>
          <w:sz w:val="24"/>
        </w:rPr>
        <w:t>E. (2013). </w:t>
      </w:r>
      <w:r>
        <w:rPr>
          <w:i/>
          <w:sz w:val="24"/>
        </w:rPr>
        <w:t>Conciliando Productivamente: Identificación de Actividades Viables de </w:t>
      </w:r>
      <w:r>
        <w:rPr>
          <w:i/>
          <w:sz w:val="24"/>
        </w:rPr>
        <w:t>Producción Sostenible para Pobladores/as de la Reserva Forestal Golfo Dulce. </w:t>
      </w:r>
      <w:r>
        <w:rPr>
          <w:sz w:val="24"/>
        </w:rPr>
        <w:t>San José, Costa Rica: INOGO, Woods Institute for the Environment, Stanford University.</w:t>
      </w:r>
    </w:p>
    <w:p>
      <w:pPr>
        <w:pStyle w:val="BodyText"/>
        <w:spacing w:before="194"/>
        <w:ind w:left="1040"/>
      </w:pPr>
      <w:r>
        <w:rPr/>
        <w:t>Aguilar, B., Moulaert, A., Fernández, A., González, A., Kocian, M., Batker, D., . . .</w:t>
      </w:r>
    </w:p>
    <w:p>
      <w:pPr>
        <w:spacing w:line="360" w:lineRule="auto" w:before="136"/>
        <w:ind w:left="1760" w:right="1047" w:firstLine="0"/>
        <w:jc w:val="left"/>
        <w:rPr>
          <w:sz w:val="24"/>
        </w:rPr>
      </w:pPr>
      <w:r>
        <w:rPr>
          <w:sz w:val="24"/>
        </w:rPr>
        <w:t>Erbure, L. (2013b). </w:t>
      </w:r>
      <w:r>
        <w:rPr>
          <w:i/>
          <w:sz w:val="24"/>
        </w:rPr>
        <w:t>Valoración Económica de Bienes y Servicios Ecosistémicos, </w:t>
      </w:r>
      <w:r>
        <w:rPr>
          <w:i/>
          <w:sz w:val="24"/>
        </w:rPr>
        <w:t>Costos de la Degradación de la Tierra y Desarrollo de Escenarios y Alternativas de Uso de la Tierra y Gestión del Territorio: Estudio de Caso de Cerro Punta, Panamá. </w:t>
      </w:r>
      <w:r>
        <w:rPr>
          <w:sz w:val="24"/>
        </w:rPr>
        <w:t>San José, Costa Rica: Fundación Neotrópica-Earth Economics.</w:t>
      </w:r>
    </w:p>
    <w:p>
      <w:pPr>
        <w:spacing w:line="360" w:lineRule="auto" w:before="200"/>
        <w:ind w:left="1760" w:right="1175" w:hanging="720"/>
        <w:jc w:val="left"/>
        <w:rPr>
          <w:sz w:val="24"/>
        </w:rPr>
      </w:pPr>
      <w:r>
        <w:rPr>
          <w:sz w:val="24"/>
        </w:rPr>
        <w:t>Aguilar-González, B. (November 18, 2016). </w:t>
      </w:r>
      <w:r>
        <w:rPr>
          <w:i/>
          <w:sz w:val="24"/>
        </w:rPr>
        <w:t>Explanatory addenda to the Report </w:t>
      </w:r>
      <w:r>
        <w:rPr>
          <w:i/>
          <w:sz w:val="24"/>
        </w:rPr>
        <w:t>“Monetary valuation of the environmental damages arising from the construction of artificial caños and clearing of trees and vegetation in Isla Portillos, Humedal Caribe Noreste, Costa Rica, in conformity... </w:t>
      </w:r>
      <w:r>
        <w:rPr>
          <w:sz w:val="24"/>
        </w:rPr>
        <w:t>San José, Costa Rica: Fundación Neotrópica.</w:t>
      </w:r>
    </w:p>
    <w:p>
      <w:pPr>
        <w:pStyle w:val="BodyText"/>
        <w:spacing w:line="362" w:lineRule="auto" w:before="203"/>
        <w:ind w:left="1760" w:right="1089" w:hanging="720"/>
      </w:pPr>
      <w:r>
        <w:rPr/>
        <w:t>Aguilar-González, B., &amp; Moulaert, A. (2013). ECOTICOS. Multi-dimensional valuation for environmental conflict analysis in Costa Rica. En H. Healey, J. Martínez-Alier,</w:t>
      </w:r>
    </w:p>
    <w:p>
      <w:pPr>
        <w:spacing w:line="360" w:lineRule="auto" w:before="0"/>
        <w:ind w:left="1760" w:right="1265" w:firstLine="0"/>
        <w:jc w:val="left"/>
        <w:rPr>
          <w:sz w:val="24"/>
        </w:rPr>
      </w:pPr>
      <w:r>
        <w:rPr>
          <w:sz w:val="24"/>
        </w:rPr>
        <w:t>L. Temper, M. Walter, J.-F. Gerber, H. Healey, J. Martínez-Alier, L. Temper, M. Walter, &amp; J. Gerber (Edits.), </w:t>
      </w:r>
      <w:r>
        <w:rPr>
          <w:i/>
          <w:sz w:val="24"/>
        </w:rPr>
        <w:t>Ecological Economics from the Ground Up </w:t>
      </w:r>
      <w:r>
        <w:rPr>
          <w:sz w:val="24"/>
        </w:rPr>
        <w:t>(págs. 465-487). Londres: Earthscan.</w:t>
      </w:r>
    </w:p>
    <w:p>
      <w:pPr>
        <w:spacing w:line="360" w:lineRule="auto" w:before="197"/>
        <w:ind w:left="1760" w:right="1134" w:hanging="720"/>
        <w:jc w:val="left"/>
        <w:rPr>
          <w:sz w:val="24"/>
        </w:rPr>
      </w:pPr>
      <w:r>
        <w:rPr>
          <w:sz w:val="24"/>
        </w:rPr>
        <w:t>Aguilar-González, B., Carranza-Vargas, M., Hidalgo-Chaverri, M., &amp; Fernández- Sánchez, A. (2016). </w:t>
      </w:r>
      <w:r>
        <w:rPr>
          <w:i/>
          <w:sz w:val="24"/>
        </w:rPr>
        <w:t>Monetary valuation of the environmental damage arising </w:t>
      </w:r>
      <w:r>
        <w:rPr>
          <w:i/>
          <w:sz w:val="24"/>
        </w:rPr>
        <w:t>from the construction of artificial caños and clearing of trees and vegetation performed by the Government of Nicaragua in Isla Portillos, Humedal Caribe Noreste, Costa Rica. </w:t>
      </w:r>
      <w:r>
        <w:rPr>
          <w:sz w:val="24"/>
        </w:rPr>
        <w:t>San José, Costa Rica: Fundación Neotrópica.</w:t>
      </w:r>
    </w:p>
    <w:p>
      <w:pPr>
        <w:spacing w:line="357" w:lineRule="auto" w:before="199"/>
        <w:ind w:left="1760" w:right="1144" w:hanging="720"/>
        <w:jc w:val="both"/>
        <w:rPr>
          <w:i/>
          <w:sz w:val="24"/>
        </w:rPr>
      </w:pPr>
      <w:r>
        <w:rPr>
          <w:sz w:val="24"/>
        </w:rPr>
        <w:t>Aguilar-González, B., Carranza-Vargas, M., Hidalgo-Chaverri, M.,</w:t>
      </w:r>
      <w:r>
        <w:rPr>
          <w:spacing w:val="-39"/>
          <w:sz w:val="24"/>
        </w:rPr>
        <w:t> </w:t>
      </w:r>
      <w:r>
        <w:rPr>
          <w:sz w:val="24"/>
        </w:rPr>
        <w:t>Fernández-Sánchez, A., Monge-Vargas, R., &amp; Castro-Jiménez, M. (2017). </w:t>
      </w:r>
      <w:r>
        <w:rPr>
          <w:i/>
          <w:sz w:val="24"/>
        </w:rPr>
        <w:t>REPORT BY FUNDACIÓN </w:t>
      </w:r>
      <w:r>
        <w:rPr>
          <w:i/>
          <w:sz w:val="24"/>
        </w:rPr>
        <w:t>NEOTRÓPICA ON THE QUESTION OF THE METHODOLOGY FOR</w:t>
      </w:r>
      <w:r>
        <w:rPr>
          <w:i/>
          <w:spacing w:val="-17"/>
          <w:sz w:val="24"/>
        </w:rPr>
        <w:t> </w:t>
      </w:r>
      <w:r>
        <w:rPr>
          <w:i/>
          <w:sz w:val="24"/>
        </w:rPr>
        <w:t>THE</w:t>
      </w:r>
    </w:p>
    <w:p>
      <w:pPr>
        <w:spacing w:after="0" w:line="357" w:lineRule="auto"/>
        <w:jc w:val="both"/>
        <w:rPr>
          <w:sz w:val="24"/>
        </w:rPr>
        <w:sectPr>
          <w:pgSz w:w="12240" w:h="15840"/>
          <w:pgMar w:header="0" w:footer="982" w:top="1360" w:bottom="1260" w:left="400" w:right="400"/>
        </w:sectPr>
      </w:pPr>
    </w:p>
    <w:p>
      <w:pPr>
        <w:spacing w:before="75"/>
        <w:ind w:left="1760" w:right="0" w:firstLine="0"/>
        <w:jc w:val="left"/>
        <w:rPr>
          <w:sz w:val="24"/>
        </w:rPr>
      </w:pPr>
      <w:r>
        <w:rPr>
          <w:i/>
          <w:sz w:val="24"/>
        </w:rPr>
        <w:t>ASSESSMENT OF ENVIRONMENTAL DAMAGE. </w:t>
      </w:r>
      <w:r>
        <w:rPr>
          <w:sz w:val="24"/>
        </w:rPr>
        <w:t>San José, Costa Rica:</w:t>
      </w:r>
    </w:p>
    <w:p>
      <w:pPr>
        <w:pStyle w:val="BodyText"/>
        <w:spacing w:before="140"/>
        <w:ind w:left="1760"/>
      </w:pPr>
      <w:r>
        <w:rPr/>
        <w:t>Fundación Neotrópica for the International Court of Justice at the Hague.</w:t>
      </w:r>
    </w:p>
    <w:p>
      <w:pPr>
        <w:pStyle w:val="BodyText"/>
        <w:spacing w:before="6"/>
        <w:rPr>
          <w:sz w:val="29"/>
        </w:rPr>
      </w:pPr>
    </w:p>
    <w:p>
      <w:pPr>
        <w:pStyle w:val="BodyText"/>
        <w:spacing w:line="360" w:lineRule="auto" w:before="1"/>
        <w:ind w:left="1760" w:right="1096" w:hanging="720"/>
      </w:pPr>
      <w:r>
        <w:rPr/>
        <w:t>Aguilar-González, B., Cerdán, P., Kocian, M., &amp; Aguilar-Umaña, A. (2017). Impactos de la Narco-deforestación sobre las Áreas Protegidas en Centroamérica: Una Aproximación desde la Economía Ecológica Crítica. En A. Azamar, D. Escobar, &amp; S. Peniche (Edits.), </w:t>
      </w:r>
      <w:r>
        <w:rPr>
          <w:i/>
        </w:rPr>
        <w:t>Perspectivas de la economía ecológica en el nuevo siglo </w:t>
      </w:r>
      <w:r>
        <w:rPr/>
        <w:t>(págs. 241-270). Zapopán, Jalisco, México: Universidad de Guadalajara, Universidad Autónoma Metropolitana, Universidad Autónoma de Chapingo, Fondo Editorial Universitario, Sociedad Mesoamericana y del Caribe de Economía Ecológica.</w:t>
      </w:r>
    </w:p>
    <w:p>
      <w:pPr>
        <w:pStyle w:val="BodyText"/>
        <w:spacing w:line="357" w:lineRule="auto" w:before="201"/>
        <w:ind w:left="1760" w:right="1312" w:hanging="720"/>
      </w:pPr>
      <w:r>
        <w:rPr/>
        <w:t>Aguilar-González, B., Navas, G., Brun, C., Aguilar-Umaña, A., &amp; Cerdán, P. (2018b). Socio-ecological distribution conflicts in the mining sector in Guatemala (2005– 2013): Deep rooted injustice and weak environmental governance. </w:t>
      </w:r>
      <w:r>
        <w:rPr>
          <w:i/>
        </w:rPr>
        <w:t>The </w:t>
      </w:r>
      <w:r>
        <w:rPr>
          <w:i/>
        </w:rPr>
        <w:t>Extractive Industries and Society</w:t>
      </w:r>
      <w:r>
        <w:rPr/>
        <w:t>, https://doi.org/10.1016/j.exis.2018.02.002.</w:t>
      </w:r>
    </w:p>
    <w:p>
      <w:pPr>
        <w:spacing w:line="362" w:lineRule="auto" w:before="208"/>
        <w:ind w:left="1760" w:right="1122" w:hanging="720"/>
        <w:jc w:val="left"/>
        <w:rPr>
          <w:sz w:val="24"/>
        </w:rPr>
      </w:pPr>
      <w:r>
        <w:rPr>
          <w:sz w:val="24"/>
        </w:rPr>
        <w:t>Aguilar-González, B., P., C., &amp; Granados, Y. (2018). </w:t>
      </w:r>
      <w:r>
        <w:rPr>
          <w:i/>
          <w:sz w:val="24"/>
        </w:rPr>
        <w:t>Justicia Ambiental en Costa Rica. </w:t>
      </w:r>
      <w:r>
        <w:rPr>
          <w:i/>
          <w:sz w:val="24"/>
        </w:rPr>
        <w:t>Democracia Política, Económica, Ecológica y Conflictos Socio-ambientales. </w:t>
      </w:r>
      <w:r>
        <w:rPr>
          <w:sz w:val="24"/>
        </w:rPr>
        <w:t>San José, Costa Rica: Fundación Frederich Ebert-Fundación Neotrópica.</w:t>
      </w:r>
    </w:p>
    <w:p>
      <w:pPr>
        <w:spacing w:line="362" w:lineRule="auto" w:before="190"/>
        <w:ind w:left="1760" w:right="1047" w:hanging="720"/>
        <w:jc w:val="left"/>
        <w:rPr>
          <w:i/>
          <w:sz w:val="24"/>
        </w:rPr>
      </w:pPr>
      <w:r>
        <w:rPr>
          <w:sz w:val="24"/>
        </w:rPr>
        <w:t>Albán, M., Martínez-Alier, J., &amp; Vallejo, C. (Edits.). (2009). </w:t>
      </w:r>
      <w:r>
        <w:rPr>
          <w:i/>
          <w:sz w:val="24"/>
        </w:rPr>
        <w:t>Aportes para una Estrategia </w:t>
      </w:r>
      <w:r>
        <w:rPr>
          <w:i/>
          <w:sz w:val="24"/>
        </w:rPr>
        <w:t>Ambiental Aternativa: Indicadores de Sustentabilidad y Políticas Ambientales.</w:t>
      </w:r>
    </w:p>
    <w:p>
      <w:pPr>
        <w:pStyle w:val="BodyText"/>
        <w:spacing w:line="275" w:lineRule="exact"/>
        <w:ind w:left="1760"/>
      </w:pPr>
      <w:r>
        <w:rPr/>
        <w:t>Quito, Ecuador: SENPLADES, FLACSO.</w:t>
      </w:r>
    </w:p>
    <w:p>
      <w:pPr>
        <w:pStyle w:val="BodyText"/>
        <w:spacing w:before="2"/>
        <w:rPr>
          <w:sz w:val="29"/>
        </w:rPr>
      </w:pPr>
    </w:p>
    <w:p>
      <w:pPr>
        <w:spacing w:line="357" w:lineRule="auto" w:before="0"/>
        <w:ind w:left="1760" w:right="1628" w:hanging="720"/>
        <w:jc w:val="left"/>
        <w:rPr>
          <w:sz w:val="24"/>
        </w:rPr>
      </w:pPr>
      <w:r>
        <w:rPr>
          <w:sz w:val="24"/>
        </w:rPr>
        <w:t>Alerta Verde. (1999). No Más Saqueos. Nos Deben La Deuda Ecológica. </w:t>
      </w:r>
      <w:r>
        <w:rPr>
          <w:i/>
          <w:sz w:val="24"/>
        </w:rPr>
        <w:t>Ecología </w:t>
      </w:r>
      <w:r>
        <w:rPr>
          <w:i/>
          <w:sz w:val="24"/>
        </w:rPr>
        <w:t>Política, 18</w:t>
      </w:r>
      <w:r>
        <w:rPr>
          <w:sz w:val="24"/>
        </w:rPr>
        <w:t>, 125-134.</w:t>
      </w:r>
    </w:p>
    <w:p>
      <w:pPr>
        <w:spacing w:line="362" w:lineRule="auto" w:before="206"/>
        <w:ind w:left="1760" w:right="1135" w:hanging="720"/>
        <w:jc w:val="left"/>
        <w:rPr>
          <w:sz w:val="24"/>
        </w:rPr>
      </w:pPr>
      <w:r>
        <w:rPr>
          <w:sz w:val="24"/>
        </w:rPr>
        <w:t>Alfaro, S., &amp; Navarro, D. (2009). </w:t>
      </w:r>
      <w:r>
        <w:rPr>
          <w:i/>
          <w:sz w:val="24"/>
        </w:rPr>
        <w:t>La formación de precios del suelo. Estudio de caso </w:t>
      </w:r>
      <w:r>
        <w:rPr>
          <w:i/>
          <w:sz w:val="24"/>
        </w:rPr>
        <w:t>para el cantón de Curridabat. </w:t>
      </w:r>
      <w:r>
        <w:rPr>
          <w:sz w:val="24"/>
        </w:rPr>
        <w:t>San José, Costa Rica: Tesis de grado. Escuela de Economía de la Universidad de Costa Rica.</w:t>
      </w:r>
    </w:p>
    <w:p>
      <w:pPr>
        <w:spacing w:line="362" w:lineRule="auto" w:before="190"/>
        <w:ind w:left="1760" w:right="1047" w:hanging="720"/>
        <w:jc w:val="left"/>
        <w:rPr>
          <w:sz w:val="24"/>
        </w:rPr>
      </w:pPr>
      <w:r>
        <w:rPr>
          <w:sz w:val="24"/>
        </w:rPr>
        <w:t>Ángel, C., &amp; Bello, T. (2008). </w:t>
      </w:r>
      <w:r>
        <w:rPr>
          <w:i/>
          <w:sz w:val="24"/>
        </w:rPr>
        <w:t>Informes Gep-Localidad 19 Ciudad Bolivar. </w:t>
      </w:r>
      <w:r>
        <w:rPr>
          <w:sz w:val="24"/>
        </w:rPr>
        <w:t>Bogotá, Colombia: UN Habitat, Alcaldía Mayor de Bogotá, IDEA-Universidad Nacional de Colombia.</w:t>
      </w:r>
    </w:p>
    <w:p>
      <w:pPr>
        <w:spacing w:after="0" w:line="362" w:lineRule="auto"/>
        <w:jc w:val="left"/>
        <w:rPr>
          <w:sz w:val="24"/>
        </w:rPr>
        <w:sectPr>
          <w:pgSz w:w="12240" w:h="15840"/>
          <w:pgMar w:header="0" w:footer="982" w:top="1360" w:bottom="1260" w:left="400" w:right="400"/>
        </w:sectPr>
      </w:pPr>
    </w:p>
    <w:p>
      <w:pPr>
        <w:pStyle w:val="BodyText"/>
        <w:spacing w:line="360" w:lineRule="auto" w:before="79"/>
        <w:ind w:left="1760" w:right="1261" w:hanging="720"/>
      </w:pPr>
      <w:r>
        <w:rPr/>
        <w:t>Arguedas, C. (15 de Septiembre de 2014). Familias ‘urbanizan’ zona de alto riesgo en La Carpintera. </w:t>
      </w:r>
      <w:r>
        <w:rPr>
          <w:i/>
        </w:rPr>
        <w:t>La Nación</w:t>
      </w:r>
      <w:r>
        <w:rPr/>
        <w:t>, págs. </w:t>
      </w:r>
      <w:hyperlink r:id="rId95">
        <w:r>
          <w:rPr/>
          <w:t>http://www.nacion.com/sucesos/desastres/Familias-urbanizan-zona-riesgo-</w:t>
        </w:r>
      </w:hyperlink>
      <w:r>
        <w:rPr/>
        <w:t> Carpintera_0_1439256087.html.</w:t>
      </w:r>
    </w:p>
    <w:p>
      <w:pPr>
        <w:pStyle w:val="BodyText"/>
        <w:spacing w:line="362" w:lineRule="auto" w:before="197"/>
        <w:ind w:left="1760" w:right="1535" w:hanging="720"/>
      </w:pPr>
      <w:r>
        <w:rPr/>
        <w:t>Asociación Movimiento Cívico del Cantón de la Unión. (Octubre de 2004). </w:t>
      </w:r>
      <w:r>
        <w:rPr>
          <w:i/>
        </w:rPr>
        <w:t>Mapa de </w:t>
      </w:r>
      <w:r>
        <w:rPr>
          <w:i/>
        </w:rPr>
        <w:t>Tenencia de la Tierra. </w:t>
      </w:r>
      <w:r>
        <w:rPr/>
        <w:t>Recuperado el 2 de Febrero de 2011, de</w:t>
      </w:r>
      <w:hyperlink r:id="rId96">
        <w:r>
          <w:rPr/>
          <w:t> http://www.asmocicu.com/</w:t>
        </w:r>
      </w:hyperlink>
    </w:p>
    <w:p>
      <w:pPr>
        <w:pStyle w:val="BodyText"/>
        <w:spacing w:before="194"/>
        <w:ind w:left="1040"/>
      </w:pPr>
      <w:r>
        <w:rPr/>
        <w:t>Ayestarán, I. (2011). Epistemología de la innovación social y de la destrucción creativa.</w:t>
      </w:r>
    </w:p>
    <w:p>
      <w:pPr>
        <w:spacing w:before="136"/>
        <w:ind w:left="1760" w:right="0" w:firstLine="0"/>
        <w:jc w:val="left"/>
        <w:rPr>
          <w:sz w:val="24"/>
        </w:rPr>
      </w:pPr>
      <w:r>
        <w:rPr>
          <w:i/>
          <w:sz w:val="24"/>
        </w:rPr>
        <w:t>Utopia y Praxis Latinoamericana, 16</w:t>
      </w:r>
      <w:r>
        <w:rPr>
          <w:sz w:val="24"/>
        </w:rPr>
        <w:t>(54), 67-91.</w:t>
      </w:r>
    </w:p>
    <w:p>
      <w:pPr>
        <w:pStyle w:val="BodyText"/>
        <w:spacing w:before="2"/>
        <w:rPr>
          <w:sz w:val="29"/>
        </w:rPr>
      </w:pPr>
    </w:p>
    <w:p>
      <w:pPr>
        <w:spacing w:line="362" w:lineRule="auto" w:before="1"/>
        <w:ind w:left="1760" w:right="1009" w:hanging="720"/>
        <w:jc w:val="left"/>
        <w:rPr>
          <w:sz w:val="24"/>
        </w:rPr>
      </w:pPr>
      <w:r>
        <w:rPr>
          <w:sz w:val="24"/>
        </w:rPr>
        <w:t>Banco Interamericano de Desarrollo. (2011). </w:t>
      </w:r>
      <w:r>
        <w:rPr>
          <w:i/>
          <w:sz w:val="24"/>
        </w:rPr>
        <w:t>Sostenibilidad Urbana en América Latina y </w:t>
      </w:r>
      <w:r>
        <w:rPr>
          <w:i/>
          <w:sz w:val="24"/>
        </w:rPr>
        <w:t>el Caribe. </w:t>
      </w:r>
      <w:r>
        <w:rPr>
          <w:sz w:val="24"/>
        </w:rPr>
        <w:t>Washingtond, D.C.: BID.</w:t>
      </w:r>
    </w:p>
    <w:p>
      <w:pPr>
        <w:spacing w:line="360" w:lineRule="auto" w:before="198"/>
        <w:ind w:left="1760" w:right="1047" w:hanging="720"/>
        <w:jc w:val="left"/>
        <w:rPr>
          <w:sz w:val="24"/>
        </w:rPr>
      </w:pPr>
      <w:r>
        <w:rPr>
          <w:sz w:val="24"/>
        </w:rPr>
        <w:t>Barkin, D., Fuente, M., &amp; Tagle, D. (2012). La significación de una Economía Ecológica radical. </w:t>
      </w:r>
      <w:r>
        <w:rPr>
          <w:i/>
          <w:sz w:val="24"/>
        </w:rPr>
        <w:t>Revista Iberoamericana de Economía Ecológica, 19</w:t>
      </w:r>
      <w:r>
        <w:rPr>
          <w:sz w:val="24"/>
        </w:rPr>
        <w:t>, 1-14.</w:t>
      </w:r>
    </w:p>
    <w:p>
      <w:pPr>
        <w:spacing w:line="362" w:lineRule="auto" w:before="197"/>
        <w:ind w:left="1760" w:right="1202" w:hanging="720"/>
        <w:jc w:val="left"/>
        <w:rPr>
          <w:sz w:val="24"/>
        </w:rPr>
      </w:pPr>
      <w:r>
        <w:rPr>
          <w:sz w:val="24"/>
        </w:rPr>
        <w:t>Bergstrom, J. (1996). </w:t>
      </w:r>
      <w:r>
        <w:rPr>
          <w:i/>
          <w:sz w:val="24"/>
        </w:rPr>
        <w:t>Current Status of Benefits Transfer in the US: A Review. </w:t>
      </w:r>
      <w:r>
        <w:rPr>
          <w:sz w:val="24"/>
        </w:rPr>
        <w:t>Athens, Georgia: Department of Agricultural and Applied Economics, University of Georgia.</w:t>
      </w:r>
    </w:p>
    <w:p>
      <w:pPr>
        <w:spacing w:line="355" w:lineRule="auto" w:before="198"/>
        <w:ind w:left="1760" w:right="2136" w:hanging="720"/>
        <w:jc w:val="left"/>
        <w:rPr>
          <w:sz w:val="24"/>
        </w:rPr>
      </w:pPr>
      <w:r>
        <w:rPr>
          <w:sz w:val="24"/>
        </w:rPr>
        <w:t>Boyle, K., Kuminoff, N., Parmeter, C., &amp; Pope, J. (2010). The Benefit-Transfer Challenges. </w:t>
      </w:r>
      <w:r>
        <w:rPr>
          <w:i/>
          <w:sz w:val="24"/>
        </w:rPr>
        <w:t>Annual Review of Resource Economics</w:t>
      </w:r>
      <w:r>
        <w:rPr>
          <w:sz w:val="24"/>
        </w:rPr>
        <w:t>, 161-182.</w:t>
      </w:r>
    </w:p>
    <w:p>
      <w:pPr>
        <w:spacing w:line="357" w:lineRule="auto" w:before="207"/>
        <w:ind w:left="1760" w:right="1468" w:hanging="720"/>
        <w:jc w:val="left"/>
        <w:rPr>
          <w:sz w:val="24"/>
        </w:rPr>
      </w:pPr>
      <w:r>
        <w:rPr>
          <w:sz w:val="24"/>
        </w:rPr>
        <w:t>Boza, M. (2015). </w:t>
      </w:r>
      <w:r>
        <w:rPr>
          <w:i/>
          <w:sz w:val="24"/>
        </w:rPr>
        <w:t>Historia de la Conservación de la Naturaleza en Costa Rica. 1754- </w:t>
      </w:r>
      <w:r>
        <w:rPr>
          <w:i/>
          <w:sz w:val="24"/>
        </w:rPr>
        <w:t>2012 </w:t>
      </w:r>
      <w:r>
        <w:rPr>
          <w:sz w:val="24"/>
        </w:rPr>
        <w:t>(1era ed.). Cartago, Costa Rica: Editorial Tecnológica.</w:t>
      </w:r>
    </w:p>
    <w:p>
      <w:pPr>
        <w:spacing w:line="360" w:lineRule="auto" w:before="210"/>
        <w:ind w:left="1760" w:right="1576" w:hanging="720"/>
        <w:jc w:val="left"/>
        <w:rPr>
          <w:sz w:val="24"/>
        </w:rPr>
      </w:pPr>
      <w:r>
        <w:rPr>
          <w:sz w:val="24"/>
        </w:rPr>
        <w:t>Brandon, K. (2004). The Policy Context for Conservation in Costa Rica. Model or Muddle? En G. Frankie, A. Mata, &amp; S. Bradleigh Vinson (Edits.), </w:t>
      </w:r>
      <w:r>
        <w:rPr>
          <w:i/>
          <w:sz w:val="24"/>
        </w:rPr>
        <w:t>Biodiversity </w:t>
      </w:r>
      <w:r>
        <w:rPr>
          <w:i/>
          <w:sz w:val="24"/>
        </w:rPr>
        <w:t>Conservation in Costa Rica. Learning the Lessons in a Seasonal Dry Forest </w:t>
      </w:r>
      <w:r>
        <w:rPr>
          <w:sz w:val="24"/>
        </w:rPr>
        <w:t>(págs. 299-310). Berkeley, California: University of California Press.</w:t>
      </w:r>
    </w:p>
    <w:p>
      <w:pPr>
        <w:spacing w:line="362" w:lineRule="auto" w:before="196"/>
        <w:ind w:left="1760" w:right="1562" w:hanging="720"/>
        <w:jc w:val="left"/>
        <w:rPr>
          <w:sz w:val="24"/>
        </w:rPr>
      </w:pPr>
      <w:r>
        <w:rPr>
          <w:sz w:val="24"/>
        </w:rPr>
        <w:t>Brookshire, D. (1993). </w:t>
      </w:r>
      <w:r>
        <w:rPr>
          <w:i/>
          <w:sz w:val="24"/>
        </w:rPr>
        <w:t>Issues Regarding Benefits Transfer. </w:t>
      </w:r>
      <w:r>
        <w:rPr>
          <w:sz w:val="24"/>
        </w:rPr>
        <w:t>Snowbird, Utah, EEUU: EPA.</w:t>
      </w:r>
    </w:p>
    <w:p>
      <w:pPr>
        <w:spacing w:after="0" w:line="362" w:lineRule="auto"/>
        <w:jc w:val="left"/>
        <w:rPr>
          <w:sz w:val="24"/>
        </w:rPr>
        <w:sectPr>
          <w:pgSz w:w="12240" w:h="15840"/>
          <w:pgMar w:header="0" w:footer="982" w:top="1360" w:bottom="1260" w:left="400" w:right="400"/>
        </w:sectPr>
      </w:pPr>
    </w:p>
    <w:p>
      <w:pPr>
        <w:pStyle w:val="BodyText"/>
        <w:spacing w:before="79"/>
        <w:ind w:left="1040"/>
      </w:pPr>
      <w:r>
        <w:rPr/>
        <w:t>Brown, M., Hall, C., &amp; Wackernagel, M. (2000). Comparative Estimates of Sustainability.</w:t>
      </w:r>
    </w:p>
    <w:p>
      <w:pPr>
        <w:spacing w:line="360" w:lineRule="auto" w:before="136"/>
        <w:ind w:left="1760" w:right="1180" w:firstLine="0"/>
        <w:jc w:val="left"/>
        <w:rPr>
          <w:sz w:val="24"/>
        </w:rPr>
      </w:pPr>
      <w:r>
        <w:rPr>
          <w:sz w:val="24"/>
        </w:rPr>
        <w:t>Economic, Resource Base, Ecological Footprint and Emergy. En C. Hall (Ed.), </w:t>
      </w:r>
      <w:r>
        <w:rPr>
          <w:i/>
          <w:sz w:val="24"/>
        </w:rPr>
        <w:t>Quantifying Sustainable Development. The Future of Tropical Economies </w:t>
      </w:r>
      <w:r>
        <w:rPr>
          <w:sz w:val="24"/>
        </w:rPr>
        <w:t>(págs. 695-714). San Diego, California, EEUU: Academic Press.</w:t>
      </w:r>
    </w:p>
    <w:p>
      <w:pPr>
        <w:pStyle w:val="BodyText"/>
        <w:spacing w:before="203"/>
        <w:ind w:left="1040"/>
      </w:pPr>
      <w:r>
        <w:rPr/>
        <w:t>Certain Activities Carried out by Nicaragua in the Border Area (Costa Rica v.</w:t>
      </w:r>
    </w:p>
    <w:p>
      <w:pPr>
        <w:pStyle w:val="BodyText"/>
        <w:spacing w:line="360" w:lineRule="auto" w:before="136"/>
        <w:ind w:left="1760" w:right="1047"/>
      </w:pPr>
      <w:r>
        <w:rPr/>
        <w:t>Nicaragua). Construction of a Road in Costa Rica along the San Juan River (Nicaragua v. Costa Rica), 150, 152 (International Court of Justice 16 de diciembre de 2015).</w:t>
      </w:r>
    </w:p>
    <w:p>
      <w:pPr>
        <w:pStyle w:val="BodyText"/>
        <w:spacing w:line="360" w:lineRule="auto" w:before="202"/>
        <w:ind w:left="1760" w:right="1134" w:hanging="720"/>
      </w:pPr>
      <w:r>
        <w:rPr/>
        <w:t>Chen, C., &amp; Rotschild, R. (2010). An application of hedonic pricing analysis tothe case of hotel rooms in Taipei. </w:t>
      </w:r>
      <w:r>
        <w:rPr>
          <w:i/>
        </w:rPr>
        <w:t>Tourism Economics, 16</w:t>
      </w:r>
      <w:r>
        <w:rPr/>
        <w:t>(3), DOI: 10.5367/000000010792278310.</w:t>
      </w:r>
    </w:p>
    <w:p>
      <w:pPr>
        <w:pStyle w:val="BodyText"/>
        <w:spacing w:line="357" w:lineRule="auto" w:before="198"/>
        <w:ind w:left="1760" w:right="1047" w:hanging="720"/>
      </w:pPr>
      <w:r>
        <w:rPr/>
        <w:t>Cleveland, C. (1995). Resource degradation, technical change, and the productivity of energy use in U.S. agriculture. </w:t>
      </w:r>
      <w:r>
        <w:rPr>
          <w:i/>
        </w:rPr>
        <w:t>Ecological Economics, 13</w:t>
      </w:r>
      <w:r>
        <w:rPr/>
        <w:t>(3), 185-201.</w:t>
      </w:r>
    </w:p>
    <w:p>
      <w:pPr>
        <w:spacing w:line="362" w:lineRule="auto" w:before="203"/>
        <w:ind w:left="1760" w:right="1054" w:hanging="720"/>
        <w:jc w:val="left"/>
        <w:rPr>
          <w:sz w:val="24"/>
        </w:rPr>
      </w:pPr>
      <w:r>
        <w:rPr>
          <w:sz w:val="24"/>
        </w:rPr>
        <w:t>Colectivo de Difusión de la Deuda Ecológica. (2003). </w:t>
      </w:r>
      <w:r>
        <w:rPr>
          <w:i/>
          <w:sz w:val="24"/>
        </w:rPr>
        <w:t>Deuda Ecológica. El Norte está</w:t>
      </w:r>
      <w:r>
        <w:rPr>
          <w:i/>
          <w:spacing w:val="-39"/>
          <w:sz w:val="24"/>
        </w:rPr>
        <w:t> </w:t>
      </w:r>
      <w:r>
        <w:rPr>
          <w:i/>
          <w:sz w:val="24"/>
        </w:rPr>
        <w:t>en </w:t>
      </w:r>
      <w:r>
        <w:rPr>
          <w:i/>
          <w:sz w:val="24"/>
        </w:rPr>
        <w:t>deuda con los países del Sur. </w:t>
      </w:r>
      <w:r>
        <w:rPr>
          <w:sz w:val="24"/>
        </w:rPr>
        <w:t>Barcelona, España: Observatorio de la deuda en la Globalización, Universidad Politécnica de</w:t>
      </w:r>
      <w:r>
        <w:rPr>
          <w:spacing w:val="-7"/>
          <w:sz w:val="24"/>
        </w:rPr>
        <w:t> </w:t>
      </w:r>
      <w:r>
        <w:rPr>
          <w:sz w:val="24"/>
        </w:rPr>
        <w:t>Catalunya.</w:t>
      </w:r>
    </w:p>
    <w:p>
      <w:pPr>
        <w:pStyle w:val="BodyText"/>
        <w:spacing w:before="197"/>
        <w:ind w:left="1040"/>
      </w:pPr>
      <w:r>
        <w:rPr/>
        <w:t>Comisión Interinstitucional para la Zona Protectora Cerros de La Carpintera. (2012).</w:t>
      </w:r>
    </w:p>
    <w:p>
      <w:pPr>
        <w:spacing w:line="362" w:lineRule="auto" w:before="133"/>
        <w:ind w:left="1760" w:right="1047" w:firstLine="0"/>
        <w:jc w:val="left"/>
        <w:rPr>
          <w:sz w:val="24"/>
        </w:rPr>
      </w:pPr>
      <w:r>
        <w:rPr>
          <w:i/>
          <w:sz w:val="24"/>
        </w:rPr>
        <w:t>Plan General de Manejo para la Zona Protectora Cerros de La Carpintera. </w:t>
      </w:r>
      <w:r>
        <w:rPr>
          <w:i/>
          <w:sz w:val="24"/>
        </w:rPr>
        <w:t>Gestión Participativa para la Conservación del Agua y la Biodiversidad. </w:t>
      </w:r>
      <w:r>
        <w:rPr>
          <w:sz w:val="24"/>
        </w:rPr>
        <w:t>Tres Ríos, Cartago: Comisión Interinstitucional para la Zona Proptectora Cerros de La Carpintera.</w:t>
      </w:r>
    </w:p>
    <w:p>
      <w:pPr>
        <w:spacing w:line="360" w:lineRule="auto" w:before="193"/>
        <w:ind w:left="1760" w:right="1025" w:hanging="720"/>
        <w:jc w:val="left"/>
        <w:rPr>
          <w:sz w:val="24"/>
        </w:rPr>
      </w:pPr>
      <w:r>
        <w:rPr>
          <w:sz w:val="24"/>
        </w:rPr>
        <w:t>Concu, N. (2010). Environmental Conservation and Indigenous Development through Indigenous Protected Areas and Payments for Environmental Services: A review. En N. Fijn, I. Keen, C. Lloyd, &amp; M. Pickering (Edits.), </w:t>
      </w:r>
      <w:r>
        <w:rPr>
          <w:i/>
          <w:sz w:val="24"/>
        </w:rPr>
        <w:t>Indigenous Participation in </w:t>
      </w:r>
      <w:r>
        <w:rPr>
          <w:i/>
          <w:sz w:val="24"/>
        </w:rPr>
        <w:t>Australian Economies II. Historical engagements and current enterprises </w:t>
      </w:r>
      <w:r>
        <w:rPr>
          <w:sz w:val="24"/>
        </w:rPr>
        <w:t>(págs. 287-310). Canberra, Australia: ANU E Press.</w:t>
      </w:r>
    </w:p>
    <w:p>
      <w:pPr>
        <w:spacing w:line="357" w:lineRule="auto" w:before="199"/>
        <w:ind w:left="1760" w:right="1047" w:hanging="720"/>
        <w:jc w:val="left"/>
        <w:rPr>
          <w:sz w:val="24"/>
        </w:rPr>
      </w:pPr>
      <w:r>
        <w:rPr>
          <w:sz w:val="24"/>
        </w:rPr>
        <w:t>Conejo, E. (2010). </w:t>
      </w:r>
      <w:r>
        <w:rPr>
          <w:i/>
          <w:sz w:val="24"/>
        </w:rPr>
        <w:t>Pobre de este paisaje…Análisis y diagnosis de la Zona Protectora </w:t>
      </w:r>
      <w:r>
        <w:rPr>
          <w:i/>
          <w:sz w:val="24"/>
        </w:rPr>
        <w:t>Cerros de La Carpintera. </w:t>
      </w:r>
      <w:r>
        <w:rPr>
          <w:sz w:val="24"/>
        </w:rPr>
        <w:t>San José, Costa Rica: Informe no publicado.</w:t>
      </w:r>
    </w:p>
    <w:p>
      <w:pPr>
        <w:spacing w:after="0" w:line="357" w:lineRule="auto"/>
        <w:jc w:val="left"/>
        <w:rPr>
          <w:sz w:val="24"/>
        </w:rPr>
        <w:sectPr>
          <w:pgSz w:w="12240" w:h="15840"/>
          <w:pgMar w:header="0" w:footer="982" w:top="1360" w:bottom="1260" w:left="400" w:right="400"/>
        </w:sectPr>
      </w:pPr>
    </w:p>
    <w:p>
      <w:pPr>
        <w:spacing w:line="360" w:lineRule="auto" w:before="75"/>
        <w:ind w:left="1760" w:right="1047" w:hanging="720"/>
        <w:jc w:val="left"/>
        <w:rPr>
          <w:sz w:val="24"/>
        </w:rPr>
      </w:pPr>
      <w:r>
        <w:rPr>
          <w:sz w:val="24"/>
        </w:rPr>
        <w:t>Contraloría General de la República. (2014). </w:t>
      </w:r>
      <w:r>
        <w:rPr>
          <w:i/>
          <w:sz w:val="24"/>
        </w:rPr>
        <w:t>Informe de la Auditoría Operativa sobre la </w:t>
      </w:r>
      <w:r>
        <w:rPr>
          <w:i/>
          <w:sz w:val="24"/>
        </w:rPr>
        <w:t>Eficacia del SINAC en la Conservación y el Uso Sostenible de la Biodiversidad dentro de las Áreas Silvestres Protegidas Continentales. </w:t>
      </w:r>
      <w:r>
        <w:rPr>
          <w:sz w:val="24"/>
        </w:rPr>
        <w:t>San José, Costa Rica: Dirección de Fiscalización Operativa y Evaluativa, Área de Fsicalización de Servicios Ambientales y Energía, Contraloría General de la República.</w:t>
      </w:r>
    </w:p>
    <w:p>
      <w:pPr>
        <w:pStyle w:val="BodyText"/>
        <w:spacing w:line="360" w:lineRule="auto" w:before="203"/>
        <w:ind w:left="1760" w:right="1037" w:hanging="720"/>
      </w:pPr>
      <w:r>
        <w:rPr/>
        <w:t>Cordero, L. (21 de agosto de 2003). Hallan foco de contaminación por metales pesados en Río Azul. </w:t>
      </w:r>
      <w:r>
        <w:rPr>
          <w:i/>
        </w:rPr>
        <w:t>Semanario Universidad</w:t>
      </w:r>
      <w:r>
        <w:rPr/>
        <w:t>, págs. https://semanariouniversidad.com/suplementos/crisol/hallan-foco-de- contaminacin-por-metales-pesados-en-ro-azul/.</w:t>
      </w:r>
    </w:p>
    <w:p>
      <w:pPr>
        <w:pStyle w:val="BodyText"/>
        <w:spacing w:line="357" w:lineRule="auto" w:before="200"/>
        <w:ind w:left="1760" w:right="1321" w:hanging="720"/>
      </w:pPr>
      <w:r>
        <w:rPr/>
        <w:t>Córdoba, J. (2015). Análisis de vulnerabilidad de las comunidades de Coris y Tablón, Provincia de Cartago, Costa Rica. </w:t>
      </w:r>
      <w:r>
        <w:rPr>
          <w:i/>
        </w:rPr>
        <w:t>Revista Ciencias Espaciales, 8</w:t>
      </w:r>
      <w:r>
        <w:rPr/>
        <w:t>(1), 231-259.</w:t>
      </w:r>
    </w:p>
    <w:p>
      <w:pPr>
        <w:pStyle w:val="BodyText"/>
        <w:spacing w:line="357" w:lineRule="auto" w:before="206"/>
        <w:ind w:left="1760" w:right="1121" w:hanging="720"/>
        <w:jc w:val="both"/>
      </w:pPr>
      <w:r>
        <w:rPr/>
        <w:t>Costanza, R., d´Arge, R., de Groot, R., Farber, S., Grasso, M., Hannon, B., . . . van</w:t>
      </w:r>
      <w:r>
        <w:rPr>
          <w:spacing w:val="-48"/>
        </w:rPr>
        <w:t> </w:t>
      </w:r>
      <w:r>
        <w:rPr/>
        <w:t>den Belt, M. (1997). The value of the world’s ecosystem services and natural capital. </w:t>
      </w:r>
      <w:r>
        <w:rPr>
          <w:i/>
        </w:rPr>
        <w:t>Nature, 387</w:t>
      </w:r>
      <w:r>
        <w:rPr/>
        <w:t>,</w:t>
      </w:r>
      <w:r>
        <w:rPr>
          <w:spacing w:val="1"/>
        </w:rPr>
        <w:t> </w:t>
      </w:r>
      <w:r>
        <w:rPr/>
        <w:t>253-260.</w:t>
      </w:r>
    </w:p>
    <w:p>
      <w:pPr>
        <w:pStyle w:val="BodyText"/>
        <w:spacing w:line="357" w:lineRule="auto" w:before="211"/>
        <w:ind w:left="1760" w:right="1134" w:hanging="720"/>
      </w:pPr>
      <w:r>
        <w:rPr/>
        <w:t>Costanza, R., De Groot, R., Sutton, P., van der Ploeg, S., Anderson, S., Kubiszeski, I. F., &amp; Kerry Turner, R. (2014). Changes in the global value of ecosystem services. </w:t>
      </w:r>
      <w:r>
        <w:rPr>
          <w:i/>
        </w:rPr>
        <w:t>Global Environmental Change, 26</w:t>
      </w:r>
      <w:r>
        <w:rPr/>
        <w:t>, 152-158.</w:t>
      </w:r>
    </w:p>
    <w:p>
      <w:pPr>
        <w:spacing w:line="362" w:lineRule="auto" w:before="203"/>
        <w:ind w:left="1760" w:right="1215" w:hanging="720"/>
        <w:jc w:val="left"/>
        <w:rPr>
          <w:sz w:val="24"/>
        </w:rPr>
      </w:pPr>
      <w:r>
        <w:rPr>
          <w:sz w:val="24"/>
        </w:rPr>
        <w:t>Cruces, G., Ham, A., &amp; Tetaz, M. (2008). </w:t>
      </w:r>
      <w:r>
        <w:rPr>
          <w:i/>
          <w:sz w:val="24"/>
        </w:rPr>
        <w:t>Quality of Life in Buenos Aires </w:t>
      </w:r>
      <w:r>
        <w:rPr>
          <w:i/>
          <w:sz w:val="24"/>
        </w:rPr>
        <w:t>Neighborhoods: Hedonic Price Regressions and the Life Satisfaction Approach. </w:t>
      </w:r>
      <w:r>
        <w:rPr>
          <w:sz w:val="24"/>
        </w:rPr>
        <w:t>Washington D.C.: Banco Interamericano de Desarrollo.</w:t>
      </w:r>
    </w:p>
    <w:p>
      <w:pPr>
        <w:spacing w:line="362" w:lineRule="auto" w:before="193"/>
        <w:ind w:left="1760" w:right="1441" w:hanging="720"/>
        <w:jc w:val="left"/>
        <w:rPr>
          <w:sz w:val="24"/>
        </w:rPr>
      </w:pPr>
      <w:r>
        <w:rPr>
          <w:sz w:val="24"/>
        </w:rPr>
        <w:t>Cruz Roja Costarricense. (2004). </w:t>
      </w:r>
      <w:r>
        <w:rPr>
          <w:i/>
          <w:sz w:val="24"/>
        </w:rPr>
        <w:t>Proyecto Provention. Trabajo de Campo Taller de </w:t>
      </w:r>
      <w:r>
        <w:rPr>
          <w:i/>
          <w:sz w:val="24"/>
        </w:rPr>
        <w:t>Análisis de Vunerabilidades y Capacidades. Linda Vista. La Unión. </w:t>
      </w:r>
      <w:r>
        <w:rPr>
          <w:sz w:val="24"/>
        </w:rPr>
        <w:t>San José, Costa Rica: Cruz Roja-Provention.</w:t>
      </w:r>
    </w:p>
    <w:p>
      <w:pPr>
        <w:pStyle w:val="BodyText"/>
        <w:spacing w:before="195"/>
        <w:ind w:left="1040"/>
      </w:pPr>
      <w:r>
        <w:rPr/>
        <w:t>Cuello, C., Brandon, K., &amp; Margoluis, R. (1998). Costa Rica: Corcovado National Park.</w:t>
      </w:r>
    </w:p>
    <w:p>
      <w:pPr>
        <w:spacing w:line="357" w:lineRule="auto" w:before="136"/>
        <w:ind w:left="1760" w:right="1047" w:firstLine="0"/>
        <w:jc w:val="left"/>
        <w:rPr>
          <w:sz w:val="24"/>
        </w:rPr>
      </w:pPr>
      <w:r>
        <w:rPr>
          <w:sz w:val="24"/>
        </w:rPr>
        <w:t>En K. Bandon, K. Redford, &amp; S. Sanderson (Edits.), </w:t>
      </w:r>
      <w:r>
        <w:rPr>
          <w:i/>
          <w:sz w:val="24"/>
        </w:rPr>
        <w:t>Parks in Peril. People, </w:t>
      </w:r>
      <w:r>
        <w:rPr>
          <w:i/>
          <w:sz w:val="24"/>
        </w:rPr>
        <w:t>Politics and Protected Areas </w:t>
      </w:r>
      <w:r>
        <w:rPr>
          <w:sz w:val="24"/>
        </w:rPr>
        <w:t>(págs. 143-192). Washington DC: Island Press.</w:t>
      </w:r>
    </w:p>
    <w:p>
      <w:pPr>
        <w:spacing w:after="0" w:line="357" w:lineRule="auto"/>
        <w:jc w:val="left"/>
        <w:rPr>
          <w:sz w:val="24"/>
        </w:rPr>
        <w:sectPr>
          <w:pgSz w:w="12240" w:h="15840"/>
          <w:pgMar w:header="0" w:footer="982" w:top="1360" w:bottom="1260" w:left="400" w:right="400"/>
        </w:sectPr>
      </w:pPr>
    </w:p>
    <w:p>
      <w:pPr>
        <w:pStyle w:val="BodyText"/>
        <w:spacing w:before="79"/>
        <w:ind w:left="1040"/>
      </w:pPr>
      <w:r>
        <w:rPr/>
        <w:t>Daly, H. (1990). Toward some Operational Principles of Sustainable Development.</w:t>
      </w:r>
    </w:p>
    <w:p>
      <w:pPr>
        <w:spacing w:before="132"/>
        <w:ind w:left="1760" w:right="0" w:firstLine="0"/>
        <w:jc w:val="left"/>
        <w:rPr>
          <w:sz w:val="24"/>
        </w:rPr>
      </w:pPr>
      <w:r>
        <w:rPr>
          <w:i/>
          <w:sz w:val="24"/>
        </w:rPr>
        <w:t>Ecological Ecnomics</w:t>
      </w:r>
      <w:r>
        <w:rPr>
          <w:sz w:val="24"/>
        </w:rPr>
        <w:t>, 1-6.</w:t>
      </w:r>
    </w:p>
    <w:p>
      <w:pPr>
        <w:pStyle w:val="BodyText"/>
        <w:spacing w:before="6"/>
        <w:rPr>
          <w:sz w:val="29"/>
        </w:rPr>
      </w:pPr>
    </w:p>
    <w:p>
      <w:pPr>
        <w:spacing w:line="360" w:lineRule="auto" w:before="1"/>
        <w:ind w:left="1760" w:right="1695" w:hanging="720"/>
        <w:jc w:val="left"/>
        <w:rPr>
          <w:sz w:val="24"/>
        </w:rPr>
      </w:pPr>
      <w:r>
        <w:rPr>
          <w:sz w:val="24"/>
        </w:rPr>
        <w:t>Dawson, S., &amp; Manderson, L. (1993). </w:t>
      </w:r>
      <w:r>
        <w:rPr>
          <w:i/>
          <w:sz w:val="24"/>
        </w:rPr>
        <w:t>Le manuel des groups focaux: Méthodes de </w:t>
      </w:r>
      <w:r>
        <w:rPr>
          <w:i/>
          <w:sz w:val="24"/>
        </w:rPr>
        <w:t>recherche en sciences sociales sur les maladies tropicales. </w:t>
      </w:r>
      <w:r>
        <w:rPr>
          <w:sz w:val="24"/>
        </w:rPr>
        <w:t>EEUU: INFDC.</w:t>
      </w:r>
    </w:p>
    <w:p>
      <w:pPr>
        <w:spacing w:before="200"/>
        <w:ind w:left="1040" w:right="0" w:firstLine="0"/>
        <w:jc w:val="left"/>
        <w:rPr>
          <w:sz w:val="24"/>
        </w:rPr>
      </w:pPr>
      <w:r>
        <w:rPr>
          <w:sz w:val="24"/>
        </w:rPr>
        <w:t>de Groot, R. (1992). </w:t>
      </w:r>
      <w:r>
        <w:rPr>
          <w:i/>
          <w:sz w:val="24"/>
        </w:rPr>
        <w:t>Functions of Nature. </w:t>
      </w:r>
      <w:r>
        <w:rPr>
          <w:sz w:val="24"/>
        </w:rPr>
        <w:t>Holanda: Wolters-Noordhoff.</w:t>
      </w:r>
    </w:p>
    <w:p>
      <w:pPr>
        <w:pStyle w:val="BodyText"/>
        <w:spacing w:before="7"/>
        <w:rPr>
          <w:sz w:val="29"/>
        </w:rPr>
      </w:pPr>
    </w:p>
    <w:p>
      <w:pPr>
        <w:spacing w:line="360" w:lineRule="auto" w:before="0"/>
        <w:ind w:left="1760" w:right="1134" w:hanging="720"/>
        <w:jc w:val="left"/>
        <w:rPr>
          <w:sz w:val="24"/>
        </w:rPr>
      </w:pPr>
      <w:r>
        <w:rPr>
          <w:sz w:val="24"/>
        </w:rPr>
        <w:t>de Groot, R. (1994). Environmental Functions and the Economic Value of Natural Ecosystems. In A. Jansson, M. Hammer, C. Folke, &amp; R. Costanza (Eds.), </w:t>
      </w:r>
      <w:r>
        <w:rPr>
          <w:i/>
          <w:sz w:val="24"/>
        </w:rPr>
        <w:t>Investing in Natural Capital. The Ecological Economics Approach to </w:t>
      </w:r>
      <w:r>
        <w:rPr>
          <w:i/>
          <w:sz w:val="24"/>
        </w:rPr>
        <w:t>Sustainability </w:t>
      </w:r>
      <w:r>
        <w:rPr>
          <w:sz w:val="24"/>
        </w:rPr>
        <w:t>(pp. 151-168). Washington DC: Island Press.</w:t>
      </w:r>
    </w:p>
    <w:p>
      <w:pPr>
        <w:pStyle w:val="BodyText"/>
        <w:spacing w:line="357" w:lineRule="auto" w:before="201"/>
        <w:ind w:left="1760" w:right="1134" w:hanging="720"/>
      </w:pPr>
      <w:r>
        <w:rPr/>
        <w:t>de Groot, R., Brander, L., van der Ploeg, S., Costanza, R., Bernard, F., Braat, L., . . . van Beukering, P. (2012). Global estimates of the value of ecosystems and their services in monetary units. </w:t>
      </w:r>
      <w:r>
        <w:rPr>
          <w:i/>
        </w:rPr>
        <w:t>Ecosystem Services, 1</w:t>
      </w:r>
      <w:r>
        <w:rPr/>
        <w:t>, 50–61.</w:t>
      </w:r>
    </w:p>
    <w:p>
      <w:pPr>
        <w:pStyle w:val="BodyText"/>
        <w:spacing w:line="357" w:lineRule="auto" w:before="210"/>
        <w:ind w:left="1760" w:right="1047" w:hanging="720"/>
      </w:pPr>
      <w:r>
        <w:rPr/>
        <w:t>de Groot, R., Wilson, M., &amp; Boumans, R. (2002). Ecosystem functions, goods and services: Classification, description and valuation guidelines. </w:t>
      </w:r>
      <w:r>
        <w:rPr>
          <w:i/>
        </w:rPr>
        <w:t>Ecological </w:t>
      </w:r>
      <w:r>
        <w:rPr>
          <w:i/>
        </w:rPr>
        <w:t>Economics</w:t>
      </w:r>
      <w:r>
        <w:rPr/>
        <w:t>, 393-408.</w:t>
      </w:r>
    </w:p>
    <w:p>
      <w:pPr>
        <w:pStyle w:val="BodyText"/>
        <w:spacing w:line="362" w:lineRule="auto" w:before="203"/>
        <w:ind w:left="1760" w:right="1177" w:hanging="720"/>
      </w:pPr>
      <w:r>
        <w:rPr/>
        <w:t>Díaz, L. (9 de noviembre de 2009). Cierre técnico comienza a transformar Río Azul. </w:t>
      </w:r>
      <w:r>
        <w:rPr>
          <w:i/>
        </w:rPr>
        <w:t>La </w:t>
      </w:r>
      <w:r>
        <w:rPr>
          <w:i/>
        </w:rPr>
        <w:t>Nación</w:t>
      </w:r>
      <w:r>
        <w:rPr/>
        <w:t>, págs. </w:t>
      </w:r>
      <w:hyperlink r:id="rId97">
        <w:r>
          <w:rPr/>
          <w:t>http://www.nacion.com/nacional/servicios-publicos/Cierre-</w:t>
        </w:r>
      </w:hyperlink>
      <w:r>
        <w:rPr/>
        <w:t> comienza-transformar-Rio-Azul_0_1085091607.html.</w:t>
      </w:r>
    </w:p>
    <w:p>
      <w:pPr>
        <w:pStyle w:val="BodyText"/>
        <w:spacing w:line="357" w:lineRule="auto" w:before="194"/>
        <w:ind w:left="1760" w:right="1242" w:hanging="720"/>
      </w:pPr>
      <w:r>
        <w:rPr/>
        <w:t>Dillon, J. (2000). Deuda Ecológica. El Sur Dice al Norte: “Es Hora de Pagar”. </w:t>
      </w:r>
      <w:r>
        <w:rPr>
          <w:i/>
        </w:rPr>
        <w:t>Ecología </w:t>
      </w:r>
      <w:r>
        <w:rPr>
          <w:i/>
        </w:rPr>
        <w:t>Política, 20</w:t>
      </w:r>
      <w:r>
        <w:rPr/>
        <w:t>, 131-152.</w:t>
      </w:r>
    </w:p>
    <w:p>
      <w:pPr>
        <w:spacing w:line="357" w:lineRule="auto" w:before="206"/>
        <w:ind w:left="1760" w:right="1134" w:hanging="720"/>
        <w:jc w:val="left"/>
        <w:rPr>
          <w:sz w:val="24"/>
        </w:rPr>
      </w:pPr>
      <w:r>
        <w:rPr>
          <w:sz w:val="24"/>
        </w:rPr>
        <w:t>Dixon, J., &amp; Sherman, P. (1990). </w:t>
      </w:r>
      <w:r>
        <w:rPr>
          <w:i/>
          <w:sz w:val="24"/>
        </w:rPr>
        <w:t>Economics of Protected Areas: A New Look at </w:t>
      </w:r>
      <w:r>
        <w:rPr>
          <w:i/>
          <w:sz w:val="24"/>
        </w:rPr>
        <w:t>Benefits and Costs. </w:t>
      </w:r>
      <w:r>
        <w:rPr>
          <w:sz w:val="24"/>
        </w:rPr>
        <w:t>Washington D.C., EEUU: Island Press.</w:t>
      </w:r>
    </w:p>
    <w:p>
      <w:pPr>
        <w:spacing w:line="357" w:lineRule="auto" w:before="206"/>
        <w:ind w:left="1760" w:right="1909" w:hanging="720"/>
        <w:jc w:val="left"/>
        <w:rPr>
          <w:sz w:val="24"/>
        </w:rPr>
      </w:pPr>
      <w:r>
        <w:rPr>
          <w:sz w:val="24"/>
        </w:rPr>
        <w:t>Dixon, J., Scura, L., Carpenter, R., &amp; Sherman, P. (1994). </w:t>
      </w:r>
      <w:r>
        <w:rPr>
          <w:i/>
          <w:sz w:val="24"/>
        </w:rPr>
        <w:t>Economic Analysis of </w:t>
      </w:r>
      <w:r>
        <w:rPr>
          <w:i/>
          <w:sz w:val="24"/>
        </w:rPr>
        <w:t>Environmental Impacts </w:t>
      </w:r>
      <w:r>
        <w:rPr>
          <w:sz w:val="24"/>
        </w:rPr>
        <w:t>(2nd ed.). London: Earthscan.</w:t>
      </w:r>
    </w:p>
    <w:p>
      <w:pPr>
        <w:pStyle w:val="BodyText"/>
        <w:spacing w:line="357" w:lineRule="auto" w:before="210"/>
        <w:ind w:left="1760" w:right="1047" w:hanging="720"/>
      </w:pPr>
      <w:r>
        <w:rPr/>
        <w:t>Dohoo, I., Ducrot, C., Fourichon, C., Donald, A., &amp; Hurnik, D. (1997). An overview of techniques for dealing with large numbers of independent variables in</w:t>
      </w:r>
    </w:p>
    <w:p>
      <w:pPr>
        <w:spacing w:after="0" w:line="357" w:lineRule="auto"/>
        <w:sectPr>
          <w:pgSz w:w="12240" w:h="15840"/>
          <w:pgMar w:header="0" w:footer="982" w:top="1360" w:bottom="1260" w:left="400" w:right="400"/>
        </w:sectPr>
      </w:pPr>
    </w:p>
    <w:p>
      <w:pPr>
        <w:spacing w:line="362" w:lineRule="auto" w:before="75"/>
        <w:ind w:left="1760" w:right="3169" w:firstLine="0"/>
        <w:jc w:val="left"/>
        <w:rPr>
          <w:sz w:val="24"/>
        </w:rPr>
      </w:pPr>
      <w:r>
        <w:rPr>
          <w:sz w:val="24"/>
        </w:rPr>
        <w:t>epidemiologic studies. </w:t>
      </w:r>
      <w:r>
        <w:rPr>
          <w:i/>
          <w:sz w:val="24"/>
        </w:rPr>
        <w:t>Preventive Veterinary Medicine,</w:t>
      </w:r>
      <w:r>
        <w:rPr>
          <w:i/>
          <w:spacing w:val="-25"/>
          <w:sz w:val="24"/>
        </w:rPr>
        <w:t> </w:t>
      </w:r>
      <w:r>
        <w:rPr>
          <w:i/>
          <w:sz w:val="24"/>
        </w:rPr>
        <w:t>29</w:t>
      </w:r>
      <w:r>
        <w:rPr>
          <w:sz w:val="24"/>
        </w:rPr>
        <w:t>(3), https://doi.org/10.1016/S0167-5877(96)01074-4.</w:t>
      </w:r>
    </w:p>
    <w:p>
      <w:pPr>
        <w:pStyle w:val="BodyText"/>
        <w:spacing w:line="360" w:lineRule="auto" w:before="199"/>
        <w:ind w:left="1760" w:right="1047" w:hanging="720"/>
      </w:pPr>
      <w:r>
        <w:rPr/>
        <w:t>Doménech, J. (2006). Guía metodológica para el cálculo de la huella ecológica corporativa. Málaga: Terceros Encuentros Internacionales sobre</w:t>
      </w:r>
      <w:r>
        <w:rPr>
          <w:spacing w:val="-31"/>
        </w:rPr>
        <w:t> </w:t>
      </w:r>
      <w:r>
        <w:rPr/>
        <w:t>“Desarrollo sostenible y población”. Universidad de</w:t>
      </w:r>
      <w:r>
        <w:rPr>
          <w:spacing w:val="-4"/>
        </w:rPr>
        <w:t> </w:t>
      </w:r>
      <w:r>
        <w:rPr/>
        <w:t>Málaga.</w:t>
      </w:r>
    </w:p>
    <w:p>
      <w:pPr>
        <w:pStyle w:val="BodyText"/>
        <w:spacing w:before="198"/>
        <w:ind w:left="1040"/>
      </w:pPr>
      <w:r>
        <w:rPr/>
        <w:t>Donoso, A. (2004). Deuda Ecológica: De Johannesburgo 1999 a Mumbai 2004.</w:t>
      </w:r>
    </w:p>
    <w:p>
      <w:pPr>
        <w:spacing w:before="136"/>
        <w:ind w:left="1760" w:right="0" w:firstLine="0"/>
        <w:jc w:val="left"/>
        <w:rPr>
          <w:sz w:val="24"/>
        </w:rPr>
      </w:pPr>
      <w:r>
        <w:rPr>
          <w:i/>
          <w:sz w:val="24"/>
        </w:rPr>
        <w:t>Ecología Política, 27</w:t>
      </w:r>
      <w:r>
        <w:rPr>
          <w:sz w:val="24"/>
        </w:rPr>
        <w:t>, 77-82.</w:t>
      </w:r>
    </w:p>
    <w:p>
      <w:pPr>
        <w:pStyle w:val="BodyText"/>
        <w:spacing w:before="3"/>
        <w:rPr>
          <w:sz w:val="29"/>
        </w:rPr>
      </w:pPr>
    </w:p>
    <w:p>
      <w:pPr>
        <w:spacing w:line="362" w:lineRule="auto" w:before="0"/>
        <w:ind w:left="1760" w:right="1009" w:hanging="720"/>
        <w:jc w:val="left"/>
        <w:rPr>
          <w:sz w:val="24"/>
        </w:rPr>
      </w:pPr>
      <w:r>
        <w:rPr>
          <w:sz w:val="24"/>
        </w:rPr>
        <w:t>Earth Economics. (2010). </w:t>
      </w:r>
      <w:r>
        <w:rPr>
          <w:i/>
          <w:sz w:val="24"/>
        </w:rPr>
        <w:t>Nature’s Value in the Térraba-Sierpe National Wetlands:The </w:t>
      </w:r>
      <w:r>
        <w:rPr>
          <w:i/>
          <w:sz w:val="24"/>
        </w:rPr>
        <w:t>Essential Economics of Ecosystem Services. </w:t>
      </w:r>
      <w:r>
        <w:rPr>
          <w:sz w:val="24"/>
        </w:rPr>
        <w:t>Tacoma, Washington, EEUU: Earth Economics.</w:t>
      </w:r>
    </w:p>
    <w:p>
      <w:pPr>
        <w:spacing w:line="362" w:lineRule="auto" w:before="194"/>
        <w:ind w:left="1760" w:right="1047" w:hanging="720"/>
        <w:jc w:val="left"/>
        <w:rPr>
          <w:sz w:val="24"/>
        </w:rPr>
      </w:pPr>
      <w:r>
        <w:rPr>
          <w:sz w:val="24"/>
        </w:rPr>
        <w:t>EJOLT. (2015). </w:t>
      </w:r>
      <w:r>
        <w:rPr>
          <w:i/>
          <w:sz w:val="24"/>
        </w:rPr>
        <w:t>Environmental Justice Atlas</w:t>
      </w:r>
      <w:r>
        <w:rPr>
          <w:sz w:val="24"/>
        </w:rPr>
        <w:t>. Recuperado el 12 de Enero de 2016, de</w:t>
      </w:r>
      <w:hyperlink r:id="rId16">
        <w:r>
          <w:rPr>
            <w:sz w:val="24"/>
          </w:rPr>
          <w:t> http://ejatlas.org</w:t>
        </w:r>
      </w:hyperlink>
    </w:p>
    <w:p>
      <w:pPr>
        <w:spacing w:line="357" w:lineRule="auto" w:before="195"/>
        <w:ind w:left="1760" w:right="1047" w:hanging="720"/>
        <w:jc w:val="left"/>
        <w:rPr>
          <w:sz w:val="24"/>
        </w:rPr>
      </w:pPr>
      <w:r>
        <w:rPr>
          <w:sz w:val="24"/>
        </w:rPr>
        <w:t>EUROSTAT. (2013). </w:t>
      </w:r>
      <w:r>
        <w:rPr>
          <w:i/>
          <w:sz w:val="24"/>
        </w:rPr>
        <w:t>Economy-wide Material Flow Accounts (EW-MFA). Compilation </w:t>
      </w:r>
      <w:r>
        <w:rPr>
          <w:i/>
          <w:sz w:val="24"/>
        </w:rPr>
        <w:t>Guide. </w:t>
      </w:r>
      <w:r>
        <w:rPr>
          <w:sz w:val="24"/>
        </w:rPr>
        <w:t>Luxembourg: Eurostat: Statistical Office of the European Communities.</w:t>
      </w:r>
    </w:p>
    <w:p>
      <w:pPr>
        <w:spacing w:before="206"/>
        <w:ind w:left="1040" w:right="0" w:firstLine="0"/>
        <w:jc w:val="left"/>
        <w:rPr>
          <w:sz w:val="24"/>
        </w:rPr>
      </w:pPr>
      <w:r>
        <w:rPr>
          <w:sz w:val="24"/>
        </w:rPr>
        <w:t>Evans, S. (1999). </w:t>
      </w:r>
      <w:r>
        <w:rPr>
          <w:i/>
          <w:sz w:val="24"/>
        </w:rPr>
        <w:t>The Green Republic. A Conservation History of Costa Rica </w:t>
      </w:r>
      <w:r>
        <w:rPr>
          <w:sz w:val="24"/>
        </w:rPr>
        <w:t>(1era ed.).</w:t>
      </w:r>
    </w:p>
    <w:p>
      <w:pPr>
        <w:pStyle w:val="BodyText"/>
        <w:spacing w:before="140"/>
        <w:ind w:left="1760"/>
      </w:pPr>
      <w:r>
        <w:rPr/>
        <w:t>Austin, Texas: University of Texas Press.</w:t>
      </w:r>
    </w:p>
    <w:p>
      <w:pPr>
        <w:pStyle w:val="BodyText"/>
        <w:spacing w:before="7"/>
        <w:rPr>
          <w:sz w:val="29"/>
        </w:rPr>
      </w:pPr>
    </w:p>
    <w:p>
      <w:pPr>
        <w:spacing w:line="357" w:lineRule="auto" w:before="0"/>
        <w:ind w:left="1760" w:right="1047" w:hanging="720"/>
        <w:jc w:val="left"/>
        <w:rPr>
          <w:sz w:val="24"/>
        </w:rPr>
      </w:pPr>
      <w:r>
        <w:rPr>
          <w:sz w:val="24"/>
        </w:rPr>
        <w:t>Falconí, F., &amp; Burbano, R. (2004). Instrumentos económicos para la gestión ambiental: decisiones monocriteriales versus decisiones multicriteriales. </w:t>
      </w:r>
      <w:r>
        <w:rPr>
          <w:i/>
          <w:sz w:val="24"/>
        </w:rPr>
        <w:t>Revista </w:t>
      </w:r>
      <w:r>
        <w:rPr>
          <w:i/>
          <w:sz w:val="24"/>
        </w:rPr>
        <w:t>Iberoamericana de Economía Ecológica, 1</w:t>
      </w:r>
      <w:r>
        <w:rPr>
          <w:sz w:val="24"/>
        </w:rPr>
        <w:t>, 11-20.</w:t>
      </w:r>
    </w:p>
    <w:p>
      <w:pPr>
        <w:spacing w:line="364" w:lineRule="auto" w:before="202"/>
        <w:ind w:left="1760" w:right="1047" w:hanging="720"/>
        <w:jc w:val="left"/>
        <w:rPr>
          <w:sz w:val="24"/>
        </w:rPr>
      </w:pPr>
      <w:r>
        <w:rPr>
          <w:sz w:val="24"/>
        </w:rPr>
        <w:t>Fallas Baldi, O. (1993). </w:t>
      </w:r>
      <w:r>
        <w:rPr>
          <w:i/>
          <w:sz w:val="24"/>
        </w:rPr>
        <w:t>Modelos de Desarrollo y Crisis Ambiental en Costa Rica. </w:t>
      </w:r>
      <w:r>
        <w:rPr>
          <w:sz w:val="24"/>
        </w:rPr>
        <w:t>San José, Costa Rica: AECO.</w:t>
      </w:r>
    </w:p>
    <w:p>
      <w:pPr>
        <w:spacing w:line="364" w:lineRule="auto" w:before="190"/>
        <w:ind w:left="1760" w:right="1009" w:hanging="720"/>
        <w:jc w:val="left"/>
        <w:rPr>
          <w:sz w:val="24"/>
        </w:rPr>
      </w:pPr>
      <w:r>
        <w:rPr>
          <w:sz w:val="24"/>
        </w:rPr>
        <w:t>Felleman, J. (1979). </w:t>
      </w:r>
      <w:r>
        <w:rPr>
          <w:i/>
          <w:sz w:val="24"/>
        </w:rPr>
        <w:t>Landscape Visibility Mapping: Theory and Practice. </w:t>
      </w:r>
      <w:r>
        <w:rPr>
          <w:sz w:val="24"/>
        </w:rPr>
        <w:t>Syracuse, New York: State University of New York.</w:t>
      </w:r>
    </w:p>
    <w:p>
      <w:pPr>
        <w:spacing w:line="364" w:lineRule="auto" w:before="189"/>
        <w:ind w:left="1760" w:right="2602" w:hanging="720"/>
        <w:jc w:val="left"/>
        <w:rPr>
          <w:sz w:val="24"/>
        </w:rPr>
      </w:pPr>
      <w:r>
        <w:rPr>
          <w:sz w:val="24"/>
        </w:rPr>
        <w:t>Fernández Buey, F. (2002). </w:t>
      </w:r>
      <w:r>
        <w:rPr>
          <w:i/>
          <w:sz w:val="24"/>
        </w:rPr>
        <w:t>Ecología Política de la Pobreza. </w:t>
      </w:r>
      <w:r>
        <w:rPr>
          <w:sz w:val="24"/>
        </w:rPr>
        <w:t>Obtenido de</w:t>
      </w:r>
      <w:hyperlink r:id="rId98">
        <w:r>
          <w:rPr>
            <w:sz w:val="24"/>
          </w:rPr>
          <w:t> http://habitat.aq.upm.es/boletin/n20/affer.html</w:t>
        </w:r>
      </w:hyperlink>
    </w:p>
    <w:p>
      <w:pPr>
        <w:spacing w:after="0" w:line="364" w:lineRule="auto"/>
        <w:jc w:val="left"/>
        <w:rPr>
          <w:sz w:val="24"/>
        </w:rPr>
        <w:sectPr>
          <w:pgSz w:w="12240" w:h="15840"/>
          <w:pgMar w:header="0" w:footer="982" w:top="1360" w:bottom="1260" w:left="400" w:right="400"/>
        </w:sectPr>
      </w:pPr>
    </w:p>
    <w:p>
      <w:pPr>
        <w:spacing w:line="362" w:lineRule="auto" w:before="75"/>
        <w:ind w:left="1760" w:right="1109" w:hanging="720"/>
        <w:jc w:val="left"/>
        <w:rPr>
          <w:sz w:val="24"/>
        </w:rPr>
      </w:pPr>
      <w:r>
        <w:rPr>
          <w:sz w:val="24"/>
        </w:rPr>
        <w:t>Ferre, Z., Gandelman, N., &amp; Piani, G. (2008). </w:t>
      </w:r>
      <w:r>
        <w:rPr>
          <w:i/>
          <w:sz w:val="24"/>
        </w:rPr>
        <w:t>Quality of Life in Montevideo. </w:t>
      </w:r>
      <w:r>
        <w:rPr>
          <w:sz w:val="24"/>
        </w:rPr>
        <w:t>Washington D.C.: Banco Interamericano de Desarrollo.</w:t>
      </w:r>
    </w:p>
    <w:p>
      <w:pPr>
        <w:spacing w:line="362" w:lineRule="auto" w:before="195"/>
        <w:ind w:left="1760" w:right="1229" w:hanging="720"/>
        <w:jc w:val="left"/>
        <w:rPr>
          <w:sz w:val="24"/>
        </w:rPr>
      </w:pPr>
      <w:r>
        <w:rPr>
          <w:sz w:val="24"/>
        </w:rPr>
        <w:t>Fisher, R., Maginnis, S., Jackson, W., Barrow, E., &amp; Jeanrenaud, S. (2005). </w:t>
      </w:r>
      <w:r>
        <w:rPr>
          <w:i/>
          <w:sz w:val="24"/>
        </w:rPr>
        <w:t>Pobreza y </w:t>
      </w:r>
      <w:r>
        <w:rPr>
          <w:i/>
          <w:sz w:val="24"/>
        </w:rPr>
        <w:t>Conservación. Paisajes, Pueblos y Poder </w:t>
      </w:r>
      <w:r>
        <w:rPr>
          <w:sz w:val="24"/>
        </w:rPr>
        <w:t>(1era ed.). San José, Costa Rica: UICN.</w:t>
      </w:r>
    </w:p>
    <w:p>
      <w:pPr>
        <w:spacing w:before="190"/>
        <w:ind w:left="1040" w:right="0" w:firstLine="0"/>
        <w:jc w:val="left"/>
        <w:rPr>
          <w:i/>
          <w:sz w:val="24"/>
        </w:rPr>
      </w:pPr>
      <w:r>
        <w:rPr>
          <w:sz w:val="24"/>
        </w:rPr>
        <w:t>Francisco, P. (2015). </w:t>
      </w:r>
      <w:r>
        <w:rPr>
          <w:i/>
          <w:sz w:val="24"/>
        </w:rPr>
        <w:t>Carta Encíclica Laudato Si sobre el Cuidado de la Casa Común</w:t>
      </w:r>
    </w:p>
    <w:p>
      <w:pPr>
        <w:pStyle w:val="BodyText"/>
        <w:spacing w:before="144"/>
        <w:ind w:left="1760"/>
      </w:pPr>
      <w:r>
        <w:rPr/>
        <w:t>(1era ed.). Bogotá, Colombia: San Pablo.</w:t>
      </w:r>
    </w:p>
    <w:p>
      <w:pPr>
        <w:pStyle w:val="BodyText"/>
        <w:spacing w:before="2"/>
        <w:rPr>
          <w:sz w:val="29"/>
        </w:rPr>
      </w:pPr>
    </w:p>
    <w:p>
      <w:pPr>
        <w:pStyle w:val="BodyText"/>
        <w:spacing w:line="357" w:lineRule="auto" w:before="1"/>
        <w:ind w:left="1760" w:right="1147" w:hanging="720"/>
      </w:pPr>
      <w:r>
        <w:rPr/>
        <w:t>Funtowicz, S., &amp; Ravetz, J. (1994). The worth of a songbird: ecological economics as a post-normal science. </w:t>
      </w:r>
      <w:r>
        <w:rPr>
          <w:i/>
        </w:rPr>
        <w:t>Ecological Economics, 10</w:t>
      </w:r>
      <w:r>
        <w:rPr/>
        <w:t>, 197-207.</w:t>
      </w:r>
    </w:p>
    <w:p>
      <w:pPr>
        <w:spacing w:line="362" w:lineRule="auto" w:before="202"/>
        <w:ind w:left="1760" w:right="1047" w:hanging="720"/>
        <w:jc w:val="left"/>
        <w:rPr>
          <w:sz w:val="24"/>
        </w:rPr>
      </w:pPr>
      <w:r>
        <w:rPr>
          <w:sz w:val="24"/>
        </w:rPr>
        <w:t>Gachet, I. (2002). </w:t>
      </w:r>
      <w:r>
        <w:rPr>
          <w:i/>
          <w:sz w:val="24"/>
        </w:rPr>
        <w:t>La Huella Ecológica: Teoría, Método y Tres Aplicaciones al Análisis </w:t>
      </w:r>
      <w:r>
        <w:rPr>
          <w:i/>
          <w:sz w:val="24"/>
        </w:rPr>
        <w:t>Económico </w:t>
      </w:r>
      <w:r>
        <w:rPr>
          <w:sz w:val="24"/>
        </w:rPr>
        <w:t>(1era ed.). Quito, Ecuador: Ediciones Abya-Yala.</w:t>
      </w:r>
    </w:p>
    <w:p>
      <w:pPr>
        <w:spacing w:before="194"/>
        <w:ind w:left="1040" w:right="0" w:firstLine="0"/>
        <w:jc w:val="left"/>
        <w:rPr>
          <w:i/>
          <w:sz w:val="24"/>
        </w:rPr>
      </w:pPr>
      <w:r>
        <w:rPr>
          <w:sz w:val="24"/>
        </w:rPr>
        <w:t>Gell-Mann, M. (1996). </w:t>
      </w:r>
      <w:r>
        <w:rPr>
          <w:i/>
          <w:sz w:val="24"/>
        </w:rPr>
        <w:t>The quark and the jaguar. Adventures in the simple and complex.</w:t>
      </w:r>
    </w:p>
    <w:p>
      <w:pPr>
        <w:pStyle w:val="BodyText"/>
        <w:spacing w:before="145"/>
        <w:ind w:left="1760"/>
      </w:pPr>
      <w:r>
        <w:rPr/>
        <w:t>(Segunda ed.). Nueva York, EEUU: W.H. Freeman / Co.</w:t>
      </w:r>
    </w:p>
    <w:p>
      <w:pPr>
        <w:pStyle w:val="BodyText"/>
        <w:spacing w:before="10"/>
        <w:rPr>
          <w:sz w:val="28"/>
        </w:rPr>
      </w:pPr>
    </w:p>
    <w:p>
      <w:pPr>
        <w:spacing w:before="0"/>
        <w:ind w:left="1040" w:right="0" w:firstLine="0"/>
        <w:jc w:val="left"/>
        <w:rPr>
          <w:i/>
          <w:sz w:val="24"/>
        </w:rPr>
      </w:pPr>
      <w:r>
        <w:rPr>
          <w:sz w:val="24"/>
        </w:rPr>
        <w:t>Georgescu-Roegen, N. (1971). </w:t>
      </w:r>
      <w:r>
        <w:rPr>
          <w:i/>
          <w:sz w:val="24"/>
        </w:rPr>
        <w:t>The Entropy Law and the Economic Process.</w:t>
      </w:r>
    </w:p>
    <w:p>
      <w:pPr>
        <w:pStyle w:val="BodyText"/>
        <w:spacing w:before="144"/>
        <w:ind w:left="1760"/>
      </w:pPr>
      <w:r>
        <w:rPr/>
        <w:t>Cambridge, Massachussetts: Harvard University Press.</w:t>
      </w:r>
    </w:p>
    <w:p>
      <w:pPr>
        <w:pStyle w:val="BodyText"/>
        <w:spacing w:before="10"/>
        <w:rPr>
          <w:sz w:val="28"/>
        </w:rPr>
      </w:pPr>
    </w:p>
    <w:p>
      <w:pPr>
        <w:spacing w:line="362" w:lineRule="auto" w:before="0"/>
        <w:ind w:left="1760" w:right="1162" w:hanging="720"/>
        <w:jc w:val="left"/>
        <w:rPr>
          <w:sz w:val="24"/>
        </w:rPr>
      </w:pPr>
      <w:r>
        <w:rPr>
          <w:sz w:val="24"/>
        </w:rPr>
        <w:t>Georgiu, S., Whittington, D., Pearce, D., &amp; Moran, D. (1997). </w:t>
      </w:r>
      <w:r>
        <w:rPr>
          <w:i/>
          <w:sz w:val="24"/>
        </w:rPr>
        <w:t>Economic Values and the </w:t>
      </w:r>
      <w:r>
        <w:rPr>
          <w:i/>
          <w:sz w:val="24"/>
        </w:rPr>
        <w:t>Environment in the Developing World. </w:t>
      </w:r>
      <w:r>
        <w:rPr>
          <w:sz w:val="24"/>
        </w:rPr>
        <w:t>Cheltenham, Reino Unido: Edward Elgar.</w:t>
      </w:r>
    </w:p>
    <w:p>
      <w:pPr>
        <w:pStyle w:val="BodyText"/>
        <w:spacing w:line="360" w:lineRule="auto" w:before="199"/>
        <w:ind w:left="1760" w:right="1096" w:hanging="720"/>
      </w:pPr>
      <w:r>
        <w:rPr/>
        <w:t>Giampietro, M., Mayumi, K., &amp; Munda, G. (2006). Integrated assessment and energy analysis: Quality assurance in multi-criteria analysis of sustainability. </w:t>
      </w:r>
      <w:r>
        <w:rPr>
          <w:i/>
        </w:rPr>
        <w:t>Energy</w:t>
      </w:r>
      <w:r>
        <w:rPr/>
        <w:t>, 59- 86.</w:t>
      </w:r>
    </w:p>
    <w:p>
      <w:pPr>
        <w:spacing w:line="360" w:lineRule="auto" w:before="198"/>
        <w:ind w:left="1760" w:right="1134" w:hanging="720"/>
        <w:jc w:val="left"/>
        <w:rPr>
          <w:sz w:val="24"/>
        </w:rPr>
      </w:pPr>
      <w:r>
        <w:rPr>
          <w:sz w:val="24"/>
        </w:rPr>
        <w:t>González, A. (2010). </w:t>
      </w:r>
      <w:r>
        <w:rPr>
          <w:i/>
          <w:sz w:val="24"/>
        </w:rPr>
        <w:t>Desarrollo y Potencial Turístico: El Caso del Centro Turístico </w:t>
      </w:r>
      <w:r>
        <w:rPr>
          <w:i/>
          <w:sz w:val="24"/>
        </w:rPr>
        <w:t>Sierpe en el Corredor Corcovado – Golfito, Pacífico Sur de Costa Rica. </w:t>
      </w:r>
      <w:r>
        <w:rPr>
          <w:sz w:val="24"/>
        </w:rPr>
        <w:t>San José, Costa Rica: Universidad para la Cooperación Internacional, Proyecto final de graduación presentado como requisito parcial para optar por el título de master en gestión del turismo sostenible.</w:t>
      </w:r>
    </w:p>
    <w:p>
      <w:pPr>
        <w:spacing w:after="0" w:line="360" w:lineRule="auto"/>
        <w:jc w:val="left"/>
        <w:rPr>
          <w:sz w:val="24"/>
        </w:rPr>
        <w:sectPr>
          <w:pgSz w:w="12240" w:h="15840"/>
          <w:pgMar w:header="0" w:footer="982" w:top="1360" w:bottom="1260" w:left="400" w:right="400"/>
        </w:sectPr>
      </w:pPr>
    </w:p>
    <w:p>
      <w:pPr>
        <w:pStyle w:val="BodyText"/>
        <w:spacing w:before="79"/>
        <w:ind w:left="1040"/>
      </w:pPr>
      <w:r>
        <w:rPr/>
        <w:t>Gowdy, J., &amp; Mesner, S. (1998). The Evolution of Georgescu-Roegen's Bioeconomics.</w:t>
      </w:r>
    </w:p>
    <w:p>
      <w:pPr>
        <w:spacing w:before="132"/>
        <w:ind w:left="1760" w:right="0" w:firstLine="0"/>
        <w:jc w:val="left"/>
        <w:rPr>
          <w:sz w:val="24"/>
        </w:rPr>
      </w:pPr>
      <w:r>
        <w:rPr>
          <w:i/>
          <w:sz w:val="24"/>
        </w:rPr>
        <w:t>Review of Social Economy, 56</w:t>
      </w:r>
      <w:r>
        <w:rPr>
          <w:sz w:val="24"/>
        </w:rPr>
        <w:t>(2), 136-156.</w:t>
      </w:r>
    </w:p>
    <w:p>
      <w:pPr>
        <w:pStyle w:val="BodyText"/>
        <w:spacing w:before="10"/>
        <w:rPr>
          <w:sz w:val="29"/>
        </w:rPr>
      </w:pPr>
    </w:p>
    <w:p>
      <w:pPr>
        <w:spacing w:line="357" w:lineRule="auto" w:before="1"/>
        <w:ind w:left="1760" w:right="1134" w:hanging="720"/>
        <w:jc w:val="left"/>
        <w:rPr>
          <w:sz w:val="24"/>
        </w:rPr>
      </w:pPr>
      <w:r>
        <w:rPr>
          <w:sz w:val="24"/>
        </w:rPr>
        <w:t>Griliches, Z. (1961). Hedonic Price Indexes for Automobiles: An Econometric Analysis of Quality Change. En NBER (Ed.), </w:t>
      </w:r>
      <w:r>
        <w:rPr>
          <w:i/>
          <w:sz w:val="24"/>
        </w:rPr>
        <w:t>The Price Statistics of the Federal </w:t>
      </w:r>
      <w:r>
        <w:rPr>
          <w:i/>
          <w:sz w:val="24"/>
        </w:rPr>
        <w:t>Government </w:t>
      </w:r>
      <w:r>
        <w:rPr>
          <w:sz w:val="24"/>
        </w:rPr>
        <w:t>(págs. 173-196). New York: NBER.</w:t>
      </w:r>
    </w:p>
    <w:p>
      <w:pPr>
        <w:spacing w:line="360" w:lineRule="auto" w:before="207"/>
        <w:ind w:left="1760" w:right="1030" w:hanging="720"/>
        <w:jc w:val="left"/>
        <w:rPr>
          <w:sz w:val="24"/>
        </w:rPr>
      </w:pPr>
      <w:r>
        <w:rPr>
          <w:sz w:val="24"/>
        </w:rPr>
        <w:t>Griliches, Z. (1991). Hedonic Price Indexes and the Measurement of Capital and Productivity: Some Historical Reflections. En E. Berndt, &amp; J. Tripplet (Edits.), </w:t>
      </w:r>
      <w:r>
        <w:rPr>
          <w:i/>
          <w:sz w:val="24"/>
        </w:rPr>
        <w:t>Fifty </w:t>
      </w:r>
      <w:r>
        <w:rPr>
          <w:i/>
          <w:sz w:val="24"/>
        </w:rPr>
        <w:t>Years of Economic Measurement: The Jubilee of the Conference on Research in Income and Wealth </w:t>
      </w:r>
      <w:r>
        <w:rPr>
          <w:sz w:val="24"/>
        </w:rPr>
        <w:t>(págs. 185-206). Chicago: University of Chicago Press.</w:t>
      </w:r>
    </w:p>
    <w:p>
      <w:pPr>
        <w:spacing w:line="357" w:lineRule="auto" w:before="200"/>
        <w:ind w:left="1760" w:right="1047" w:hanging="720"/>
        <w:jc w:val="left"/>
        <w:rPr>
          <w:sz w:val="24"/>
        </w:rPr>
      </w:pPr>
      <w:r>
        <w:rPr>
          <w:sz w:val="24"/>
        </w:rPr>
        <w:t>Guerrero, E., &amp; Guiñirgo, F. (2008). Indicador espacial del metabolismo urbano. Huella Ecológica de la ciudad de Tandil, Argentina. </w:t>
      </w:r>
      <w:r>
        <w:rPr>
          <w:i/>
          <w:sz w:val="24"/>
        </w:rPr>
        <w:t>Revista Iberoamericana de </w:t>
      </w:r>
      <w:r>
        <w:rPr>
          <w:i/>
          <w:sz w:val="24"/>
        </w:rPr>
        <w:t>Economía Ecológica, 9</w:t>
      </w:r>
      <w:r>
        <w:rPr>
          <w:sz w:val="24"/>
        </w:rPr>
        <w:t>, 31-44.</w:t>
      </w:r>
    </w:p>
    <w:p>
      <w:pPr>
        <w:spacing w:line="357" w:lineRule="auto" w:before="207"/>
        <w:ind w:left="1760" w:right="1047" w:hanging="720"/>
        <w:jc w:val="left"/>
        <w:rPr>
          <w:sz w:val="24"/>
        </w:rPr>
      </w:pPr>
      <w:r>
        <w:rPr>
          <w:sz w:val="24"/>
        </w:rPr>
        <w:t>Guha., R., &amp; Martínez-Alier, J. (2000). </w:t>
      </w:r>
      <w:r>
        <w:rPr>
          <w:i/>
          <w:sz w:val="24"/>
        </w:rPr>
        <w:t>Varieties of Environmentalism. Essays North and </w:t>
      </w:r>
      <w:r>
        <w:rPr>
          <w:i/>
          <w:sz w:val="24"/>
        </w:rPr>
        <w:t>South. </w:t>
      </w:r>
      <w:r>
        <w:rPr>
          <w:sz w:val="24"/>
        </w:rPr>
        <w:t>Londres, Reino Unido: Earthscan.</w:t>
      </w:r>
    </w:p>
    <w:p>
      <w:pPr>
        <w:pStyle w:val="BodyText"/>
        <w:spacing w:before="206"/>
        <w:ind w:left="1040"/>
      </w:pPr>
      <w:r>
        <w:rPr/>
        <w:t>Gujarati, D. (1992). </w:t>
      </w:r>
      <w:r>
        <w:rPr>
          <w:i/>
        </w:rPr>
        <w:t>Econometría </w:t>
      </w:r>
      <w:r>
        <w:rPr/>
        <w:t>(2da ed.). México: McGraw-Hill.</w:t>
      </w:r>
    </w:p>
    <w:p>
      <w:pPr>
        <w:pStyle w:val="BodyText"/>
        <w:spacing w:before="6"/>
        <w:rPr>
          <w:sz w:val="29"/>
        </w:rPr>
      </w:pPr>
    </w:p>
    <w:p>
      <w:pPr>
        <w:pStyle w:val="BodyText"/>
        <w:spacing w:line="360" w:lineRule="auto"/>
        <w:ind w:left="1760" w:right="1047" w:hanging="720"/>
      </w:pPr>
      <w:r>
        <w:rPr/>
        <w:t>Gutiérrez, A., Suárez, C., &amp; Ruiza, P. (2015). Uso del programa Move™ y de la aplicación para dispositivo móvil FieldMove, en la visualización e integración de datos en estudios Geotécnicos. Aplicaciones prácticas en Costa Rica. San José, Costa Rica: XII Congreso Nacional de Geotecnia.</w:t>
      </w:r>
    </w:p>
    <w:p>
      <w:pPr>
        <w:pStyle w:val="BodyText"/>
        <w:spacing w:line="360" w:lineRule="auto" w:before="201"/>
        <w:ind w:left="1760" w:right="1540" w:hanging="720"/>
        <w:jc w:val="both"/>
      </w:pPr>
      <w:r>
        <w:rPr/>
        <w:t>Haas, W., Krausmann, F., Wiedenhofer, D., &amp; Heinz, M. (2015). How Circular is the Global Economy? An Assessment of Material Flows, Waste Production, and Recycling in the European Union and the World in 2005. </w:t>
      </w:r>
      <w:r>
        <w:rPr>
          <w:i/>
        </w:rPr>
        <w:t>Journal of Industrial </w:t>
      </w:r>
      <w:r>
        <w:rPr>
          <w:i/>
        </w:rPr>
        <w:t>Ecology, 19</w:t>
      </w:r>
      <w:r>
        <w:rPr/>
        <w:t>(5), DOI: 10.1111/jiec.12244.</w:t>
      </w:r>
    </w:p>
    <w:p>
      <w:pPr>
        <w:spacing w:line="362" w:lineRule="auto" w:before="196"/>
        <w:ind w:left="1760" w:right="2209" w:hanging="720"/>
        <w:jc w:val="both"/>
        <w:rPr>
          <w:sz w:val="24"/>
        </w:rPr>
      </w:pPr>
      <w:r>
        <w:rPr>
          <w:sz w:val="24"/>
        </w:rPr>
        <w:t>Hall, C. (2000). </w:t>
      </w:r>
      <w:r>
        <w:rPr>
          <w:i/>
          <w:sz w:val="24"/>
        </w:rPr>
        <w:t>Quantifying Sustainable Development. The Future of Tropical </w:t>
      </w:r>
      <w:r>
        <w:rPr>
          <w:i/>
          <w:sz w:val="24"/>
        </w:rPr>
        <w:t>Economies. </w:t>
      </w:r>
      <w:r>
        <w:rPr>
          <w:sz w:val="24"/>
        </w:rPr>
        <w:t>San Diego, California, EEUU: Academic Press.</w:t>
      </w:r>
    </w:p>
    <w:p>
      <w:pPr>
        <w:spacing w:after="0" w:line="362" w:lineRule="auto"/>
        <w:jc w:val="both"/>
        <w:rPr>
          <w:sz w:val="24"/>
        </w:rPr>
        <w:sectPr>
          <w:pgSz w:w="12240" w:h="15840"/>
          <w:pgMar w:header="0" w:footer="982" w:top="1360" w:bottom="1260" w:left="400" w:right="400"/>
        </w:sectPr>
      </w:pPr>
    </w:p>
    <w:p>
      <w:pPr>
        <w:spacing w:line="357" w:lineRule="auto" w:before="79"/>
        <w:ind w:left="1760" w:right="1009" w:hanging="720"/>
        <w:jc w:val="left"/>
        <w:rPr>
          <w:sz w:val="24"/>
        </w:rPr>
      </w:pPr>
      <w:r>
        <w:rPr>
          <w:sz w:val="24"/>
        </w:rPr>
        <w:t>Hall, C., Hall, M., &amp; Aguilar, B. (2000). A Brief Historical and Visual Introduction to Costa Rica. En C. Hall (Ed.), </w:t>
      </w:r>
      <w:r>
        <w:rPr>
          <w:i/>
          <w:sz w:val="24"/>
        </w:rPr>
        <w:t>Quantifying Sustainable Development. The Future of </w:t>
      </w:r>
      <w:r>
        <w:rPr>
          <w:i/>
          <w:sz w:val="24"/>
        </w:rPr>
        <w:t>Tropical Economies </w:t>
      </w:r>
      <w:r>
        <w:rPr>
          <w:sz w:val="24"/>
        </w:rPr>
        <w:t>(págs. 19-42). San Diego, California: Academic Press.</w:t>
      </w:r>
    </w:p>
    <w:p>
      <w:pPr>
        <w:spacing w:line="360" w:lineRule="auto" w:before="207"/>
        <w:ind w:left="1760" w:right="1549" w:hanging="720"/>
        <w:jc w:val="left"/>
        <w:rPr>
          <w:sz w:val="24"/>
        </w:rPr>
      </w:pPr>
      <w:r>
        <w:rPr>
          <w:sz w:val="24"/>
        </w:rPr>
        <w:t>Hall, C., Vargas, J., Saenz, O., Ravenscroft, W., &amp; Ko, J. (2000b). Data on Sustainability in Costa Rica. Time Series Analysis of Population, Land Use, Economics, Energy and Efficiency. En C. Hall (Ed.), </w:t>
      </w:r>
      <w:r>
        <w:rPr>
          <w:i/>
          <w:sz w:val="24"/>
        </w:rPr>
        <w:t>Quantifying Sustainable </w:t>
      </w:r>
      <w:r>
        <w:rPr>
          <w:i/>
          <w:sz w:val="24"/>
        </w:rPr>
        <w:t>Development. The Future of Tropical Economies </w:t>
      </w:r>
      <w:r>
        <w:rPr>
          <w:sz w:val="24"/>
        </w:rPr>
        <w:t>(págs. 91-120). San Diego, California, EEUU: Academic Press.</w:t>
      </w:r>
    </w:p>
    <w:p>
      <w:pPr>
        <w:spacing w:line="357" w:lineRule="auto" w:before="199"/>
        <w:ind w:left="1760" w:right="1047" w:hanging="720"/>
        <w:jc w:val="left"/>
        <w:rPr>
          <w:sz w:val="24"/>
        </w:rPr>
      </w:pPr>
      <w:r>
        <w:rPr>
          <w:sz w:val="24"/>
        </w:rPr>
        <w:t>Hall, L., Madrigal, R., &amp; Robalino, J. (2008). </w:t>
      </w:r>
      <w:r>
        <w:rPr>
          <w:i/>
          <w:sz w:val="24"/>
        </w:rPr>
        <w:t>Quality of Life in Urban Neighborhoods in </w:t>
      </w:r>
      <w:r>
        <w:rPr>
          <w:i/>
          <w:sz w:val="24"/>
        </w:rPr>
        <w:t>Costa Rica. </w:t>
      </w:r>
      <w:r>
        <w:rPr>
          <w:sz w:val="24"/>
        </w:rPr>
        <w:t>Washington D.C.: Banco Interamericano de Desarrollo.</w:t>
      </w:r>
    </w:p>
    <w:p>
      <w:pPr>
        <w:pStyle w:val="BodyText"/>
        <w:spacing w:line="360" w:lineRule="auto" w:before="209"/>
        <w:ind w:left="1760" w:right="1162" w:hanging="720"/>
      </w:pPr>
      <w:r>
        <w:rPr/>
        <w:t>Hall, L., Robalino, J., &amp; Madrigal, R. (2010). Pricing Amenities in Urban Neighborhoods of Costa Rica. En E. Lora, A. Powell, &amp; B. S. van Praag (Edits.), </w:t>
      </w:r>
      <w:r>
        <w:rPr>
          <w:i/>
        </w:rPr>
        <w:t>The Quality of </w:t>
      </w:r>
      <w:r>
        <w:rPr>
          <w:i/>
        </w:rPr>
        <w:t>Life in Latin American Cities </w:t>
      </w:r>
      <w:r>
        <w:rPr/>
        <w:t>(págs. 161-186). Washington DC: Interamerican Development Bank.</w:t>
      </w:r>
    </w:p>
    <w:p>
      <w:pPr>
        <w:spacing w:line="362" w:lineRule="auto" w:before="197"/>
        <w:ind w:left="1760" w:right="1295" w:hanging="720"/>
        <w:jc w:val="left"/>
        <w:rPr>
          <w:sz w:val="24"/>
        </w:rPr>
      </w:pPr>
      <w:r>
        <w:rPr>
          <w:sz w:val="24"/>
        </w:rPr>
        <w:t>Harris, J. (2002). </w:t>
      </w:r>
      <w:r>
        <w:rPr>
          <w:i/>
          <w:sz w:val="24"/>
        </w:rPr>
        <w:t>Environmental and Natural Resource Economics. </w:t>
      </w:r>
      <w:r>
        <w:rPr>
          <w:sz w:val="24"/>
        </w:rPr>
        <w:t>Boston: Houghton Miffin Company.</w:t>
      </w:r>
    </w:p>
    <w:p>
      <w:pPr>
        <w:spacing w:line="357" w:lineRule="auto" w:before="194"/>
        <w:ind w:left="1760" w:right="1377" w:hanging="720"/>
        <w:jc w:val="left"/>
        <w:rPr>
          <w:sz w:val="24"/>
        </w:rPr>
      </w:pPr>
      <w:r>
        <w:rPr>
          <w:sz w:val="24"/>
        </w:rPr>
        <w:t>Healey, H., Martínez-Alier, J., Temper, L., Walter, M., &amp; Gerber, J. (2013). </w:t>
      </w:r>
      <w:r>
        <w:rPr>
          <w:i/>
          <w:sz w:val="24"/>
        </w:rPr>
        <w:t>Ecological </w:t>
      </w:r>
      <w:r>
        <w:rPr>
          <w:i/>
          <w:sz w:val="24"/>
        </w:rPr>
        <w:t>Economics from the Ground Up </w:t>
      </w:r>
      <w:r>
        <w:rPr>
          <w:sz w:val="24"/>
        </w:rPr>
        <w:t>(1era ed.). Londres: Earthscan.</w:t>
      </w:r>
    </w:p>
    <w:p>
      <w:pPr>
        <w:spacing w:before="206"/>
        <w:ind w:left="1040" w:right="0" w:firstLine="0"/>
        <w:jc w:val="left"/>
        <w:rPr>
          <w:sz w:val="24"/>
        </w:rPr>
      </w:pPr>
      <w:r>
        <w:rPr>
          <w:sz w:val="24"/>
        </w:rPr>
        <w:t>Hilje, L. (2016). </w:t>
      </w:r>
      <w:r>
        <w:rPr>
          <w:i/>
          <w:sz w:val="24"/>
        </w:rPr>
        <w:t>Don Juan Rafael Mora y las ciencias naturales en Costa Rica </w:t>
      </w:r>
      <w:r>
        <w:rPr>
          <w:sz w:val="24"/>
        </w:rPr>
        <w:t>(1 ed.).</w:t>
      </w:r>
    </w:p>
    <w:p>
      <w:pPr>
        <w:pStyle w:val="BodyText"/>
        <w:spacing w:before="140"/>
        <w:ind w:left="1760"/>
      </w:pPr>
      <w:r>
        <w:rPr/>
        <w:t>Alajuela, Costa Rica: EUTN.</w:t>
      </w:r>
    </w:p>
    <w:p>
      <w:pPr>
        <w:pStyle w:val="BodyText"/>
        <w:spacing w:before="3"/>
        <w:rPr>
          <w:sz w:val="29"/>
        </w:rPr>
      </w:pPr>
    </w:p>
    <w:p>
      <w:pPr>
        <w:spacing w:line="362" w:lineRule="auto" w:before="0"/>
        <w:ind w:left="1760" w:right="2202" w:hanging="720"/>
        <w:jc w:val="left"/>
        <w:rPr>
          <w:sz w:val="24"/>
        </w:rPr>
      </w:pPr>
      <w:r>
        <w:rPr>
          <w:sz w:val="24"/>
        </w:rPr>
        <w:t>Hille, J. (1997). </w:t>
      </w:r>
      <w:r>
        <w:rPr>
          <w:i/>
          <w:sz w:val="24"/>
        </w:rPr>
        <w:t>The Concept of Environmental Space. </w:t>
      </w:r>
      <w:r>
        <w:rPr>
          <w:sz w:val="24"/>
        </w:rPr>
        <w:t>Luxembourg: Eurpean Environment Agency.</w:t>
      </w:r>
    </w:p>
    <w:p>
      <w:pPr>
        <w:spacing w:line="357" w:lineRule="auto" w:before="199"/>
        <w:ind w:left="1760" w:right="1134" w:hanging="720"/>
        <w:jc w:val="left"/>
        <w:rPr>
          <w:sz w:val="24"/>
        </w:rPr>
      </w:pPr>
      <w:r>
        <w:rPr>
          <w:sz w:val="24"/>
        </w:rPr>
        <w:t>Holden, </w:t>
      </w:r>
      <w:r>
        <w:rPr>
          <w:spacing w:val="2"/>
          <w:sz w:val="24"/>
        </w:rPr>
        <w:t>W., </w:t>
      </w:r>
      <w:r>
        <w:rPr>
          <w:sz w:val="24"/>
        </w:rPr>
        <w:t>&amp; Jacobson, R. (2008). Civil Society Opposition to Nonferrous Metals Mining in Guatemala. </w:t>
      </w:r>
      <w:r>
        <w:rPr>
          <w:i/>
          <w:sz w:val="24"/>
        </w:rPr>
        <w:t>VOLUNTAS: International Journal of Voluntary and </w:t>
      </w:r>
      <w:r>
        <w:rPr>
          <w:i/>
          <w:sz w:val="24"/>
        </w:rPr>
        <w:t>Nonprofit Organizations, 19</w:t>
      </w:r>
      <w:r>
        <w:rPr>
          <w:sz w:val="24"/>
        </w:rPr>
        <w:t>(325),</w:t>
      </w:r>
      <w:r>
        <w:rPr>
          <w:spacing w:val="-42"/>
          <w:sz w:val="24"/>
        </w:rPr>
        <w:t> </w:t>
      </w:r>
      <w:r>
        <w:rPr>
          <w:sz w:val="24"/>
        </w:rPr>
        <w:t>https://doi.org/10.1007/s11266-008-9073-9.</w:t>
      </w:r>
    </w:p>
    <w:p>
      <w:pPr>
        <w:spacing w:before="203"/>
        <w:ind w:left="1040" w:right="0" w:firstLine="0"/>
        <w:jc w:val="left"/>
        <w:rPr>
          <w:i/>
          <w:sz w:val="24"/>
        </w:rPr>
      </w:pPr>
      <w:r>
        <w:rPr>
          <w:sz w:val="24"/>
        </w:rPr>
        <w:t>Honey, M. (1999). </w:t>
      </w:r>
      <w:r>
        <w:rPr>
          <w:i/>
          <w:sz w:val="24"/>
        </w:rPr>
        <w:t>Ecotourism and Sustainable Development. Who Owns</w:t>
      </w:r>
      <w:r>
        <w:rPr>
          <w:i/>
          <w:spacing w:val="-39"/>
          <w:sz w:val="24"/>
        </w:rPr>
        <w:t> </w:t>
      </w:r>
      <w:r>
        <w:rPr>
          <w:i/>
          <w:sz w:val="24"/>
        </w:rPr>
        <w:t>Paradise?</w:t>
      </w:r>
    </w:p>
    <w:p>
      <w:pPr>
        <w:pStyle w:val="BodyText"/>
        <w:spacing w:before="144"/>
        <w:ind w:left="1760"/>
      </w:pPr>
      <w:r>
        <w:rPr/>
        <w:t>Washington DC, EEUU: Island Press.</w:t>
      </w:r>
    </w:p>
    <w:p>
      <w:pPr>
        <w:spacing w:after="0"/>
        <w:sectPr>
          <w:pgSz w:w="12240" w:h="15840"/>
          <w:pgMar w:header="0" w:footer="982" w:top="1360" w:bottom="1260" w:left="400" w:right="400"/>
        </w:sectPr>
      </w:pPr>
    </w:p>
    <w:p>
      <w:pPr>
        <w:spacing w:line="360" w:lineRule="auto" w:before="75"/>
        <w:ind w:left="1760" w:right="1047" w:hanging="720"/>
        <w:jc w:val="left"/>
        <w:rPr>
          <w:sz w:val="24"/>
        </w:rPr>
      </w:pPr>
      <w:r>
        <w:rPr>
          <w:sz w:val="24"/>
        </w:rPr>
        <w:t>Huang, J. (2015). </w:t>
      </w:r>
      <w:r>
        <w:rPr>
          <w:i/>
          <w:sz w:val="24"/>
        </w:rPr>
        <w:t>Landscape Visual Quality Assessment Using GIS in Washtenaw </w:t>
      </w:r>
      <w:r>
        <w:rPr>
          <w:i/>
          <w:sz w:val="24"/>
        </w:rPr>
        <w:t>County, MI. </w:t>
      </w:r>
      <w:r>
        <w:rPr>
          <w:sz w:val="24"/>
        </w:rPr>
        <w:t>Recuperado el 12 de marzo de 2017, de https://imagininc.wildapricot.org/resources/SPPC/2015/papers/jiawei_huang_pap er.pdf</w:t>
      </w:r>
    </w:p>
    <w:p>
      <w:pPr>
        <w:pStyle w:val="BodyText"/>
        <w:spacing w:line="362" w:lineRule="auto" w:before="201"/>
        <w:ind w:left="1760" w:right="1047" w:hanging="720"/>
      </w:pPr>
      <w:r>
        <w:rPr/>
        <w:t>INEC. (2018). </w:t>
      </w:r>
      <w:r>
        <w:rPr>
          <w:i/>
        </w:rPr>
        <w:t>ENCUESTA NACIONAL DE HOGARES</w:t>
      </w:r>
      <w:r>
        <w:rPr/>
        <w:t>. Recuperado el 2 de marzo de 2018, de </w:t>
      </w:r>
      <w:hyperlink r:id="rId99">
        <w:r>
          <w:rPr/>
          <w:t>http://www.inec.go.cr/encuestas/encuesta-nacional-de-hogares</w:t>
        </w:r>
      </w:hyperlink>
    </w:p>
    <w:p>
      <w:pPr>
        <w:spacing w:line="357" w:lineRule="auto" w:before="194"/>
        <w:ind w:left="1760" w:right="1134" w:hanging="720"/>
        <w:jc w:val="left"/>
        <w:rPr>
          <w:sz w:val="24"/>
        </w:rPr>
      </w:pPr>
      <w:r>
        <w:rPr>
          <w:sz w:val="24"/>
        </w:rPr>
        <w:t>Instituto de Ecología Política. (s.f.). </w:t>
      </w:r>
      <w:r>
        <w:rPr>
          <w:i/>
          <w:sz w:val="24"/>
        </w:rPr>
        <w:t>La Valoración Económica de la Deuda Ecológica; </w:t>
      </w:r>
      <w:r>
        <w:rPr>
          <w:i/>
          <w:sz w:val="24"/>
        </w:rPr>
        <w:t>Un Resumen de los Métodos. </w:t>
      </w:r>
      <w:r>
        <w:rPr>
          <w:sz w:val="24"/>
        </w:rPr>
        <w:t>Santiago, Chile: Instituto de Ecología Política.</w:t>
      </w:r>
    </w:p>
    <w:p>
      <w:pPr>
        <w:spacing w:line="362" w:lineRule="auto" w:before="206"/>
        <w:ind w:left="1760" w:right="1178" w:hanging="720"/>
        <w:jc w:val="left"/>
        <w:rPr>
          <w:sz w:val="24"/>
        </w:rPr>
      </w:pPr>
      <w:r>
        <w:rPr>
          <w:sz w:val="24"/>
        </w:rPr>
        <w:t>Isla, A. (2016). </w:t>
      </w:r>
      <w:r>
        <w:rPr>
          <w:i/>
          <w:sz w:val="24"/>
        </w:rPr>
        <w:t>The "Greening" of Costa Rica </w:t>
      </w:r>
      <w:r>
        <w:rPr>
          <w:sz w:val="24"/>
        </w:rPr>
        <w:t>(1era reimpresión ed.). Toronto, Canadá: Uiversity of Toronto Press.</w:t>
      </w:r>
    </w:p>
    <w:p>
      <w:pPr>
        <w:spacing w:line="362" w:lineRule="auto" w:before="195"/>
        <w:ind w:left="1760" w:right="1242" w:hanging="720"/>
        <w:jc w:val="left"/>
        <w:rPr>
          <w:sz w:val="24"/>
        </w:rPr>
      </w:pPr>
      <w:r>
        <w:rPr>
          <w:sz w:val="24"/>
        </w:rPr>
        <w:t>Jansson, A., Hammer, M., Folke, C., &amp; Costanza, R. (1998). </w:t>
      </w:r>
      <w:r>
        <w:rPr>
          <w:i/>
          <w:sz w:val="24"/>
        </w:rPr>
        <w:t>Investing in Natural </w:t>
      </w:r>
      <w:r>
        <w:rPr>
          <w:i/>
          <w:sz w:val="24"/>
        </w:rPr>
        <w:t>Capital. The Ecological Economics Approach to Sustainability. </w:t>
      </w:r>
      <w:r>
        <w:rPr>
          <w:sz w:val="24"/>
        </w:rPr>
        <w:t>Washington DC: Island Press.</w:t>
      </w:r>
    </w:p>
    <w:p>
      <w:pPr>
        <w:pStyle w:val="BodyText"/>
        <w:spacing w:line="360" w:lineRule="auto" w:before="194"/>
        <w:ind w:left="1760" w:right="1047" w:hanging="720"/>
      </w:pPr>
      <w:r>
        <w:rPr/>
        <w:t>Jones, C., &amp; DiPinto, L. (2017). The role of ecosystem services in USA natural resource liability litigation. </w:t>
      </w:r>
      <w:r>
        <w:rPr>
          <w:i/>
        </w:rPr>
        <w:t>Ecosystem Services, In Press</w:t>
      </w:r>
      <w:r>
        <w:rPr/>
        <w:t>, https://doi.org/10.1016/j.ecoser.2017.03.015.</w:t>
      </w:r>
    </w:p>
    <w:p>
      <w:pPr>
        <w:pStyle w:val="BodyText"/>
        <w:spacing w:line="360" w:lineRule="auto" w:before="203"/>
        <w:ind w:left="1760" w:right="1050" w:hanging="720"/>
      </w:pPr>
      <w:r>
        <w:rPr/>
        <w:t>Jones, C., Pendergrass, J., Broderick, J., &amp; Phelps, J. (2015). Tropical Conservation and liability for Environmental harm. </w:t>
      </w:r>
      <w:r>
        <w:rPr>
          <w:i/>
        </w:rPr>
        <w:t>Environmental Law Reporter, 45</w:t>
      </w:r>
      <w:r>
        <w:rPr/>
        <w:t>(11),</w:t>
      </w:r>
      <w:r>
        <w:rPr>
          <w:spacing w:val="-36"/>
        </w:rPr>
        <w:t> </w:t>
      </w:r>
      <w:r>
        <w:rPr/>
        <w:t>11032- 11050.</w:t>
      </w:r>
    </w:p>
    <w:p>
      <w:pPr>
        <w:spacing w:line="362" w:lineRule="auto" w:before="194"/>
        <w:ind w:left="1760" w:right="1047" w:hanging="720"/>
        <w:jc w:val="left"/>
        <w:rPr>
          <w:sz w:val="24"/>
        </w:rPr>
      </w:pPr>
      <w:r>
        <w:rPr>
          <w:sz w:val="24"/>
        </w:rPr>
        <w:t>Judge, G., Hill, R., Griffiths, W., Lütkepohl, H., &amp; Lee, T. (1988). </w:t>
      </w:r>
      <w:r>
        <w:rPr>
          <w:i/>
          <w:sz w:val="24"/>
        </w:rPr>
        <w:t>Introduction to the </w:t>
      </w:r>
      <w:r>
        <w:rPr>
          <w:i/>
          <w:sz w:val="24"/>
        </w:rPr>
        <w:t>Theory and Practice of Econometrics </w:t>
      </w:r>
      <w:r>
        <w:rPr>
          <w:sz w:val="24"/>
        </w:rPr>
        <w:t>(2nda ed.). New York: John Wiley &amp; Sons.</w:t>
      </w:r>
    </w:p>
    <w:p>
      <w:pPr>
        <w:spacing w:line="364" w:lineRule="auto" w:before="195"/>
        <w:ind w:left="1760" w:right="1028" w:hanging="720"/>
        <w:jc w:val="left"/>
        <w:rPr>
          <w:sz w:val="24"/>
        </w:rPr>
      </w:pPr>
      <w:r>
        <w:rPr>
          <w:sz w:val="24"/>
        </w:rPr>
        <w:t>Kahn, J. (1998). </w:t>
      </w:r>
      <w:r>
        <w:rPr>
          <w:i/>
          <w:sz w:val="24"/>
        </w:rPr>
        <w:t>The Economic Approach to Environmental and Natural Resources. </w:t>
      </w:r>
      <w:r>
        <w:rPr>
          <w:sz w:val="24"/>
        </w:rPr>
        <w:t>Fort Worth, Texas, EEUU: The Dryden Press.</w:t>
      </w:r>
    </w:p>
    <w:p>
      <w:pPr>
        <w:pStyle w:val="BodyText"/>
        <w:spacing w:before="193"/>
        <w:ind w:left="1040"/>
      </w:pPr>
      <w:r>
        <w:rPr/>
        <w:t>Kallis, G., Kerschner, C., &amp; Martínez-Alier, J. (2012). The economics of degrowth.</w:t>
      </w:r>
    </w:p>
    <w:p>
      <w:pPr>
        <w:spacing w:before="136"/>
        <w:ind w:left="1760" w:right="0" w:firstLine="0"/>
        <w:jc w:val="left"/>
        <w:rPr>
          <w:sz w:val="24"/>
        </w:rPr>
      </w:pPr>
      <w:r>
        <w:rPr>
          <w:i/>
          <w:sz w:val="24"/>
        </w:rPr>
        <w:t>Ecological Economics, 84</w:t>
      </w:r>
      <w:r>
        <w:rPr>
          <w:sz w:val="24"/>
        </w:rPr>
        <w:t>, 172-180.</w:t>
      </w:r>
    </w:p>
    <w:p>
      <w:pPr>
        <w:spacing w:after="0"/>
        <w:jc w:val="left"/>
        <w:rPr>
          <w:sz w:val="24"/>
        </w:rPr>
        <w:sectPr>
          <w:pgSz w:w="12240" w:h="15840"/>
          <w:pgMar w:header="0" w:footer="982" w:top="1360" w:bottom="1260" w:left="400" w:right="400"/>
        </w:sectPr>
      </w:pPr>
    </w:p>
    <w:p>
      <w:pPr>
        <w:spacing w:line="360" w:lineRule="auto" w:before="79"/>
        <w:ind w:left="1760" w:right="1009" w:hanging="720"/>
        <w:jc w:val="left"/>
        <w:rPr>
          <w:sz w:val="24"/>
        </w:rPr>
      </w:pPr>
      <w:r>
        <w:rPr>
          <w:sz w:val="24"/>
        </w:rPr>
        <w:t>Karliner, J. (1993). Central America: Political Ecology and U.S. Foreign Policy. En S. Place (Ed.), </w:t>
      </w:r>
      <w:r>
        <w:rPr>
          <w:i/>
          <w:sz w:val="24"/>
        </w:rPr>
        <w:t>Tropical Rainforests. Latin America Nature and Society in Transition. </w:t>
      </w:r>
      <w:r>
        <w:rPr>
          <w:sz w:val="24"/>
        </w:rPr>
        <w:t>(págs. 71-80). Willmington, Delaware: Scholarly Resources.</w:t>
      </w:r>
    </w:p>
    <w:p>
      <w:pPr>
        <w:pStyle w:val="BodyText"/>
        <w:spacing w:line="357" w:lineRule="auto" w:before="199"/>
        <w:ind w:left="1760" w:right="1047" w:hanging="720"/>
      </w:pPr>
      <w:r>
        <w:rPr/>
        <w:t>Kitgaard, K., &amp; Krall, L. (2012). Ecological economics, degrowth, and institutional change. </w:t>
      </w:r>
      <w:r>
        <w:rPr>
          <w:i/>
        </w:rPr>
        <w:t>Ecological Economics, 84</w:t>
      </w:r>
      <w:r>
        <w:rPr/>
        <w:t>, 247-253.</w:t>
      </w:r>
    </w:p>
    <w:p>
      <w:pPr>
        <w:spacing w:line="535" w:lineRule="auto" w:before="201"/>
        <w:ind w:left="1040" w:right="1108" w:firstLine="0"/>
        <w:jc w:val="left"/>
        <w:rPr>
          <w:sz w:val="24"/>
        </w:rPr>
      </w:pPr>
      <w:r>
        <w:rPr>
          <w:sz w:val="24"/>
        </w:rPr>
        <w:t>Kitzinger, J. (1995). Qualitative research: Introducing focus groups. </w:t>
      </w:r>
      <w:r>
        <w:rPr>
          <w:i/>
          <w:sz w:val="24"/>
        </w:rPr>
        <w:t>BMJ, 311</w:t>
      </w:r>
      <w:r>
        <w:rPr>
          <w:sz w:val="24"/>
        </w:rPr>
        <w:t>, 299-302. Kmenta, J. (1986). </w:t>
      </w:r>
      <w:r>
        <w:rPr>
          <w:i/>
          <w:sz w:val="24"/>
        </w:rPr>
        <w:t>Elements of Econometrics. </w:t>
      </w:r>
      <w:r>
        <w:rPr>
          <w:sz w:val="24"/>
        </w:rPr>
        <w:t>Nueva York: McMillan Publishers.</w:t>
      </w:r>
    </w:p>
    <w:p>
      <w:pPr>
        <w:spacing w:line="357" w:lineRule="auto" w:before="2"/>
        <w:ind w:left="1760" w:right="1028" w:hanging="720"/>
        <w:jc w:val="left"/>
        <w:rPr>
          <w:sz w:val="24"/>
        </w:rPr>
      </w:pPr>
      <w:r>
        <w:rPr>
          <w:sz w:val="24"/>
        </w:rPr>
        <w:t>Kodzo, E. (2012). A Review of Economic Instruments Employed for Biodiversity Conservation. </w:t>
      </w:r>
      <w:r>
        <w:rPr>
          <w:i/>
          <w:sz w:val="24"/>
        </w:rPr>
        <w:t>Consilience: The Journal of Sustainable Development, 9</w:t>
      </w:r>
      <w:r>
        <w:rPr>
          <w:sz w:val="24"/>
        </w:rPr>
        <w:t>(1), 16-32.</w:t>
      </w:r>
    </w:p>
    <w:p>
      <w:pPr>
        <w:spacing w:line="362" w:lineRule="auto" w:before="201"/>
        <w:ind w:left="1760" w:right="1047" w:hanging="720"/>
        <w:jc w:val="left"/>
        <w:rPr>
          <w:sz w:val="24"/>
        </w:rPr>
      </w:pPr>
      <w:r>
        <w:rPr>
          <w:sz w:val="24"/>
        </w:rPr>
        <w:t>Kushner, B., Waite, R., Jungwiwattanaporn, M., &amp; Burke, L. (2012). </w:t>
      </w:r>
      <w:r>
        <w:rPr>
          <w:i/>
          <w:sz w:val="24"/>
        </w:rPr>
        <w:t>Influence of Coastal </w:t>
      </w:r>
      <w:r>
        <w:rPr>
          <w:i/>
          <w:sz w:val="24"/>
        </w:rPr>
        <w:t>Economic Valuations in the Caribbean: Enabling conditions and Lessons Learned. </w:t>
      </w:r>
      <w:r>
        <w:rPr>
          <w:sz w:val="24"/>
        </w:rPr>
        <w:t>Washington D.C.: World Resources Institute/Marine Ecosystem Services Partnership.</w:t>
      </w:r>
    </w:p>
    <w:p>
      <w:pPr>
        <w:pStyle w:val="BodyText"/>
        <w:spacing w:line="360" w:lineRule="auto" w:before="194"/>
        <w:ind w:left="1760" w:right="1149" w:hanging="720"/>
      </w:pPr>
      <w:r>
        <w:rPr/>
        <w:t>Lamarque, P., Meyfroidt, P., Nettier, B., &amp; Lavorel, S. (2014). How Ecosystem Services Knowledge and Values Influence Farmers' Decision-Making. </w:t>
      </w:r>
      <w:r>
        <w:rPr>
          <w:i/>
        </w:rPr>
        <w:t>PLOSONE, 9</w:t>
      </w:r>
      <w:r>
        <w:rPr/>
        <w:t>(9), https://doi.org/10.1371/journal.pone.0107572.</w:t>
      </w:r>
    </w:p>
    <w:p>
      <w:pPr>
        <w:spacing w:line="357" w:lineRule="auto" w:before="203"/>
        <w:ind w:left="1760" w:right="1496" w:hanging="720"/>
        <w:jc w:val="left"/>
        <w:rPr>
          <w:sz w:val="24"/>
        </w:rPr>
      </w:pPr>
      <w:r>
        <w:rPr>
          <w:sz w:val="24"/>
        </w:rPr>
        <w:t>Laplante, J., &amp; Nolin, C. (2014). Consultas and Socially Responsible Investing in Guatemala: A Case Study Examining Maya Perspectives on the Indigenous Right to Free, Prior, and Informed Consent. </w:t>
      </w:r>
      <w:r>
        <w:rPr>
          <w:i/>
          <w:sz w:val="24"/>
        </w:rPr>
        <w:t>Society &amp; Natural Resources: An </w:t>
      </w:r>
      <w:r>
        <w:rPr>
          <w:i/>
          <w:sz w:val="24"/>
        </w:rPr>
        <w:t>International Journal, 27</w:t>
      </w:r>
      <w:r>
        <w:rPr>
          <w:sz w:val="24"/>
        </w:rPr>
        <w:t>(3), 231-248.</w:t>
      </w:r>
    </w:p>
    <w:p>
      <w:pPr>
        <w:spacing w:line="360" w:lineRule="auto" w:before="207"/>
        <w:ind w:left="1760" w:right="1047" w:hanging="720"/>
        <w:jc w:val="left"/>
        <w:rPr>
          <w:sz w:val="24"/>
        </w:rPr>
      </w:pPr>
      <w:r>
        <w:rPr>
          <w:sz w:val="24"/>
        </w:rPr>
        <w:t>Lecea, E., &amp; Ramírez, B. (2007). </w:t>
      </w:r>
      <w:r>
        <w:rPr>
          <w:i/>
          <w:sz w:val="24"/>
        </w:rPr>
        <w:t>Creación de alternativas productivas al modelo de la </w:t>
      </w:r>
      <w:r>
        <w:rPr>
          <w:i/>
          <w:sz w:val="24"/>
        </w:rPr>
        <w:t>soja RR a partir de los criterios definidos por la población de Basavilbaso, Argentina. </w:t>
      </w:r>
      <w:r>
        <w:rPr>
          <w:sz w:val="24"/>
        </w:rPr>
        <w:t>Barcelona, España: Trabajo Final de Graduación, Facultad de Ciencias, Universitat Autónoma de Barcelona.</w:t>
      </w:r>
    </w:p>
    <w:p>
      <w:pPr>
        <w:pStyle w:val="BodyText"/>
        <w:spacing w:line="360" w:lineRule="auto" w:before="205"/>
        <w:ind w:left="1760" w:right="1134" w:hanging="720"/>
      </w:pPr>
      <w:r>
        <w:rPr/>
        <w:t>Leff, E. (2000). Notas breves sobre calidad de vida y racionalidad ambiental. En M. Daltabuit, J. Mejía, &amp; R. Álvarez (Edits.), </w:t>
      </w:r>
      <w:r>
        <w:rPr>
          <w:i/>
        </w:rPr>
        <w:t>Calidad de vida, salud y ambiente </w:t>
      </w:r>
      <w:r>
        <w:rPr/>
        <w:t>(págs. 103-106). Cuernavaca, Morelos, México: UNAM, INI.</w:t>
      </w:r>
    </w:p>
    <w:p>
      <w:pPr>
        <w:spacing w:after="0" w:line="360" w:lineRule="auto"/>
        <w:sectPr>
          <w:pgSz w:w="12240" w:h="15840"/>
          <w:pgMar w:header="0" w:footer="982" w:top="1360" w:bottom="1260" w:left="400" w:right="400"/>
        </w:sectPr>
      </w:pPr>
    </w:p>
    <w:p>
      <w:pPr>
        <w:spacing w:before="75"/>
        <w:ind w:left="1040" w:right="0" w:firstLine="0"/>
        <w:jc w:val="left"/>
        <w:rPr>
          <w:sz w:val="24"/>
        </w:rPr>
      </w:pPr>
      <w:r>
        <w:rPr>
          <w:sz w:val="24"/>
        </w:rPr>
        <w:t>Leff, E. (2004). </w:t>
      </w:r>
      <w:r>
        <w:rPr>
          <w:i/>
          <w:sz w:val="24"/>
        </w:rPr>
        <w:t>Racionalidad Ambiental </w:t>
      </w:r>
      <w:r>
        <w:rPr>
          <w:sz w:val="24"/>
        </w:rPr>
        <w:t>(1er ed.). México DF: Siglo XXI Editores.</w:t>
      </w:r>
    </w:p>
    <w:p>
      <w:pPr>
        <w:pStyle w:val="BodyText"/>
        <w:spacing w:before="2"/>
        <w:rPr>
          <w:sz w:val="29"/>
        </w:rPr>
      </w:pPr>
    </w:p>
    <w:p>
      <w:pPr>
        <w:spacing w:line="362" w:lineRule="auto" w:before="1"/>
        <w:ind w:left="1760" w:right="1134" w:hanging="720"/>
        <w:jc w:val="left"/>
        <w:rPr>
          <w:sz w:val="24"/>
        </w:rPr>
      </w:pPr>
      <w:r>
        <w:rPr>
          <w:sz w:val="24"/>
        </w:rPr>
        <w:t>Lever, G. (s.f.). </w:t>
      </w:r>
      <w:r>
        <w:rPr>
          <w:i/>
          <w:sz w:val="24"/>
        </w:rPr>
        <w:t>El Modelo de Precios Hedónicos. </w:t>
      </w:r>
      <w:r>
        <w:rPr>
          <w:sz w:val="24"/>
        </w:rPr>
        <w:t>Recuperado el 2 de marzo de 2017, de </w:t>
      </w:r>
      <w:hyperlink r:id="rId100">
        <w:r>
          <w:rPr>
            <w:sz w:val="24"/>
          </w:rPr>
          <w:t>http://www.ucipfg.com/Repositorio/MAES/PED/Semana4/PreciosHedonicos.pdf</w:t>
        </w:r>
      </w:hyperlink>
    </w:p>
    <w:p>
      <w:pPr>
        <w:spacing w:line="360" w:lineRule="auto" w:before="198"/>
        <w:ind w:left="1760" w:right="1087" w:hanging="720"/>
        <w:jc w:val="left"/>
        <w:rPr>
          <w:sz w:val="24"/>
        </w:rPr>
      </w:pPr>
      <w:r>
        <w:rPr>
          <w:sz w:val="24"/>
        </w:rPr>
        <w:t>Lisi, G. (2013). On the Functional Form of the Hedonic Price Function: A Matching- theoretic Model and Empirical Evidence. </w:t>
      </w:r>
      <w:r>
        <w:rPr>
          <w:i/>
          <w:sz w:val="24"/>
        </w:rPr>
        <w:t>International Real Estate Review, 16</w:t>
      </w:r>
      <w:r>
        <w:rPr>
          <w:sz w:val="24"/>
        </w:rPr>
        <w:t>(2), 189-207.</w:t>
      </w:r>
    </w:p>
    <w:p>
      <w:pPr>
        <w:pStyle w:val="BodyText"/>
        <w:spacing w:before="198"/>
        <w:ind w:left="1040"/>
      </w:pPr>
      <w:r>
        <w:rPr/>
        <w:t>Liu, S., Costanza, R., Farber, S., &amp; Troy, A. (2010). Valuing ecosystem services.</w:t>
      </w:r>
    </w:p>
    <w:p>
      <w:pPr>
        <w:spacing w:line="357" w:lineRule="auto" w:before="136"/>
        <w:ind w:left="1760" w:right="1468" w:firstLine="0"/>
        <w:jc w:val="left"/>
        <w:rPr>
          <w:sz w:val="24"/>
        </w:rPr>
      </w:pPr>
      <w:r>
        <w:rPr>
          <w:sz w:val="24"/>
        </w:rPr>
        <w:t>Theory, practice, and the need for a transdisciplinary synthesis. </w:t>
      </w:r>
      <w:r>
        <w:rPr>
          <w:i/>
          <w:sz w:val="24"/>
        </w:rPr>
        <w:t>Annals of the </w:t>
      </w:r>
      <w:r>
        <w:rPr>
          <w:i/>
          <w:sz w:val="24"/>
        </w:rPr>
        <w:t>New York Academy of Sciences, 1185</w:t>
      </w:r>
      <w:r>
        <w:rPr>
          <w:sz w:val="24"/>
        </w:rPr>
        <w:t>, 54–78.</w:t>
      </w:r>
    </w:p>
    <w:p>
      <w:pPr>
        <w:pStyle w:val="BodyText"/>
        <w:spacing w:line="355" w:lineRule="auto" w:before="210"/>
        <w:ind w:left="1760" w:right="1047" w:hanging="720"/>
      </w:pPr>
      <w:r>
        <w:rPr/>
        <w:t>Lopes de Souza, M. (2015). Proteção Ambiental para Quem? A Instrumentalização da Ecologia Contra o Direito à Moradia. </w:t>
      </w:r>
      <w:r>
        <w:rPr>
          <w:i/>
        </w:rPr>
        <w:t>Mercator, Fortaleza, 14</w:t>
      </w:r>
      <w:r>
        <w:rPr/>
        <w:t>(4), 25-44.</w:t>
      </w:r>
    </w:p>
    <w:p>
      <w:pPr>
        <w:spacing w:before="208"/>
        <w:ind w:left="1040" w:right="0" w:firstLine="0"/>
        <w:jc w:val="left"/>
        <w:rPr>
          <w:i/>
          <w:sz w:val="24"/>
        </w:rPr>
      </w:pPr>
      <w:r>
        <w:rPr>
          <w:sz w:val="24"/>
        </w:rPr>
        <w:t>Lora, E., &amp; Powell, A. (2011). </w:t>
      </w:r>
      <w:r>
        <w:rPr>
          <w:i/>
          <w:sz w:val="24"/>
        </w:rPr>
        <w:t>A new way of monitoring the quality of urban life.</w:t>
      </w:r>
    </w:p>
    <w:p>
      <w:pPr>
        <w:pStyle w:val="BodyText"/>
        <w:spacing w:before="140"/>
        <w:ind w:left="1760"/>
      </w:pPr>
      <w:r>
        <w:rPr/>
        <w:t>Washington D.C., EEUU: Interamerican Development Bank.</w:t>
      </w:r>
    </w:p>
    <w:p>
      <w:pPr>
        <w:pStyle w:val="BodyText"/>
        <w:spacing w:before="2"/>
        <w:rPr>
          <w:sz w:val="29"/>
        </w:rPr>
      </w:pPr>
    </w:p>
    <w:p>
      <w:pPr>
        <w:spacing w:line="362" w:lineRule="auto" w:before="0"/>
        <w:ind w:left="1760" w:right="1047" w:hanging="720"/>
        <w:jc w:val="left"/>
        <w:rPr>
          <w:sz w:val="24"/>
        </w:rPr>
      </w:pPr>
      <w:r>
        <w:rPr>
          <w:sz w:val="24"/>
        </w:rPr>
        <w:t>Lora, E., Powell, A., van Praag, B., &amp; Sanguinetti, P. (2010). </w:t>
      </w:r>
      <w:r>
        <w:rPr>
          <w:i/>
          <w:sz w:val="24"/>
        </w:rPr>
        <w:t>The Quality of Life in Latin </w:t>
      </w:r>
      <w:r>
        <w:rPr>
          <w:i/>
          <w:sz w:val="24"/>
        </w:rPr>
        <w:t>American Cities. </w:t>
      </w:r>
      <w:r>
        <w:rPr>
          <w:sz w:val="24"/>
        </w:rPr>
        <w:t>Washington D.C.: Banco Interamericano de Desarrollo-Banco Mundial.</w:t>
      </w:r>
    </w:p>
    <w:p>
      <w:pPr>
        <w:spacing w:line="362" w:lineRule="auto" w:before="191"/>
        <w:ind w:left="1760" w:right="1134" w:hanging="720"/>
        <w:jc w:val="left"/>
        <w:rPr>
          <w:sz w:val="24"/>
        </w:rPr>
      </w:pPr>
      <w:r>
        <w:rPr>
          <w:sz w:val="24"/>
        </w:rPr>
        <w:t>Markandya, A. (2016). </w:t>
      </w:r>
      <w:r>
        <w:rPr>
          <w:i/>
          <w:sz w:val="24"/>
        </w:rPr>
        <w:t>Cost benefit analysis and the environment: How to best cover </w:t>
      </w:r>
      <w:r>
        <w:rPr>
          <w:i/>
          <w:sz w:val="24"/>
        </w:rPr>
        <w:t>impacts on biodiversity and ecosystem services. </w:t>
      </w:r>
      <w:r>
        <w:rPr>
          <w:sz w:val="24"/>
        </w:rPr>
        <w:t>Paris, France: OECD Publishing.</w:t>
      </w:r>
    </w:p>
    <w:p>
      <w:pPr>
        <w:spacing w:line="360" w:lineRule="auto" w:before="194"/>
        <w:ind w:left="1760" w:right="1082" w:hanging="720"/>
        <w:jc w:val="left"/>
        <w:rPr>
          <w:sz w:val="24"/>
        </w:rPr>
      </w:pPr>
      <w:r>
        <w:rPr>
          <w:sz w:val="24"/>
        </w:rPr>
        <w:t>Marozzi, M., &amp; Solís, J. (2007). </w:t>
      </w:r>
      <w:r>
        <w:rPr>
          <w:i/>
          <w:sz w:val="24"/>
        </w:rPr>
        <w:t>Valoración económica total de los humedales Gandoca- </w:t>
      </w:r>
      <w:r>
        <w:rPr>
          <w:i/>
          <w:sz w:val="24"/>
        </w:rPr>
        <w:t>Manzanillo San San Pond Sak en el caribe fronterizo entre Costa Rica y Panamá. </w:t>
      </w:r>
      <w:r>
        <w:rPr>
          <w:sz w:val="24"/>
        </w:rPr>
        <w:t>San José, Costa Rica: Informe no publicado para Alianzas, UICN:ORMA.</w:t>
      </w:r>
    </w:p>
    <w:p>
      <w:pPr>
        <w:spacing w:line="362" w:lineRule="auto" w:before="200"/>
        <w:ind w:left="1760" w:right="1047" w:hanging="720"/>
        <w:jc w:val="left"/>
        <w:rPr>
          <w:sz w:val="24"/>
        </w:rPr>
      </w:pPr>
      <w:r>
        <w:rPr>
          <w:sz w:val="24"/>
        </w:rPr>
        <w:t>Marozzi, M., Chacón, E., Alpizar, E., &amp; Mata, R. (2012). </w:t>
      </w:r>
      <w:r>
        <w:rPr>
          <w:i/>
          <w:sz w:val="24"/>
        </w:rPr>
        <w:t>Valoración Económica </w:t>
      </w:r>
      <w:r>
        <w:rPr>
          <w:i/>
          <w:sz w:val="24"/>
        </w:rPr>
        <w:t>Ambiental del Daño Ecológico Mina Crucitas,Pocosol, Costa Rica, Zona. Norte. </w:t>
      </w:r>
      <w:r>
        <w:rPr>
          <w:sz w:val="24"/>
        </w:rPr>
        <w:t>San José, Costa Rica: Informe Pericial.</w:t>
      </w:r>
    </w:p>
    <w:p>
      <w:pPr>
        <w:spacing w:after="0" w:line="362" w:lineRule="auto"/>
        <w:jc w:val="left"/>
        <w:rPr>
          <w:sz w:val="24"/>
        </w:rPr>
        <w:sectPr>
          <w:pgSz w:w="12240" w:h="15840"/>
          <w:pgMar w:header="0" w:footer="982" w:top="1360" w:bottom="1260" w:left="400" w:right="400"/>
        </w:sectPr>
      </w:pPr>
    </w:p>
    <w:p>
      <w:pPr>
        <w:spacing w:line="362" w:lineRule="auto" w:before="75"/>
        <w:ind w:left="1760" w:right="1081" w:hanging="720"/>
        <w:jc w:val="left"/>
        <w:rPr>
          <w:sz w:val="24"/>
        </w:rPr>
      </w:pPr>
      <w:r>
        <w:rPr>
          <w:sz w:val="24"/>
        </w:rPr>
        <w:t>Martínez Alier, J. (1997). Deuda Ecológica y Deuda Externa. </w:t>
      </w:r>
      <w:r>
        <w:rPr>
          <w:i/>
          <w:sz w:val="24"/>
        </w:rPr>
        <w:t>Ecología Política, 14</w:t>
      </w:r>
      <w:r>
        <w:rPr>
          <w:sz w:val="24"/>
        </w:rPr>
        <w:t>, 157- 173.</w:t>
      </w:r>
    </w:p>
    <w:p>
      <w:pPr>
        <w:spacing w:before="195"/>
        <w:ind w:left="1040" w:right="0" w:firstLine="0"/>
        <w:jc w:val="left"/>
        <w:rPr>
          <w:sz w:val="24"/>
        </w:rPr>
      </w:pPr>
      <w:r>
        <w:rPr>
          <w:sz w:val="24"/>
        </w:rPr>
        <w:t>Martínez Alier, J. (2000). La Deuda Ecológica. </w:t>
      </w:r>
      <w:r>
        <w:rPr>
          <w:i/>
          <w:sz w:val="24"/>
        </w:rPr>
        <w:t>Ecología Política, 19</w:t>
      </w:r>
      <w:r>
        <w:rPr>
          <w:sz w:val="24"/>
        </w:rPr>
        <w:t>, 105-110.</w:t>
      </w:r>
    </w:p>
    <w:p>
      <w:pPr>
        <w:pStyle w:val="BodyText"/>
        <w:spacing w:before="6"/>
        <w:rPr>
          <w:sz w:val="29"/>
        </w:rPr>
      </w:pPr>
    </w:p>
    <w:p>
      <w:pPr>
        <w:spacing w:line="357" w:lineRule="auto" w:before="1"/>
        <w:ind w:left="1760" w:right="1081" w:hanging="720"/>
        <w:jc w:val="left"/>
        <w:rPr>
          <w:sz w:val="24"/>
        </w:rPr>
      </w:pPr>
      <w:r>
        <w:rPr>
          <w:sz w:val="24"/>
        </w:rPr>
        <w:t>Martínez-Alier, .. J. (2001). Ecological conflicts and valuation: mangroves versus shrimps in the late 1990s. </w:t>
      </w:r>
      <w:r>
        <w:rPr>
          <w:i/>
          <w:sz w:val="24"/>
        </w:rPr>
        <w:t>Environment and Planning C: Government and Policy, </w:t>
      </w:r>
      <w:r>
        <w:rPr>
          <w:i/>
          <w:sz w:val="24"/>
        </w:rPr>
        <w:t>19</w:t>
      </w:r>
      <w:r>
        <w:rPr>
          <w:sz w:val="24"/>
        </w:rPr>
        <w:t>, 713-728.</w:t>
      </w:r>
    </w:p>
    <w:p>
      <w:pPr>
        <w:spacing w:line="357" w:lineRule="auto" w:before="206"/>
        <w:ind w:left="1760" w:right="1047" w:hanging="720"/>
        <w:jc w:val="left"/>
        <w:rPr>
          <w:sz w:val="24"/>
        </w:rPr>
      </w:pPr>
      <w:r>
        <w:rPr>
          <w:sz w:val="24"/>
        </w:rPr>
        <w:t>Martínez-Alier, J. (2003). </w:t>
      </w:r>
      <w:r>
        <w:rPr>
          <w:i/>
          <w:sz w:val="24"/>
        </w:rPr>
        <w:t>The Environmentalism of the Poor: A Study of Ecological </w:t>
      </w:r>
      <w:r>
        <w:rPr>
          <w:i/>
          <w:sz w:val="24"/>
        </w:rPr>
        <w:t>Conflicts and Valuation. </w:t>
      </w:r>
      <w:r>
        <w:rPr>
          <w:sz w:val="24"/>
        </w:rPr>
        <w:t>Cheltenham, UK: Edward Elgar.</w:t>
      </w:r>
    </w:p>
    <w:p>
      <w:pPr>
        <w:spacing w:line="355" w:lineRule="auto" w:before="210"/>
        <w:ind w:left="1760" w:right="1047" w:hanging="720"/>
        <w:jc w:val="left"/>
        <w:rPr>
          <w:sz w:val="24"/>
        </w:rPr>
      </w:pPr>
      <w:r>
        <w:rPr>
          <w:sz w:val="24"/>
        </w:rPr>
        <w:t>Martínez-Alier, J. (2004). Los Conflictos Ecológico-Distributivos y los Indicadores de Sustentabilidad. </w:t>
      </w:r>
      <w:r>
        <w:rPr>
          <w:i/>
          <w:sz w:val="24"/>
        </w:rPr>
        <w:t>Revista Iberoamericana de Economía Ecológica, 1</w:t>
      </w:r>
      <w:r>
        <w:rPr>
          <w:sz w:val="24"/>
        </w:rPr>
        <w:t>, 21-30.</w:t>
      </w:r>
    </w:p>
    <w:p>
      <w:pPr>
        <w:spacing w:line="357" w:lineRule="auto" w:before="207"/>
        <w:ind w:left="1760" w:right="1281" w:hanging="720"/>
        <w:jc w:val="left"/>
        <w:rPr>
          <w:sz w:val="24"/>
        </w:rPr>
      </w:pPr>
      <w:r>
        <w:rPr>
          <w:sz w:val="24"/>
        </w:rPr>
        <w:t>Martínez-Alier, J. (2011). </w:t>
      </w:r>
      <w:r>
        <w:rPr>
          <w:i/>
          <w:sz w:val="24"/>
        </w:rPr>
        <w:t>El ecologismo de los pobres. Conflictos ambientales y </w:t>
      </w:r>
      <w:r>
        <w:rPr>
          <w:i/>
          <w:sz w:val="24"/>
        </w:rPr>
        <w:t>lenguajes de valoración </w:t>
      </w:r>
      <w:r>
        <w:rPr>
          <w:sz w:val="24"/>
        </w:rPr>
        <w:t>(5ta ampliada ed.). Barcelona, España: Icaria editorial.</w:t>
      </w:r>
    </w:p>
    <w:p>
      <w:pPr>
        <w:spacing w:line="362" w:lineRule="auto" w:before="206"/>
        <w:ind w:left="1760" w:right="1188" w:hanging="720"/>
        <w:jc w:val="left"/>
        <w:rPr>
          <w:sz w:val="24"/>
        </w:rPr>
      </w:pPr>
      <w:r>
        <w:rPr>
          <w:sz w:val="24"/>
        </w:rPr>
        <w:t>Martínez-Alier, J. (2013). Ecological Economics. En J. D. Wright, </w:t>
      </w:r>
      <w:r>
        <w:rPr>
          <w:i/>
          <w:sz w:val="24"/>
        </w:rPr>
        <w:t>International </w:t>
      </w:r>
      <w:r>
        <w:rPr>
          <w:i/>
          <w:sz w:val="24"/>
        </w:rPr>
        <w:t>Encyclopedia of the Social and Behavioral Sciences </w:t>
      </w:r>
      <w:r>
        <w:rPr>
          <w:sz w:val="24"/>
        </w:rPr>
        <w:t>(pág. entry 91008). Oxford: Elsevier.</w:t>
      </w:r>
    </w:p>
    <w:p>
      <w:pPr>
        <w:spacing w:line="362" w:lineRule="auto" w:before="190"/>
        <w:ind w:left="1760" w:right="1550" w:hanging="720"/>
        <w:jc w:val="left"/>
        <w:rPr>
          <w:sz w:val="24"/>
        </w:rPr>
      </w:pPr>
      <w:r>
        <w:rPr>
          <w:sz w:val="24"/>
        </w:rPr>
        <w:t>Martínez-Alier, J. (2015). Ecological Economics. En J. D. Wright (Ed.), </w:t>
      </w:r>
      <w:r>
        <w:rPr>
          <w:i/>
          <w:sz w:val="24"/>
        </w:rPr>
        <w:t>International </w:t>
      </w:r>
      <w:r>
        <w:rPr>
          <w:i/>
          <w:sz w:val="24"/>
        </w:rPr>
        <w:t>Encyclopedia of the Social and Behavioral Sciences, </w:t>
      </w:r>
      <w:r>
        <w:rPr>
          <w:sz w:val="24"/>
        </w:rPr>
        <w:t>(págs. 851-864).</w:t>
      </w:r>
    </w:p>
    <w:p>
      <w:pPr>
        <w:pStyle w:val="BodyText"/>
        <w:spacing w:line="275" w:lineRule="exact"/>
        <w:ind w:left="1760"/>
      </w:pPr>
      <w:r>
        <w:rPr/>
        <w:t>Amsterdan et al.: Elsevier.</w:t>
      </w:r>
    </w:p>
    <w:p>
      <w:pPr>
        <w:pStyle w:val="BodyText"/>
        <w:spacing w:before="3"/>
        <w:rPr>
          <w:sz w:val="29"/>
        </w:rPr>
      </w:pPr>
    </w:p>
    <w:p>
      <w:pPr>
        <w:pStyle w:val="BodyText"/>
        <w:spacing w:line="357" w:lineRule="auto"/>
        <w:ind w:left="1760" w:right="1512" w:hanging="720"/>
      </w:pPr>
      <w:r>
        <w:rPr/>
        <w:t>Martínez-Alier, J. (2017). En Memoria De "Mi" James O’connor (1930-2017). </w:t>
      </w:r>
      <w:r>
        <w:rPr>
          <w:i/>
        </w:rPr>
        <w:t>Viento </w:t>
      </w:r>
      <w:r>
        <w:rPr>
          <w:i/>
        </w:rPr>
        <w:t>Sur</w:t>
      </w:r>
      <w:r>
        <w:rPr/>
        <w:t>, </w:t>
      </w:r>
      <w:hyperlink r:id="rId101">
        <w:r>
          <w:rPr/>
          <w:t>http://vientosur.info/spip.php?article13342.</w:t>
        </w:r>
      </w:hyperlink>
    </w:p>
    <w:p>
      <w:pPr>
        <w:pStyle w:val="BodyText"/>
        <w:spacing w:before="210"/>
        <w:ind w:left="1040"/>
      </w:pPr>
      <w:r>
        <w:rPr/>
        <w:t>Martínez-Alier, J., Anguelovski, I., Bond, P., Del Bene, D., Demaria, F., Gerber, J.-F., . .</w:t>
      </w:r>
    </w:p>
    <w:p>
      <w:pPr>
        <w:pStyle w:val="BodyText"/>
        <w:spacing w:line="357" w:lineRule="auto" w:before="136"/>
        <w:ind w:left="1760" w:right="1047"/>
      </w:pPr>
      <w:r>
        <w:rPr/>
        <w:t>. Yánez, I. (2014). Between activism and science: grassroots concepts for sustainability coined by Environmental Justice Organizations. </w:t>
      </w:r>
      <w:r>
        <w:rPr>
          <w:i/>
        </w:rPr>
        <w:t>Journal of Political </w:t>
      </w:r>
      <w:r>
        <w:rPr>
          <w:i/>
        </w:rPr>
        <w:t>Ecology, 21</w:t>
      </w:r>
      <w:r>
        <w:rPr/>
        <w:t>, 19-60.</w:t>
      </w:r>
    </w:p>
    <w:p>
      <w:pPr>
        <w:spacing w:after="0" w:line="357" w:lineRule="auto"/>
        <w:sectPr>
          <w:pgSz w:w="12240" w:h="15840"/>
          <w:pgMar w:header="0" w:footer="982" w:top="1360" w:bottom="1260" w:left="400" w:right="400"/>
        </w:sectPr>
      </w:pPr>
    </w:p>
    <w:p>
      <w:pPr>
        <w:pStyle w:val="BodyText"/>
        <w:spacing w:line="357" w:lineRule="auto" w:before="79"/>
        <w:ind w:left="1760" w:right="1047" w:hanging="720"/>
      </w:pPr>
      <w:r>
        <w:rPr/>
        <w:t>Martínez-Alier, J., Kallis, G., Veuthey, S., Walter, M., &amp; Temper, L. (2010). Social Metabolism, Ecological Distribution Conflicts, and Valuation Languages.</w:t>
      </w:r>
    </w:p>
    <w:p>
      <w:pPr>
        <w:spacing w:before="2"/>
        <w:ind w:left="1760" w:right="0" w:firstLine="0"/>
        <w:jc w:val="left"/>
        <w:rPr>
          <w:sz w:val="24"/>
        </w:rPr>
      </w:pPr>
      <w:r>
        <w:rPr>
          <w:i/>
          <w:sz w:val="24"/>
        </w:rPr>
        <w:t>Ecological Economics, 70</w:t>
      </w:r>
      <w:r>
        <w:rPr>
          <w:sz w:val="24"/>
        </w:rPr>
        <w:t>(2), 153-158.</w:t>
      </w:r>
    </w:p>
    <w:p>
      <w:pPr>
        <w:pStyle w:val="BodyText"/>
        <w:spacing w:before="7"/>
        <w:rPr>
          <w:sz w:val="29"/>
        </w:rPr>
      </w:pPr>
    </w:p>
    <w:p>
      <w:pPr>
        <w:pStyle w:val="BodyText"/>
        <w:spacing w:line="357" w:lineRule="auto"/>
        <w:ind w:left="1760" w:right="1375" w:hanging="720"/>
      </w:pPr>
      <w:r>
        <w:rPr/>
        <w:t>Martinez-Alier, J., Temper, L., Del Bene, D., &amp; A., S. (2016). Is there a global environmental justice movement? </w:t>
      </w:r>
      <w:r>
        <w:rPr>
          <w:i/>
        </w:rPr>
        <w:t>Journal of Peasant Studies, 3</w:t>
      </w:r>
      <w:r>
        <w:rPr/>
        <w:t>(731-755), 43.</w:t>
      </w:r>
    </w:p>
    <w:p>
      <w:pPr>
        <w:pStyle w:val="BodyText"/>
        <w:spacing w:line="364" w:lineRule="auto" w:before="201"/>
        <w:ind w:left="1760" w:right="1268" w:hanging="720"/>
      </w:pPr>
      <w:r>
        <w:rPr/>
        <w:t>Matteucci, S. (2005). De la Ecología Urbana a la Urbanoecología. </w:t>
      </w:r>
      <w:r>
        <w:rPr>
          <w:i/>
        </w:rPr>
        <w:t>Fronteras, 4</w:t>
      </w:r>
      <w:r>
        <w:rPr/>
        <w:t>(4), 18- 30.</w:t>
      </w:r>
    </w:p>
    <w:p>
      <w:pPr>
        <w:spacing w:line="362" w:lineRule="auto" w:before="189"/>
        <w:ind w:left="1760" w:right="1376" w:hanging="720"/>
        <w:jc w:val="left"/>
        <w:rPr>
          <w:sz w:val="24"/>
        </w:rPr>
      </w:pPr>
      <w:r>
        <w:rPr>
          <w:sz w:val="24"/>
        </w:rPr>
        <w:t>McNeely, J. (1988). </w:t>
      </w:r>
      <w:r>
        <w:rPr>
          <w:i/>
          <w:sz w:val="24"/>
        </w:rPr>
        <w:t>Economics And Biological Diversity: Developing And Using </w:t>
      </w:r>
      <w:r>
        <w:rPr>
          <w:i/>
          <w:sz w:val="24"/>
        </w:rPr>
        <w:t>Economic Incentives To Conserve Biological Resourcces. </w:t>
      </w:r>
      <w:r>
        <w:rPr>
          <w:sz w:val="24"/>
        </w:rPr>
        <w:t>Gland, Switzerland: IUCN.</w:t>
      </w:r>
    </w:p>
    <w:p>
      <w:pPr>
        <w:spacing w:line="360" w:lineRule="auto" w:before="195"/>
        <w:ind w:left="1760" w:right="1134" w:hanging="720"/>
        <w:jc w:val="left"/>
        <w:rPr>
          <w:sz w:val="24"/>
        </w:rPr>
      </w:pPr>
      <w:r>
        <w:rPr>
          <w:sz w:val="24"/>
        </w:rPr>
        <w:t>Meza, T. (1979). </w:t>
      </w:r>
      <w:r>
        <w:rPr>
          <w:i/>
          <w:sz w:val="24"/>
        </w:rPr>
        <w:t>Consideraciones generales sobre la Morfoestructura y el Modelo </w:t>
      </w:r>
      <w:r>
        <w:rPr>
          <w:i/>
          <w:sz w:val="24"/>
        </w:rPr>
        <w:t>Climático de los cerros de la Carpintera y su relación con el conjunto Irazú, Costa Rica . </w:t>
      </w:r>
      <w:r>
        <w:rPr>
          <w:sz w:val="24"/>
        </w:rPr>
        <w:t>San José, Costa Rica: Universidad de Costa Rica. Tesis de grado paa optar por el título de Licenciado en Geografía física con énfasis en Geomorfología.</w:t>
      </w:r>
    </w:p>
    <w:p>
      <w:pPr>
        <w:spacing w:line="364" w:lineRule="auto" w:before="198"/>
        <w:ind w:left="1760" w:right="1047" w:hanging="720"/>
        <w:jc w:val="left"/>
        <w:rPr>
          <w:sz w:val="24"/>
        </w:rPr>
      </w:pPr>
      <w:r>
        <w:rPr>
          <w:sz w:val="24"/>
        </w:rPr>
        <w:t>MIDEPLAN. (2017). </w:t>
      </w:r>
      <w:r>
        <w:rPr>
          <w:i/>
          <w:sz w:val="24"/>
        </w:rPr>
        <w:t>Índice de desarrollo social 2017. </w:t>
      </w:r>
      <w:r>
        <w:rPr>
          <w:sz w:val="24"/>
        </w:rPr>
        <w:t>San José, Costa Rica: Ministerio de Planificación Nacional y Política Económica.</w:t>
      </w:r>
    </w:p>
    <w:p>
      <w:pPr>
        <w:spacing w:before="190"/>
        <w:ind w:left="1040" w:right="0" w:firstLine="0"/>
        <w:jc w:val="left"/>
        <w:rPr>
          <w:i/>
          <w:sz w:val="24"/>
        </w:rPr>
      </w:pPr>
      <w:r>
        <w:rPr>
          <w:sz w:val="24"/>
        </w:rPr>
        <w:t>Millenium Ecosystem Assessment. (2003). </w:t>
      </w:r>
      <w:r>
        <w:rPr>
          <w:i/>
          <w:sz w:val="24"/>
        </w:rPr>
        <w:t>Ecosystems and Human Well-being.</w:t>
      </w:r>
    </w:p>
    <w:p>
      <w:pPr>
        <w:pStyle w:val="BodyText"/>
        <w:spacing w:before="144"/>
        <w:ind w:left="1760"/>
      </w:pPr>
      <w:r>
        <w:rPr/>
        <w:t>Washington, D.C.: Island Press.</w:t>
      </w:r>
    </w:p>
    <w:p>
      <w:pPr>
        <w:pStyle w:val="BodyText"/>
        <w:spacing w:before="10"/>
        <w:rPr>
          <w:sz w:val="28"/>
        </w:rPr>
      </w:pPr>
    </w:p>
    <w:p>
      <w:pPr>
        <w:spacing w:line="362" w:lineRule="auto" w:before="0"/>
        <w:ind w:left="1760" w:right="1047" w:hanging="720"/>
        <w:jc w:val="left"/>
        <w:rPr>
          <w:sz w:val="24"/>
        </w:rPr>
      </w:pPr>
      <w:r>
        <w:rPr>
          <w:sz w:val="24"/>
        </w:rPr>
        <w:t>Monge, C., &amp; Rojas, A. (2009). </w:t>
      </w:r>
      <w:r>
        <w:rPr>
          <w:i/>
          <w:sz w:val="24"/>
        </w:rPr>
        <w:t>Análisis geoespacial y modelación econométrica en el </w:t>
      </w:r>
      <w:r>
        <w:rPr>
          <w:i/>
          <w:sz w:val="24"/>
        </w:rPr>
        <w:t>estudio de la formación del precio del suelo: el caso de los distritos Central y Gravilias de Desamparados 1997-2007. </w:t>
      </w:r>
      <w:r>
        <w:rPr>
          <w:sz w:val="24"/>
        </w:rPr>
        <w:t>San José, Costa Rica: Tesis de grado. Escuela de Economía de la Universidad de Costa Rica.</w:t>
      </w:r>
    </w:p>
    <w:p>
      <w:pPr>
        <w:pStyle w:val="BodyText"/>
        <w:spacing w:line="357" w:lineRule="auto" w:before="194"/>
        <w:ind w:left="1760" w:right="1047" w:hanging="720"/>
      </w:pPr>
      <w:r>
        <w:rPr/>
        <w:t>Mora, R., &amp; Mora, R. (2003). Reseña Histórica del Relleno Sanitario de Río Azul y Consideraciones sobre los Metales Pesados Tratados en él y los Presentes en Nuestros Hogares. </w:t>
      </w:r>
      <w:r>
        <w:rPr>
          <w:i/>
        </w:rPr>
        <w:t>Reflexiones, 82</w:t>
      </w:r>
      <w:r>
        <w:rPr/>
        <w:t>(2), 47-58.</w:t>
      </w:r>
    </w:p>
    <w:p>
      <w:pPr>
        <w:spacing w:after="0" w:line="357" w:lineRule="auto"/>
        <w:sectPr>
          <w:pgSz w:w="12240" w:h="15840"/>
          <w:pgMar w:header="0" w:footer="982" w:top="1360" w:bottom="1260" w:left="400" w:right="400"/>
        </w:sectPr>
      </w:pPr>
    </w:p>
    <w:p>
      <w:pPr>
        <w:spacing w:line="362" w:lineRule="auto" w:before="75"/>
        <w:ind w:left="1760" w:right="1863" w:hanging="720"/>
        <w:jc w:val="left"/>
        <w:rPr>
          <w:sz w:val="24"/>
        </w:rPr>
      </w:pPr>
      <w:r>
        <w:rPr>
          <w:sz w:val="24"/>
        </w:rPr>
        <w:t>Moreno, M. (2005). </w:t>
      </w:r>
      <w:r>
        <w:rPr>
          <w:i/>
          <w:sz w:val="24"/>
        </w:rPr>
        <w:t>La valoración económica de los servicios que brinda la </w:t>
      </w:r>
      <w:r>
        <w:rPr>
          <w:i/>
          <w:sz w:val="24"/>
        </w:rPr>
        <w:t>biodiversidad: la experiencia de Costa Rica. </w:t>
      </w:r>
      <w:r>
        <w:rPr>
          <w:sz w:val="24"/>
        </w:rPr>
        <w:t>Obtenido de</w:t>
      </w:r>
      <w:hyperlink r:id="rId102">
        <w:r>
          <w:rPr>
            <w:sz w:val="24"/>
          </w:rPr>
          <w:t> http://www.inbio.ac.cr/otus/pdf/valoracion-economica-biodiversidad-cr.pdf</w:t>
        </w:r>
      </w:hyperlink>
    </w:p>
    <w:p>
      <w:pPr>
        <w:spacing w:line="357" w:lineRule="auto" w:before="194"/>
        <w:ind w:left="1760" w:right="1047" w:hanging="720"/>
        <w:jc w:val="left"/>
        <w:rPr>
          <w:sz w:val="24"/>
        </w:rPr>
      </w:pPr>
      <w:r>
        <w:rPr>
          <w:sz w:val="24"/>
        </w:rPr>
        <w:t>Munda, G. (2004). Metodos y Procesos Multicriterio para la Evaluación Social de las Políticas Públicas. </w:t>
      </w:r>
      <w:r>
        <w:rPr>
          <w:i/>
          <w:sz w:val="24"/>
        </w:rPr>
        <w:t>Revista Iberoamericana de Economía Ecológica, 1</w:t>
      </w:r>
      <w:r>
        <w:rPr>
          <w:sz w:val="24"/>
        </w:rPr>
        <w:t>, 1-15.</w:t>
      </w:r>
    </w:p>
    <w:p>
      <w:pPr>
        <w:pStyle w:val="BodyText"/>
        <w:spacing w:before="206"/>
        <w:ind w:left="1040"/>
      </w:pPr>
      <w:r>
        <w:rPr/>
        <w:t>Munda, G. (2006). A NAIADE based approach for sustainability benchmarking.</w:t>
      </w:r>
    </w:p>
    <w:p>
      <w:pPr>
        <w:spacing w:line="362" w:lineRule="auto" w:before="136"/>
        <w:ind w:left="1760" w:right="1055" w:firstLine="0"/>
        <w:jc w:val="left"/>
        <w:rPr>
          <w:sz w:val="24"/>
        </w:rPr>
      </w:pPr>
      <w:r>
        <w:rPr>
          <w:i/>
          <w:sz w:val="24"/>
        </w:rPr>
        <w:t>International Journal of Environmental Technology and Management , 6</w:t>
      </w:r>
      <w:r>
        <w:rPr>
          <w:sz w:val="24"/>
        </w:rPr>
        <w:t>(1-2), 65- 78.</w:t>
      </w:r>
    </w:p>
    <w:p>
      <w:pPr>
        <w:pStyle w:val="BodyText"/>
        <w:spacing w:line="355" w:lineRule="auto" w:before="199"/>
        <w:ind w:left="1760" w:right="1047" w:hanging="720"/>
      </w:pPr>
      <w:r>
        <w:rPr/>
        <w:t>Munda, G., Nijkamp, P., &amp; Rietveld, P. (1994). Qualitative multicriteria evaluation for environmental management. </w:t>
      </w:r>
      <w:r>
        <w:rPr>
          <w:i/>
        </w:rPr>
        <w:t>Ecological Economics</w:t>
      </w:r>
      <w:r>
        <w:rPr/>
        <w:t>, 97-112.</w:t>
      </w:r>
    </w:p>
    <w:p>
      <w:pPr>
        <w:pStyle w:val="BodyText"/>
        <w:spacing w:line="357" w:lineRule="auto" w:before="211"/>
        <w:ind w:left="1760" w:right="1047" w:hanging="720"/>
      </w:pPr>
      <w:r>
        <w:rPr/>
        <w:t>Muradian, R., Arsel, M., Pellegrini, L., Adaman, F., Aguilar, B., Agarwal, B., . . . al., e. (2013). Payments for ecosystem services and the fatal attraction of win-win solutions. </w:t>
      </w:r>
      <w:r>
        <w:rPr>
          <w:i/>
        </w:rPr>
        <w:t>Conservation Letters, 6</w:t>
      </w:r>
      <w:r>
        <w:rPr/>
        <w:t>(4), 274-279.</w:t>
      </w:r>
    </w:p>
    <w:p>
      <w:pPr>
        <w:pStyle w:val="BodyText"/>
        <w:spacing w:before="207"/>
        <w:ind w:left="1040"/>
      </w:pPr>
      <w:r>
        <w:rPr/>
        <w:t>Nahuel Oddone, C., &amp; Granato, L. (2005). La Deuda Ecológica con los Países del Sur.</w:t>
      </w:r>
    </w:p>
    <w:p>
      <w:pPr>
        <w:spacing w:before="136"/>
        <w:ind w:left="1760" w:right="0" w:firstLine="0"/>
        <w:jc w:val="left"/>
        <w:rPr>
          <w:sz w:val="24"/>
        </w:rPr>
      </w:pPr>
      <w:r>
        <w:rPr>
          <w:i/>
          <w:sz w:val="24"/>
        </w:rPr>
        <w:t>Ecología Política, 29</w:t>
      </w:r>
      <w:r>
        <w:rPr>
          <w:sz w:val="24"/>
        </w:rPr>
        <w:t>, 75-86.</w:t>
      </w:r>
    </w:p>
    <w:p>
      <w:pPr>
        <w:pStyle w:val="BodyText"/>
        <w:spacing w:before="6"/>
        <w:rPr>
          <w:sz w:val="29"/>
        </w:rPr>
      </w:pPr>
    </w:p>
    <w:p>
      <w:pPr>
        <w:pStyle w:val="BodyText"/>
        <w:spacing w:line="360" w:lineRule="auto" w:before="1"/>
        <w:ind w:left="1760" w:right="1047" w:hanging="720"/>
      </w:pPr>
      <w:r>
        <w:rPr/>
        <w:t>Naidoo, R., &amp; Ricketts, T. (2006). Mapping the economic costs and benefits of conservation. </w:t>
      </w:r>
      <w:r>
        <w:rPr>
          <w:i/>
        </w:rPr>
        <w:t>PLoS Biol, 4</w:t>
      </w:r>
      <w:r>
        <w:rPr/>
        <w:t>(11), DOI: 10.1371/journal.pbio.0040360.</w:t>
      </w:r>
    </w:p>
    <w:p>
      <w:pPr>
        <w:spacing w:line="362" w:lineRule="auto" w:before="196"/>
        <w:ind w:left="1760" w:right="1322" w:hanging="720"/>
        <w:jc w:val="left"/>
        <w:rPr>
          <w:sz w:val="24"/>
        </w:rPr>
      </w:pPr>
      <w:r>
        <w:rPr>
          <w:sz w:val="24"/>
        </w:rPr>
        <w:t>Navas, G. (2016). </w:t>
      </w:r>
      <w:r>
        <w:rPr>
          <w:i/>
          <w:sz w:val="24"/>
        </w:rPr>
        <w:t>Caracterización de la Conflictividad Socio-ambiental en América </w:t>
      </w:r>
      <w:r>
        <w:rPr>
          <w:i/>
          <w:sz w:val="24"/>
        </w:rPr>
        <w:t>Central según el Atlas Mundial de Justicia Ambiental del proyecto EJOLT. </w:t>
      </w:r>
      <w:r>
        <w:rPr>
          <w:sz w:val="24"/>
        </w:rPr>
        <w:t>San José, Costa Rica: Fundación Neotrópica Informe de Proyecto.</w:t>
      </w:r>
    </w:p>
    <w:p>
      <w:pPr>
        <w:pStyle w:val="BodyText"/>
        <w:spacing w:line="360" w:lineRule="auto" w:before="199"/>
        <w:ind w:left="1760" w:right="1028" w:hanging="720"/>
      </w:pPr>
      <w:r>
        <w:rPr/>
        <w:t>Navas, G., Mingorria, S., &amp; Aguilar-González, B. (2018). Violence in environmental conflicts: the need for a multidimensional approach. </w:t>
      </w:r>
      <w:r>
        <w:rPr>
          <w:i/>
        </w:rPr>
        <w:t>Sustainability Science, 13</w:t>
      </w:r>
      <w:r>
        <w:rPr/>
        <w:t>(3), 649–660.</w:t>
      </w:r>
    </w:p>
    <w:p>
      <w:pPr>
        <w:pStyle w:val="BodyText"/>
        <w:spacing w:before="198"/>
        <w:ind w:left="1040"/>
      </w:pPr>
      <w:r>
        <w:rPr/>
        <w:t>Nicole, W. (2013). CAFOs and Environmental Justice. The Case of North Carolina.</w:t>
      </w:r>
    </w:p>
    <w:p>
      <w:pPr>
        <w:spacing w:before="136"/>
        <w:ind w:left="1760" w:right="0" w:firstLine="0"/>
        <w:jc w:val="left"/>
        <w:rPr>
          <w:sz w:val="24"/>
        </w:rPr>
      </w:pPr>
      <w:r>
        <w:rPr>
          <w:i/>
          <w:sz w:val="24"/>
        </w:rPr>
        <w:t>Environmental Health Perspectives, 121</w:t>
      </w:r>
      <w:r>
        <w:rPr>
          <w:sz w:val="24"/>
        </w:rPr>
        <w:t>(6), A182-A189.</w:t>
      </w:r>
    </w:p>
    <w:p>
      <w:pPr>
        <w:spacing w:after="0"/>
        <w:jc w:val="left"/>
        <w:rPr>
          <w:sz w:val="24"/>
        </w:rPr>
        <w:sectPr>
          <w:pgSz w:w="12240" w:h="15840"/>
          <w:pgMar w:header="0" w:footer="982" w:top="1360" w:bottom="1260" w:left="400" w:right="400"/>
        </w:sectPr>
      </w:pPr>
    </w:p>
    <w:p>
      <w:pPr>
        <w:spacing w:line="357" w:lineRule="auto" w:before="75"/>
        <w:ind w:left="1760" w:right="1047" w:hanging="720"/>
        <w:jc w:val="left"/>
        <w:rPr>
          <w:sz w:val="24"/>
        </w:rPr>
      </w:pPr>
      <w:r>
        <w:rPr>
          <w:sz w:val="24"/>
        </w:rPr>
        <w:t>No te Comas el Mundo. (2002). </w:t>
      </w:r>
      <w:r>
        <w:rPr>
          <w:i/>
          <w:sz w:val="24"/>
        </w:rPr>
        <w:t>Cuando la Ganadería Española se Come el Mundo. La </w:t>
      </w:r>
      <w:r>
        <w:rPr>
          <w:i/>
          <w:sz w:val="24"/>
        </w:rPr>
        <w:t>Deuda de la Soja. </w:t>
      </w:r>
      <w:r>
        <w:rPr>
          <w:sz w:val="24"/>
        </w:rPr>
        <w:t>Obtenido de </w:t>
      </w:r>
      <w:hyperlink r:id="rId103">
        <w:r>
          <w:rPr>
            <w:sz w:val="24"/>
          </w:rPr>
          <w:t>www.notecomaselmundo.org</w:t>
        </w:r>
      </w:hyperlink>
    </w:p>
    <w:p>
      <w:pPr>
        <w:spacing w:line="355" w:lineRule="auto" w:before="210"/>
        <w:ind w:left="1760" w:right="1047" w:hanging="720"/>
        <w:jc w:val="left"/>
        <w:rPr>
          <w:sz w:val="24"/>
        </w:rPr>
      </w:pPr>
      <w:r>
        <w:rPr>
          <w:sz w:val="24"/>
        </w:rPr>
        <w:t>Núñez, F., &amp; Schovelin, R. (2002). Modelo de Precio de Suelo Urbano en el Gran Concepción. </w:t>
      </w:r>
      <w:r>
        <w:rPr>
          <w:i/>
          <w:sz w:val="24"/>
        </w:rPr>
        <w:t>Revista Ingeniería Industrial, 1</w:t>
      </w:r>
      <w:r>
        <w:rPr>
          <w:sz w:val="24"/>
        </w:rPr>
        <w:t>(1), 47-58.</w:t>
      </w:r>
    </w:p>
    <w:p>
      <w:pPr>
        <w:spacing w:line="362" w:lineRule="auto" w:before="207"/>
        <w:ind w:left="1760" w:right="1047" w:hanging="720"/>
        <w:jc w:val="left"/>
        <w:rPr>
          <w:sz w:val="24"/>
        </w:rPr>
      </w:pPr>
      <w:r>
        <w:rPr>
          <w:sz w:val="24"/>
        </w:rPr>
        <w:t>Núñez, P., &amp; Salas, J. (2010). </w:t>
      </w:r>
      <w:r>
        <w:rPr>
          <w:i/>
          <w:sz w:val="24"/>
        </w:rPr>
        <w:t>La formación de precios del suelo: Caso de estudio del </w:t>
      </w:r>
      <w:r>
        <w:rPr>
          <w:i/>
          <w:sz w:val="24"/>
        </w:rPr>
        <w:t>cantón de Escazú. </w:t>
      </w:r>
      <w:r>
        <w:rPr>
          <w:sz w:val="24"/>
        </w:rPr>
        <w:t>San José, Costa Rica: Tesis de Grado. Escuela de Economía de la Universidad de Costa Rica.</w:t>
      </w:r>
    </w:p>
    <w:p>
      <w:pPr>
        <w:pStyle w:val="BodyText"/>
        <w:spacing w:line="357" w:lineRule="auto" w:before="194"/>
        <w:ind w:left="1760" w:right="1389" w:hanging="720"/>
      </w:pPr>
      <w:r>
        <w:rPr/>
        <w:t>Nutsford, D., Reitsma, F., Pearson, A., &amp; Kingham, S. (2015). Personalising the Viewshed: Visibility analysis from the human perspective. </w:t>
      </w:r>
      <w:r>
        <w:rPr>
          <w:i/>
        </w:rPr>
        <w:t>Applied Geography, </w:t>
      </w:r>
      <w:r>
        <w:rPr>
          <w:i/>
        </w:rPr>
        <w:t>62</w:t>
      </w:r>
      <w:r>
        <w:rPr/>
        <w:t>, 1-7.</w:t>
      </w:r>
    </w:p>
    <w:p>
      <w:pPr>
        <w:pStyle w:val="BodyText"/>
        <w:spacing w:before="211"/>
        <w:ind w:left="1040"/>
      </w:pPr>
      <w:r>
        <w:rPr/>
        <w:t>O´Brien, R. (2007). A Caution Regarding Rules of Thumb for Variance Inflation Factors.</w:t>
      </w:r>
    </w:p>
    <w:p>
      <w:pPr>
        <w:spacing w:before="132"/>
        <w:ind w:left="1760" w:right="0" w:firstLine="0"/>
        <w:jc w:val="left"/>
        <w:rPr>
          <w:sz w:val="24"/>
        </w:rPr>
      </w:pPr>
      <w:r>
        <w:rPr>
          <w:i/>
          <w:sz w:val="24"/>
        </w:rPr>
        <w:t>Quality &amp; Quantity, 41</w:t>
      </w:r>
      <w:r>
        <w:rPr>
          <w:sz w:val="24"/>
        </w:rPr>
        <w:t>, 673-690.</w:t>
      </w:r>
    </w:p>
    <w:p>
      <w:pPr>
        <w:pStyle w:val="BodyText"/>
        <w:spacing w:before="7"/>
        <w:rPr>
          <w:sz w:val="29"/>
        </w:rPr>
      </w:pPr>
    </w:p>
    <w:p>
      <w:pPr>
        <w:spacing w:line="357" w:lineRule="auto" w:before="0"/>
        <w:ind w:left="1760" w:right="1047" w:hanging="720"/>
        <w:jc w:val="left"/>
        <w:rPr>
          <w:sz w:val="24"/>
        </w:rPr>
      </w:pPr>
      <w:r>
        <w:rPr>
          <w:sz w:val="24"/>
        </w:rPr>
        <w:t>O´Connor, M., &amp; Spash, C. (Edits.). (1999). </w:t>
      </w:r>
      <w:r>
        <w:rPr>
          <w:i/>
          <w:sz w:val="24"/>
        </w:rPr>
        <w:t>Valuation and the Environment: Theory, </w:t>
      </w:r>
      <w:r>
        <w:rPr>
          <w:i/>
          <w:sz w:val="24"/>
        </w:rPr>
        <w:t>Methods and Practice. </w:t>
      </w:r>
      <w:r>
        <w:rPr>
          <w:sz w:val="24"/>
        </w:rPr>
        <w:t>Cheltenham, UK: Edward Elgar.</w:t>
      </w:r>
    </w:p>
    <w:p>
      <w:pPr>
        <w:spacing w:line="357" w:lineRule="auto" w:before="206"/>
        <w:ind w:left="1760" w:right="1047" w:hanging="720"/>
        <w:jc w:val="left"/>
        <w:rPr>
          <w:sz w:val="24"/>
        </w:rPr>
      </w:pPr>
      <w:r>
        <w:rPr>
          <w:sz w:val="24"/>
        </w:rPr>
        <w:t>Odum, H. (1996). </w:t>
      </w:r>
      <w:r>
        <w:rPr>
          <w:i/>
          <w:sz w:val="24"/>
        </w:rPr>
        <w:t>Environmental Acconting: Emergy and Environmental Decision </w:t>
      </w:r>
      <w:r>
        <w:rPr>
          <w:i/>
          <w:sz w:val="24"/>
        </w:rPr>
        <w:t>Making. </w:t>
      </w:r>
      <w:r>
        <w:rPr>
          <w:sz w:val="24"/>
        </w:rPr>
        <w:t>New York, EEUU: John Wiley &amp; Sons.</w:t>
      </w:r>
    </w:p>
    <w:p>
      <w:pPr>
        <w:spacing w:line="362" w:lineRule="auto" w:before="206"/>
        <w:ind w:left="1760" w:right="1549" w:hanging="720"/>
        <w:jc w:val="left"/>
        <w:rPr>
          <w:sz w:val="24"/>
        </w:rPr>
      </w:pPr>
      <w:r>
        <w:rPr>
          <w:sz w:val="24"/>
        </w:rPr>
        <w:t>OECD. (2010). </w:t>
      </w:r>
      <w:r>
        <w:rPr>
          <w:i/>
          <w:sz w:val="24"/>
        </w:rPr>
        <w:t>Pricing Water Resources and Water and Sanitation Services. </w:t>
      </w:r>
      <w:r>
        <w:rPr>
          <w:sz w:val="24"/>
        </w:rPr>
        <w:t>París, Francia: OECD.</w:t>
      </w:r>
    </w:p>
    <w:p>
      <w:pPr>
        <w:spacing w:line="357" w:lineRule="auto" w:before="194"/>
        <w:ind w:left="1760" w:right="1047" w:hanging="720"/>
        <w:jc w:val="left"/>
        <w:rPr>
          <w:sz w:val="24"/>
        </w:rPr>
      </w:pPr>
      <w:r>
        <w:rPr>
          <w:sz w:val="24"/>
        </w:rPr>
        <w:t>OECD. (2018). </w:t>
      </w:r>
      <w:r>
        <w:rPr>
          <w:i/>
          <w:sz w:val="24"/>
        </w:rPr>
        <w:t>Cost-Benefit Analysis and the Environment: Further Developments and </w:t>
      </w:r>
      <w:r>
        <w:rPr>
          <w:i/>
          <w:sz w:val="24"/>
        </w:rPr>
        <w:t>Policy Use. </w:t>
      </w:r>
      <w:r>
        <w:rPr>
          <w:sz w:val="24"/>
        </w:rPr>
        <w:t>París, Francia: OECD.</w:t>
      </w:r>
    </w:p>
    <w:p>
      <w:pPr>
        <w:spacing w:line="360" w:lineRule="auto" w:before="206"/>
        <w:ind w:left="1760" w:right="1048" w:hanging="720"/>
        <w:jc w:val="left"/>
        <w:rPr>
          <w:sz w:val="24"/>
        </w:rPr>
      </w:pPr>
      <w:r>
        <w:rPr>
          <w:sz w:val="24"/>
        </w:rPr>
        <w:t>Oilwatch. (2005). </w:t>
      </w:r>
      <w:r>
        <w:rPr>
          <w:i/>
          <w:sz w:val="24"/>
        </w:rPr>
        <w:t>Deuda ecológica y moratoria petrolera en Costa Rica. </w:t>
      </w:r>
      <w:r>
        <w:rPr>
          <w:sz w:val="24"/>
        </w:rPr>
        <w:t>Recuperado el 23 de Agosto de 2008, de</w:t>
      </w:r>
      <w:hyperlink r:id="rId104">
        <w:r>
          <w:rPr>
            <w:sz w:val="24"/>
          </w:rPr>
          <w:t> http://www.oilwatch.org/index.php?option=com_content&amp;task=view&amp;id=149&amp;Item</w:t>
        </w:r>
      </w:hyperlink>
      <w:r>
        <w:rPr>
          <w:sz w:val="24"/>
        </w:rPr>
        <w:t> id=9&amp;lang=</w:t>
      </w:r>
    </w:p>
    <w:p>
      <w:pPr>
        <w:spacing w:after="0" w:line="360" w:lineRule="auto"/>
        <w:jc w:val="left"/>
        <w:rPr>
          <w:sz w:val="24"/>
        </w:rPr>
        <w:sectPr>
          <w:pgSz w:w="12240" w:h="15840"/>
          <w:pgMar w:header="0" w:footer="982" w:top="1360" w:bottom="1260" w:left="400" w:right="400"/>
        </w:sectPr>
      </w:pPr>
    </w:p>
    <w:p>
      <w:pPr>
        <w:spacing w:line="357" w:lineRule="auto" w:before="79"/>
        <w:ind w:left="1760" w:right="1335" w:hanging="720"/>
        <w:jc w:val="left"/>
        <w:rPr>
          <w:sz w:val="24"/>
        </w:rPr>
      </w:pPr>
      <w:r>
        <w:rPr>
          <w:sz w:val="24"/>
        </w:rPr>
        <w:t>Okoli, C., &amp; Pawloski, S. (2004). The Delphi method as a research tool: an example, design considerations and applications. </w:t>
      </w:r>
      <w:r>
        <w:rPr>
          <w:i/>
          <w:sz w:val="24"/>
        </w:rPr>
        <w:t>Revista Information and Management, </w:t>
      </w:r>
      <w:r>
        <w:rPr>
          <w:i/>
          <w:sz w:val="24"/>
        </w:rPr>
        <w:t>42</w:t>
      </w:r>
      <w:r>
        <w:rPr>
          <w:sz w:val="24"/>
        </w:rPr>
        <w:t>, 15-29.</w:t>
      </w:r>
    </w:p>
    <w:p>
      <w:pPr>
        <w:pStyle w:val="BodyText"/>
        <w:spacing w:before="207"/>
        <w:ind w:left="1040"/>
      </w:pPr>
      <w:r>
        <w:rPr/>
        <w:t>Opschoor, H., &amp; Reijnders, L. (1991). Towards sustainable development indicators. En</w:t>
      </w:r>
    </w:p>
    <w:p>
      <w:pPr>
        <w:spacing w:line="357" w:lineRule="auto" w:before="136"/>
        <w:ind w:left="1760" w:right="2002" w:firstLine="0"/>
        <w:jc w:val="left"/>
        <w:rPr>
          <w:sz w:val="24"/>
        </w:rPr>
      </w:pPr>
      <w:r>
        <w:rPr>
          <w:sz w:val="24"/>
        </w:rPr>
        <w:t>O. Kuik, &amp; H. Verbruggen (Edits.), </w:t>
      </w:r>
      <w:r>
        <w:rPr>
          <w:i/>
          <w:sz w:val="24"/>
        </w:rPr>
        <w:t>In Search of Indicators of Sustainable </w:t>
      </w:r>
      <w:r>
        <w:rPr>
          <w:i/>
          <w:sz w:val="24"/>
        </w:rPr>
        <w:t>Development </w:t>
      </w:r>
      <w:r>
        <w:rPr>
          <w:sz w:val="24"/>
        </w:rPr>
        <w:t>(págs. 7-27). Dordrecht, Holanda: Springer Netherlands.</w:t>
      </w:r>
    </w:p>
    <w:p>
      <w:pPr>
        <w:pStyle w:val="BodyText"/>
        <w:spacing w:line="355" w:lineRule="auto" w:before="210"/>
        <w:ind w:left="1760" w:right="1047" w:hanging="720"/>
      </w:pPr>
      <w:r>
        <w:rPr/>
        <w:t>Ortega Cerda, M. (2004). Una carta Oculta de la Globalización. Ecas, Deuda Externa y Deuda Ecológica. </w:t>
      </w:r>
      <w:r>
        <w:rPr>
          <w:i/>
        </w:rPr>
        <w:t>Ecología Política, 28</w:t>
      </w:r>
      <w:r>
        <w:rPr/>
        <w:t>, 25-33.</w:t>
      </w:r>
    </w:p>
    <w:p>
      <w:pPr>
        <w:spacing w:line="362" w:lineRule="auto" w:before="207"/>
        <w:ind w:left="1760" w:right="1308" w:hanging="720"/>
        <w:jc w:val="left"/>
        <w:rPr>
          <w:sz w:val="24"/>
        </w:rPr>
      </w:pPr>
      <w:r>
        <w:rPr>
          <w:sz w:val="24"/>
        </w:rPr>
        <w:t>Paredis, E., Lambrecht, J., Goeminne, G., &amp; Vanhove, W. (2004). </w:t>
      </w:r>
      <w:r>
        <w:rPr>
          <w:i/>
          <w:sz w:val="24"/>
        </w:rPr>
        <w:t>Elaboration of the </w:t>
      </w:r>
      <w:r>
        <w:rPr>
          <w:i/>
          <w:sz w:val="24"/>
        </w:rPr>
        <w:t>concept of ecological debt. </w:t>
      </w:r>
      <w:r>
        <w:rPr>
          <w:sz w:val="24"/>
        </w:rPr>
        <w:t>Gent, Bélgica: Centre for Sustainable Development (CDO) – Ghent University.</w:t>
      </w:r>
    </w:p>
    <w:p>
      <w:pPr>
        <w:pStyle w:val="BodyText"/>
        <w:spacing w:line="362" w:lineRule="auto" w:before="190"/>
        <w:ind w:left="1760" w:right="1029" w:hanging="720"/>
      </w:pPr>
      <w:r>
        <w:rPr/>
        <w:t>Partido Unidad Social Cristiana Desamparados. (22 de febrero de 2015). </w:t>
      </w:r>
      <w:r>
        <w:rPr>
          <w:i/>
        </w:rPr>
        <w:t>BARRIO LOS </w:t>
      </w:r>
      <w:r>
        <w:rPr>
          <w:i/>
        </w:rPr>
        <w:t>ANGELES /PATARRA/DESAMPARADOS. </w:t>
      </w:r>
      <w:r>
        <w:rPr/>
        <w:t>Recuperado el 6 de junio de 2016, de https://</w:t>
      </w:r>
      <w:hyperlink r:id="rId105">
        <w:r>
          <w:rPr/>
          <w:t>www.facebook.com/puscdesamparados/media_set?set=a.905910329461</w:t>
        </w:r>
      </w:hyperlink>
      <w:r>
        <w:rPr/>
        <w:t> 666.1073741853.100001281214812&amp;type=3</w:t>
      </w:r>
    </w:p>
    <w:p>
      <w:pPr>
        <w:spacing w:line="360" w:lineRule="auto" w:before="194"/>
        <w:ind w:left="1760" w:right="1134" w:hanging="720"/>
        <w:jc w:val="left"/>
        <w:rPr>
          <w:sz w:val="24"/>
        </w:rPr>
      </w:pPr>
      <w:r>
        <w:rPr>
          <w:sz w:val="24"/>
        </w:rPr>
        <w:t>Pascual, U., Muradian, R., Brander, L., Gómez-Baggethun, E., Martín-López, B., &amp; Verma, M. (2010). The economics of valuing ecosystem services and biodiversity. In P. Kumar (Ed.), </w:t>
      </w:r>
      <w:r>
        <w:rPr>
          <w:i/>
          <w:sz w:val="24"/>
        </w:rPr>
        <w:t>The Economics Of Ecosystems And Biodiversity: </w:t>
      </w:r>
      <w:r>
        <w:rPr>
          <w:i/>
          <w:sz w:val="24"/>
        </w:rPr>
        <w:t>The Ecological And Economic Foundations </w:t>
      </w:r>
      <w:r>
        <w:rPr>
          <w:sz w:val="24"/>
        </w:rPr>
        <w:t>(pp. 182-156). Londres &amp; Washington DC: Earthscan.</w:t>
      </w:r>
    </w:p>
    <w:p>
      <w:pPr>
        <w:pStyle w:val="BodyText"/>
        <w:spacing w:before="202"/>
        <w:ind w:left="1040"/>
      </w:pPr>
      <w:r>
        <w:rPr/>
        <w:t>Pascual, U., Phelps, J., Garmendia, E., Brown, K., Corbera, E., Martin, A., . . .</w:t>
      </w:r>
    </w:p>
    <w:p>
      <w:pPr>
        <w:pStyle w:val="BodyText"/>
        <w:spacing w:before="137"/>
        <w:ind w:left="1760"/>
      </w:pPr>
      <w:r>
        <w:rPr/>
        <w:t>Muradian, R. (2014). Social Equity Matters in Payments for Ecosystem Services.</w:t>
      </w:r>
    </w:p>
    <w:p>
      <w:pPr>
        <w:spacing w:before="136"/>
        <w:ind w:left="1760" w:right="0" w:firstLine="0"/>
        <w:jc w:val="left"/>
        <w:rPr>
          <w:sz w:val="24"/>
        </w:rPr>
      </w:pPr>
      <w:r>
        <w:rPr>
          <w:i/>
          <w:sz w:val="24"/>
        </w:rPr>
        <w:t>Bioscience, 64</w:t>
      </w:r>
      <w:r>
        <w:rPr>
          <w:sz w:val="24"/>
        </w:rPr>
        <w:t>, 1027–1036.</w:t>
      </w:r>
    </w:p>
    <w:p>
      <w:pPr>
        <w:pStyle w:val="BodyText"/>
        <w:spacing w:before="2"/>
        <w:rPr>
          <w:sz w:val="29"/>
        </w:rPr>
      </w:pPr>
    </w:p>
    <w:p>
      <w:pPr>
        <w:spacing w:line="364" w:lineRule="auto" w:before="0"/>
        <w:ind w:left="1760" w:right="1896" w:hanging="720"/>
        <w:jc w:val="left"/>
        <w:rPr>
          <w:sz w:val="24"/>
        </w:rPr>
      </w:pPr>
      <w:r>
        <w:rPr>
          <w:sz w:val="24"/>
        </w:rPr>
        <w:t>Pearce, D., &amp; Moran, ,. D. (1994). </w:t>
      </w:r>
      <w:r>
        <w:rPr>
          <w:i/>
          <w:sz w:val="24"/>
        </w:rPr>
        <w:t>The Economic Value of Biodiversity. </w:t>
      </w:r>
      <w:r>
        <w:rPr>
          <w:sz w:val="24"/>
        </w:rPr>
        <w:t>Londres, Inglaterra: Earthscan.</w:t>
      </w:r>
    </w:p>
    <w:p>
      <w:pPr>
        <w:spacing w:before="190"/>
        <w:ind w:left="1040" w:right="0" w:firstLine="0"/>
        <w:jc w:val="left"/>
        <w:rPr>
          <w:i/>
          <w:sz w:val="24"/>
        </w:rPr>
      </w:pPr>
      <w:r>
        <w:rPr>
          <w:sz w:val="24"/>
        </w:rPr>
        <w:t>Pearce, D., &amp; Turner, R. (1990). </w:t>
      </w:r>
      <w:r>
        <w:rPr>
          <w:i/>
          <w:sz w:val="24"/>
        </w:rPr>
        <w:t>Economics of Natural Resources and the Environment</w:t>
      </w:r>
    </w:p>
    <w:p>
      <w:pPr>
        <w:pStyle w:val="BodyText"/>
        <w:spacing w:before="144"/>
        <w:ind w:left="1760"/>
      </w:pPr>
      <w:r>
        <w:rPr/>
        <w:t>(2nd printing ed.). Baltimore, Maryland: John Hopkins University Press.</w:t>
      </w:r>
    </w:p>
    <w:p>
      <w:pPr>
        <w:spacing w:after="0"/>
        <w:sectPr>
          <w:pgSz w:w="12240" w:h="15840"/>
          <w:pgMar w:header="0" w:footer="982" w:top="1360" w:bottom="1260" w:left="400" w:right="400"/>
        </w:sectPr>
      </w:pPr>
    </w:p>
    <w:p>
      <w:pPr>
        <w:spacing w:line="362" w:lineRule="auto" w:before="75"/>
        <w:ind w:left="1760" w:right="1202" w:hanging="720"/>
        <w:jc w:val="left"/>
        <w:rPr>
          <w:sz w:val="24"/>
        </w:rPr>
      </w:pPr>
      <w:r>
        <w:rPr>
          <w:sz w:val="24"/>
        </w:rPr>
        <w:t>Pearce, D., Markandya, A., &amp; Baribier, E. (1989). </w:t>
      </w:r>
      <w:r>
        <w:rPr>
          <w:i/>
          <w:sz w:val="24"/>
        </w:rPr>
        <w:t>Blueprint for a Green Economy </w:t>
      </w:r>
      <w:r>
        <w:rPr>
          <w:sz w:val="24"/>
        </w:rPr>
        <w:t>(1era ed.). Londres: Earthscan.</w:t>
      </w:r>
    </w:p>
    <w:p>
      <w:pPr>
        <w:pStyle w:val="BodyText"/>
        <w:spacing w:line="355" w:lineRule="auto" w:before="199"/>
        <w:ind w:left="1760" w:right="1161" w:hanging="720"/>
      </w:pPr>
      <w:r>
        <w:rPr/>
        <w:t>Pengue, W. (2005). Deuda Ecológica con la Agricultura. Sustentabilidad Débil y Futuro Incierto en la Pampa Argentina. </w:t>
      </w:r>
      <w:r>
        <w:rPr>
          <w:i/>
        </w:rPr>
        <w:t>Ecología Política, 29</w:t>
      </w:r>
      <w:r>
        <w:rPr/>
        <w:t>, 55-74.</w:t>
      </w:r>
    </w:p>
    <w:p>
      <w:pPr>
        <w:pStyle w:val="BodyText"/>
        <w:spacing w:line="355" w:lineRule="auto" w:before="211"/>
        <w:ind w:left="1760" w:right="1047" w:hanging="720"/>
      </w:pPr>
      <w:r>
        <w:rPr/>
        <w:t>Pengue, W. (2006). “Agua virtual”, agronegocio sojero y cuestiones económico ambientales futuras. </w:t>
      </w:r>
      <w:r>
        <w:rPr>
          <w:i/>
        </w:rPr>
        <w:t>Fronteras, 5</w:t>
      </w:r>
      <w:r>
        <w:rPr/>
        <w:t>, 14-24.</w:t>
      </w:r>
    </w:p>
    <w:p>
      <w:pPr>
        <w:spacing w:line="362" w:lineRule="auto" w:before="207"/>
        <w:ind w:left="1760" w:right="1481" w:hanging="720"/>
        <w:jc w:val="left"/>
        <w:rPr>
          <w:sz w:val="24"/>
        </w:rPr>
      </w:pPr>
      <w:r>
        <w:rPr>
          <w:sz w:val="24"/>
        </w:rPr>
        <w:t>Pengue, W. (2008). </w:t>
      </w:r>
      <w:r>
        <w:rPr>
          <w:i/>
          <w:sz w:val="24"/>
        </w:rPr>
        <w:t>Curso Virtual de Economia Ecológica. </w:t>
      </w:r>
      <w:r>
        <w:rPr>
          <w:sz w:val="24"/>
        </w:rPr>
        <w:t>Buenos Aires, Argentina: Grupo de Ecología del Paisaje y Medio Ambiente, Ecoportal.</w:t>
      </w:r>
    </w:p>
    <w:p>
      <w:pPr>
        <w:spacing w:line="362" w:lineRule="auto" w:before="196"/>
        <w:ind w:left="1760" w:right="1388" w:hanging="720"/>
        <w:jc w:val="left"/>
        <w:rPr>
          <w:sz w:val="24"/>
        </w:rPr>
      </w:pPr>
      <w:r>
        <w:rPr>
          <w:sz w:val="24"/>
        </w:rPr>
        <w:t>Pengue, W. (2009). </w:t>
      </w:r>
      <w:r>
        <w:rPr>
          <w:i/>
          <w:sz w:val="24"/>
        </w:rPr>
        <w:t>Fundamentos de Economía Ecológica. </w:t>
      </w:r>
      <w:r>
        <w:rPr>
          <w:sz w:val="24"/>
        </w:rPr>
        <w:t>Buenos Aires, Argentina: Editorial Kaicron.</w:t>
      </w:r>
    </w:p>
    <w:p>
      <w:pPr>
        <w:spacing w:line="362" w:lineRule="auto" w:before="194"/>
        <w:ind w:left="1760" w:right="1047" w:hanging="720"/>
        <w:jc w:val="left"/>
        <w:rPr>
          <w:sz w:val="24"/>
        </w:rPr>
      </w:pPr>
      <w:r>
        <w:rPr>
          <w:sz w:val="24"/>
        </w:rPr>
        <w:t>Pennsylvania State University. (2018). </w:t>
      </w:r>
      <w:r>
        <w:rPr>
          <w:i/>
          <w:sz w:val="24"/>
        </w:rPr>
        <w:t>Detecting Multicollinearity Using Variance </w:t>
      </w:r>
      <w:r>
        <w:rPr>
          <w:i/>
          <w:sz w:val="24"/>
        </w:rPr>
        <w:t>Inflation Factors. </w:t>
      </w:r>
      <w:r>
        <w:rPr>
          <w:sz w:val="24"/>
        </w:rPr>
        <w:t>Recuperado el 2 de febrero de 2018, de https://onlinecourses.science.psu.edu/stat501/node/347</w:t>
      </w:r>
    </w:p>
    <w:p>
      <w:pPr>
        <w:spacing w:line="364" w:lineRule="auto" w:before="190"/>
        <w:ind w:left="1760" w:right="1496" w:hanging="720"/>
        <w:jc w:val="left"/>
        <w:rPr>
          <w:sz w:val="24"/>
        </w:rPr>
      </w:pPr>
      <w:r>
        <w:rPr>
          <w:sz w:val="24"/>
        </w:rPr>
        <w:t>Piketty, T. (2014). </w:t>
      </w:r>
      <w:r>
        <w:rPr>
          <w:i/>
          <w:sz w:val="24"/>
        </w:rPr>
        <w:t>Capital in the Twenty-First Century. </w:t>
      </w:r>
      <w:r>
        <w:rPr>
          <w:sz w:val="24"/>
        </w:rPr>
        <w:t>Cambridge, Massachussetts: Belknap Press of Harvard University Press.</w:t>
      </w:r>
    </w:p>
    <w:p>
      <w:pPr>
        <w:spacing w:line="362" w:lineRule="auto" w:before="189"/>
        <w:ind w:left="1760" w:right="1047" w:hanging="720"/>
        <w:jc w:val="left"/>
        <w:rPr>
          <w:sz w:val="24"/>
        </w:rPr>
      </w:pPr>
      <w:r>
        <w:rPr>
          <w:sz w:val="24"/>
        </w:rPr>
        <w:t>Prat, A. (1998). </w:t>
      </w:r>
      <w:r>
        <w:rPr>
          <w:i/>
          <w:sz w:val="24"/>
        </w:rPr>
        <w:t>Aproximación de la Huella Ecológica de Barcelona: Resumen de los </w:t>
      </w:r>
      <w:r>
        <w:rPr>
          <w:i/>
          <w:sz w:val="24"/>
        </w:rPr>
        <w:t>Cálculos y Reflexiones sobre los Resultados. </w:t>
      </w:r>
      <w:r>
        <w:rPr>
          <w:sz w:val="24"/>
        </w:rPr>
        <w:t>Barcelona, España: Comisión de Medio Ambiente y Servicios Urbanos del Ayuntamiento de Barcelona.</w:t>
      </w:r>
    </w:p>
    <w:p>
      <w:pPr>
        <w:spacing w:line="362" w:lineRule="auto" w:before="195"/>
        <w:ind w:left="1760" w:right="1121" w:hanging="720"/>
        <w:jc w:val="left"/>
        <w:rPr>
          <w:sz w:val="24"/>
        </w:rPr>
      </w:pPr>
      <w:r>
        <w:rPr>
          <w:sz w:val="24"/>
        </w:rPr>
        <w:t>Programa del Estado de la Nación en Desarrollo Humano Sostenible. (2016). </w:t>
      </w:r>
      <w:r>
        <w:rPr>
          <w:i/>
          <w:sz w:val="24"/>
        </w:rPr>
        <w:t>Vigésimo </w:t>
      </w:r>
      <w:r>
        <w:rPr>
          <w:i/>
          <w:sz w:val="24"/>
        </w:rPr>
        <w:t>segundo Informe Estado de la Nación en Desarrollo Humano Sostenible. </w:t>
      </w:r>
      <w:r>
        <w:rPr>
          <w:sz w:val="24"/>
        </w:rPr>
        <w:t>San José, Costa Rica: Programa Estado de la Nación.</w:t>
      </w:r>
    </w:p>
    <w:p>
      <w:pPr>
        <w:spacing w:line="360" w:lineRule="auto" w:before="190"/>
        <w:ind w:left="1760" w:right="1062" w:hanging="720"/>
        <w:jc w:val="left"/>
        <w:rPr>
          <w:sz w:val="24"/>
        </w:rPr>
      </w:pPr>
      <w:r>
        <w:rPr>
          <w:sz w:val="24"/>
        </w:rPr>
        <w:t>Proyecto de Humedales de SINAC-PNUD-GEF. (2017). </w:t>
      </w:r>
      <w:r>
        <w:rPr>
          <w:i/>
          <w:sz w:val="24"/>
        </w:rPr>
        <w:t>Valoración de los servicios </w:t>
      </w:r>
      <w:r>
        <w:rPr>
          <w:i/>
          <w:sz w:val="24"/>
        </w:rPr>
        <w:t>ecosistémicos que ofrecen siete de los humedales protegidos de importancia internacional en Costa Rica: Palo Verde, Caribe Noreste, Caño Negro, Gandoca- Manzanillo, Maquenque, Térraba-Sierpe y Las Baulas. </w:t>
      </w:r>
      <w:r>
        <w:rPr>
          <w:sz w:val="24"/>
        </w:rPr>
        <w:t>San José, Costa Rica: SINAC/CINPE-UNA/PNUD.</w:t>
      </w:r>
    </w:p>
    <w:p>
      <w:pPr>
        <w:spacing w:after="0" w:line="360" w:lineRule="auto"/>
        <w:jc w:val="left"/>
        <w:rPr>
          <w:sz w:val="24"/>
        </w:rPr>
        <w:sectPr>
          <w:pgSz w:w="12240" w:h="15840"/>
          <w:pgMar w:header="0" w:footer="982" w:top="1360" w:bottom="1260" w:left="400" w:right="400"/>
        </w:sectPr>
      </w:pPr>
    </w:p>
    <w:p>
      <w:pPr>
        <w:pStyle w:val="BodyText"/>
        <w:spacing w:line="357" w:lineRule="auto" w:before="79"/>
        <w:ind w:left="1760" w:right="1047" w:hanging="720"/>
      </w:pPr>
      <w:r>
        <w:rPr/>
        <w:t>Pujol, R., Pérez, E., &amp; Sánchez, L. (2013). Estimaciones del Impacto del Límite de Crecimiento (Anillo de Contención) sobre los Valores del Suelo en el Norte de Heredia. </w:t>
      </w:r>
      <w:r>
        <w:rPr>
          <w:i/>
        </w:rPr>
        <w:t>Ciencias Económicas, 31</w:t>
      </w:r>
      <w:r>
        <w:rPr/>
        <w:t>(2), 117-134.</w:t>
      </w:r>
    </w:p>
    <w:p>
      <w:pPr>
        <w:pStyle w:val="BodyText"/>
        <w:spacing w:line="357" w:lineRule="auto" w:before="207"/>
        <w:ind w:left="1760" w:right="1285" w:hanging="720"/>
        <w:jc w:val="both"/>
      </w:pPr>
      <w:r>
        <w:rPr/>
        <w:t>Pujol, R., Sánchez, L., &amp; Pérez, E. (2011). La Segregación Social como Determinante del DesarroLLo Urbano. Barrios Cerrados y Autosegregación en Las Ciudades de San José y Heredia, Costa Rica. </w:t>
      </w:r>
      <w:r>
        <w:rPr>
          <w:i/>
        </w:rPr>
        <w:t>Ciencias Económicas, 29</w:t>
      </w:r>
      <w:r>
        <w:rPr/>
        <w:t>(1), 445-477.</w:t>
      </w:r>
    </w:p>
    <w:p>
      <w:pPr>
        <w:spacing w:line="362" w:lineRule="auto" w:before="206"/>
        <w:ind w:left="1760" w:right="1324" w:hanging="720"/>
        <w:jc w:val="both"/>
        <w:rPr>
          <w:sz w:val="24"/>
        </w:rPr>
      </w:pPr>
      <w:r>
        <w:rPr>
          <w:sz w:val="24"/>
        </w:rPr>
        <w:t>Quintana, C. (1989). </w:t>
      </w:r>
      <w:r>
        <w:rPr>
          <w:i/>
          <w:sz w:val="24"/>
        </w:rPr>
        <w:t>Elementos de Inferencia Estadística </w:t>
      </w:r>
      <w:r>
        <w:rPr>
          <w:sz w:val="24"/>
        </w:rPr>
        <w:t>(1era ed.). San José, Costa Rica: Universidad de Costa Rica.</w:t>
      </w:r>
    </w:p>
    <w:p>
      <w:pPr>
        <w:pStyle w:val="BodyText"/>
        <w:spacing w:line="360" w:lineRule="auto" w:before="199"/>
        <w:ind w:left="1760" w:right="1015" w:hanging="720"/>
      </w:pPr>
      <w:r>
        <w:rPr/>
        <w:t>Ramírez, S., Galindo, M., &amp; Contreras, C. (2015). Justicia ambiental. Entre la utopía y la realidad social. </w:t>
      </w:r>
      <w:r>
        <w:rPr>
          <w:i/>
        </w:rPr>
        <w:t>Culturales, 3</w:t>
      </w:r>
      <w:r>
        <w:rPr/>
        <w:t>(1), </w:t>
      </w:r>
      <w:hyperlink r:id="rId106">
        <w:r>
          <w:rPr/>
          <w:t>http://www.scielo.org.mx/scielo.php?script=sci_arttext&amp;pid=S1870-</w:t>
        </w:r>
      </w:hyperlink>
      <w:r>
        <w:rPr/>
        <w:t> 11912015000100008.</w:t>
      </w:r>
    </w:p>
    <w:p>
      <w:pPr>
        <w:spacing w:line="360" w:lineRule="auto" w:before="197"/>
        <w:ind w:left="1760" w:right="1047" w:hanging="720"/>
        <w:jc w:val="left"/>
        <w:rPr>
          <w:sz w:val="24"/>
        </w:rPr>
      </w:pPr>
      <w:r>
        <w:rPr>
          <w:sz w:val="24"/>
        </w:rPr>
        <w:t>Ramos, Z., &amp; Quirós, L. (2011). </w:t>
      </w:r>
      <w:r>
        <w:rPr>
          <w:i/>
          <w:sz w:val="24"/>
        </w:rPr>
        <w:t>Los Cerros de la Carpintera: construcción de una </w:t>
      </w:r>
      <w:r>
        <w:rPr>
          <w:i/>
          <w:sz w:val="24"/>
        </w:rPr>
        <w:t>gestión participativa para la conservación y producción sostenible en un área silvestre protegida. </w:t>
      </w:r>
      <w:r>
        <w:rPr>
          <w:sz w:val="24"/>
        </w:rPr>
        <w:t>Turrialba, Costa Rica: CATIE.</w:t>
      </w:r>
    </w:p>
    <w:p>
      <w:pPr>
        <w:spacing w:line="362" w:lineRule="auto" w:before="198"/>
        <w:ind w:left="1760" w:right="1047" w:hanging="720"/>
        <w:jc w:val="left"/>
        <w:rPr>
          <w:sz w:val="24"/>
        </w:rPr>
      </w:pPr>
      <w:r>
        <w:rPr>
          <w:sz w:val="24"/>
        </w:rPr>
        <w:t>Ravetz, J. (2001). New Forms of Science. En N. Smelser, &amp; P. Baltes, </w:t>
      </w:r>
      <w:r>
        <w:rPr>
          <w:i/>
          <w:sz w:val="24"/>
        </w:rPr>
        <w:t>International </w:t>
      </w:r>
      <w:r>
        <w:rPr>
          <w:i/>
          <w:sz w:val="24"/>
        </w:rPr>
        <w:t>Encyclopedia of the Social and Behavioral Sciences </w:t>
      </w:r>
      <w:r>
        <w:rPr>
          <w:sz w:val="24"/>
        </w:rPr>
        <w:t>(págs. 13683-13687).</w:t>
      </w:r>
    </w:p>
    <w:p>
      <w:pPr>
        <w:pStyle w:val="BodyText"/>
        <w:spacing w:line="275" w:lineRule="exact"/>
        <w:ind w:left="1760"/>
      </w:pPr>
      <w:r>
        <w:rPr/>
        <w:t>Oxford: Elsevier.</w:t>
      </w:r>
    </w:p>
    <w:p>
      <w:pPr>
        <w:pStyle w:val="BodyText"/>
        <w:spacing w:before="3"/>
        <w:rPr>
          <w:sz w:val="29"/>
        </w:rPr>
      </w:pPr>
    </w:p>
    <w:p>
      <w:pPr>
        <w:pStyle w:val="BodyText"/>
        <w:spacing w:line="362" w:lineRule="auto"/>
        <w:ind w:left="1760" w:right="2288" w:hanging="720"/>
      </w:pPr>
      <w:r>
        <w:rPr/>
        <w:t>Recelo por mina en Coris de Cartago. (3 de abril de 1999). </w:t>
      </w:r>
      <w:r>
        <w:rPr>
          <w:i/>
        </w:rPr>
        <w:t>La Nación</w:t>
      </w:r>
      <w:r>
        <w:rPr/>
        <w:t>, págs. https://</w:t>
      </w:r>
      <w:hyperlink r:id="rId107">
        <w:r>
          <w:rPr/>
          <w:t>www.nacion.com/el-pais/recelo-por-mina-en-coris-de-</w:t>
        </w:r>
      </w:hyperlink>
      <w:r>
        <w:rPr/>
        <w:t> cartago/E46HQ3XXOFEQPC33ZIQAVQ2CWY/story/.</w:t>
      </w:r>
    </w:p>
    <w:p>
      <w:pPr>
        <w:pStyle w:val="BodyText"/>
        <w:spacing w:line="360" w:lineRule="auto" w:before="194"/>
        <w:ind w:left="1760" w:right="1025" w:hanging="720"/>
      </w:pPr>
      <w:r>
        <w:rPr/>
        <w:t>Recio, P. (18 de Septiembre de 2014). Tribunal Ambiental ordena frenar construcciones en cerros de La Carpintera. </w:t>
      </w:r>
      <w:r>
        <w:rPr>
          <w:i/>
        </w:rPr>
        <w:t>La Nación</w:t>
      </w:r>
      <w:r>
        <w:rPr/>
        <w:t>, págs. </w:t>
      </w:r>
      <w:hyperlink r:id="rId108">
        <w:r>
          <w:rPr/>
          <w:t>http://www.nacion.com/nacional/vivienda/Tribunal-Ambiental-construcciones-</w:t>
        </w:r>
      </w:hyperlink>
      <w:r>
        <w:rPr/>
        <w:t> cerros-Carpintera_0_1439856102.html.</w:t>
      </w:r>
    </w:p>
    <w:p>
      <w:pPr>
        <w:pStyle w:val="BodyText"/>
        <w:spacing w:line="362" w:lineRule="auto" w:before="201"/>
        <w:ind w:left="1760" w:right="1047" w:hanging="720"/>
      </w:pPr>
      <w:r>
        <w:rPr/>
        <w:t>Rees, W., &amp; Wackernagel, M. (1994). Ecological Footprints and Appropriated Carrying Capacity: Measuring the Natural Capital Requirements of the Human Economy.</w:t>
      </w:r>
    </w:p>
    <w:p>
      <w:pPr>
        <w:spacing w:after="0" w:line="362" w:lineRule="auto"/>
        <w:sectPr>
          <w:pgSz w:w="12240" w:h="15840"/>
          <w:pgMar w:header="0" w:footer="982" w:top="1360" w:bottom="1260" w:left="400" w:right="400"/>
        </w:sectPr>
      </w:pPr>
    </w:p>
    <w:p>
      <w:pPr>
        <w:spacing w:line="357" w:lineRule="auto" w:before="75"/>
        <w:ind w:left="1760" w:right="1047" w:firstLine="0"/>
        <w:jc w:val="left"/>
        <w:rPr>
          <w:i/>
          <w:sz w:val="24"/>
        </w:rPr>
      </w:pPr>
      <w:r>
        <w:rPr>
          <w:sz w:val="24"/>
        </w:rPr>
        <w:t>En </w:t>
      </w:r>
      <w:r>
        <w:rPr>
          <w:i/>
          <w:sz w:val="24"/>
        </w:rPr>
        <w:t>Investing in Natural Capital. The Ecological Economics Approach to </w:t>
      </w:r>
      <w:r>
        <w:rPr>
          <w:i/>
          <w:sz w:val="24"/>
        </w:rPr>
        <w:t>Sustainability.</w:t>
      </w:r>
    </w:p>
    <w:p>
      <w:pPr>
        <w:spacing w:line="360" w:lineRule="auto" w:before="206"/>
        <w:ind w:left="1760" w:right="1134" w:hanging="720"/>
        <w:jc w:val="left"/>
        <w:rPr>
          <w:sz w:val="24"/>
        </w:rPr>
      </w:pPr>
      <w:r>
        <w:rPr>
          <w:sz w:val="24"/>
        </w:rPr>
        <w:t>Rees, W., &amp; Wackernagel, M. (1998). </w:t>
      </w:r>
      <w:r>
        <w:rPr>
          <w:i/>
          <w:sz w:val="24"/>
        </w:rPr>
        <w:t>Our Ecological Footprint: Reducing Human </w:t>
      </w:r>
      <w:r>
        <w:rPr>
          <w:i/>
          <w:sz w:val="24"/>
        </w:rPr>
        <w:t>Impact on the Earth. </w:t>
      </w:r>
      <w:r>
        <w:rPr>
          <w:sz w:val="24"/>
        </w:rPr>
        <w:t>Vancouver, Canada: New Society Publishers.</w:t>
      </w:r>
    </w:p>
    <w:p>
      <w:pPr>
        <w:spacing w:line="360" w:lineRule="auto" w:before="200"/>
        <w:ind w:left="1760" w:right="1049" w:hanging="720"/>
        <w:jc w:val="left"/>
        <w:rPr>
          <w:sz w:val="24"/>
        </w:rPr>
      </w:pPr>
      <w:r>
        <w:rPr>
          <w:sz w:val="24"/>
        </w:rPr>
        <w:t>Rendón, R. (2009). </w:t>
      </w:r>
      <w:r>
        <w:rPr>
          <w:i/>
          <w:sz w:val="24"/>
        </w:rPr>
        <w:t>Implicaciones Ambientales Generadas por las Poblaciones que </w:t>
      </w:r>
      <w:r>
        <w:rPr>
          <w:i/>
          <w:sz w:val="24"/>
        </w:rPr>
        <w:t>Migran a las Ciudades: Estudio de Caso en el Barrio Caracoli - Localidad Ciudad Bolivar- Bogota. </w:t>
      </w:r>
      <w:r>
        <w:rPr>
          <w:sz w:val="24"/>
        </w:rPr>
        <w:t>Bogotá. Colombia: Tesis de grado. Pontifica Universidad Javierana.</w:t>
      </w:r>
    </w:p>
    <w:p>
      <w:pPr>
        <w:spacing w:line="357" w:lineRule="auto" w:before="201"/>
        <w:ind w:left="1760" w:right="2336" w:hanging="720"/>
        <w:jc w:val="left"/>
        <w:rPr>
          <w:sz w:val="24"/>
        </w:rPr>
      </w:pPr>
      <w:r>
        <w:rPr>
          <w:sz w:val="24"/>
        </w:rPr>
        <w:t>Riechmann, J. (2003). Tres principios básicos de justicia ambiental. </w:t>
      </w:r>
      <w:r>
        <w:rPr>
          <w:i/>
          <w:sz w:val="24"/>
        </w:rPr>
        <w:t>Revista </w:t>
      </w:r>
      <w:r>
        <w:rPr>
          <w:i/>
          <w:sz w:val="24"/>
        </w:rPr>
        <w:t>Internacional de Filosofía Política , 21</w:t>
      </w:r>
      <w:r>
        <w:rPr>
          <w:sz w:val="24"/>
        </w:rPr>
        <w:t>, 103-120.</w:t>
      </w:r>
    </w:p>
    <w:p>
      <w:pPr>
        <w:spacing w:line="355" w:lineRule="auto" w:before="210"/>
        <w:ind w:left="1760" w:right="1047" w:hanging="720"/>
        <w:jc w:val="left"/>
        <w:rPr>
          <w:sz w:val="24"/>
        </w:rPr>
      </w:pPr>
      <w:r>
        <w:rPr>
          <w:sz w:val="24"/>
        </w:rPr>
        <w:t>Rodríguez, N., &amp; Garita, M. (2005). La Noción de Calidad de Vica desdediversas perspectivas. </w:t>
      </w:r>
      <w:r>
        <w:rPr>
          <w:i/>
          <w:sz w:val="24"/>
        </w:rPr>
        <w:t>Revista de Investigación, 15</w:t>
      </w:r>
      <w:r>
        <w:rPr>
          <w:sz w:val="24"/>
        </w:rPr>
        <w:t>, 49-68.</w:t>
      </w:r>
    </w:p>
    <w:p>
      <w:pPr>
        <w:spacing w:before="207"/>
        <w:ind w:left="1040" w:right="0" w:firstLine="0"/>
        <w:jc w:val="left"/>
        <w:rPr>
          <w:i/>
          <w:sz w:val="24"/>
        </w:rPr>
      </w:pPr>
      <w:r>
        <w:rPr>
          <w:sz w:val="24"/>
        </w:rPr>
        <w:t>Roque, A. (23 de Abril de 2015). </w:t>
      </w:r>
      <w:r>
        <w:rPr>
          <w:i/>
          <w:sz w:val="24"/>
        </w:rPr>
        <w:t>Central America, Caribbean Are Poised for Change.</w:t>
      </w:r>
    </w:p>
    <w:p>
      <w:pPr>
        <w:pStyle w:val="BodyText"/>
        <w:spacing w:line="360" w:lineRule="auto" w:before="140"/>
        <w:ind w:left="1760" w:right="1678"/>
      </w:pPr>
      <w:r>
        <w:rPr/>
        <w:t>Recuperado el 11 de Noviembre de 2018, de https://worldview.stratfor.com/article/central-america-caribbean-are-poised- change</w:t>
      </w:r>
    </w:p>
    <w:p>
      <w:pPr>
        <w:spacing w:line="362" w:lineRule="auto" w:before="199"/>
        <w:ind w:left="1760" w:right="1134" w:hanging="720"/>
        <w:jc w:val="left"/>
        <w:rPr>
          <w:sz w:val="24"/>
        </w:rPr>
      </w:pPr>
      <w:r>
        <w:rPr>
          <w:sz w:val="24"/>
        </w:rPr>
        <w:t>Sanabria, M. (2006). </w:t>
      </w:r>
      <w:r>
        <w:rPr>
          <w:i/>
          <w:sz w:val="24"/>
        </w:rPr>
        <w:t>Toma de Decisiones con Criterios Múltiples: un resumen </w:t>
      </w:r>
      <w:r>
        <w:rPr>
          <w:i/>
          <w:sz w:val="24"/>
        </w:rPr>
        <w:t>conceptual. </w:t>
      </w:r>
      <w:r>
        <w:rPr>
          <w:sz w:val="24"/>
        </w:rPr>
        <w:t>San José, Costa Rica: UNED, Trabajo Final de Graduación, Maestría en Administración de Negocios.</w:t>
      </w:r>
    </w:p>
    <w:p>
      <w:pPr>
        <w:spacing w:line="362" w:lineRule="auto" w:before="190"/>
        <w:ind w:left="1760" w:right="1047" w:hanging="720"/>
        <w:jc w:val="left"/>
        <w:rPr>
          <w:sz w:val="24"/>
        </w:rPr>
      </w:pPr>
      <w:r>
        <w:rPr>
          <w:sz w:val="24"/>
        </w:rPr>
        <w:t>Sánchez, L., &amp; Trejos, J. (2014). </w:t>
      </w:r>
      <w:r>
        <w:rPr>
          <w:i/>
          <w:sz w:val="24"/>
        </w:rPr>
        <w:t>Atlas de Carencias Críticas en Costa Rica, a la luz del </w:t>
      </w:r>
      <w:r>
        <w:rPr>
          <w:i/>
          <w:sz w:val="24"/>
        </w:rPr>
        <w:t>Censo del 2011. </w:t>
      </w:r>
      <w:r>
        <w:rPr>
          <w:sz w:val="24"/>
        </w:rPr>
        <w:t>San José, Costa Rica: IICE, Universidad de Costa Rica.</w:t>
      </w:r>
    </w:p>
    <w:p>
      <w:pPr>
        <w:spacing w:line="362" w:lineRule="auto" w:before="195"/>
        <w:ind w:left="1760" w:right="1047" w:hanging="720"/>
        <w:jc w:val="left"/>
        <w:rPr>
          <w:sz w:val="24"/>
        </w:rPr>
      </w:pPr>
      <w:r>
        <w:rPr>
          <w:sz w:val="24"/>
        </w:rPr>
        <w:t>Saubes, N., &amp; Gálvez, J. (2015). </w:t>
      </w:r>
      <w:r>
        <w:rPr>
          <w:i/>
          <w:sz w:val="24"/>
        </w:rPr>
        <w:t>Estado de la conservación y uso de los recursos </w:t>
      </w:r>
      <w:r>
        <w:rPr>
          <w:i/>
          <w:sz w:val="24"/>
        </w:rPr>
        <w:t>naturales en Centroamérica. </w:t>
      </w:r>
      <w:r>
        <w:rPr>
          <w:sz w:val="24"/>
        </w:rPr>
        <w:t>San José, Costa Rica: Programa del Estado de la Región. CONARE.</w:t>
      </w:r>
    </w:p>
    <w:p>
      <w:pPr>
        <w:spacing w:line="362" w:lineRule="auto" w:before="193"/>
        <w:ind w:left="1760" w:right="1149" w:hanging="720"/>
        <w:jc w:val="left"/>
        <w:rPr>
          <w:sz w:val="24"/>
        </w:rPr>
      </w:pPr>
      <w:r>
        <w:rPr>
          <w:sz w:val="24"/>
        </w:rPr>
        <w:t>Schumpeter, J. (2012). </w:t>
      </w:r>
      <w:r>
        <w:rPr>
          <w:i/>
          <w:sz w:val="24"/>
        </w:rPr>
        <w:t>Capitalism, Socialism and Democracy </w:t>
      </w:r>
      <w:r>
        <w:rPr>
          <w:sz w:val="24"/>
        </w:rPr>
        <w:t>(1era ebook ed.). EEUU: Start Publishing.</w:t>
      </w:r>
    </w:p>
    <w:p>
      <w:pPr>
        <w:spacing w:after="0" w:line="362" w:lineRule="auto"/>
        <w:jc w:val="left"/>
        <w:rPr>
          <w:sz w:val="24"/>
        </w:rPr>
        <w:sectPr>
          <w:pgSz w:w="12240" w:h="15840"/>
          <w:pgMar w:header="0" w:footer="982" w:top="1360" w:bottom="1260" w:left="400" w:right="400"/>
        </w:sectPr>
      </w:pPr>
    </w:p>
    <w:p>
      <w:pPr>
        <w:pStyle w:val="BodyText"/>
        <w:spacing w:line="357" w:lineRule="auto" w:before="79"/>
        <w:ind w:left="1760" w:right="1009" w:hanging="720"/>
      </w:pPr>
      <w:r>
        <w:rPr/>
        <w:t>Sepúlveda-Machado, M., &amp; Aguilar-González, B. (2015). Significance of blue carbon in ecological aquaculture in the context of interrelated issues: A case study of Costa Rica. En S. Mustafa, &amp; R. Shapawi (Edits.), </w:t>
      </w:r>
      <w:r>
        <w:rPr>
          <w:i/>
        </w:rPr>
        <w:t>Aquacultre Ecosystems. Adaptability </w:t>
      </w:r>
      <w:r>
        <w:rPr>
          <w:i/>
        </w:rPr>
        <w:t>and Sustainability </w:t>
      </w:r>
      <w:r>
        <w:rPr/>
        <w:t>(págs. 182-242). West Sussex, UK: John Wiley &amp; Sons.</w:t>
      </w:r>
    </w:p>
    <w:p>
      <w:pPr>
        <w:pStyle w:val="BodyText"/>
        <w:spacing w:line="360" w:lineRule="auto" w:before="212"/>
        <w:ind w:left="1760" w:right="1246" w:hanging="720"/>
      </w:pPr>
      <w:r>
        <w:rPr/>
        <w:t>Shipton, L. (2017). Canada’s Mining Industry in Guatemala and the Right to Health of Indigenous Peoples. </w:t>
      </w:r>
      <w:r>
        <w:rPr>
          <w:i/>
        </w:rPr>
        <w:t>Health and Human Rights Journal, 8</w:t>
      </w:r>
      <w:r>
        <w:rPr/>
        <w:t>, https://</w:t>
      </w:r>
      <w:hyperlink r:id="rId109">
        <w:r>
          <w:rPr/>
          <w:t>www.hhrjournal.org/2017/08/canadas-mining-industry-in-guatemala-and-</w:t>
        </w:r>
      </w:hyperlink>
      <w:r>
        <w:rPr/>
        <w:t> the-right-to-health-of-indigenous-peoples/.</w:t>
      </w:r>
    </w:p>
    <w:p>
      <w:pPr>
        <w:pStyle w:val="BodyText"/>
        <w:spacing w:line="360" w:lineRule="auto" w:before="200"/>
        <w:ind w:left="1760" w:right="1114" w:hanging="720"/>
      </w:pPr>
      <w:r>
        <w:rPr/>
        <w:t>Soto, M. (23 de Noviembre de 2015). Instituciones se unen para salvar el cerro la Carpintera. </w:t>
      </w:r>
      <w:r>
        <w:rPr>
          <w:i/>
        </w:rPr>
        <w:t>La Nación</w:t>
      </w:r>
      <w:r>
        <w:rPr/>
        <w:t>, págs. </w:t>
      </w:r>
      <w:hyperlink r:id="rId110">
        <w:r>
          <w:rPr/>
          <w:t>http://www.nacion.com/vivir/ambiente/Instituciones-</w:t>
        </w:r>
      </w:hyperlink>
      <w:r>
        <w:rPr/>
        <w:t> unen-salvar-cerro-Carpintera_0_1526047394.html.</w:t>
      </w:r>
    </w:p>
    <w:p>
      <w:pPr>
        <w:pStyle w:val="BodyText"/>
        <w:spacing w:line="357" w:lineRule="auto" w:before="198"/>
        <w:ind w:left="1760" w:right="1842" w:hanging="720"/>
      </w:pPr>
      <w:r>
        <w:rPr/>
        <w:t>Spangenberg, J. (2002). Environmental space and the prism of sustainability: frameworks for indicators measuring sustainable development. </w:t>
      </w:r>
      <w:r>
        <w:rPr>
          <w:i/>
        </w:rPr>
        <w:t>Ecological </w:t>
      </w:r>
      <w:r>
        <w:rPr>
          <w:i/>
        </w:rPr>
        <w:t>Indicators, 2</w:t>
      </w:r>
      <w:r>
        <w:rPr/>
        <w:t>, 295-309.</w:t>
      </w:r>
    </w:p>
    <w:p>
      <w:pPr>
        <w:spacing w:line="360" w:lineRule="auto" w:before="207"/>
        <w:ind w:left="1760" w:right="1102" w:hanging="720"/>
        <w:jc w:val="left"/>
        <w:rPr>
          <w:sz w:val="24"/>
        </w:rPr>
      </w:pPr>
      <w:r>
        <w:rPr>
          <w:sz w:val="24"/>
        </w:rPr>
        <w:t>Stanton, L. (2010). </w:t>
      </w:r>
      <w:r>
        <w:rPr>
          <w:i/>
          <w:sz w:val="24"/>
        </w:rPr>
        <w:t>Public Goods: The economics of climate, equity and shared </w:t>
      </w:r>
      <w:r>
        <w:rPr>
          <w:i/>
          <w:sz w:val="24"/>
        </w:rPr>
        <w:t>prosperity. The future now for a Fraction of the cost! </w:t>
      </w:r>
      <w:r>
        <w:rPr>
          <w:sz w:val="24"/>
        </w:rPr>
        <w:t>Recuperado el 1 de octubre de 2016, de https://lizstanton.wordpress.com/2010/03/30/the-future-now-for-a- fraction-of-the-cost/</w:t>
      </w:r>
    </w:p>
    <w:p>
      <w:pPr>
        <w:spacing w:line="360" w:lineRule="auto" w:before="201"/>
        <w:ind w:left="1760" w:right="1009" w:hanging="720"/>
        <w:jc w:val="left"/>
        <w:rPr>
          <w:sz w:val="24"/>
        </w:rPr>
      </w:pPr>
      <w:r>
        <w:rPr>
          <w:sz w:val="24"/>
        </w:rPr>
        <w:t>Suárez, R., &amp; Sequeira, M. (2000). </w:t>
      </w:r>
      <w:r>
        <w:rPr>
          <w:i/>
          <w:sz w:val="24"/>
        </w:rPr>
        <w:t>Valoración Económica del Medio Ambiente en Costa </w:t>
      </w:r>
      <w:r>
        <w:rPr>
          <w:i/>
          <w:sz w:val="24"/>
        </w:rPr>
        <w:t>Rica: Modelo de precios hedónicos, caso Relleno Sanitario de Río Azul. </w:t>
      </w:r>
      <w:r>
        <w:rPr>
          <w:sz w:val="24"/>
        </w:rPr>
        <w:t>San José, Costa Rica: Tesis de grado. Escuela de Economía, Universidad de Costa Rica.</w:t>
      </w:r>
    </w:p>
    <w:p>
      <w:pPr>
        <w:pStyle w:val="BodyText"/>
        <w:spacing w:line="355" w:lineRule="auto" w:before="205"/>
        <w:ind w:left="1760" w:right="1047" w:hanging="720"/>
      </w:pPr>
      <w:r>
        <w:rPr/>
        <w:t>Svampa, M. (Marzo-Abril de 2013). "Consenso de los Commodities" y lenguajes de valoración en América Latina. </w:t>
      </w:r>
      <w:r>
        <w:rPr>
          <w:i/>
        </w:rPr>
        <w:t>Nueva Sociedad</w:t>
      </w:r>
      <w:r>
        <w:rPr/>
        <w:t>(244), 30-46.</w:t>
      </w:r>
    </w:p>
    <w:p>
      <w:pPr>
        <w:spacing w:before="207"/>
        <w:ind w:left="1040" w:right="0" w:firstLine="0"/>
        <w:jc w:val="left"/>
        <w:rPr>
          <w:sz w:val="24"/>
        </w:rPr>
      </w:pPr>
      <w:r>
        <w:rPr>
          <w:sz w:val="24"/>
        </w:rPr>
        <w:t>TEEB. (2010). </w:t>
      </w:r>
      <w:r>
        <w:rPr>
          <w:i/>
          <w:sz w:val="24"/>
        </w:rPr>
        <w:t>The economics of valuing ecosystem services and biodiversity. </w:t>
      </w:r>
      <w:r>
        <w:rPr>
          <w:sz w:val="24"/>
        </w:rPr>
        <w:t>(TEEB, &amp;</w:t>
      </w:r>
    </w:p>
    <w:p>
      <w:pPr>
        <w:pStyle w:val="BodyText"/>
        <w:spacing w:before="140"/>
        <w:ind w:left="1760"/>
      </w:pPr>
      <w:r>
        <w:rPr/>
        <w:t>P. Kumar, Edits.) Washington, DC, EEUU: Earthscan.</w:t>
      </w:r>
    </w:p>
    <w:p>
      <w:pPr>
        <w:spacing w:after="0"/>
        <w:sectPr>
          <w:pgSz w:w="12240" w:h="15840"/>
          <w:pgMar w:header="0" w:footer="982" w:top="1360" w:bottom="1260" w:left="400" w:right="400"/>
        </w:sectPr>
      </w:pPr>
    </w:p>
    <w:p>
      <w:pPr>
        <w:pStyle w:val="BodyText"/>
        <w:spacing w:line="357" w:lineRule="auto" w:before="79"/>
        <w:ind w:left="1760" w:right="1522" w:hanging="720"/>
      </w:pPr>
      <w:r>
        <w:rPr/>
        <w:t>Temper, L., del Bene, D., Argüelles, L., &amp; Çetinkaya, Y. (2015). EJAtlas, mapeo colaborativo como herramienta para el monitoreo de la (in)justicia ambiental. </w:t>
      </w:r>
      <w:r>
        <w:rPr>
          <w:i/>
        </w:rPr>
        <w:t>ecología Política, 48</w:t>
      </w:r>
      <w:r>
        <w:rPr/>
        <w:t>, 10-13.</w:t>
      </w:r>
    </w:p>
    <w:p>
      <w:pPr>
        <w:spacing w:line="362" w:lineRule="auto" w:before="203"/>
        <w:ind w:left="1760" w:right="1047" w:hanging="720"/>
        <w:jc w:val="left"/>
        <w:rPr>
          <w:sz w:val="24"/>
        </w:rPr>
      </w:pPr>
      <w:r>
        <w:rPr>
          <w:sz w:val="24"/>
        </w:rPr>
        <w:t>ten Brink, P. (2011). </w:t>
      </w:r>
      <w:r>
        <w:rPr>
          <w:i/>
          <w:sz w:val="24"/>
        </w:rPr>
        <w:t>The Economics of Ecosystems and Biodiversity in National and </w:t>
      </w:r>
      <w:r>
        <w:rPr>
          <w:i/>
          <w:sz w:val="24"/>
        </w:rPr>
        <w:t>International Policy Making. </w:t>
      </w:r>
      <w:r>
        <w:rPr>
          <w:sz w:val="24"/>
        </w:rPr>
        <w:t>Londres, Inglaterra: Routledge.</w:t>
      </w:r>
    </w:p>
    <w:p>
      <w:pPr>
        <w:spacing w:line="362" w:lineRule="auto" w:before="195"/>
        <w:ind w:left="1760" w:right="1508" w:hanging="720"/>
        <w:jc w:val="left"/>
        <w:rPr>
          <w:sz w:val="24"/>
        </w:rPr>
      </w:pPr>
      <w:r>
        <w:rPr>
          <w:sz w:val="24"/>
        </w:rPr>
        <w:t>The Ecumenical Coalition for Environmental Justice. (2000). </w:t>
      </w:r>
      <w:r>
        <w:rPr>
          <w:i/>
          <w:sz w:val="24"/>
        </w:rPr>
        <w:t>Ecological Debt: South </w:t>
      </w:r>
      <w:r>
        <w:rPr>
          <w:i/>
          <w:sz w:val="24"/>
        </w:rPr>
        <w:t>Tells North "Time to Pay Up". </w:t>
      </w:r>
      <w:r>
        <w:rPr>
          <w:sz w:val="24"/>
        </w:rPr>
        <w:t>Obtenido de</w:t>
      </w:r>
      <w:hyperlink r:id="rId111">
        <w:r>
          <w:rPr>
            <w:sz w:val="24"/>
          </w:rPr>
          <w:t> http://www.cosmovisiones.com/DeudaEcologica/a_timetopay.html</w:t>
        </w:r>
      </w:hyperlink>
    </w:p>
    <w:p>
      <w:pPr>
        <w:pStyle w:val="BodyText"/>
        <w:spacing w:line="355" w:lineRule="auto" w:before="198"/>
        <w:ind w:left="1760" w:right="1047" w:hanging="720"/>
      </w:pPr>
      <w:r>
        <w:rPr/>
        <w:t>Toledo, V. (2013). Conflictos Socioambientales, Resistencias Ciudadanas Y Violencia Neoliberal en México. </w:t>
      </w:r>
      <w:r>
        <w:rPr>
          <w:i/>
        </w:rPr>
        <w:t>Ecología Política, 46</w:t>
      </w:r>
      <w:r>
        <w:rPr/>
        <w:t>, 115-124.</w:t>
      </w:r>
    </w:p>
    <w:p>
      <w:pPr>
        <w:pStyle w:val="BodyText"/>
        <w:spacing w:line="357" w:lineRule="auto" w:before="207"/>
        <w:ind w:left="1760" w:right="1108" w:hanging="720"/>
      </w:pPr>
      <w:r>
        <w:rPr/>
        <w:t>Toledo, V. (2013). El metabolismo social: una nueva teoría socioecológica. </w:t>
      </w:r>
      <w:r>
        <w:rPr>
          <w:i/>
        </w:rPr>
        <w:t>Relaciones, </w:t>
      </w:r>
      <w:r>
        <w:rPr>
          <w:i/>
        </w:rPr>
        <w:t>136</w:t>
      </w:r>
      <w:r>
        <w:rPr/>
        <w:t>, 41-71.</w:t>
      </w:r>
    </w:p>
    <w:p>
      <w:pPr>
        <w:pStyle w:val="BodyText"/>
        <w:spacing w:line="357" w:lineRule="auto" w:before="210"/>
        <w:ind w:left="1760" w:right="1009" w:hanging="720"/>
      </w:pPr>
      <w:r>
        <w:rPr/>
        <w:t>Toledo, V., Alarcón-Chaires, P., Moguel, P., Olivo, M., Cabrera, A., Leyequien, E., &amp; Rodríguez-Aldabe, A. (2001). El Atlas Etnoecológico de México y Centroamérica: Fundamentos, Métodos y Resultados. </w:t>
      </w:r>
      <w:r>
        <w:rPr>
          <w:i/>
        </w:rPr>
        <w:t>Etnoecológica, 6</w:t>
      </w:r>
      <w:r>
        <w:rPr/>
        <w:t>(8), 7-41.</w:t>
      </w:r>
    </w:p>
    <w:p>
      <w:pPr>
        <w:spacing w:line="362" w:lineRule="auto" w:before="202"/>
        <w:ind w:left="1760" w:right="1132" w:hanging="720"/>
        <w:jc w:val="both"/>
        <w:rPr>
          <w:sz w:val="24"/>
        </w:rPr>
      </w:pPr>
      <w:r>
        <w:rPr>
          <w:sz w:val="24"/>
        </w:rPr>
        <w:t>Torres, </w:t>
      </w:r>
      <w:r>
        <w:rPr>
          <w:spacing w:val="-3"/>
          <w:sz w:val="24"/>
        </w:rPr>
        <w:t>A. </w:t>
      </w:r>
      <w:r>
        <w:rPr>
          <w:sz w:val="24"/>
        </w:rPr>
        <w:t>(2001). </w:t>
      </w:r>
      <w:r>
        <w:rPr>
          <w:i/>
          <w:sz w:val="24"/>
        </w:rPr>
        <w:t>Proyecto de Ley: Parque Interurbano de Protección y Recreo para el </w:t>
      </w:r>
      <w:r>
        <w:rPr>
          <w:i/>
          <w:sz w:val="24"/>
        </w:rPr>
        <w:t>Desarrollo Sostenible, Cerros de la Carpintera. </w:t>
      </w:r>
      <w:r>
        <w:rPr>
          <w:sz w:val="24"/>
        </w:rPr>
        <w:t>San José, Costa Rica:</w:t>
      </w:r>
      <w:r>
        <w:rPr>
          <w:spacing w:val="-36"/>
          <w:sz w:val="24"/>
        </w:rPr>
        <w:t> </w:t>
      </w:r>
      <w:r>
        <w:rPr>
          <w:sz w:val="24"/>
        </w:rPr>
        <w:t>Asamblea Legislativa.</w:t>
      </w:r>
    </w:p>
    <w:p>
      <w:pPr>
        <w:pStyle w:val="BodyText"/>
        <w:spacing w:line="355" w:lineRule="auto" w:before="199"/>
        <w:ind w:left="1760" w:right="1559" w:hanging="720"/>
        <w:jc w:val="both"/>
      </w:pPr>
      <w:r>
        <w:rPr/>
        <w:t>Ulate, E. (2007). Propuesta de Ampliación y Zonificación de la Reserva de</w:t>
      </w:r>
      <w:r>
        <w:rPr>
          <w:spacing w:val="-41"/>
        </w:rPr>
        <w:t> </w:t>
      </w:r>
      <w:r>
        <w:rPr/>
        <w:t>Biosfera Cordillera Volcánica Central. </w:t>
      </w:r>
      <w:r>
        <w:rPr>
          <w:i/>
        </w:rPr>
        <w:t>Ambientico, 167</w:t>
      </w:r>
      <w:r>
        <w:rPr/>
        <w:t>,</w:t>
      </w:r>
      <w:r>
        <w:rPr>
          <w:spacing w:val="1"/>
        </w:rPr>
        <w:t> </w:t>
      </w:r>
      <w:r>
        <w:rPr/>
        <w:t>4-6.</w:t>
      </w:r>
    </w:p>
    <w:p>
      <w:pPr>
        <w:spacing w:before="207"/>
        <w:ind w:left="409" w:right="1099" w:firstLine="0"/>
        <w:jc w:val="center"/>
        <w:rPr>
          <w:i/>
          <w:sz w:val="24"/>
        </w:rPr>
      </w:pPr>
      <w:r>
        <w:rPr>
          <w:sz w:val="24"/>
        </w:rPr>
        <w:t>UNEP-CIEL. (2014). </w:t>
      </w:r>
      <w:r>
        <w:rPr>
          <w:i/>
          <w:sz w:val="24"/>
        </w:rPr>
        <w:t>UNEP Compendium on Human Rights and the Environment.</w:t>
      </w:r>
    </w:p>
    <w:p>
      <w:pPr>
        <w:spacing w:before="136"/>
        <w:ind w:left="834" w:right="1099" w:firstLine="0"/>
        <w:jc w:val="center"/>
        <w:rPr>
          <w:sz w:val="24"/>
        </w:rPr>
      </w:pPr>
      <w:r>
        <w:rPr>
          <w:i/>
          <w:sz w:val="24"/>
        </w:rPr>
        <w:t>Selected international legal materials and cases. </w:t>
      </w:r>
      <w:r>
        <w:rPr>
          <w:sz w:val="24"/>
        </w:rPr>
        <w:t>Nairobi, Kenya: UNEP.</w:t>
      </w:r>
    </w:p>
    <w:p>
      <w:pPr>
        <w:pStyle w:val="BodyText"/>
        <w:spacing w:before="11"/>
        <w:rPr>
          <w:sz w:val="29"/>
        </w:rPr>
      </w:pPr>
    </w:p>
    <w:p>
      <w:pPr>
        <w:pStyle w:val="BodyText"/>
        <w:spacing w:line="360" w:lineRule="auto"/>
        <w:ind w:left="1760" w:right="1134" w:hanging="720"/>
      </w:pPr>
      <w:r>
        <w:rPr/>
        <w:t>Valencia, L. (2012). Valoracion Hedónica de la Vivienda en Manizales. Una Aplicación con Variables Ambientales. Manizales, Colombia: Universidad de Manizales, tesis de grado para maestría en economía.</w:t>
      </w:r>
    </w:p>
    <w:p>
      <w:pPr>
        <w:spacing w:after="0" w:line="360" w:lineRule="auto"/>
        <w:sectPr>
          <w:pgSz w:w="12240" w:h="15840"/>
          <w:pgMar w:header="0" w:footer="982" w:top="1360" w:bottom="1260" w:left="400" w:right="400"/>
        </w:sectPr>
      </w:pPr>
    </w:p>
    <w:p>
      <w:pPr>
        <w:spacing w:line="357" w:lineRule="auto" w:before="75"/>
        <w:ind w:left="1760" w:right="1047" w:hanging="720"/>
        <w:jc w:val="left"/>
        <w:rPr>
          <w:sz w:val="24"/>
        </w:rPr>
      </w:pPr>
      <w:r>
        <w:rPr>
          <w:sz w:val="24"/>
        </w:rPr>
        <w:t>van den Hombergh, H. (1999). </w:t>
      </w:r>
      <w:r>
        <w:rPr>
          <w:i/>
          <w:sz w:val="24"/>
        </w:rPr>
        <w:t>Guerreros del Golfo Dulce. Industria Forestal y Conflicto </w:t>
      </w:r>
      <w:r>
        <w:rPr>
          <w:i/>
          <w:sz w:val="24"/>
        </w:rPr>
        <w:t>en la Península de Osa, Costa Rica </w:t>
      </w:r>
      <w:r>
        <w:rPr>
          <w:sz w:val="24"/>
        </w:rPr>
        <w:t>(1era ed.). San José, Costa Rica: DEI.</w:t>
      </w:r>
    </w:p>
    <w:p>
      <w:pPr>
        <w:spacing w:line="362" w:lineRule="auto" w:before="206"/>
        <w:ind w:left="1760" w:right="574" w:hanging="720"/>
        <w:jc w:val="left"/>
        <w:rPr>
          <w:sz w:val="24"/>
        </w:rPr>
      </w:pPr>
      <w:r>
        <w:rPr>
          <w:sz w:val="24"/>
        </w:rPr>
        <w:t>van Vuuren, D., Smeets, E., &amp; de Kruijf, H. (1999). </w:t>
      </w:r>
      <w:r>
        <w:rPr>
          <w:i/>
          <w:sz w:val="24"/>
        </w:rPr>
        <w:t>The Ecological Footprint of Benin, </w:t>
      </w:r>
      <w:r>
        <w:rPr>
          <w:i/>
          <w:sz w:val="24"/>
        </w:rPr>
        <w:t>Bhutan, Costa Rica and the Netherlands. </w:t>
      </w:r>
      <w:r>
        <w:rPr>
          <w:sz w:val="24"/>
        </w:rPr>
        <w:t>Bilthoven, Holanda: National Institute of Public Health and the Environment.</w:t>
      </w:r>
    </w:p>
    <w:p>
      <w:pPr>
        <w:spacing w:line="362" w:lineRule="auto" w:before="190"/>
        <w:ind w:left="1760" w:right="1047" w:hanging="720"/>
        <w:jc w:val="left"/>
        <w:rPr>
          <w:sz w:val="24"/>
        </w:rPr>
      </w:pPr>
      <w:r>
        <w:rPr>
          <w:sz w:val="24"/>
        </w:rPr>
        <w:t>Vandermeer, J., &amp; Perfecto, I. (1995). </w:t>
      </w:r>
      <w:r>
        <w:rPr>
          <w:i/>
          <w:sz w:val="24"/>
        </w:rPr>
        <w:t>Breakfast of Biodiversity. The Truth About </w:t>
      </w:r>
      <w:r>
        <w:rPr>
          <w:i/>
          <w:sz w:val="24"/>
        </w:rPr>
        <w:t>Rainforest Destruction. </w:t>
      </w:r>
      <w:r>
        <w:rPr>
          <w:sz w:val="24"/>
        </w:rPr>
        <w:t>Oakland, California, EEUU: Food First.</w:t>
      </w:r>
    </w:p>
    <w:p>
      <w:pPr>
        <w:spacing w:line="362" w:lineRule="auto" w:before="195"/>
        <w:ind w:left="1760" w:right="1047" w:hanging="720"/>
        <w:jc w:val="left"/>
        <w:rPr>
          <w:sz w:val="24"/>
        </w:rPr>
      </w:pPr>
      <w:r>
        <w:rPr>
          <w:sz w:val="24"/>
        </w:rPr>
        <w:t>Velásquez, L. (2011). </w:t>
      </w:r>
      <w:r>
        <w:rPr>
          <w:i/>
          <w:sz w:val="24"/>
        </w:rPr>
        <w:t>La importancia de los bienes públicos en la calidad de vida local : </w:t>
      </w:r>
      <w:r>
        <w:rPr>
          <w:i/>
          <w:sz w:val="24"/>
        </w:rPr>
        <w:t>el caso de Manizales, Colombia. </w:t>
      </w:r>
      <w:r>
        <w:rPr>
          <w:sz w:val="24"/>
        </w:rPr>
        <w:t>Washington D.C., EEUU: Interamerican Development Bank.</w:t>
      </w:r>
    </w:p>
    <w:p>
      <w:pPr>
        <w:pStyle w:val="BodyText"/>
        <w:spacing w:before="198"/>
        <w:ind w:left="1040"/>
      </w:pPr>
      <w:r>
        <w:rPr/>
        <w:t>Vicente, C. (2002). Deuda Ecológica y Biopiratería. Entrevista a Joan Martínez Alier.</w:t>
      </w:r>
    </w:p>
    <w:p>
      <w:pPr>
        <w:spacing w:before="132"/>
        <w:ind w:left="1760" w:right="0" w:firstLine="0"/>
        <w:jc w:val="left"/>
        <w:rPr>
          <w:sz w:val="24"/>
        </w:rPr>
      </w:pPr>
      <w:r>
        <w:rPr>
          <w:i/>
          <w:sz w:val="24"/>
        </w:rPr>
        <w:t>Biodiversidad, 32</w:t>
      </w:r>
      <w:r>
        <w:rPr>
          <w:sz w:val="24"/>
        </w:rPr>
        <w:t>, 20-21.</w:t>
      </w:r>
    </w:p>
    <w:p>
      <w:pPr>
        <w:pStyle w:val="BodyText"/>
        <w:spacing w:before="7"/>
        <w:rPr>
          <w:sz w:val="29"/>
        </w:rPr>
      </w:pPr>
    </w:p>
    <w:p>
      <w:pPr>
        <w:spacing w:before="0"/>
        <w:ind w:left="1040" w:right="0" w:firstLine="0"/>
        <w:jc w:val="left"/>
        <w:rPr>
          <w:i/>
          <w:sz w:val="24"/>
        </w:rPr>
      </w:pPr>
      <w:r>
        <w:rPr>
          <w:sz w:val="24"/>
        </w:rPr>
        <w:t>Villalba, U. (2008). </w:t>
      </w:r>
      <w:r>
        <w:rPr>
          <w:i/>
          <w:sz w:val="24"/>
        </w:rPr>
        <w:t>El concepto de deuda ecológica y algunos ejemplos en Ecuador.</w:t>
      </w:r>
    </w:p>
    <w:p>
      <w:pPr>
        <w:pStyle w:val="BodyText"/>
        <w:spacing w:before="140"/>
        <w:ind w:left="1760"/>
      </w:pPr>
      <w:r>
        <w:rPr/>
        <w:t>Bilbao, España: XI Jornadas de Economía Crítica.</w:t>
      </w:r>
    </w:p>
    <w:p>
      <w:pPr>
        <w:pStyle w:val="BodyText"/>
        <w:spacing w:before="6"/>
        <w:rPr>
          <w:sz w:val="29"/>
        </w:rPr>
      </w:pPr>
    </w:p>
    <w:p>
      <w:pPr>
        <w:pStyle w:val="BodyText"/>
        <w:spacing w:before="1"/>
        <w:ind w:left="1040"/>
      </w:pPr>
      <w:r>
        <w:rPr/>
        <w:t>Vituousek, P. (1986). Human appropriation of the products of photosynthesis.</w:t>
      </w:r>
    </w:p>
    <w:p>
      <w:pPr>
        <w:spacing w:before="132"/>
        <w:ind w:left="1760" w:right="0" w:firstLine="0"/>
        <w:jc w:val="left"/>
        <w:rPr>
          <w:sz w:val="24"/>
        </w:rPr>
      </w:pPr>
      <w:r>
        <w:rPr>
          <w:i/>
          <w:sz w:val="24"/>
        </w:rPr>
        <w:t>Bioscience, 36</w:t>
      </w:r>
      <w:r>
        <w:rPr>
          <w:sz w:val="24"/>
        </w:rPr>
        <w:t>(6), 368-373.</w:t>
      </w:r>
    </w:p>
    <w:p>
      <w:pPr>
        <w:pStyle w:val="BodyText"/>
        <w:spacing w:before="7"/>
        <w:rPr>
          <w:sz w:val="29"/>
        </w:rPr>
      </w:pPr>
    </w:p>
    <w:p>
      <w:pPr>
        <w:spacing w:line="362" w:lineRule="auto" w:before="0"/>
        <w:ind w:left="1760" w:right="1047" w:hanging="720"/>
        <w:jc w:val="left"/>
        <w:rPr>
          <w:sz w:val="24"/>
        </w:rPr>
      </w:pPr>
      <w:r>
        <w:rPr>
          <w:sz w:val="24"/>
        </w:rPr>
        <w:t>Walter, M. (2009). </w:t>
      </w:r>
      <w:r>
        <w:rPr>
          <w:i/>
          <w:sz w:val="24"/>
        </w:rPr>
        <w:t>Conflictos ambientales, socioambientales, ecológico distributivos, de </w:t>
      </w:r>
      <w:r>
        <w:rPr>
          <w:i/>
          <w:sz w:val="24"/>
        </w:rPr>
        <w:t>contenido ambiental… Reflexionando sobre enfoques y definiciones. </w:t>
      </w:r>
      <w:r>
        <w:rPr>
          <w:sz w:val="24"/>
        </w:rPr>
        <w:t>Madrid: Centro de Investigaciones para la Paz.</w:t>
      </w:r>
    </w:p>
    <w:p>
      <w:pPr>
        <w:pStyle w:val="BodyText"/>
        <w:spacing w:line="362" w:lineRule="auto" w:before="194"/>
        <w:ind w:left="1760" w:right="1029" w:hanging="720"/>
      </w:pPr>
      <w:r>
        <w:rPr/>
        <w:t>Walter, M., &amp; Urkidi, L. (2017). Community mining consultations in Latin America (2002– 2012): The contested emergence of a hybrid institution for participation.</w:t>
      </w:r>
    </w:p>
    <w:p>
      <w:pPr>
        <w:spacing w:line="267" w:lineRule="exact" w:before="0"/>
        <w:ind w:left="1760" w:right="0" w:firstLine="0"/>
        <w:jc w:val="left"/>
        <w:rPr>
          <w:sz w:val="24"/>
        </w:rPr>
      </w:pPr>
      <w:r>
        <w:rPr>
          <w:i/>
          <w:sz w:val="24"/>
        </w:rPr>
        <w:t>Geoforum, 84</w:t>
      </w:r>
      <w:r>
        <w:rPr>
          <w:sz w:val="24"/>
        </w:rPr>
        <w:t>, 265-279.</w:t>
      </w:r>
    </w:p>
    <w:p>
      <w:pPr>
        <w:pStyle w:val="BodyText"/>
        <w:spacing w:before="6"/>
        <w:rPr>
          <w:sz w:val="29"/>
        </w:rPr>
      </w:pPr>
    </w:p>
    <w:p>
      <w:pPr>
        <w:spacing w:line="357" w:lineRule="auto" w:before="0"/>
        <w:ind w:left="1760" w:right="1842" w:hanging="720"/>
        <w:jc w:val="left"/>
        <w:rPr>
          <w:sz w:val="24"/>
        </w:rPr>
      </w:pPr>
      <w:r>
        <w:rPr>
          <w:sz w:val="24"/>
        </w:rPr>
        <w:t>Waugh, F. (1928). Quality Factors Influencing Vegetable Prices. </w:t>
      </w:r>
      <w:r>
        <w:rPr>
          <w:i/>
          <w:sz w:val="24"/>
        </w:rPr>
        <w:t>Journal of Farm </w:t>
      </w:r>
      <w:r>
        <w:rPr>
          <w:i/>
          <w:sz w:val="24"/>
        </w:rPr>
        <w:t>Economics, 10</w:t>
      </w:r>
      <w:r>
        <w:rPr>
          <w:sz w:val="24"/>
        </w:rPr>
        <w:t>, 185-196.</w:t>
      </w:r>
    </w:p>
    <w:p>
      <w:pPr>
        <w:spacing w:line="357" w:lineRule="auto" w:before="206"/>
        <w:ind w:left="1760" w:right="1736" w:hanging="720"/>
        <w:jc w:val="left"/>
        <w:rPr>
          <w:sz w:val="24"/>
        </w:rPr>
      </w:pPr>
      <w:r>
        <w:rPr>
          <w:sz w:val="24"/>
        </w:rPr>
        <w:t>Weterings, H., &amp; Opschoor, H. (Edits.). (1992). </w:t>
      </w:r>
      <w:r>
        <w:rPr>
          <w:i/>
          <w:sz w:val="24"/>
        </w:rPr>
        <w:t>The ecocapacity as a challenge to </w:t>
      </w:r>
      <w:r>
        <w:rPr>
          <w:i/>
          <w:sz w:val="24"/>
        </w:rPr>
        <w:t>technological development. </w:t>
      </w:r>
      <w:r>
        <w:rPr>
          <w:sz w:val="24"/>
        </w:rPr>
        <w:t>Rijswijk, Holanda: RMNO.</w:t>
      </w:r>
    </w:p>
    <w:p>
      <w:pPr>
        <w:spacing w:after="0" w:line="357" w:lineRule="auto"/>
        <w:jc w:val="left"/>
        <w:rPr>
          <w:sz w:val="24"/>
        </w:rPr>
        <w:sectPr>
          <w:pgSz w:w="12240" w:h="15840"/>
          <w:pgMar w:header="0" w:footer="982" w:top="1360" w:bottom="1260" w:left="400" w:right="400"/>
        </w:sectPr>
      </w:pPr>
    </w:p>
    <w:p>
      <w:pPr>
        <w:pStyle w:val="BodyText"/>
        <w:spacing w:line="355" w:lineRule="auto" w:before="79"/>
        <w:ind w:left="1760" w:right="1047" w:hanging="720"/>
      </w:pPr>
      <w:r>
        <w:rPr/>
        <w:t>Wu, Y., Bishop, I., Hossain, H., &amp; Sposito, V. (2006). Using GIS in Landscape Visual Quality Assessment. </w:t>
      </w:r>
      <w:r>
        <w:rPr>
          <w:i/>
        </w:rPr>
        <w:t>Applied GIS, 2</w:t>
      </w:r>
      <w:r>
        <w:rPr/>
        <w:t>(3), 18.1-18.20.</w:t>
      </w:r>
    </w:p>
    <w:p>
      <w:pPr>
        <w:spacing w:before="207"/>
        <w:ind w:left="1040" w:right="0" w:firstLine="0"/>
        <w:jc w:val="left"/>
        <w:rPr>
          <w:i/>
          <w:sz w:val="24"/>
        </w:rPr>
      </w:pPr>
      <w:r>
        <w:rPr>
          <w:sz w:val="24"/>
        </w:rPr>
        <w:t>WWF. (2016). </w:t>
      </w:r>
      <w:r>
        <w:rPr>
          <w:i/>
          <w:sz w:val="24"/>
        </w:rPr>
        <w:t>Informe Planeta Vivo 2016. Riesgo y resiliencia en el Antropoceno.</w:t>
      </w:r>
    </w:p>
    <w:p>
      <w:pPr>
        <w:pStyle w:val="BodyText"/>
        <w:spacing w:before="141"/>
        <w:ind w:left="1760"/>
      </w:pPr>
      <w:r>
        <w:rPr/>
        <w:t>Gland, Suiza: WWF.</w:t>
      </w:r>
    </w:p>
    <w:p>
      <w:pPr>
        <w:spacing w:after="0"/>
        <w:sectPr>
          <w:pgSz w:w="12240" w:h="15840"/>
          <w:pgMar w:header="0" w:footer="982" w:top="1360" w:bottom="1260" w:left="400" w:right="400"/>
        </w:sectPr>
      </w:pPr>
    </w:p>
    <w:p>
      <w:pPr>
        <w:pStyle w:val="Heading2"/>
        <w:numPr>
          <w:ilvl w:val="0"/>
          <w:numId w:val="2"/>
        </w:numPr>
        <w:tabs>
          <w:tab w:pos="1760" w:val="left" w:leader="none"/>
          <w:tab w:pos="1761" w:val="left" w:leader="none"/>
        </w:tabs>
        <w:spacing w:line="240" w:lineRule="auto" w:before="75" w:after="0"/>
        <w:ind w:left="1760" w:right="0" w:hanging="721"/>
        <w:jc w:val="left"/>
      </w:pPr>
      <w:bookmarkStart w:name="_bookmark64" w:id="87"/>
      <w:bookmarkEnd w:id="87"/>
      <w:r>
        <w:rPr>
          <w:b w:val="0"/>
        </w:rPr>
      </w:r>
      <w:bookmarkStart w:name="_bookmark64" w:id="88"/>
      <w:bookmarkEnd w:id="88"/>
      <w:r>
        <w:rPr/>
        <w:t>A</w:t>
      </w:r>
      <w:r>
        <w:rPr/>
        <w:t>nexo 1: Cuestionarios para Recolección de Datos de Huella</w:t>
      </w:r>
      <w:r>
        <w:rPr>
          <w:spacing w:val="-11"/>
        </w:rPr>
        <w:t> </w:t>
      </w:r>
      <w:r>
        <w:rPr/>
        <w:t>Ecológica</w:t>
      </w:r>
    </w:p>
    <w:p>
      <w:pPr>
        <w:pStyle w:val="BodyText"/>
        <w:rPr>
          <w:b/>
          <w:sz w:val="20"/>
        </w:rPr>
      </w:pPr>
    </w:p>
    <w:p>
      <w:pPr>
        <w:pStyle w:val="BodyText"/>
        <w:rPr>
          <w:b/>
          <w:sz w:val="22"/>
        </w:rPr>
      </w:pPr>
      <w:r>
        <w:rPr/>
        <w:drawing>
          <wp:anchor distT="0" distB="0" distL="0" distR="0" allowOverlap="1" layoutInCell="1" locked="0" behindDoc="0" simplePos="0" relativeHeight="86">
            <wp:simplePos x="0" y="0"/>
            <wp:positionH relativeFrom="page">
              <wp:posOffset>914400</wp:posOffset>
            </wp:positionH>
            <wp:positionV relativeFrom="paragraph">
              <wp:posOffset>247042</wp:posOffset>
            </wp:positionV>
            <wp:extent cx="1528626" cy="822959"/>
            <wp:effectExtent l="0" t="0" r="0" b="0"/>
            <wp:wrapTopAndBottom/>
            <wp:docPr id="73" name="image62.jpeg"/>
            <wp:cNvGraphicFramePr>
              <a:graphicFrameLocks noChangeAspect="1"/>
            </wp:cNvGraphicFramePr>
            <a:graphic>
              <a:graphicData uri="http://schemas.openxmlformats.org/drawingml/2006/picture">
                <pic:pic>
                  <pic:nvPicPr>
                    <pic:cNvPr id="74" name="image62.jpeg"/>
                    <pic:cNvPicPr/>
                  </pic:nvPicPr>
                  <pic:blipFill>
                    <a:blip r:embed="rId112" cstate="print"/>
                    <a:stretch>
                      <a:fillRect/>
                    </a:stretch>
                  </pic:blipFill>
                  <pic:spPr>
                    <a:xfrm>
                      <a:off x="0" y="0"/>
                      <a:ext cx="1528626" cy="822959"/>
                    </a:xfrm>
                    <a:prstGeom prst="rect">
                      <a:avLst/>
                    </a:prstGeom>
                  </pic:spPr>
                </pic:pic>
              </a:graphicData>
            </a:graphic>
          </wp:anchor>
        </w:drawing>
      </w:r>
      <w:r>
        <w:rPr/>
        <w:drawing>
          <wp:anchor distT="0" distB="0" distL="0" distR="0" allowOverlap="1" layoutInCell="1" locked="0" behindDoc="0" simplePos="0" relativeHeight="87">
            <wp:simplePos x="0" y="0"/>
            <wp:positionH relativeFrom="page">
              <wp:posOffset>5501640</wp:posOffset>
            </wp:positionH>
            <wp:positionV relativeFrom="paragraph">
              <wp:posOffset>185447</wp:posOffset>
            </wp:positionV>
            <wp:extent cx="1015928" cy="1072896"/>
            <wp:effectExtent l="0" t="0" r="0" b="0"/>
            <wp:wrapTopAndBottom/>
            <wp:docPr id="75" name="image63.jpeg"/>
            <wp:cNvGraphicFramePr>
              <a:graphicFrameLocks noChangeAspect="1"/>
            </wp:cNvGraphicFramePr>
            <a:graphic>
              <a:graphicData uri="http://schemas.openxmlformats.org/drawingml/2006/picture">
                <pic:pic>
                  <pic:nvPicPr>
                    <pic:cNvPr id="76" name="image63.jpeg"/>
                    <pic:cNvPicPr/>
                  </pic:nvPicPr>
                  <pic:blipFill>
                    <a:blip r:embed="rId113" cstate="print"/>
                    <a:stretch>
                      <a:fillRect/>
                    </a:stretch>
                  </pic:blipFill>
                  <pic:spPr>
                    <a:xfrm>
                      <a:off x="0" y="0"/>
                      <a:ext cx="1015928" cy="1072896"/>
                    </a:xfrm>
                    <a:prstGeom prst="rect">
                      <a:avLst/>
                    </a:prstGeom>
                  </pic:spPr>
                </pic:pic>
              </a:graphicData>
            </a:graphic>
          </wp:anchor>
        </w:drawing>
      </w:r>
    </w:p>
    <w:p>
      <w:pPr>
        <w:spacing w:line="360" w:lineRule="auto" w:before="15"/>
        <w:ind w:left="1248" w:right="1250" w:firstLine="7"/>
        <w:jc w:val="center"/>
        <w:rPr>
          <w:rFonts w:ascii="Caladea" w:hAnsi="Caladea"/>
          <w:sz w:val="52"/>
        </w:rPr>
      </w:pPr>
      <w:r>
        <w:rPr>
          <w:rFonts w:ascii="Caladea" w:hAnsi="Caladea"/>
          <w:color w:val="1F4E79"/>
          <w:sz w:val="52"/>
        </w:rPr>
        <w:t>Cuestionario para el Cálculo de la</w:t>
      </w:r>
      <w:r>
        <w:rPr>
          <w:rFonts w:ascii="Caladea" w:hAnsi="Caladea"/>
          <w:color w:val="1F4E79"/>
          <w:spacing w:val="-15"/>
          <w:sz w:val="52"/>
        </w:rPr>
        <w:t> </w:t>
      </w:r>
      <w:r>
        <w:rPr>
          <w:rFonts w:ascii="Caladea" w:hAnsi="Caladea"/>
          <w:color w:val="1F4E79"/>
          <w:sz w:val="52"/>
        </w:rPr>
        <w:t>Huella Ecológica por Persona de los Hogares</w:t>
      </w:r>
      <w:r>
        <w:rPr>
          <w:rFonts w:ascii="Caladea" w:hAnsi="Caladea"/>
          <w:color w:val="1F4E79"/>
          <w:spacing w:val="-21"/>
          <w:sz w:val="52"/>
        </w:rPr>
        <w:t> </w:t>
      </w:r>
      <w:r>
        <w:rPr>
          <w:rFonts w:ascii="Caladea" w:hAnsi="Caladea"/>
          <w:color w:val="1F4E79"/>
          <w:sz w:val="52"/>
        </w:rPr>
        <w:t>en las Comunidades</w:t>
      </w:r>
    </w:p>
    <w:p>
      <w:pPr>
        <w:spacing w:line="364" w:lineRule="auto" w:before="196"/>
        <w:ind w:left="1040" w:right="1047" w:firstLine="0"/>
        <w:jc w:val="left"/>
        <w:rPr>
          <w:sz w:val="20"/>
        </w:rPr>
      </w:pPr>
      <w:r>
        <w:rPr>
          <w:sz w:val="20"/>
        </w:rPr>
        <w:t>Basado en el cuestionario en línea de la Global Footprint Network y en el cuestionario desarrollado por Ritik Dholakia &amp; Mathis Wackernagel para Redefining Progress de los EEUU el 31 de agosto, 1999, v</w:t>
      </w:r>
    </w:p>
    <w:p>
      <w:pPr>
        <w:spacing w:line="360" w:lineRule="auto" w:before="0"/>
        <w:ind w:left="1040" w:right="1047" w:firstLine="0"/>
        <w:jc w:val="left"/>
        <w:rPr>
          <w:sz w:val="20"/>
        </w:rPr>
      </w:pPr>
      <w:r>
        <w:rPr>
          <w:sz w:val="20"/>
        </w:rPr>
        <w:t>1.04. Traducido y adaptado por Bernardo Aguilar González, Fundación Neotrópica, junio y diciembre, 2010</w:t>
      </w:r>
    </w:p>
    <w:p>
      <w:pPr>
        <w:spacing w:line="362" w:lineRule="auto" w:before="192"/>
        <w:ind w:left="1040" w:right="1047" w:firstLine="0"/>
        <w:jc w:val="left"/>
        <w:rPr>
          <w:sz w:val="20"/>
        </w:rPr>
      </w:pPr>
      <w:r>
        <w:rPr>
          <w:sz w:val="20"/>
        </w:rPr>
        <w:t>Luego de seleccionar el hogar aleatoriamente proceda a hacerle las siguientes preguntas. Si hay preguntas que ud. determina por observación y sin necesidad de preguntar por favor indíquelo así.</w:t>
      </w:r>
    </w:p>
    <w:p>
      <w:pPr>
        <w:pStyle w:val="ListParagraph"/>
        <w:numPr>
          <w:ilvl w:val="0"/>
          <w:numId w:val="9"/>
        </w:numPr>
        <w:tabs>
          <w:tab w:pos="1221" w:val="left" w:leader="none"/>
        </w:tabs>
        <w:spacing w:line="240" w:lineRule="auto" w:before="194" w:after="0"/>
        <w:ind w:left="1220" w:right="0" w:hanging="181"/>
        <w:jc w:val="left"/>
        <w:rPr>
          <w:b/>
          <w:sz w:val="20"/>
        </w:rPr>
      </w:pPr>
      <w:r>
        <w:rPr>
          <w:b/>
          <w:sz w:val="20"/>
        </w:rPr>
        <w:t>Alimentación: Cantidad de Alimentos y Desecho de</w:t>
      </w:r>
      <w:r>
        <w:rPr>
          <w:b/>
          <w:spacing w:val="-9"/>
          <w:sz w:val="20"/>
        </w:rPr>
        <w:t> </w:t>
      </w:r>
      <w:r>
        <w:rPr>
          <w:b/>
          <w:sz w:val="20"/>
        </w:rPr>
        <w:t>Alimentos</w:t>
      </w:r>
    </w:p>
    <w:p>
      <w:pPr>
        <w:pStyle w:val="BodyText"/>
        <w:spacing w:before="3"/>
        <w:rPr>
          <w:b/>
          <w:sz w:val="27"/>
        </w:rPr>
      </w:pPr>
    </w:p>
    <w:p>
      <w:pPr>
        <w:pStyle w:val="ListParagraph"/>
        <w:numPr>
          <w:ilvl w:val="1"/>
          <w:numId w:val="9"/>
        </w:numPr>
        <w:tabs>
          <w:tab w:pos="1277" w:val="left" w:leader="none"/>
        </w:tabs>
        <w:spacing w:line="240" w:lineRule="auto" w:before="0" w:after="0"/>
        <w:ind w:left="1276" w:right="0" w:hanging="237"/>
        <w:jc w:val="left"/>
        <w:rPr>
          <w:b/>
          <w:sz w:val="20"/>
        </w:rPr>
      </w:pPr>
      <w:r>
        <w:rPr>
          <w:b/>
          <w:sz w:val="20"/>
        </w:rPr>
        <w:t>Le voy a describir un menú de comida</w:t>
      </w:r>
      <w:r>
        <w:rPr>
          <w:b/>
          <w:spacing w:val="-15"/>
          <w:sz w:val="20"/>
        </w:rPr>
        <w:t> </w:t>
      </w:r>
      <w:r>
        <w:rPr>
          <w:b/>
          <w:sz w:val="20"/>
        </w:rPr>
        <w:t>diaria:</w:t>
      </w:r>
    </w:p>
    <w:p>
      <w:pPr>
        <w:pStyle w:val="ListParagraph"/>
        <w:numPr>
          <w:ilvl w:val="0"/>
          <w:numId w:val="10"/>
        </w:numPr>
        <w:tabs>
          <w:tab w:pos="1285" w:val="left" w:leader="none"/>
        </w:tabs>
        <w:spacing w:line="240" w:lineRule="auto" w:before="118" w:after="0"/>
        <w:ind w:left="1284" w:right="0" w:hanging="189"/>
        <w:jc w:val="left"/>
        <w:rPr>
          <w:sz w:val="20"/>
        </w:rPr>
      </w:pPr>
      <w:r>
        <w:rPr>
          <w:sz w:val="20"/>
        </w:rPr>
        <w:t>comer cereal, tostada, jugo y café para el</w:t>
      </w:r>
      <w:r>
        <w:rPr>
          <w:spacing w:val="-17"/>
          <w:sz w:val="20"/>
        </w:rPr>
        <w:t> </w:t>
      </w:r>
      <w:r>
        <w:rPr>
          <w:sz w:val="20"/>
        </w:rPr>
        <w:t>desayuno,</w:t>
      </w:r>
    </w:p>
    <w:p>
      <w:pPr>
        <w:pStyle w:val="ListParagraph"/>
        <w:numPr>
          <w:ilvl w:val="0"/>
          <w:numId w:val="10"/>
        </w:numPr>
        <w:tabs>
          <w:tab w:pos="1285" w:val="left" w:leader="none"/>
        </w:tabs>
        <w:spacing w:line="240" w:lineRule="auto" w:before="114" w:after="0"/>
        <w:ind w:left="1284" w:right="0" w:hanging="189"/>
        <w:jc w:val="left"/>
        <w:rPr>
          <w:sz w:val="20"/>
        </w:rPr>
      </w:pPr>
      <w:r>
        <w:rPr>
          <w:sz w:val="20"/>
        </w:rPr>
        <w:t>un sandwich, yogurt, fruta, y una bebida al</w:t>
      </w:r>
      <w:r>
        <w:rPr>
          <w:spacing w:val="-22"/>
          <w:sz w:val="20"/>
        </w:rPr>
        <w:t> </w:t>
      </w:r>
      <w:r>
        <w:rPr>
          <w:sz w:val="20"/>
        </w:rPr>
        <w:t>almuerzo,</w:t>
      </w:r>
    </w:p>
    <w:p>
      <w:pPr>
        <w:pStyle w:val="ListParagraph"/>
        <w:numPr>
          <w:ilvl w:val="0"/>
          <w:numId w:val="10"/>
        </w:numPr>
        <w:tabs>
          <w:tab w:pos="1285" w:val="left" w:leader="none"/>
        </w:tabs>
        <w:spacing w:line="240" w:lineRule="auto" w:before="119" w:after="0"/>
        <w:ind w:left="1284" w:right="0" w:hanging="189"/>
        <w:jc w:val="left"/>
        <w:rPr>
          <w:sz w:val="20"/>
        </w:rPr>
      </w:pPr>
      <w:r>
        <w:rPr>
          <w:sz w:val="20"/>
        </w:rPr>
        <w:t>un cafecito o golosina en la tarde,</w:t>
      </w:r>
      <w:r>
        <w:rPr>
          <w:spacing w:val="-5"/>
          <w:sz w:val="20"/>
        </w:rPr>
        <w:t> </w:t>
      </w:r>
      <w:r>
        <w:rPr>
          <w:sz w:val="20"/>
        </w:rPr>
        <w:t>y</w:t>
      </w:r>
    </w:p>
    <w:p>
      <w:pPr>
        <w:pStyle w:val="ListParagraph"/>
        <w:numPr>
          <w:ilvl w:val="0"/>
          <w:numId w:val="10"/>
        </w:numPr>
        <w:tabs>
          <w:tab w:pos="1229" w:val="left" w:leader="none"/>
        </w:tabs>
        <w:spacing w:line="240" w:lineRule="auto" w:before="114" w:after="0"/>
        <w:ind w:left="1228" w:right="0" w:hanging="133"/>
        <w:jc w:val="left"/>
        <w:rPr>
          <w:sz w:val="20"/>
        </w:rPr>
      </w:pPr>
      <w:r>
        <w:rPr>
          <w:sz w:val="20"/>
        </w:rPr>
        <w:t>una cena con plato fuerte, un acompañamiento, una bebida, y una golosina o postre en la</w:t>
      </w:r>
      <w:r>
        <w:rPr>
          <w:spacing w:val="-26"/>
          <w:sz w:val="20"/>
        </w:rPr>
        <w:t> </w:t>
      </w:r>
      <w:r>
        <w:rPr>
          <w:sz w:val="20"/>
        </w:rPr>
        <w:t>noche.</w:t>
      </w:r>
    </w:p>
    <w:p>
      <w:pPr>
        <w:spacing w:line="692" w:lineRule="exact" w:before="92"/>
        <w:ind w:left="1040" w:right="4902" w:firstLine="0"/>
        <w:jc w:val="left"/>
        <w:rPr>
          <w:sz w:val="20"/>
        </w:rPr>
      </w:pPr>
      <w:r>
        <w:rPr>
          <w:sz w:val="20"/>
        </w:rPr>
        <w:t>¿A Comparación de ese menú, cuánto cree usted que come? a- mucho menos (2400 kcal/día o menos)</w:t>
      </w:r>
    </w:p>
    <w:p>
      <w:pPr>
        <w:spacing w:line="360" w:lineRule="auto" w:before="18"/>
        <w:ind w:left="1040" w:right="7086" w:firstLine="0"/>
        <w:jc w:val="left"/>
        <w:rPr>
          <w:sz w:val="20"/>
        </w:rPr>
      </w:pPr>
      <w:r>
        <w:rPr>
          <w:sz w:val="20"/>
        </w:rPr>
        <w:t>b- algo menos (2400 a 2800 kcal/día) c- parecido (2800-3200 kcal/día)</w:t>
      </w:r>
    </w:p>
    <w:p>
      <w:pPr>
        <w:pStyle w:val="ListParagraph"/>
        <w:numPr>
          <w:ilvl w:val="0"/>
          <w:numId w:val="11"/>
        </w:numPr>
        <w:tabs>
          <w:tab w:pos="1277" w:val="left" w:leader="none"/>
        </w:tabs>
        <w:spacing w:line="240" w:lineRule="auto" w:before="3" w:after="0"/>
        <w:ind w:left="1276" w:right="0" w:hanging="237"/>
        <w:jc w:val="left"/>
        <w:rPr>
          <w:sz w:val="20"/>
        </w:rPr>
      </w:pPr>
      <w:r>
        <w:rPr>
          <w:sz w:val="20"/>
        </w:rPr>
        <w:t>algo </w:t>
      </w:r>
      <w:r>
        <w:rPr>
          <w:spacing w:val="-3"/>
          <w:sz w:val="20"/>
        </w:rPr>
        <w:t>más </w:t>
      </w:r>
      <w:r>
        <w:rPr>
          <w:sz w:val="20"/>
        </w:rPr>
        <w:t>(3200-3600</w:t>
      </w:r>
      <w:r>
        <w:rPr>
          <w:spacing w:val="2"/>
          <w:sz w:val="20"/>
        </w:rPr>
        <w:t> </w:t>
      </w:r>
      <w:r>
        <w:rPr>
          <w:sz w:val="20"/>
        </w:rPr>
        <w:t>kcal/día)</w:t>
      </w:r>
    </w:p>
    <w:p>
      <w:pPr>
        <w:pStyle w:val="ListParagraph"/>
        <w:numPr>
          <w:ilvl w:val="0"/>
          <w:numId w:val="11"/>
        </w:numPr>
        <w:tabs>
          <w:tab w:pos="1277" w:val="left" w:leader="none"/>
        </w:tabs>
        <w:spacing w:line="240" w:lineRule="auto" w:before="114" w:after="0"/>
        <w:ind w:left="1276" w:right="0" w:hanging="237"/>
        <w:jc w:val="left"/>
        <w:rPr>
          <w:sz w:val="20"/>
        </w:rPr>
      </w:pPr>
      <w:r>
        <w:rPr>
          <w:sz w:val="20"/>
        </w:rPr>
        <w:t>mucho </w:t>
      </w:r>
      <w:r>
        <w:rPr>
          <w:spacing w:val="-3"/>
          <w:sz w:val="20"/>
        </w:rPr>
        <w:t>más </w:t>
      </w:r>
      <w:r>
        <w:rPr>
          <w:sz w:val="20"/>
        </w:rPr>
        <w:t>(3600 kcal/día o</w:t>
      </w:r>
      <w:r>
        <w:rPr>
          <w:spacing w:val="3"/>
          <w:sz w:val="20"/>
        </w:rPr>
        <w:t> </w:t>
      </w:r>
      <w:r>
        <w:rPr>
          <w:sz w:val="20"/>
        </w:rPr>
        <w:t>más)</w:t>
      </w:r>
    </w:p>
    <w:p>
      <w:pPr>
        <w:spacing w:after="0" w:line="240" w:lineRule="auto"/>
        <w:jc w:val="left"/>
        <w:rPr>
          <w:sz w:val="20"/>
        </w:rPr>
        <w:sectPr>
          <w:pgSz w:w="12240" w:h="15840"/>
          <w:pgMar w:header="0" w:footer="982" w:top="1360" w:bottom="1260" w:left="400" w:right="400"/>
        </w:sectPr>
      </w:pPr>
    </w:p>
    <w:p>
      <w:pPr>
        <w:pStyle w:val="BodyText"/>
        <w:spacing w:before="10"/>
        <w:rPr>
          <w:sz w:val="15"/>
        </w:rPr>
      </w:pPr>
    </w:p>
    <w:p>
      <w:pPr>
        <w:pStyle w:val="ListParagraph"/>
        <w:numPr>
          <w:ilvl w:val="1"/>
          <w:numId w:val="9"/>
        </w:numPr>
        <w:tabs>
          <w:tab w:pos="1277" w:val="left" w:leader="none"/>
        </w:tabs>
        <w:spacing w:line="240" w:lineRule="auto" w:before="94" w:after="0"/>
        <w:ind w:left="1276" w:right="0" w:hanging="237"/>
        <w:jc w:val="left"/>
        <w:rPr>
          <w:b/>
          <w:sz w:val="20"/>
        </w:rPr>
      </w:pPr>
      <w:r>
        <w:rPr>
          <w:b/>
          <w:sz w:val="20"/>
        </w:rPr>
        <w:t>¿Cuántas de sus comidas están basadas en futas y</w:t>
      </w:r>
      <w:r>
        <w:rPr>
          <w:b/>
          <w:spacing w:val="-12"/>
          <w:sz w:val="20"/>
        </w:rPr>
        <w:t> </w:t>
      </w:r>
      <w:r>
        <w:rPr>
          <w:b/>
          <w:sz w:val="20"/>
        </w:rPr>
        <w:t>vegetales?</w:t>
      </w:r>
    </w:p>
    <w:p>
      <w:pPr>
        <w:spacing w:line="360" w:lineRule="auto" w:before="118"/>
        <w:ind w:left="1040" w:right="9295" w:firstLine="0"/>
        <w:jc w:val="left"/>
        <w:rPr>
          <w:sz w:val="20"/>
        </w:rPr>
      </w:pPr>
      <w:r>
        <w:rPr>
          <w:sz w:val="20"/>
        </w:rPr>
        <w:t>a- Ninguna b- Un cuarto c- La mitad</w:t>
      </w:r>
    </w:p>
    <w:p>
      <w:pPr>
        <w:spacing w:line="360" w:lineRule="auto" w:before="2"/>
        <w:ind w:left="1040" w:right="9050" w:firstLine="0"/>
        <w:jc w:val="left"/>
        <w:rPr>
          <w:sz w:val="20"/>
        </w:rPr>
      </w:pPr>
      <w:r>
        <w:rPr>
          <w:sz w:val="20"/>
        </w:rPr>
        <w:t>d- Tres cuartos e- Todas</w:t>
      </w:r>
    </w:p>
    <w:p>
      <w:pPr>
        <w:pStyle w:val="BodyText"/>
        <w:spacing w:before="8"/>
        <w:rPr>
          <w:sz w:val="29"/>
        </w:rPr>
      </w:pPr>
    </w:p>
    <w:p>
      <w:pPr>
        <w:pStyle w:val="ListParagraph"/>
        <w:numPr>
          <w:ilvl w:val="1"/>
          <w:numId w:val="9"/>
        </w:numPr>
        <w:tabs>
          <w:tab w:pos="1277" w:val="left" w:leader="none"/>
        </w:tabs>
        <w:spacing w:line="240" w:lineRule="auto" w:before="0" w:after="0"/>
        <w:ind w:left="1276" w:right="0" w:hanging="237"/>
        <w:jc w:val="left"/>
        <w:rPr>
          <w:b/>
          <w:sz w:val="20"/>
        </w:rPr>
      </w:pPr>
      <w:r>
        <w:rPr>
          <w:b/>
          <w:sz w:val="20"/>
        </w:rPr>
        <w:t>¿Con qué frecuencia consume carne de</w:t>
      </w:r>
      <w:r>
        <w:rPr>
          <w:b/>
          <w:spacing w:val="-6"/>
          <w:sz w:val="20"/>
        </w:rPr>
        <w:t> </w:t>
      </w:r>
      <w:r>
        <w:rPr>
          <w:b/>
          <w:sz w:val="20"/>
        </w:rPr>
        <w:t>cerdo?</w:t>
      </w:r>
    </w:p>
    <w:p>
      <w:pPr>
        <w:pStyle w:val="ListParagraph"/>
        <w:numPr>
          <w:ilvl w:val="2"/>
          <w:numId w:val="9"/>
        </w:numPr>
        <w:tabs>
          <w:tab w:pos="1277" w:val="left" w:leader="none"/>
        </w:tabs>
        <w:spacing w:line="240" w:lineRule="auto" w:before="118" w:after="0"/>
        <w:ind w:left="1276" w:right="0" w:hanging="237"/>
        <w:jc w:val="left"/>
        <w:rPr>
          <w:sz w:val="20"/>
        </w:rPr>
      </w:pPr>
      <w:r>
        <w:rPr>
          <w:sz w:val="20"/>
        </w:rPr>
        <w:t>Nunca</w:t>
      </w:r>
    </w:p>
    <w:p>
      <w:pPr>
        <w:pStyle w:val="ListParagraph"/>
        <w:numPr>
          <w:ilvl w:val="2"/>
          <w:numId w:val="9"/>
        </w:numPr>
        <w:tabs>
          <w:tab w:pos="1277" w:val="left" w:leader="none"/>
        </w:tabs>
        <w:spacing w:line="362" w:lineRule="auto" w:before="114" w:after="0"/>
        <w:ind w:left="1040" w:right="5543" w:firstLine="0"/>
        <w:jc w:val="left"/>
        <w:rPr>
          <w:sz w:val="20"/>
        </w:rPr>
      </w:pPr>
      <w:r>
        <w:rPr>
          <w:sz w:val="20"/>
        </w:rPr>
        <w:t>Pocas veces (una vez cada </w:t>
      </w:r>
      <w:r>
        <w:rPr>
          <w:spacing w:val="-3"/>
          <w:sz w:val="20"/>
        </w:rPr>
        <w:t>mes </w:t>
      </w:r>
      <w:r>
        <w:rPr>
          <w:sz w:val="20"/>
        </w:rPr>
        <w:t>o cada dos meses) c- Ocasionalmente (una o dos veces a la</w:t>
      </w:r>
      <w:r>
        <w:rPr>
          <w:spacing w:val="-13"/>
          <w:sz w:val="20"/>
        </w:rPr>
        <w:t> </w:t>
      </w:r>
      <w:r>
        <w:rPr>
          <w:sz w:val="20"/>
        </w:rPr>
        <w:t>semana)</w:t>
      </w:r>
    </w:p>
    <w:p>
      <w:pPr>
        <w:pStyle w:val="ListParagraph"/>
        <w:numPr>
          <w:ilvl w:val="0"/>
          <w:numId w:val="12"/>
        </w:numPr>
        <w:tabs>
          <w:tab w:pos="1277" w:val="left" w:leader="none"/>
        </w:tabs>
        <w:spacing w:line="228" w:lineRule="exact" w:before="0" w:after="0"/>
        <w:ind w:left="1276" w:right="0" w:hanging="237"/>
        <w:jc w:val="left"/>
        <w:rPr>
          <w:sz w:val="20"/>
        </w:rPr>
      </w:pPr>
      <w:r>
        <w:rPr>
          <w:sz w:val="20"/>
        </w:rPr>
        <w:t>Con frecuencia (casi todos los</w:t>
      </w:r>
      <w:r>
        <w:rPr>
          <w:spacing w:val="-4"/>
          <w:sz w:val="20"/>
        </w:rPr>
        <w:t> </w:t>
      </w:r>
      <w:r>
        <w:rPr>
          <w:sz w:val="20"/>
        </w:rPr>
        <w:t>días)</w:t>
      </w:r>
    </w:p>
    <w:p>
      <w:pPr>
        <w:pStyle w:val="ListParagraph"/>
        <w:numPr>
          <w:ilvl w:val="0"/>
          <w:numId w:val="12"/>
        </w:numPr>
        <w:tabs>
          <w:tab w:pos="1277" w:val="left" w:leader="none"/>
        </w:tabs>
        <w:spacing w:line="240" w:lineRule="auto" w:before="114" w:after="0"/>
        <w:ind w:left="1276" w:right="0" w:hanging="237"/>
        <w:jc w:val="left"/>
        <w:rPr>
          <w:sz w:val="20"/>
        </w:rPr>
      </w:pPr>
      <w:r>
        <w:rPr>
          <w:sz w:val="20"/>
        </w:rPr>
        <w:t>Con mucha frecuencia (en casi todas las</w:t>
      </w:r>
      <w:r>
        <w:rPr>
          <w:spacing w:val="-11"/>
          <w:sz w:val="20"/>
        </w:rPr>
        <w:t> </w:t>
      </w:r>
      <w:r>
        <w:rPr>
          <w:sz w:val="20"/>
        </w:rPr>
        <w:t>comidas)</w:t>
      </w:r>
    </w:p>
    <w:p>
      <w:pPr>
        <w:pStyle w:val="BodyText"/>
        <w:rPr>
          <w:sz w:val="22"/>
        </w:rPr>
      </w:pPr>
    </w:p>
    <w:p>
      <w:pPr>
        <w:pStyle w:val="BodyText"/>
        <w:spacing w:before="10"/>
        <w:rPr>
          <w:sz w:val="17"/>
        </w:rPr>
      </w:pPr>
    </w:p>
    <w:p>
      <w:pPr>
        <w:pStyle w:val="ListParagraph"/>
        <w:numPr>
          <w:ilvl w:val="1"/>
          <w:numId w:val="9"/>
        </w:numPr>
        <w:tabs>
          <w:tab w:pos="1277" w:val="left" w:leader="none"/>
        </w:tabs>
        <w:spacing w:line="240" w:lineRule="auto" w:before="0" w:after="0"/>
        <w:ind w:left="1276" w:right="0" w:hanging="237"/>
        <w:jc w:val="left"/>
        <w:rPr>
          <w:b/>
          <w:sz w:val="20"/>
        </w:rPr>
      </w:pPr>
      <w:r>
        <w:rPr>
          <w:b/>
          <w:sz w:val="20"/>
        </w:rPr>
        <w:t>¿Con qué frecuencia come carne de</w:t>
      </w:r>
      <w:r>
        <w:rPr>
          <w:b/>
          <w:spacing w:val="-6"/>
          <w:sz w:val="20"/>
        </w:rPr>
        <w:t> </w:t>
      </w:r>
      <w:r>
        <w:rPr>
          <w:b/>
          <w:sz w:val="20"/>
        </w:rPr>
        <w:t>res?</w:t>
      </w:r>
    </w:p>
    <w:p>
      <w:pPr>
        <w:pStyle w:val="ListParagraph"/>
        <w:numPr>
          <w:ilvl w:val="0"/>
          <w:numId w:val="13"/>
        </w:numPr>
        <w:tabs>
          <w:tab w:pos="1277" w:val="left" w:leader="none"/>
        </w:tabs>
        <w:spacing w:line="240" w:lineRule="auto" w:before="118" w:after="0"/>
        <w:ind w:left="1276" w:right="0" w:hanging="237"/>
        <w:jc w:val="left"/>
        <w:rPr>
          <w:sz w:val="20"/>
        </w:rPr>
      </w:pPr>
      <w:r>
        <w:rPr>
          <w:sz w:val="20"/>
        </w:rPr>
        <w:t>Nunca</w:t>
      </w:r>
    </w:p>
    <w:p>
      <w:pPr>
        <w:pStyle w:val="ListParagraph"/>
        <w:numPr>
          <w:ilvl w:val="0"/>
          <w:numId w:val="13"/>
        </w:numPr>
        <w:tabs>
          <w:tab w:pos="1277" w:val="left" w:leader="none"/>
        </w:tabs>
        <w:spacing w:line="360" w:lineRule="auto" w:before="115" w:after="0"/>
        <w:ind w:left="1040" w:right="5543" w:firstLine="0"/>
        <w:jc w:val="left"/>
        <w:rPr>
          <w:sz w:val="20"/>
        </w:rPr>
      </w:pPr>
      <w:r>
        <w:rPr>
          <w:sz w:val="20"/>
        </w:rPr>
        <w:t>Pocas veces (una vez cada </w:t>
      </w:r>
      <w:r>
        <w:rPr>
          <w:spacing w:val="-3"/>
          <w:sz w:val="20"/>
        </w:rPr>
        <w:t>mes </w:t>
      </w:r>
      <w:r>
        <w:rPr>
          <w:sz w:val="20"/>
        </w:rPr>
        <w:t>o cada dos meses) c- Ocasionalmente (una o dos veces a la</w:t>
      </w:r>
      <w:r>
        <w:rPr>
          <w:spacing w:val="-13"/>
          <w:sz w:val="20"/>
        </w:rPr>
        <w:t> </w:t>
      </w:r>
      <w:r>
        <w:rPr>
          <w:sz w:val="20"/>
        </w:rPr>
        <w:t>semana)</w:t>
      </w:r>
    </w:p>
    <w:p>
      <w:pPr>
        <w:pStyle w:val="ListParagraph"/>
        <w:numPr>
          <w:ilvl w:val="0"/>
          <w:numId w:val="14"/>
        </w:numPr>
        <w:tabs>
          <w:tab w:pos="1277" w:val="left" w:leader="none"/>
        </w:tabs>
        <w:spacing w:line="240" w:lineRule="auto" w:before="2" w:after="0"/>
        <w:ind w:left="1276" w:right="0" w:hanging="237"/>
        <w:jc w:val="left"/>
        <w:rPr>
          <w:sz w:val="20"/>
        </w:rPr>
      </w:pPr>
      <w:r>
        <w:rPr>
          <w:sz w:val="20"/>
        </w:rPr>
        <w:t>Con frecuencia (casi todos los</w:t>
      </w:r>
      <w:r>
        <w:rPr>
          <w:spacing w:val="-4"/>
          <w:sz w:val="20"/>
        </w:rPr>
        <w:t> </w:t>
      </w:r>
      <w:r>
        <w:rPr>
          <w:sz w:val="20"/>
        </w:rPr>
        <w:t>días)</w:t>
      </w:r>
    </w:p>
    <w:p>
      <w:pPr>
        <w:pStyle w:val="ListParagraph"/>
        <w:numPr>
          <w:ilvl w:val="0"/>
          <w:numId w:val="14"/>
        </w:numPr>
        <w:tabs>
          <w:tab w:pos="1277" w:val="left" w:leader="none"/>
        </w:tabs>
        <w:spacing w:line="240" w:lineRule="auto" w:before="114" w:after="0"/>
        <w:ind w:left="1276" w:right="0" w:hanging="237"/>
        <w:jc w:val="left"/>
        <w:rPr>
          <w:sz w:val="20"/>
        </w:rPr>
      </w:pPr>
      <w:r>
        <w:rPr>
          <w:sz w:val="20"/>
        </w:rPr>
        <w:t>Con mucha frecuencia (en casi todas las</w:t>
      </w:r>
      <w:r>
        <w:rPr>
          <w:spacing w:val="-11"/>
          <w:sz w:val="20"/>
        </w:rPr>
        <w:t> </w:t>
      </w:r>
      <w:r>
        <w:rPr>
          <w:sz w:val="20"/>
        </w:rPr>
        <w:t>comidas)</w:t>
      </w:r>
    </w:p>
    <w:p>
      <w:pPr>
        <w:pStyle w:val="BodyText"/>
        <w:rPr>
          <w:sz w:val="22"/>
        </w:rPr>
      </w:pPr>
    </w:p>
    <w:p>
      <w:pPr>
        <w:pStyle w:val="BodyText"/>
        <w:spacing w:before="5"/>
        <w:rPr>
          <w:sz w:val="17"/>
        </w:rPr>
      </w:pPr>
    </w:p>
    <w:p>
      <w:pPr>
        <w:pStyle w:val="ListParagraph"/>
        <w:numPr>
          <w:ilvl w:val="1"/>
          <w:numId w:val="9"/>
        </w:numPr>
        <w:tabs>
          <w:tab w:pos="1277" w:val="left" w:leader="none"/>
        </w:tabs>
        <w:spacing w:line="240" w:lineRule="auto" w:before="0" w:after="0"/>
        <w:ind w:left="1276" w:right="0" w:hanging="237"/>
        <w:jc w:val="left"/>
        <w:rPr>
          <w:b/>
          <w:sz w:val="20"/>
        </w:rPr>
      </w:pPr>
      <w:r>
        <w:rPr>
          <w:b/>
          <w:sz w:val="20"/>
        </w:rPr>
        <w:t>¿Con qué frecuencia consume huevos, leche y/u otros productos</w:t>
      </w:r>
      <w:r>
        <w:rPr>
          <w:b/>
          <w:spacing w:val="-10"/>
          <w:sz w:val="20"/>
        </w:rPr>
        <w:t> </w:t>
      </w:r>
      <w:r>
        <w:rPr>
          <w:b/>
          <w:sz w:val="20"/>
        </w:rPr>
        <w:t>lácteos?</w:t>
      </w:r>
    </w:p>
    <w:p>
      <w:pPr>
        <w:pStyle w:val="ListParagraph"/>
        <w:numPr>
          <w:ilvl w:val="0"/>
          <w:numId w:val="15"/>
        </w:numPr>
        <w:tabs>
          <w:tab w:pos="1277" w:val="left" w:leader="none"/>
        </w:tabs>
        <w:spacing w:line="240" w:lineRule="auto" w:before="123" w:after="0"/>
        <w:ind w:left="1276" w:right="0" w:hanging="237"/>
        <w:jc w:val="left"/>
        <w:rPr>
          <w:sz w:val="20"/>
        </w:rPr>
      </w:pPr>
      <w:r>
        <w:rPr>
          <w:sz w:val="20"/>
        </w:rPr>
        <w:t>Nunca</w:t>
      </w:r>
    </w:p>
    <w:p>
      <w:pPr>
        <w:pStyle w:val="ListParagraph"/>
        <w:numPr>
          <w:ilvl w:val="0"/>
          <w:numId w:val="15"/>
        </w:numPr>
        <w:tabs>
          <w:tab w:pos="1277" w:val="left" w:leader="none"/>
        </w:tabs>
        <w:spacing w:line="360" w:lineRule="auto" w:before="114" w:after="0"/>
        <w:ind w:left="1040" w:right="5543" w:firstLine="0"/>
        <w:jc w:val="left"/>
        <w:rPr>
          <w:sz w:val="20"/>
        </w:rPr>
      </w:pPr>
      <w:r>
        <w:rPr>
          <w:sz w:val="20"/>
        </w:rPr>
        <w:t>Pocas veces (una vez cada </w:t>
      </w:r>
      <w:r>
        <w:rPr>
          <w:spacing w:val="-3"/>
          <w:sz w:val="20"/>
        </w:rPr>
        <w:t>mes </w:t>
      </w:r>
      <w:r>
        <w:rPr>
          <w:sz w:val="20"/>
        </w:rPr>
        <w:t>o cada dos meses) c- Ocasionalmente (una o dos veces a la</w:t>
      </w:r>
      <w:r>
        <w:rPr>
          <w:spacing w:val="-13"/>
          <w:sz w:val="20"/>
        </w:rPr>
        <w:t> </w:t>
      </w:r>
      <w:r>
        <w:rPr>
          <w:sz w:val="20"/>
        </w:rPr>
        <w:t>semana)</w:t>
      </w:r>
    </w:p>
    <w:p>
      <w:pPr>
        <w:pStyle w:val="ListParagraph"/>
        <w:numPr>
          <w:ilvl w:val="0"/>
          <w:numId w:val="16"/>
        </w:numPr>
        <w:tabs>
          <w:tab w:pos="1277" w:val="left" w:leader="none"/>
        </w:tabs>
        <w:spacing w:line="228" w:lineRule="exact" w:before="0" w:after="0"/>
        <w:ind w:left="1276" w:right="0" w:hanging="237"/>
        <w:jc w:val="left"/>
        <w:rPr>
          <w:sz w:val="20"/>
        </w:rPr>
      </w:pPr>
      <w:r>
        <w:rPr>
          <w:sz w:val="20"/>
        </w:rPr>
        <w:t>Con frecuencia (casi todos los</w:t>
      </w:r>
      <w:r>
        <w:rPr>
          <w:spacing w:val="-4"/>
          <w:sz w:val="20"/>
        </w:rPr>
        <w:t> </w:t>
      </w:r>
      <w:r>
        <w:rPr>
          <w:sz w:val="20"/>
        </w:rPr>
        <w:t>días)</w:t>
      </w:r>
    </w:p>
    <w:p>
      <w:pPr>
        <w:pStyle w:val="ListParagraph"/>
        <w:numPr>
          <w:ilvl w:val="0"/>
          <w:numId w:val="16"/>
        </w:numPr>
        <w:tabs>
          <w:tab w:pos="1277" w:val="left" w:leader="none"/>
        </w:tabs>
        <w:spacing w:line="240" w:lineRule="auto" w:before="118" w:after="0"/>
        <w:ind w:left="1276" w:right="0" w:hanging="237"/>
        <w:jc w:val="left"/>
        <w:rPr>
          <w:sz w:val="20"/>
        </w:rPr>
      </w:pPr>
      <w:r>
        <w:rPr>
          <w:sz w:val="20"/>
        </w:rPr>
        <w:t>Con mucha frecuencia (en casi todas las</w:t>
      </w:r>
      <w:r>
        <w:rPr>
          <w:spacing w:val="-11"/>
          <w:sz w:val="20"/>
        </w:rPr>
        <w:t> </w:t>
      </w:r>
      <w:r>
        <w:rPr>
          <w:sz w:val="20"/>
        </w:rPr>
        <w:t>comidas)</w:t>
      </w:r>
    </w:p>
    <w:p>
      <w:pPr>
        <w:pStyle w:val="BodyText"/>
        <w:rPr>
          <w:sz w:val="22"/>
        </w:rPr>
      </w:pPr>
    </w:p>
    <w:p>
      <w:pPr>
        <w:pStyle w:val="BodyText"/>
        <w:spacing w:before="6"/>
        <w:rPr>
          <w:sz w:val="17"/>
        </w:rPr>
      </w:pPr>
    </w:p>
    <w:p>
      <w:pPr>
        <w:pStyle w:val="ListParagraph"/>
        <w:numPr>
          <w:ilvl w:val="1"/>
          <w:numId w:val="9"/>
        </w:numPr>
        <w:tabs>
          <w:tab w:pos="1277" w:val="left" w:leader="none"/>
        </w:tabs>
        <w:spacing w:line="240" w:lineRule="auto" w:before="0" w:after="0"/>
        <w:ind w:left="1276" w:right="0" w:hanging="237"/>
        <w:jc w:val="left"/>
        <w:rPr>
          <w:b/>
          <w:sz w:val="20"/>
        </w:rPr>
      </w:pPr>
      <w:r>
        <w:rPr>
          <w:b/>
          <w:sz w:val="20"/>
        </w:rPr>
        <w:t>¿Con qué frecuencia come</w:t>
      </w:r>
      <w:r>
        <w:rPr>
          <w:b/>
          <w:spacing w:val="-6"/>
          <w:sz w:val="20"/>
        </w:rPr>
        <w:t> </w:t>
      </w:r>
      <w:r>
        <w:rPr>
          <w:b/>
          <w:sz w:val="20"/>
        </w:rPr>
        <w:t>pescado?</w:t>
      </w:r>
    </w:p>
    <w:p>
      <w:pPr>
        <w:pStyle w:val="ListParagraph"/>
        <w:numPr>
          <w:ilvl w:val="0"/>
          <w:numId w:val="17"/>
        </w:numPr>
        <w:tabs>
          <w:tab w:pos="1277" w:val="left" w:leader="none"/>
        </w:tabs>
        <w:spacing w:line="240" w:lineRule="auto" w:before="118" w:after="0"/>
        <w:ind w:left="1276" w:right="0" w:hanging="237"/>
        <w:jc w:val="left"/>
        <w:rPr>
          <w:sz w:val="20"/>
        </w:rPr>
      </w:pPr>
      <w:r>
        <w:rPr>
          <w:sz w:val="20"/>
        </w:rPr>
        <w:t>Nunca</w:t>
      </w:r>
    </w:p>
    <w:p>
      <w:pPr>
        <w:pStyle w:val="ListParagraph"/>
        <w:numPr>
          <w:ilvl w:val="0"/>
          <w:numId w:val="17"/>
        </w:numPr>
        <w:tabs>
          <w:tab w:pos="1277" w:val="left" w:leader="none"/>
        </w:tabs>
        <w:spacing w:line="360" w:lineRule="auto" w:before="118" w:after="0"/>
        <w:ind w:left="1040" w:right="5543" w:firstLine="0"/>
        <w:jc w:val="left"/>
        <w:rPr>
          <w:sz w:val="20"/>
        </w:rPr>
      </w:pPr>
      <w:r>
        <w:rPr>
          <w:sz w:val="20"/>
        </w:rPr>
        <w:t>Pocas veces (una vez cada </w:t>
      </w:r>
      <w:r>
        <w:rPr>
          <w:spacing w:val="-3"/>
          <w:sz w:val="20"/>
        </w:rPr>
        <w:t>mes </w:t>
      </w:r>
      <w:r>
        <w:rPr>
          <w:sz w:val="20"/>
        </w:rPr>
        <w:t>o cada dos meses) c- Ocasionalmente (una o dos veces a la</w:t>
      </w:r>
      <w:r>
        <w:rPr>
          <w:spacing w:val="-13"/>
          <w:sz w:val="20"/>
        </w:rPr>
        <w:t> </w:t>
      </w:r>
      <w:r>
        <w:rPr>
          <w:sz w:val="20"/>
        </w:rPr>
        <w:t>semana)</w:t>
      </w:r>
    </w:p>
    <w:p>
      <w:pPr>
        <w:pStyle w:val="ListParagraph"/>
        <w:numPr>
          <w:ilvl w:val="0"/>
          <w:numId w:val="18"/>
        </w:numPr>
        <w:tabs>
          <w:tab w:pos="1277" w:val="left" w:leader="none"/>
        </w:tabs>
        <w:spacing w:line="228" w:lineRule="exact" w:before="0" w:after="0"/>
        <w:ind w:left="1276" w:right="0" w:hanging="237"/>
        <w:jc w:val="left"/>
        <w:rPr>
          <w:sz w:val="20"/>
        </w:rPr>
      </w:pPr>
      <w:r>
        <w:rPr>
          <w:sz w:val="20"/>
        </w:rPr>
        <w:t>Con frecuencia (casi todos los</w:t>
      </w:r>
      <w:r>
        <w:rPr>
          <w:spacing w:val="-4"/>
          <w:sz w:val="20"/>
        </w:rPr>
        <w:t> </w:t>
      </w:r>
      <w:r>
        <w:rPr>
          <w:sz w:val="20"/>
        </w:rPr>
        <w:t>días)</w:t>
      </w:r>
    </w:p>
    <w:p>
      <w:pPr>
        <w:pStyle w:val="ListParagraph"/>
        <w:numPr>
          <w:ilvl w:val="0"/>
          <w:numId w:val="18"/>
        </w:numPr>
        <w:tabs>
          <w:tab w:pos="1277" w:val="left" w:leader="none"/>
        </w:tabs>
        <w:spacing w:line="240" w:lineRule="auto" w:before="114" w:after="0"/>
        <w:ind w:left="1276" w:right="0" w:hanging="237"/>
        <w:jc w:val="left"/>
        <w:rPr>
          <w:sz w:val="20"/>
        </w:rPr>
      </w:pPr>
      <w:r>
        <w:rPr>
          <w:sz w:val="20"/>
        </w:rPr>
        <w:t>Con mucha frecuencia (en casi todas las</w:t>
      </w:r>
      <w:r>
        <w:rPr>
          <w:spacing w:val="-11"/>
          <w:sz w:val="20"/>
        </w:rPr>
        <w:t> </w:t>
      </w:r>
      <w:r>
        <w:rPr>
          <w:sz w:val="20"/>
        </w:rPr>
        <w:t>comidas)</w:t>
      </w:r>
    </w:p>
    <w:p>
      <w:pPr>
        <w:spacing w:after="0" w:line="240" w:lineRule="auto"/>
        <w:jc w:val="left"/>
        <w:rPr>
          <w:sz w:val="20"/>
        </w:rPr>
        <w:sectPr>
          <w:pgSz w:w="12240" w:h="15840"/>
          <w:pgMar w:header="0" w:footer="982" w:top="1500" w:bottom="1260" w:left="400" w:right="400"/>
        </w:sectPr>
      </w:pPr>
    </w:p>
    <w:p>
      <w:pPr>
        <w:pStyle w:val="ListParagraph"/>
        <w:numPr>
          <w:ilvl w:val="1"/>
          <w:numId w:val="9"/>
        </w:numPr>
        <w:tabs>
          <w:tab w:pos="1277" w:val="left" w:leader="none"/>
        </w:tabs>
        <w:spacing w:line="240" w:lineRule="auto" w:before="73" w:after="0"/>
        <w:ind w:left="1276" w:right="0" w:hanging="237"/>
        <w:jc w:val="left"/>
        <w:rPr>
          <w:b/>
          <w:sz w:val="20"/>
        </w:rPr>
      </w:pPr>
      <w:r>
        <w:rPr>
          <w:b/>
          <w:sz w:val="20"/>
        </w:rPr>
        <w:t>¿Con qué frecuencia consume pollo u otras</w:t>
      </w:r>
      <w:r>
        <w:rPr>
          <w:b/>
          <w:spacing w:val="-11"/>
          <w:sz w:val="20"/>
        </w:rPr>
        <w:t> </w:t>
      </w:r>
      <w:r>
        <w:rPr>
          <w:b/>
          <w:sz w:val="20"/>
        </w:rPr>
        <w:t>aves?</w:t>
      </w:r>
    </w:p>
    <w:p>
      <w:pPr>
        <w:pStyle w:val="ListParagraph"/>
        <w:numPr>
          <w:ilvl w:val="0"/>
          <w:numId w:val="19"/>
        </w:numPr>
        <w:tabs>
          <w:tab w:pos="1277" w:val="left" w:leader="none"/>
        </w:tabs>
        <w:spacing w:line="240" w:lineRule="auto" w:before="118" w:after="0"/>
        <w:ind w:left="1276" w:right="0" w:hanging="237"/>
        <w:jc w:val="left"/>
        <w:rPr>
          <w:sz w:val="20"/>
        </w:rPr>
      </w:pPr>
      <w:r>
        <w:rPr>
          <w:sz w:val="20"/>
        </w:rPr>
        <w:t>Nunca</w:t>
      </w:r>
    </w:p>
    <w:p>
      <w:pPr>
        <w:pStyle w:val="ListParagraph"/>
        <w:numPr>
          <w:ilvl w:val="0"/>
          <w:numId w:val="19"/>
        </w:numPr>
        <w:tabs>
          <w:tab w:pos="1277" w:val="left" w:leader="none"/>
        </w:tabs>
        <w:spacing w:line="362" w:lineRule="auto" w:before="114" w:after="0"/>
        <w:ind w:left="1040" w:right="5543" w:firstLine="0"/>
        <w:jc w:val="left"/>
        <w:rPr>
          <w:sz w:val="20"/>
        </w:rPr>
      </w:pPr>
      <w:r>
        <w:rPr>
          <w:sz w:val="20"/>
        </w:rPr>
        <w:t>Pocas veces (una vez cada </w:t>
      </w:r>
      <w:r>
        <w:rPr>
          <w:spacing w:val="-3"/>
          <w:sz w:val="20"/>
        </w:rPr>
        <w:t>mes </w:t>
      </w:r>
      <w:r>
        <w:rPr>
          <w:sz w:val="20"/>
        </w:rPr>
        <w:t>o cada dos meses) c- Ocasionalmente (una o dos veces a la</w:t>
      </w:r>
      <w:r>
        <w:rPr>
          <w:spacing w:val="-13"/>
          <w:sz w:val="20"/>
        </w:rPr>
        <w:t> </w:t>
      </w:r>
      <w:r>
        <w:rPr>
          <w:sz w:val="20"/>
        </w:rPr>
        <w:t>semana)</w:t>
      </w:r>
    </w:p>
    <w:p>
      <w:pPr>
        <w:pStyle w:val="ListParagraph"/>
        <w:numPr>
          <w:ilvl w:val="0"/>
          <w:numId w:val="20"/>
        </w:numPr>
        <w:tabs>
          <w:tab w:pos="1277" w:val="left" w:leader="none"/>
        </w:tabs>
        <w:spacing w:line="227" w:lineRule="exact" w:before="0" w:after="0"/>
        <w:ind w:left="1276" w:right="0" w:hanging="237"/>
        <w:jc w:val="left"/>
        <w:rPr>
          <w:sz w:val="20"/>
        </w:rPr>
      </w:pPr>
      <w:r>
        <w:rPr>
          <w:sz w:val="20"/>
        </w:rPr>
        <w:t>Con frecuencia (casi todos los</w:t>
      </w:r>
      <w:r>
        <w:rPr>
          <w:spacing w:val="-4"/>
          <w:sz w:val="20"/>
        </w:rPr>
        <w:t> </w:t>
      </w:r>
      <w:r>
        <w:rPr>
          <w:sz w:val="20"/>
        </w:rPr>
        <w:t>días)</w:t>
      </w:r>
    </w:p>
    <w:p>
      <w:pPr>
        <w:pStyle w:val="ListParagraph"/>
        <w:numPr>
          <w:ilvl w:val="0"/>
          <w:numId w:val="20"/>
        </w:numPr>
        <w:tabs>
          <w:tab w:pos="1277" w:val="left" w:leader="none"/>
        </w:tabs>
        <w:spacing w:line="240" w:lineRule="auto" w:before="114" w:after="0"/>
        <w:ind w:left="1276" w:right="0" w:hanging="237"/>
        <w:jc w:val="left"/>
        <w:rPr>
          <w:sz w:val="20"/>
        </w:rPr>
      </w:pPr>
      <w:r>
        <w:rPr>
          <w:sz w:val="20"/>
        </w:rPr>
        <w:t>Con mucha frecuencia (en casi todas las</w:t>
      </w:r>
      <w:r>
        <w:rPr>
          <w:spacing w:val="-11"/>
          <w:sz w:val="20"/>
        </w:rPr>
        <w:t> </w:t>
      </w:r>
      <w:r>
        <w:rPr>
          <w:sz w:val="20"/>
        </w:rPr>
        <w:t>comidas)</w:t>
      </w:r>
    </w:p>
    <w:p>
      <w:pPr>
        <w:pStyle w:val="BodyText"/>
        <w:rPr>
          <w:sz w:val="22"/>
        </w:rPr>
      </w:pPr>
    </w:p>
    <w:p>
      <w:pPr>
        <w:pStyle w:val="BodyText"/>
        <w:spacing w:before="10"/>
        <w:rPr>
          <w:sz w:val="17"/>
        </w:rPr>
      </w:pPr>
    </w:p>
    <w:p>
      <w:pPr>
        <w:pStyle w:val="ListParagraph"/>
        <w:numPr>
          <w:ilvl w:val="1"/>
          <w:numId w:val="9"/>
        </w:numPr>
        <w:tabs>
          <w:tab w:pos="1277" w:val="left" w:leader="none"/>
        </w:tabs>
        <w:spacing w:line="360" w:lineRule="auto" w:before="0" w:after="0"/>
        <w:ind w:left="1040" w:right="1751" w:firstLine="0"/>
        <w:jc w:val="left"/>
        <w:rPr>
          <w:b/>
          <w:sz w:val="20"/>
        </w:rPr>
      </w:pPr>
      <w:r>
        <w:rPr>
          <w:b/>
          <w:sz w:val="20"/>
        </w:rPr>
        <w:t>¿Cuántos de los alimentos que consume son procesados, empacados, vienen de lejos</w:t>
      </w:r>
      <w:r>
        <w:rPr>
          <w:b/>
          <w:spacing w:val="-37"/>
          <w:sz w:val="20"/>
        </w:rPr>
        <w:t> </w:t>
      </w:r>
      <w:r>
        <w:rPr>
          <w:b/>
          <w:sz w:val="20"/>
        </w:rPr>
        <w:t>o vienen de fuera del</w:t>
      </w:r>
      <w:r>
        <w:rPr>
          <w:b/>
          <w:spacing w:val="-4"/>
          <w:sz w:val="20"/>
        </w:rPr>
        <w:t> </w:t>
      </w:r>
      <w:r>
        <w:rPr>
          <w:b/>
          <w:sz w:val="20"/>
        </w:rPr>
        <w:t>país?</w:t>
      </w:r>
    </w:p>
    <w:p>
      <w:pPr>
        <w:spacing w:line="360" w:lineRule="auto" w:before="2"/>
        <w:ind w:left="1040" w:right="9327" w:firstLine="0"/>
        <w:jc w:val="left"/>
        <w:rPr>
          <w:sz w:val="20"/>
        </w:rPr>
      </w:pPr>
      <w:r>
        <w:rPr>
          <w:sz w:val="20"/>
        </w:rPr>
        <w:t>a- un cuarto b- la mitad</w:t>
      </w:r>
    </w:p>
    <w:p>
      <w:pPr>
        <w:spacing w:line="360" w:lineRule="auto" w:before="2"/>
        <w:ind w:left="1040" w:right="9126" w:firstLine="0"/>
        <w:jc w:val="both"/>
        <w:rPr>
          <w:sz w:val="20"/>
        </w:rPr>
      </w:pPr>
      <w:r>
        <w:rPr>
          <w:sz w:val="20"/>
        </w:rPr>
        <w:t>c- tres cuartos d- La mayoría e- Todos</w:t>
      </w:r>
    </w:p>
    <w:p>
      <w:pPr>
        <w:pStyle w:val="BodyText"/>
        <w:spacing w:before="8"/>
        <w:rPr>
          <w:sz w:val="29"/>
        </w:rPr>
      </w:pPr>
    </w:p>
    <w:p>
      <w:pPr>
        <w:pStyle w:val="ListParagraph"/>
        <w:numPr>
          <w:ilvl w:val="1"/>
          <w:numId w:val="9"/>
        </w:numPr>
        <w:tabs>
          <w:tab w:pos="1277" w:val="left" w:leader="none"/>
        </w:tabs>
        <w:spacing w:line="240" w:lineRule="auto" w:before="0" w:after="0"/>
        <w:ind w:left="1276" w:right="0" w:hanging="237"/>
        <w:jc w:val="left"/>
        <w:rPr>
          <w:b/>
          <w:sz w:val="20"/>
        </w:rPr>
      </w:pPr>
      <w:r>
        <w:rPr>
          <w:b/>
          <w:sz w:val="20"/>
        </w:rPr>
        <w:t>¿Cuánta de la comida que compra se desecha en lugar de</w:t>
      </w:r>
      <w:r>
        <w:rPr>
          <w:b/>
          <w:spacing w:val="-15"/>
          <w:sz w:val="20"/>
        </w:rPr>
        <w:t> </w:t>
      </w:r>
      <w:r>
        <w:rPr>
          <w:b/>
          <w:sz w:val="20"/>
        </w:rPr>
        <w:t>comerse?</w:t>
      </w:r>
    </w:p>
    <w:p>
      <w:pPr>
        <w:pStyle w:val="ListParagraph"/>
        <w:numPr>
          <w:ilvl w:val="0"/>
          <w:numId w:val="21"/>
        </w:numPr>
        <w:tabs>
          <w:tab w:pos="1277" w:val="left" w:leader="none"/>
        </w:tabs>
        <w:spacing w:line="240" w:lineRule="auto" w:before="118" w:after="0"/>
        <w:ind w:left="1276" w:right="0" w:hanging="237"/>
        <w:jc w:val="left"/>
        <w:rPr>
          <w:sz w:val="20"/>
        </w:rPr>
      </w:pPr>
      <w:r>
        <w:rPr>
          <w:sz w:val="20"/>
        </w:rPr>
        <w:t>Nada</w:t>
      </w:r>
    </w:p>
    <w:p>
      <w:pPr>
        <w:pStyle w:val="ListParagraph"/>
        <w:numPr>
          <w:ilvl w:val="0"/>
          <w:numId w:val="21"/>
        </w:numPr>
        <w:tabs>
          <w:tab w:pos="1277" w:val="left" w:leader="none"/>
        </w:tabs>
        <w:spacing w:line="360" w:lineRule="auto" w:before="114" w:after="0"/>
        <w:ind w:left="1040" w:right="6962" w:firstLine="0"/>
        <w:jc w:val="left"/>
        <w:rPr>
          <w:sz w:val="20"/>
        </w:rPr>
      </w:pPr>
      <w:r>
        <w:rPr>
          <w:sz w:val="20"/>
        </w:rPr>
        <w:t>Aproximadamente 10% (un</w:t>
      </w:r>
      <w:r>
        <w:rPr>
          <w:spacing w:val="-14"/>
          <w:sz w:val="20"/>
        </w:rPr>
        <w:t> </w:t>
      </w:r>
      <w:r>
        <w:rPr>
          <w:sz w:val="20"/>
        </w:rPr>
        <w:t>poquito) c- Más o menos 25% (un</w:t>
      </w:r>
      <w:r>
        <w:rPr>
          <w:spacing w:val="-1"/>
          <w:sz w:val="20"/>
        </w:rPr>
        <w:t> </w:t>
      </w:r>
      <w:r>
        <w:rPr>
          <w:sz w:val="20"/>
        </w:rPr>
        <w:t>poco)</w:t>
      </w:r>
    </w:p>
    <w:p>
      <w:pPr>
        <w:spacing w:line="360" w:lineRule="auto" w:before="3"/>
        <w:ind w:left="1040" w:right="7697" w:firstLine="0"/>
        <w:jc w:val="left"/>
        <w:rPr>
          <w:sz w:val="20"/>
        </w:rPr>
      </w:pPr>
      <w:r>
        <w:rPr>
          <w:sz w:val="20"/>
        </w:rPr>
        <w:t>d- Como 1/3 (tamaño poquillo) e- Más o menos la mitad</w:t>
      </w:r>
    </w:p>
    <w:p>
      <w:pPr>
        <w:pStyle w:val="BodyText"/>
        <w:spacing w:before="4"/>
        <w:rPr>
          <w:sz w:val="29"/>
        </w:rPr>
      </w:pPr>
    </w:p>
    <w:p>
      <w:pPr>
        <w:spacing w:before="0"/>
        <w:ind w:left="1040" w:right="0" w:firstLine="0"/>
        <w:jc w:val="left"/>
        <w:rPr>
          <w:b/>
          <w:sz w:val="20"/>
        </w:rPr>
      </w:pPr>
      <w:r>
        <w:rPr>
          <w:b/>
          <w:sz w:val="20"/>
        </w:rPr>
        <w:t>B- Desechos y Productos</w:t>
      </w:r>
    </w:p>
    <w:p>
      <w:pPr>
        <w:pStyle w:val="BodyText"/>
        <w:rPr>
          <w:b/>
          <w:sz w:val="22"/>
        </w:rPr>
      </w:pPr>
    </w:p>
    <w:p>
      <w:pPr>
        <w:pStyle w:val="BodyText"/>
        <w:spacing w:before="2"/>
        <w:rPr>
          <w:b/>
          <w:sz w:val="18"/>
        </w:rPr>
      </w:pPr>
    </w:p>
    <w:p>
      <w:pPr>
        <w:pStyle w:val="ListParagraph"/>
        <w:numPr>
          <w:ilvl w:val="1"/>
          <w:numId w:val="9"/>
        </w:numPr>
        <w:tabs>
          <w:tab w:pos="1389" w:val="left" w:leader="none"/>
        </w:tabs>
        <w:spacing w:line="240" w:lineRule="auto" w:before="1" w:after="0"/>
        <w:ind w:left="1388" w:right="0" w:hanging="349"/>
        <w:jc w:val="both"/>
        <w:rPr>
          <w:b/>
          <w:sz w:val="20"/>
        </w:rPr>
      </w:pPr>
      <w:r>
        <w:rPr>
          <w:b/>
          <w:sz w:val="20"/>
        </w:rPr>
        <w:t>¿Aproximadamente cuánto desecho general al</w:t>
      </w:r>
      <w:r>
        <w:rPr>
          <w:b/>
          <w:spacing w:val="-3"/>
          <w:sz w:val="20"/>
        </w:rPr>
        <w:t> </w:t>
      </w:r>
      <w:r>
        <w:rPr>
          <w:b/>
          <w:sz w:val="20"/>
        </w:rPr>
        <w:t>mes?</w:t>
      </w:r>
    </w:p>
    <w:p>
      <w:pPr>
        <w:spacing w:line="360" w:lineRule="auto" w:before="118"/>
        <w:ind w:left="1040" w:right="7400" w:firstLine="0"/>
        <w:jc w:val="both"/>
        <w:rPr>
          <w:sz w:val="20"/>
        </w:rPr>
      </w:pPr>
      <w:r>
        <w:rPr>
          <w:sz w:val="20"/>
        </w:rPr>
        <w:t>a- 1 a 2 bolsas de basura al </w:t>
      </w:r>
      <w:r>
        <w:rPr>
          <w:spacing w:val="-3"/>
          <w:sz w:val="20"/>
        </w:rPr>
        <w:t>mes </w:t>
      </w:r>
      <w:r>
        <w:rPr>
          <w:sz w:val="20"/>
        </w:rPr>
        <w:t>b- 2 a 5 bolsas de basura al </w:t>
      </w:r>
      <w:r>
        <w:rPr>
          <w:spacing w:val="-3"/>
          <w:sz w:val="20"/>
        </w:rPr>
        <w:t>mes </w:t>
      </w:r>
      <w:r>
        <w:rPr>
          <w:sz w:val="20"/>
        </w:rPr>
        <w:t>c- 5 a 10 bolsas de basura al </w:t>
      </w:r>
      <w:r>
        <w:rPr>
          <w:spacing w:val="-3"/>
          <w:sz w:val="20"/>
        </w:rPr>
        <w:t>mes</w:t>
      </w:r>
    </w:p>
    <w:p>
      <w:pPr>
        <w:spacing w:before="1"/>
        <w:ind w:left="1040" w:right="0" w:firstLine="0"/>
        <w:jc w:val="both"/>
        <w:rPr>
          <w:sz w:val="20"/>
        </w:rPr>
      </w:pPr>
      <w:r>
        <w:rPr>
          <w:sz w:val="20"/>
        </w:rPr>
        <w:t>d- Más de 10 bolsas de basura al mes</w:t>
      </w:r>
    </w:p>
    <w:p>
      <w:pPr>
        <w:pStyle w:val="BodyText"/>
        <w:rPr>
          <w:sz w:val="22"/>
        </w:rPr>
      </w:pPr>
    </w:p>
    <w:p>
      <w:pPr>
        <w:pStyle w:val="BodyText"/>
        <w:spacing w:before="6"/>
        <w:rPr>
          <w:sz w:val="17"/>
        </w:rPr>
      </w:pPr>
    </w:p>
    <w:p>
      <w:pPr>
        <w:pStyle w:val="ListParagraph"/>
        <w:numPr>
          <w:ilvl w:val="1"/>
          <w:numId w:val="9"/>
        </w:numPr>
        <w:tabs>
          <w:tab w:pos="1389" w:val="left" w:leader="none"/>
        </w:tabs>
        <w:spacing w:line="362" w:lineRule="auto" w:before="0" w:after="0"/>
        <w:ind w:left="1040" w:right="1482" w:firstLine="0"/>
        <w:jc w:val="left"/>
        <w:rPr>
          <w:b/>
          <w:sz w:val="20"/>
        </w:rPr>
      </w:pPr>
      <w:r>
        <w:rPr>
          <w:b/>
          <w:sz w:val="20"/>
        </w:rPr>
        <w:t>¿Con</w:t>
      </w:r>
      <w:r>
        <w:rPr>
          <w:b/>
          <w:spacing w:val="-8"/>
          <w:sz w:val="20"/>
        </w:rPr>
        <w:t> </w:t>
      </w:r>
      <w:r>
        <w:rPr>
          <w:b/>
          <w:sz w:val="20"/>
        </w:rPr>
        <w:t>qué</w:t>
      </w:r>
      <w:r>
        <w:rPr>
          <w:b/>
          <w:spacing w:val="-4"/>
          <w:sz w:val="20"/>
        </w:rPr>
        <w:t> </w:t>
      </w:r>
      <w:r>
        <w:rPr>
          <w:b/>
          <w:sz w:val="20"/>
        </w:rPr>
        <w:t>frecuencia</w:t>
      </w:r>
      <w:r>
        <w:rPr>
          <w:b/>
          <w:spacing w:val="-4"/>
          <w:sz w:val="20"/>
        </w:rPr>
        <w:t> </w:t>
      </w:r>
      <w:r>
        <w:rPr>
          <w:b/>
          <w:sz w:val="20"/>
        </w:rPr>
        <w:t>adquiere</w:t>
      </w:r>
      <w:r>
        <w:rPr>
          <w:b/>
          <w:spacing w:val="-4"/>
          <w:sz w:val="20"/>
        </w:rPr>
        <w:t> </w:t>
      </w:r>
      <w:r>
        <w:rPr>
          <w:b/>
          <w:sz w:val="20"/>
        </w:rPr>
        <w:t>aparatos</w:t>
      </w:r>
      <w:r>
        <w:rPr>
          <w:b/>
          <w:spacing w:val="-4"/>
          <w:sz w:val="20"/>
        </w:rPr>
        <w:t> </w:t>
      </w:r>
      <w:r>
        <w:rPr>
          <w:b/>
          <w:sz w:val="20"/>
        </w:rPr>
        <w:t>electrónicos</w:t>
      </w:r>
      <w:r>
        <w:rPr>
          <w:b/>
          <w:spacing w:val="-5"/>
          <w:sz w:val="20"/>
        </w:rPr>
        <w:t> </w:t>
      </w:r>
      <w:r>
        <w:rPr>
          <w:b/>
          <w:sz w:val="20"/>
        </w:rPr>
        <w:t>de</w:t>
      </w:r>
      <w:r>
        <w:rPr>
          <w:b/>
          <w:spacing w:val="-4"/>
          <w:sz w:val="20"/>
        </w:rPr>
        <w:t> </w:t>
      </w:r>
      <w:r>
        <w:rPr>
          <w:b/>
          <w:sz w:val="20"/>
        </w:rPr>
        <w:t>entretenimiento</w:t>
      </w:r>
      <w:r>
        <w:rPr>
          <w:b/>
          <w:spacing w:val="-4"/>
          <w:sz w:val="20"/>
        </w:rPr>
        <w:t> </w:t>
      </w:r>
      <w:r>
        <w:rPr>
          <w:b/>
          <w:sz w:val="20"/>
        </w:rPr>
        <w:t>como</w:t>
      </w:r>
      <w:r>
        <w:rPr>
          <w:b/>
          <w:spacing w:val="-6"/>
          <w:sz w:val="20"/>
        </w:rPr>
        <w:t> </w:t>
      </w:r>
      <w:r>
        <w:rPr>
          <w:b/>
          <w:sz w:val="20"/>
        </w:rPr>
        <w:t>televisores, equipos de sonido, computadores,</w:t>
      </w:r>
      <w:r>
        <w:rPr>
          <w:b/>
          <w:spacing w:val="-8"/>
          <w:sz w:val="20"/>
        </w:rPr>
        <w:t> </w:t>
      </w:r>
      <w:r>
        <w:rPr>
          <w:b/>
          <w:sz w:val="20"/>
        </w:rPr>
        <w:t>etc.?</w:t>
      </w:r>
    </w:p>
    <w:p>
      <w:pPr>
        <w:pStyle w:val="ListParagraph"/>
        <w:numPr>
          <w:ilvl w:val="0"/>
          <w:numId w:val="22"/>
        </w:numPr>
        <w:tabs>
          <w:tab w:pos="1277" w:val="left" w:leader="none"/>
        </w:tabs>
        <w:spacing w:line="240" w:lineRule="auto" w:before="1" w:after="0"/>
        <w:ind w:left="1276" w:right="0" w:hanging="237"/>
        <w:jc w:val="left"/>
        <w:rPr>
          <w:sz w:val="20"/>
        </w:rPr>
      </w:pPr>
      <w:r>
        <w:rPr>
          <w:sz w:val="20"/>
        </w:rPr>
        <w:t>Nunca</w:t>
      </w:r>
    </w:p>
    <w:p>
      <w:pPr>
        <w:pStyle w:val="ListParagraph"/>
        <w:numPr>
          <w:ilvl w:val="0"/>
          <w:numId w:val="22"/>
        </w:numPr>
        <w:tabs>
          <w:tab w:pos="1277" w:val="left" w:leader="none"/>
        </w:tabs>
        <w:spacing w:line="240" w:lineRule="auto" w:before="114" w:after="0"/>
        <w:ind w:left="1276" w:right="0" w:hanging="237"/>
        <w:jc w:val="left"/>
        <w:rPr>
          <w:sz w:val="20"/>
        </w:rPr>
      </w:pPr>
      <w:r>
        <w:rPr>
          <w:sz w:val="20"/>
        </w:rPr>
        <w:t>Casi nunca (tengo celular pero no compro otros aparatos</w:t>
      </w:r>
      <w:r>
        <w:rPr>
          <w:spacing w:val="-6"/>
          <w:sz w:val="20"/>
        </w:rPr>
        <w:t> </w:t>
      </w:r>
      <w:r>
        <w:rPr>
          <w:sz w:val="20"/>
        </w:rPr>
        <w:t>electrónicos)</w:t>
      </w:r>
    </w:p>
    <w:p>
      <w:pPr>
        <w:pStyle w:val="ListParagraph"/>
        <w:numPr>
          <w:ilvl w:val="0"/>
          <w:numId w:val="22"/>
        </w:numPr>
        <w:tabs>
          <w:tab w:pos="1265" w:val="left" w:leader="none"/>
        </w:tabs>
        <w:spacing w:line="240" w:lineRule="auto" w:before="114" w:after="0"/>
        <w:ind w:left="1264" w:right="0" w:hanging="225"/>
        <w:jc w:val="left"/>
        <w:rPr>
          <w:sz w:val="20"/>
        </w:rPr>
      </w:pPr>
      <w:r>
        <w:rPr>
          <w:sz w:val="20"/>
        </w:rPr>
        <w:t>Con poca frecuencia (reemplazo el computador o el televisor cuando ya no</w:t>
      </w:r>
      <w:r>
        <w:rPr>
          <w:spacing w:val="-9"/>
          <w:sz w:val="20"/>
        </w:rPr>
        <w:t> </w:t>
      </w:r>
      <w:r>
        <w:rPr>
          <w:sz w:val="20"/>
        </w:rPr>
        <w:t>sirven)</w:t>
      </w:r>
    </w:p>
    <w:p>
      <w:pPr>
        <w:pStyle w:val="ListParagraph"/>
        <w:numPr>
          <w:ilvl w:val="0"/>
          <w:numId w:val="22"/>
        </w:numPr>
        <w:tabs>
          <w:tab w:pos="1277" w:val="left" w:leader="none"/>
        </w:tabs>
        <w:spacing w:line="362" w:lineRule="auto" w:before="115" w:after="0"/>
        <w:ind w:left="1040" w:right="2355" w:firstLine="0"/>
        <w:jc w:val="left"/>
        <w:rPr>
          <w:sz w:val="20"/>
        </w:rPr>
      </w:pPr>
      <w:r>
        <w:rPr>
          <w:sz w:val="20"/>
        </w:rPr>
        <w:t>Ocasionalmente (reemplazo los modelos viejos y ocasionalmente compro un aparato</w:t>
      </w:r>
      <w:r>
        <w:rPr>
          <w:spacing w:val="-34"/>
          <w:sz w:val="20"/>
        </w:rPr>
        <w:t> </w:t>
      </w:r>
      <w:r>
        <w:rPr>
          <w:sz w:val="20"/>
        </w:rPr>
        <w:t>de entretenimiento)</w:t>
      </w:r>
    </w:p>
    <w:p>
      <w:pPr>
        <w:spacing w:after="0" w:line="362" w:lineRule="auto"/>
        <w:jc w:val="left"/>
        <w:rPr>
          <w:sz w:val="20"/>
        </w:rPr>
        <w:sectPr>
          <w:pgSz w:w="12240" w:h="15840"/>
          <w:pgMar w:header="0" w:footer="982" w:top="1360" w:bottom="1260" w:left="400" w:right="400"/>
        </w:sectPr>
      </w:pPr>
    </w:p>
    <w:p>
      <w:pPr>
        <w:pStyle w:val="ListParagraph"/>
        <w:numPr>
          <w:ilvl w:val="0"/>
          <w:numId w:val="22"/>
        </w:numPr>
        <w:tabs>
          <w:tab w:pos="1277" w:val="left" w:leader="none"/>
        </w:tabs>
        <w:spacing w:line="240" w:lineRule="auto" w:before="77" w:after="0"/>
        <w:ind w:left="1276" w:right="0" w:hanging="237"/>
        <w:jc w:val="left"/>
        <w:rPr>
          <w:sz w:val="20"/>
        </w:rPr>
      </w:pPr>
      <w:r>
        <w:rPr>
          <w:sz w:val="20"/>
        </w:rPr>
        <w:t>Con frecuencia (tengo muchos de los últimos aparatos</w:t>
      </w:r>
      <w:r>
        <w:rPr>
          <w:spacing w:val="-8"/>
          <w:sz w:val="20"/>
        </w:rPr>
        <w:t> </w:t>
      </w:r>
      <w:r>
        <w:rPr>
          <w:sz w:val="20"/>
        </w:rPr>
        <w:t>electrónicos)</w:t>
      </w:r>
    </w:p>
    <w:p>
      <w:pPr>
        <w:pStyle w:val="BodyText"/>
        <w:rPr>
          <w:sz w:val="22"/>
        </w:rPr>
      </w:pPr>
    </w:p>
    <w:p>
      <w:pPr>
        <w:pStyle w:val="BodyText"/>
        <w:spacing w:before="5"/>
        <w:rPr>
          <w:sz w:val="17"/>
        </w:rPr>
      </w:pPr>
    </w:p>
    <w:p>
      <w:pPr>
        <w:pStyle w:val="ListParagraph"/>
        <w:numPr>
          <w:ilvl w:val="1"/>
          <w:numId w:val="9"/>
        </w:numPr>
        <w:tabs>
          <w:tab w:pos="1389" w:val="left" w:leader="none"/>
        </w:tabs>
        <w:spacing w:line="240" w:lineRule="auto" w:before="0" w:after="0"/>
        <w:ind w:left="1388" w:right="0" w:hanging="349"/>
        <w:jc w:val="left"/>
        <w:rPr>
          <w:b/>
          <w:sz w:val="20"/>
        </w:rPr>
      </w:pPr>
      <w:r>
        <w:rPr>
          <w:b/>
          <w:sz w:val="20"/>
        </w:rPr>
        <w:t>¿Con qué frecuencia adquiere electrodomésticos</w:t>
      </w:r>
      <w:r>
        <w:rPr>
          <w:b/>
          <w:spacing w:val="-4"/>
          <w:sz w:val="20"/>
        </w:rPr>
        <w:t> </w:t>
      </w:r>
      <w:r>
        <w:rPr>
          <w:b/>
          <w:sz w:val="20"/>
        </w:rPr>
        <w:t>nuevos?</w:t>
      </w:r>
    </w:p>
    <w:p>
      <w:pPr>
        <w:pStyle w:val="ListParagraph"/>
        <w:numPr>
          <w:ilvl w:val="0"/>
          <w:numId w:val="23"/>
        </w:numPr>
        <w:tabs>
          <w:tab w:pos="1277" w:val="left" w:leader="none"/>
        </w:tabs>
        <w:spacing w:line="240" w:lineRule="auto" w:before="122" w:after="0"/>
        <w:ind w:left="1276" w:right="0" w:hanging="237"/>
        <w:jc w:val="left"/>
        <w:rPr>
          <w:sz w:val="20"/>
        </w:rPr>
      </w:pPr>
      <w:r>
        <w:rPr>
          <w:sz w:val="20"/>
        </w:rPr>
        <w:t>Nunca</w:t>
      </w:r>
    </w:p>
    <w:p>
      <w:pPr>
        <w:pStyle w:val="ListParagraph"/>
        <w:numPr>
          <w:ilvl w:val="0"/>
          <w:numId w:val="23"/>
        </w:numPr>
        <w:tabs>
          <w:tab w:pos="1277" w:val="left" w:leader="none"/>
        </w:tabs>
        <w:spacing w:line="360" w:lineRule="auto" w:before="114" w:after="0"/>
        <w:ind w:left="1040" w:right="1219" w:firstLine="0"/>
        <w:jc w:val="left"/>
        <w:rPr>
          <w:sz w:val="20"/>
        </w:rPr>
      </w:pPr>
      <w:r>
        <w:rPr>
          <w:sz w:val="20"/>
        </w:rPr>
        <w:t>Casi nunca (no compro electrodomésticos grandes, sólo cosas pequeñas como una licuadora de</w:t>
      </w:r>
      <w:r>
        <w:rPr>
          <w:spacing w:val="-38"/>
          <w:sz w:val="20"/>
        </w:rPr>
        <w:t> </w:t>
      </w:r>
      <w:r>
        <w:rPr>
          <w:sz w:val="20"/>
        </w:rPr>
        <w:t>vez en</w:t>
      </w:r>
      <w:r>
        <w:rPr>
          <w:spacing w:val="-1"/>
          <w:sz w:val="20"/>
        </w:rPr>
        <w:t> </w:t>
      </w:r>
      <w:r>
        <w:rPr>
          <w:sz w:val="20"/>
        </w:rPr>
        <w:t>cuando)</w:t>
      </w:r>
    </w:p>
    <w:p>
      <w:pPr>
        <w:pStyle w:val="ListParagraph"/>
        <w:numPr>
          <w:ilvl w:val="0"/>
          <w:numId w:val="23"/>
        </w:numPr>
        <w:tabs>
          <w:tab w:pos="1265" w:val="left" w:leader="none"/>
        </w:tabs>
        <w:spacing w:line="362" w:lineRule="auto" w:before="0" w:after="0"/>
        <w:ind w:left="1040" w:right="3301" w:firstLine="0"/>
        <w:jc w:val="left"/>
        <w:rPr>
          <w:sz w:val="20"/>
        </w:rPr>
      </w:pPr>
      <w:r>
        <w:rPr>
          <w:sz w:val="20"/>
        </w:rPr>
        <w:t>Con poca frecuencia (sólo reemplazo los electrodomésticos que ya no</w:t>
      </w:r>
      <w:r>
        <w:rPr>
          <w:spacing w:val="-31"/>
          <w:sz w:val="20"/>
        </w:rPr>
        <w:t> </w:t>
      </w:r>
      <w:r>
        <w:rPr>
          <w:sz w:val="20"/>
        </w:rPr>
        <w:t>sirven) d- Ocasionalmente (a veces reemplazo modelos antiguos por</w:t>
      </w:r>
      <w:r>
        <w:rPr>
          <w:spacing w:val="-12"/>
          <w:sz w:val="20"/>
        </w:rPr>
        <w:t> </w:t>
      </w:r>
      <w:r>
        <w:rPr>
          <w:sz w:val="20"/>
        </w:rPr>
        <w:t>nuevos)</w:t>
      </w:r>
    </w:p>
    <w:p>
      <w:pPr>
        <w:spacing w:line="227" w:lineRule="exact" w:before="0"/>
        <w:ind w:left="1040" w:right="0" w:firstLine="0"/>
        <w:jc w:val="left"/>
        <w:rPr>
          <w:sz w:val="20"/>
        </w:rPr>
      </w:pPr>
      <w:r>
        <w:rPr>
          <w:sz w:val="20"/>
        </w:rPr>
        <w:t>e- Con frecuencia (Reemplazo mis electrodomésticos por modelos nuevos)</w:t>
      </w:r>
    </w:p>
    <w:p>
      <w:pPr>
        <w:pStyle w:val="BodyText"/>
        <w:spacing w:before="7"/>
        <w:rPr>
          <w:sz w:val="29"/>
        </w:rPr>
      </w:pPr>
    </w:p>
    <w:p>
      <w:pPr>
        <w:pStyle w:val="ListParagraph"/>
        <w:numPr>
          <w:ilvl w:val="1"/>
          <w:numId w:val="9"/>
        </w:numPr>
        <w:tabs>
          <w:tab w:pos="1389" w:val="left" w:leader="none"/>
        </w:tabs>
        <w:spacing w:line="240" w:lineRule="auto" w:before="0" w:after="0"/>
        <w:ind w:left="1388" w:right="0" w:hanging="349"/>
        <w:jc w:val="left"/>
        <w:rPr>
          <w:b/>
          <w:sz w:val="20"/>
        </w:rPr>
      </w:pPr>
      <w:r>
        <w:rPr>
          <w:b/>
          <w:sz w:val="20"/>
        </w:rPr>
        <w:t>¿Con qué frecuencia adquiere libros nuevos, revistas y periódicos para su</w:t>
      </w:r>
      <w:r>
        <w:rPr>
          <w:b/>
          <w:spacing w:val="-18"/>
          <w:sz w:val="20"/>
        </w:rPr>
        <w:t> </w:t>
      </w:r>
      <w:r>
        <w:rPr>
          <w:b/>
          <w:sz w:val="20"/>
        </w:rPr>
        <w:t>hogar?</w:t>
      </w:r>
    </w:p>
    <w:p>
      <w:pPr>
        <w:pStyle w:val="ListParagraph"/>
        <w:numPr>
          <w:ilvl w:val="0"/>
          <w:numId w:val="24"/>
        </w:numPr>
        <w:tabs>
          <w:tab w:pos="1277" w:val="left" w:leader="none"/>
        </w:tabs>
        <w:spacing w:line="240" w:lineRule="auto" w:before="119" w:after="0"/>
        <w:ind w:left="1276" w:right="0" w:hanging="237"/>
        <w:jc w:val="left"/>
        <w:rPr>
          <w:sz w:val="20"/>
        </w:rPr>
      </w:pPr>
      <w:r>
        <w:rPr>
          <w:sz w:val="20"/>
        </w:rPr>
        <w:t>Casi nunca (un periódico, una revista o un libro pocas veces al</w:t>
      </w:r>
      <w:r>
        <w:rPr>
          <w:spacing w:val="-8"/>
          <w:sz w:val="20"/>
        </w:rPr>
        <w:t> </w:t>
      </w:r>
      <w:r>
        <w:rPr>
          <w:sz w:val="20"/>
        </w:rPr>
        <w:t>año)</w:t>
      </w:r>
    </w:p>
    <w:p>
      <w:pPr>
        <w:pStyle w:val="ListParagraph"/>
        <w:numPr>
          <w:ilvl w:val="0"/>
          <w:numId w:val="24"/>
        </w:numPr>
        <w:tabs>
          <w:tab w:pos="1277" w:val="left" w:leader="none"/>
        </w:tabs>
        <w:spacing w:line="357" w:lineRule="auto" w:before="114" w:after="0"/>
        <w:ind w:left="1040" w:right="1531" w:firstLine="0"/>
        <w:jc w:val="left"/>
        <w:rPr>
          <w:sz w:val="20"/>
        </w:rPr>
      </w:pPr>
      <w:r>
        <w:rPr>
          <w:sz w:val="20"/>
        </w:rPr>
        <w:t>Con poca frecuencia (la mayoría de libros, revistas y periódicos que leo son prestadas o están</w:t>
      </w:r>
      <w:r>
        <w:rPr>
          <w:spacing w:val="-33"/>
          <w:sz w:val="20"/>
        </w:rPr>
        <w:t> </w:t>
      </w:r>
      <w:r>
        <w:rPr>
          <w:sz w:val="20"/>
        </w:rPr>
        <w:t>en internet)</w:t>
      </w:r>
    </w:p>
    <w:p>
      <w:pPr>
        <w:pStyle w:val="ListParagraph"/>
        <w:numPr>
          <w:ilvl w:val="0"/>
          <w:numId w:val="24"/>
        </w:numPr>
        <w:tabs>
          <w:tab w:pos="1265" w:val="left" w:leader="none"/>
        </w:tabs>
        <w:spacing w:line="240" w:lineRule="auto" w:before="7" w:after="0"/>
        <w:ind w:left="1264" w:right="0" w:hanging="225"/>
        <w:jc w:val="left"/>
        <w:rPr>
          <w:sz w:val="20"/>
        </w:rPr>
      </w:pPr>
      <w:r>
        <w:rPr>
          <w:sz w:val="20"/>
        </w:rPr>
        <w:t>Con frecuencia (compro el periódico con frecuencia y revistas de vez en</w:t>
      </w:r>
      <w:r>
        <w:rPr>
          <w:spacing w:val="-5"/>
          <w:sz w:val="20"/>
        </w:rPr>
        <w:t> </w:t>
      </w:r>
      <w:r>
        <w:rPr>
          <w:sz w:val="20"/>
        </w:rPr>
        <w:t>cuando)</w:t>
      </w:r>
    </w:p>
    <w:p>
      <w:pPr>
        <w:pStyle w:val="ListParagraph"/>
        <w:numPr>
          <w:ilvl w:val="0"/>
          <w:numId w:val="24"/>
        </w:numPr>
        <w:tabs>
          <w:tab w:pos="1277" w:val="left" w:leader="none"/>
        </w:tabs>
        <w:spacing w:line="240" w:lineRule="auto" w:before="113" w:after="0"/>
        <w:ind w:left="1276" w:right="0" w:hanging="237"/>
        <w:jc w:val="left"/>
        <w:rPr>
          <w:sz w:val="20"/>
        </w:rPr>
      </w:pPr>
      <w:r>
        <w:rPr>
          <w:sz w:val="20"/>
        </w:rPr>
        <w:t>Con mucha frecuencia (recibo el periódico diariamente y compro revistas o libros</w:t>
      </w:r>
      <w:r>
        <w:rPr>
          <w:spacing w:val="-14"/>
          <w:sz w:val="20"/>
        </w:rPr>
        <w:t> </w:t>
      </w:r>
      <w:r>
        <w:rPr>
          <w:sz w:val="20"/>
        </w:rPr>
        <w:t>semanalmente)</w:t>
      </w:r>
    </w:p>
    <w:p>
      <w:pPr>
        <w:pStyle w:val="BodyText"/>
        <w:rPr>
          <w:sz w:val="22"/>
        </w:rPr>
      </w:pPr>
    </w:p>
    <w:p>
      <w:pPr>
        <w:pStyle w:val="BodyText"/>
        <w:spacing w:before="6"/>
        <w:rPr>
          <w:sz w:val="17"/>
        </w:rPr>
      </w:pPr>
    </w:p>
    <w:p>
      <w:pPr>
        <w:pStyle w:val="ListParagraph"/>
        <w:numPr>
          <w:ilvl w:val="1"/>
          <w:numId w:val="9"/>
        </w:numPr>
        <w:tabs>
          <w:tab w:pos="1389" w:val="left" w:leader="none"/>
        </w:tabs>
        <w:spacing w:line="240" w:lineRule="auto" w:before="1" w:after="0"/>
        <w:ind w:left="1388" w:right="0" w:hanging="349"/>
        <w:jc w:val="left"/>
        <w:rPr>
          <w:sz w:val="20"/>
        </w:rPr>
      </w:pPr>
      <w:r>
        <w:rPr>
          <w:b/>
          <w:sz w:val="20"/>
        </w:rPr>
        <w:t>¿Cuánto del papel y el plástico que usan en la casa, se separa para ser</w:t>
      </w:r>
      <w:r>
        <w:rPr>
          <w:b/>
          <w:spacing w:val="-27"/>
          <w:sz w:val="20"/>
        </w:rPr>
        <w:t> </w:t>
      </w:r>
      <w:r>
        <w:rPr>
          <w:b/>
          <w:sz w:val="20"/>
        </w:rPr>
        <w:t>reciclado</w:t>
      </w:r>
      <w:r>
        <w:rPr>
          <w:sz w:val="20"/>
        </w:rPr>
        <w:t>?</w:t>
      </w:r>
    </w:p>
    <w:p>
      <w:pPr>
        <w:pStyle w:val="ListParagraph"/>
        <w:numPr>
          <w:ilvl w:val="0"/>
          <w:numId w:val="25"/>
        </w:numPr>
        <w:tabs>
          <w:tab w:pos="1277" w:val="left" w:leader="none"/>
        </w:tabs>
        <w:spacing w:line="360" w:lineRule="auto" w:before="122" w:after="0"/>
        <w:ind w:left="1040" w:right="1899" w:firstLine="0"/>
        <w:jc w:val="left"/>
        <w:rPr>
          <w:sz w:val="20"/>
        </w:rPr>
      </w:pPr>
      <w:r>
        <w:rPr>
          <w:sz w:val="20"/>
        </w:rPr>
        <w:t>Todo el papel y plástico. Cada vez que puedo compro materiales hechos con papel y</w:t>
      </w:r>
      <w:r>
        <w:rPr>
          <w:spacing w:val="-39"/>
          <w:sz w:val="20"/>
        </w:rPr>
        <w:t> </w:t>
      </w:r>
      <w:r>
        <w:rPr>
          <w:sz w:val="20"/>
        </w:rPr>
        <w:t>plástico reciclado.</w:t>
      </w:r>
    </w:p>
    <w:p>
      <w:pPr>
        <w:pStyle w:val="ListParagraph"/>
        <w:numPr>
          <w:ilvl w:val="0"/>
          <w:numId w:val="25"/>
        </w:numPr>
        <w:tabs>
          <w:tab w:pos="1277" w:val="left" w:leader="none"/>
        </w:tabs>
        <w:spacing w:line="360" w:lineRule="auto" w:before="0" w:after="0"/>
        <w:ind w:left="1040" w:right="2468" w:firstLine="0"/>
        <w:jc w:val="left"/>
        <w:rPr>
          <w:sz w:val="20"/>
        </w:rPr>
      </w:pPr>
      <w:r>
        <w:rPr>
          <w:sz w:val="20"/>
        </w:rPr>
        <w:t>La mayoría del papel y plástico (cartón, hojas, periódicos, bolsas y algunos</w:t>
      </w:r>
      <w:r>
        <w:rPr>
          <w:spacing w:val="-41"/>
          <w:sz w:val="20"/>
        </w:rPr>
        <w:t> </w:t>
      </w:r>
      <w:r>
        <w:rPr>
          <w:sz w:val="20"/>
        </w:rPr>
        <w:t>empaques) c- Poco papel y plástico, sólo algunos periódicos, hojas impresas y</w:t>
      </w:r>
      <w:r>
        <w:rPr>
          <w:spacing w:val="-15"/>
          <w:sz w:val="20"/>
        </w:rPr>
        <w:t> </w:t>
      </w:r>
      <w:r>
        <w:rPr>
          <w:sz w:val="20"/>
        </w:rPr>
        <w:t>bolsas</w:t>
      </w:r>
    </w:p>
    <w:p>
      <w:pPr>
        <w:spacing w:before="0"/>
        <w:ind w:left="1040" w:right="0" w:firstLine="0"/>
        <w:jc w:val="left"/>
        <w:rPr>
          <w:sz w:val="20"/>
        </w:rPr>
      </w:pPr>
      <w:r>
        <w:rPr>
          <w:sz w:val="20"/>
        </w:rPr>
        <w:t>d- No separo papel ni plástico</w:t>
      </w:r>
    </w:p>
    <w:p>
      <w:pPr>
        <w:pStyle w:val="BodyText"/>
        <w:rPr>
          <w:sz w:val="22"/>
        </w:rPr>
      </w:pPr>
    </w:p>
    <w:p>
      <w:pPr>
        <w:pStyle w:val="BodyText"/>
        <w:spacing w:before="6"/>
        <w:rPr>
          <w:sz w:val="17"/>
        </w:rPr>
      </w:pPr>
    </w:p>
    <w:p>
      <w:pPr>
        <w:pStyle w:val="ListParagraph"/>
        <w:numPr>
          <w:ilvl w:val="1"/>
          <w:numId w:val="9"/>
        </w:numPr>
        <w:tabs>
          <w:tab w:pos="1389" w:val="left" w:leader="none"/>
        </w:tabs>
        <w:spacing w:line="240" w:lineRule="auto" w:before="0" w:after="0"/>
        <w:ind w:left="1388" w:right="0" w:hanging="349"/>
        <w:jc w:val="left"/>
        <w:rPr>
          <w:b/>
          <w:sz w:val="20"/>
        </w:rPr>
      </w:pPr>
      <w:r>
        <w:rPr>
          <w:b/>
          <w:sz w:val="20"/>
        </w:rPr>
        <w:t>¿Con qué frecuencia compran</w:t>
      </w:r>
      <w:r>
        <w:rPr>
          <w:b/>
          <w:spacing w:val="-6"/>
          <w:sz w:val="20"/>
        </w:rPr>
        <w:t> </w:t>
      </w:r>
      <w:r>
        <w:rPr>
          <w:b/>
          <w:sz w:val="20"/>
        </w:rPr>
        <w:t>ropa?</w:t>
      </w:r>
    </w:p>
    <w:p>
      <w:pPr>
        <w:spacing w:line="362" w:lineRule="auto" w:before="118"/>
        <w:ind w:left="1040" w:right="8919" w:firstLine="0"/>
        <w:jc w:val="left"/>
        <w:rPr>
          <w:sz w:val="20"/>
        </w:rPr>
      </w:pPr>
      <w:r>
        <w:rPr>
          <w:sz w:val="20"/>
        </w:rPr>
        <w:t>a- Cada semana b- Cada mes</w:t>
      </w:r>
    </w:p>
    <w:p>
      <w:pPr>
        <w:pStyle w:val="ListParagraph"/>
        <w:numPr>
          <w:ilvl w:val="0"/>
          <w:numId w:val="26"/>
        </w:numPr>
        <w:tabs>
          <w:tab w:pos="1265" w:val="left" w:leader="none"/>
        </w:tabs>
        <w:spacing w:line="228" w:lineRule="exact" w:before="0" w:after="0"/>
        <w:ind w:left="1264" w:right="0" w:hanging="225"/>
        <w:jc w:val="left"/>
        <w:rPr>
          <w:sz w:val="20"/>
        </w:rPr>
      </w:pPr>
      <w:r>
        <w:rPr>
          <w:sz w:val="20"/>
        </w:rPr>
        <w:t>Cada</w:t>
      </w:r>
      <w:r>
        <w:rPr>
          <w:spacing w:val="-1"/>
          <w:sz w:val="20"/>
        </w:rPr>
        <w:t> </w:t>
      </w:r>
      <w:r>
        <w:rPr>
          <w:sz w:val="20"/>
        </w:rPr>
        <w:t>año</w:t>
      </w:r>
    </w:p>
    <w:p>
      <w:pPr>
        <w:pStyle w:val="ListParagraph"/>
        <w:numPr>
          <w:ilvl w:val="0"/>
          <w:numId w:val="26"/>
        </w:numPr>
        <w:tabs>
          <w:tab w:pos="1277" w:val="left" w:leader="none"/>
        </w:tabs>
        <w:spacing w:line="240" w:lineRule="auto" w:before="114" w:after="0"/>
        <w:ind w:left="1276" w:right="0" w:hanging="237"/>
        <w:jc w:val="left"/>
        <w:rPr>
          <w:sz w:val="20"/>
        </w:rPr>
      </w:pPr>
      <w:r>
        <w:rPr>
          <w:sz w:val="20"/>
        </w:rPr>
        <w:t>Cada dos</w:t>
      </w:r>
      <w:r>
        <w:rPr>
          <w:spacing w:val="-1"/>
          <w:sz w:val="20"/>
        </w:rPr>
        <w:t> </w:t>
      </w:r>
      <w:r>
        <w:rPr>
          <w:sz w:val="20"/>
        </w:rPr>
        <w:t>años</w:t>
      </w:r>
    </w:p>
    <w:p>
      <w:pPr>
        <w:pStyle w:val="BodyText"/>
        <w:rPr>
          <w:sz w:val="22"/>
        </w:rPr>
      </w:pPr>
    </w:p>
    <w:p>
      <w:pPr>
        <w:pStyle w:val="BodyText"/>
        <w:spacing w:before="9"/>
        <w:rPr>
          <w:sz w:val="17"/>
        </w:rPr>
      </w:pPr>
    </w:p>
    <w:p>
      <w:pPr>
        <w:spacing w:before="1"/>
        <w:ind w:left="1040" w:right="0" w:firstLine="0"/>
        <w:jc w:val="left"/>
        <w:rPr>
          <w:b/>
          <w:sz w:val="20"/>
        </w:rPr>
      </w:pPr>
      <w:r>
        <w:rPr>
          <w:b/>
          <w:sz w:val="20"/>
        </w:rPr>
        <w:t>C- Vivienda</w:t>
      </w:r>
    </w:p>
    <w:p>
      <w:pPr>
        <w:pStyle w:val="BodyText"/>
        <w:rPr>
          <w:b/>
          <w:sz w:val="22"/>
        </w:rPr>
      </w:pPr>
    </w:p>
    <w:p>
      <w:pPr>
        <w:pStyle w:val="BodyText"/>
        <w:spacing w:before="9"/>
        <w:rPr>
          <w:b/>
          <w:sz w:val="17"/>
        </w:rPr>
      </w:pPr>
    </w:p>
    <w:p>
      <w:pPr>
        <w:pStyle w:val="ListParagraph"/>
        <w:numPr>
          <w:ilvl w:val="1"/>
          <w:numId w:val="9"/>
        </w:numPr>
        <w:tabs>
          <w:tab w:pos="1389" w:val="left" w:leader="none"/>
        </w:tabs>
        <w:spacing w:line="240" w:lineRule="auto" w:before="0" w:after="0"/>
        <w:ind w:left="1388" w:right="0" w:hanging="349"/>
        <w:jc w:val="left"/>
        <w:rPr>
          <w:b/>
          <w:sz w:val="20"/>
        </w:rPr>
      </w:pPr>
      <w:r>
        <w:rPr>
          <w:b/>
          <w:sz w:val="20"/>
        </w:rPr>
        <w:t>¿Con qué tipo de materiales está construida su</w:t>
      </w:r>
      <w:r>
        <w:rPr>
          <w:b/>
          <w:spacing w:val="-13"/>
          <w:sz w:val="20"/>
        </w:rPr>
        <w:t> </w:t>
      </w:r>
      <w:r>
        <w:rPr>
          <w:b/>
          <w:sz w:val="20"/>
        </w:rPr>
        <w:t>vivienda?</w:t>
      </w:r>
    </w:p>
    <w:p>
      <w:pPr>
        <w:pStyle w:val="ListParagraph"/>
        <w:numPr>
          <w:ilvl w:val="0"/>
          <w:numId w:val="27"/>
        </w:numPr>
        <w:tabs>
          <w:tab w:pos="1277" w:val="left" w:leader="none"/>
        </w:tabs>
        <w:spacing w:line="240" w:lineRule="auto" w:before="118" w:after="0"/>
        <w:ind w:left="1276" w:right="0" w:hanging="237"/>
        <w:jc w:val="left"/>
        <w:rPr>
          <w:sz w:val="20"/>
        </w:rPr>
      </w:pPr>
      <w:r>
        <w:rPr>
          <w:sz w:val="20"/>
        </w:rPr>
        <w:t>Adobe</w:t>
      </w:r>
    </w:p>
    <w:p>
      <w:pPr>
        <w:pStyle w:val="ListParagraph"/>
        <w:numPr>
          <w:ilvl w:val="0"/>
          <w:numId w:val="27"/>
        </w:numPr>
        <w:tabs>
          <w:tab w:pos="1277" w:val="left" w:leader="none"/>
        </w:tabs>
        <w:spacing w:line="360" w:lineRule="auto" w:before="118" w:after="0"/>
        <w:ind w:left="1040" w:right="8444" w:firstLine="0"/>
        <w:jc w:val="left"/>
        <w:rPr>
          <w:sz w:val="20"/>
        </w:rPr>
      </w:pPr>
      <w:r>
        <w:rPr>
          <w:sz w:val="20"/>
        </w:rPr>
        <w:t>Ladrillos y</w:t>
      </w:r>
      <w:r>
        <w:rPr>
          <w:spacing w:val="-12"/>
          <w:sz w:val="20"/>
        </w:rPr>
        <w:t> </w:t>
      </w:r>
      <w:r>
        <w:rPr>
          <w:sz w:val="20"/>
        </w:rPr>
        <w:t>cemento c- Bahareque</w:t>
      </w:r>
    </w:p>
    <w:p>
      <w:pPr>
        <w:pStyle w:val="ListParagraph"/>
        <w:numPr>
          <w:ilvl w:val="0"/>
          <w:numId w:val="28"/>
        </w:numPr>
        <w:tabs>
          <w:tab w:pos="1277" w:val="left" w:leader="none"/>
        </w:tabs>
        <w:spacing w:line="229" w:lineRule="exact" w:before="0" w:after="0"/>
        <w:ind w:left="1276" w:right="0" w:hanging="237"/>
        <w:jc w:val="left"/>
        <w:rPr>
          <w:sz w:val="20"/>
        </w:rPr>
      </w:pPr>
      <w:r>
        <w:rPr>
          <w:sz w:val="20"/>
        </w:rPr>
        <w:t>Madera</w:t>
      </w:r>
    </w:p>
    <w:p>
      <w:pPr>
        <w:pStyle w:val="ListParagraph"/>
        <w:numPr>
          <w:ilvl w:val="0"/>
          <w:numId w:val="28"/>
        </w:numPr>
        <w:tabs>
          <w:tab w:pos="1277" w:val="left" w:leader="none"/>
        </w:tabs>
        <w:spacing w:line="240" w:lineRule="auto" w:before="114" w:after="0"/>
        <w:ind w:left="1276" w:right="0" w:hanging="237"/>
        <w:jc w:val="left"/>
        <w:rPr>
          <w:sz w:val="20"/>
        </w:rPr>
      </w:pPr>
      <w:r>
        <w:rPr>
          <w:sz w:val="20"/>
        </w:rPr>
        <w:t>Otro material (como block,</w:t>
      </w:r>
      <w:r>
        <w:rPr>
          <w:spacing w:val="-6"/>
          <w:sz w:val="20"/>
        </w:rPr>
        <w:t> </w:t>
      </w:r>
      <w:r>
        <w:rPr>
          <w:sz w:val="20"/>
        </w:rPr>
        <w:t>etc.)</w:t>
      </w:r>
    </w:p>
    <w:p>
      <w:pPr>
        <w:spacing w:after="0" w:line="240" w:lineRule="auto"/>
        <w:jc w:val="left"/>
        <w:rPr>
          <w:sz w:val="20"/>
        </w:rPr>
        <w:sectPr>
          <w:pgSz w:w="12240" w:h="15840"/>
          <w:pgMar w:header="0" w:footer="982" w:top="1360" w:bottom="1260" w:left="400" w:right="400"/>
        </w:sectPr>
      </w:pPr>
    </w:p>
    <w:p>
      <w:pPr>
        <w:pStyle w:val="BodyText"/>
        <w:spacing w:before="10"/>
        <w:rPr>
          <w:sz w:val="15"/>
        </w:rPr>
      </w:pPr>
    </w:p>
    <w:p>
      <w:pPr>
        <w:pStyle w:val="ListParagraph"/>
        <w:numPr>
          <w:ilvl w:val="1"/>
          <w:numId w:val="9"/>
        </w:numPr>
        <w:tabs>
          <w:tab w:pos="1389" w:val="left" w:leader="none"/>
        </w:tabs>
        <w:spacing w:line="240" w:lineRule="auto" w:before="94" w:after="0"/>
        <w:ind w:left="1388" w:right="0" w:hanging="349"/>
        <w:jc w:val="left"/>
        <w:rPr>
          <w:b/>
          <w:sz w:val="20"/>
        </w:rPr>
      </w:pPr>
      <w:r>
        <w:rPr>
          <w:b/>
          <w:sz w:val="20"/>
        </w:rPr>
        <w:t>¿Cuál opción describe mejor su</w:t>
      </w:r>
      <w:r>
        <w:rPr>
          <w:b/>
          <w:spacing w:val="-13"/>
          <w:sz w:val="20"/>
        </w:rPr>
        <w:t> </w:t>
      </w:r>
      <w:r>
        <w:rPr>
          <w:b/>
          <w:sz w:val="20"/>
        </w:rPr>
        <w:t>vivienda?</w:t>
      </w:r>
    </w:p>
    <w:p>
      <w:pPr>
        <w:pStyle w:val="ListParagraph"/>
        <w:numPr>
          <w:ilvl w:val="0"/>
          <w:numId w:val="29"/>
        </w:numPr>
        <w:tabs>
          <w:tab w:pos="1277" w:val="left" w:leader="none"/>
        </w:tabs>
        <w:spacing w:line="240" w:lineRule="auto" w:before="118" w:after="0"/>
        <w:ind w:left="1276" w:right="0" w:hanging="237"/>
        <w:jc w:val="left"/>
        <w:rPr>
          <w:sz w:val="20"/>
        </w:rPr>
      </w:pPr>
      <w:r>
        <w:rPr>
          <w:sz w:val="20"/>
        </w:rPr>
        <w:t>Casa</w:t>
      </w:r>
    </w:p>
    <w:p>
      <w:pPr>
        <w:pStyle w:val="ListParagraph"/>
        <w:numPr>
          <w:ilvl w:val="0"/>
          <w:numId w:val="29"/>
        </w:numPr>
        <w:tabs>
          <w:tab w:pos="1277" w:val="left" w:leader="none"/>
        </w:tabs>
        <w:spacing w:line="240" w:lineRule="auto" w:before="118" w:after="0"/>
        <w:ind w:left="1276" w:right="0" w:hanging="237"/>
        <w:jc w:val="left"/>
        <w:rPr>
          <w:sz w:val="20"/>
        </w:rPr>
      </w:pPr>
      <w:r>
        <w:rPr>
          <w:sz w:val="20"/>
        </w:rPr>
        <w:t>Apartamento</w:t>
      </w:r>
    </w:p>
    <w:p>
      <w:pPr>
        <w:pStyle w:val="ListParagraph"/>
        <w:numPr>
          <w:ilvl w:val="0"/>
          <w:numId w:val="29"/>
        </w:numPr>
        <w:tabs>
          <w:tab w:pos="1265" w:val="left" w:leader="none"/>
        </w:tabs>
        <w:spacing w:line="360" w:lineRule="auto" w:before="114" w:after="0"/>
        <w:ind w:left="1040" w:right="7362" w:firstLine="0"/>
        <w:jc w:val="left"/>
        <w:rPr>
          <w:sz w:val="20"/>
        </w:rPr>
      </w:pPr>
      <w:r>
        <w:rPr>
          <w:sz w:val="20"/>
        </w:rPr>
        <w:t>Apartamento pequeño</w:t>
      </w:r>
      <w:r>
        <w:rPr>
          <w:spacing w:val="-12"/>
          <w:sz w:val="20"/>
        </w:rPr>
        <w:t> </w:t>
      </w:r>
      <w:r>
        <w:rPr>
          <w:sz w:val="20"/>
        </w:rPr>
        <w:t>(estudio) d- Cuarto de alquiler en</w:t>
      </w:r>
      <w:r>
        <w:rPr>
          <w:spacing w:val="-4"/>
          <w:sz w:val="20"/>
        </w:rPr>
        <w:t> </w:t>
      </w:r>
      <w:r>
        <w:rPr>
          <w:sz w:val="20"/>
        </w:rPr>
        <w:t>casa</w:t>
      </w:r>
    </w:p>
    <w:p>
      <w:pPr>
        <w:pStyle w:val="ListParagraph"/>
        <w:numPr>
          <w:ilvl w:val="0"/>
          <w:numId w:val="30"/>
        </w:numPr>
        <w:tabs>
          <w:tab w:pos="1277" w:val="left" w:leader="none"/>
        </w:tabs>
        <w:spacing w:line="229" w:lineRule="exact" w:before="0" w:after="0"/>
        <w:ind w:left="1276" w:right="0" w:hanging="237"/>
        <w:jc w:val="left"/>
        <w:rPr>
          <w:sz w:val="20"/>
        </w:rPr>
      </w:pPr>
      <w:r>
        <w:rPr>
          <w:sz w:val="20"/>
        </w:rPr>
        <w:t>Finca</w:t>
      </w:r>
    </w:p>
    <w:p>
      <w:pPr>
        <w:pStyle w:val="ListParagraph"/>
        <w:numPr>
          <w:ilvl w:val="0"/>
          <w:numId w:val="30"/>
        </w:numPr>
        <w:tabs>
          <w:tab w:pos="1221" w:val="left" w:leader="none"/>
        </w:tabs>
        <w:spacing w:line="240" w:lineRule="auto" w:before="118" w:after="0"/>
        <w:ind w:left="1220" w:right="0" w:hanging="181"/>
        <w:jc w:val="left"/>
        <w:rPr>
          <w:sz w:val="20"/>
        </w:rPr>
      </w:pPr>
      <w:r>
        <w:rPr>
          <w:sz w:val="20"/>
        </w:rPr>
        <w:t>Otro tipo de</w:t>
      </w:r>
      <w:r>
        <w:rPr>
          <w:spacing w:val="-4"/>
          <w:sz w:val="20"/>
        </w:rPr>
        <w:t> </w:t>
      </w:r>
      <w:r>
        <w:rPr>
          <w:sz w:val="20"/>
        </w:rPr>
        <w:t>vivienda</w:t>
      </w:r>
    </w:p>
    <w:p>
      <w:pPr>
        <w:pStyle w:val="BodyText"/>
        <w:rPr>
          <w:sz w:val="22"/>
        </w:rPr>
      </w:pPr>
    </w:p>
    <w:p>
      <w:pPr>
        <w:pStyle w:val="BodyText"/>
        <w:spacing w:before="5"/>
        <w:rPr>
          <w:sz w:val="17"/>
        </w:rPr>
      </w:pPr>
    </w:p>
    <w:p>
      <w:pPr>
        <w:pStyle w:val="ListParagraph"/>
        <w:numPr>
          <w:ilvl w:val="1"/>
          <w:numId w:val="9"/>
        </w:numPr>
        <w:tabs>
          <w:tab w:pos="1389" w:val="left" w:leader="none"/>
        </w:tabs>
        <w:spacing w:line="240" w:lineRule="auto" w:before="1" w:after="0"/>
        <w:ind w:left="1388" w:right="0" w:hanging="349"/>
        <w:jc w:val="left"/>
        <w:rPr>
          <w:b/>
          <w:sz w:val="20"/>
        </w:rPr>
      </w:pPr>
      <w:r>
        <w:rPr>
          <w:b/>
          <w:sz w:val="20"/>
        </w:rPr>
        <w:t>¿Cuántas personas viven en su</w:t>
      </w:r>
      <w:r>
        <w:rPr>
          <w:b/>
          <w:spacing w:val="-13"/>
          <w:sz w:val="20"/>
        </w:rPr>
        <w:t> </w:t>
      </w:r>
      <w:r>
        <w:rPr>
          <w:b/>
          <w:sz w:val="20"/>
        </w:rPr>
        <w:t>casa?</w:t>
      </w:r>
    </w:p>
    <w:p>
      <w:pPr>
        <w:pStyle w:val="BodyText"/>
        <w:rPr>
          <w:b/>
          <w:sz w:val="22"/>
        </w:rPr>
      </w:pPr>
    </w:p>
    <w:p>
      <w:pPr>
        <w:pStyle w:val="BodyText"/>
        <w:spacing w:before="2"/>
        <w:rPr>
          <w:b/>
          <w:sz w:val="18"/>
        </w:rPr>
      </w:pPr>
    </w:p>
    <w:p>
      <w:pPr>
        <w:pStyle w:val="ListParagraph"/>
        <w:numPr>
          <w:ilvl w:val="1"/>
          <w:numId w:val="9"/>
        </w:numPr>
        <w:tabs>
          <w:tab w:pos="1389" w:val="left" w:leader="none"/>
        </w:tabs>
        <w:spacing w:line="240" w:lineRule="auto" w:before="0" w:after="0"/>
        <w:ind w:left="1388" w:right="0" w:hanging="349"/>
        <w:jc w:val="left"/>
        <w:rPr>
          <w:b/>
          <w:sz w:val="20"/>
        </w:rPr>
      </w:pPr>
      <w:r>
        <w:rPr>
          <w:b/>
          <w:sz w:val="20"/>
        </w:rPr>
        <w:t>¿Cuál es el tamaño de su</w:t>
      </w:r>
      <w:r>
        <w:rPr>
          <w:b/>
          <w:spacing w:val="-7"/>
          <w:sz w:val="20"/>
        </w:rPr>
        <w:t> </w:t>
      </w:r>
      <w:r>
        <w:rPr>
          <w:b/>
          <w:sz w:val="20"/>
        </w:rPr>
        <w:t>vivienda?</w:t>
      </w:r>
    </w:p>
    <w:p>
      <w:pPr>
        <w:spacing w:line="360" w:lineRule="auto" w:before="118"/>
        <w:ind w:left="1040" w:right="8171" w:firstLine="0"/>
        <w:jc w:val="left"/>
        <w:rPr>
          <w:sz w:val="20"/>
        </w:rPr>
      </w:pPr>
      <w:r>
        <w:rPr>
          <w:sz w:val="20"/>
        </w:rPr>
        <w:t>a- 30-50 mts cuadrados b- 50-100 mts cuadrados</w:t>
      </w:r>
    </w:p>
    <w:p>
      <w:pPr>
        <w:spacing w:line="362" w:lineRule="auto" w:before="0"/>
        <w:ind w:left="1040" w:right="8070" w:firstLine="0"/>
        <w:jc w:val="left"/>
        <w:rPr>
          <w:sz w:val="20"/>
        </w:rPr>
      </w:pPr>
      <w:r>
        <w:rPr>
          <w:sz w:val="20"/>
        </w:rPr>
        <w:t>c- 100-200 mts cuadrados d-200-300 mts cuadrados</w:t>
      </w:r>
    </w:p>
    <w:p>
      <w:pPr>
        <w:spacing w:line="360" w:lineRule="auto" w:before="0"/>
        <w:ind w:left="1040" w:right="7484" w:firstLine="0"/>
        <w:jc w:val="both"/>
        <w:rPr>
          <w:sz w:val="20"/>
        </w:rPr>
      </w:pPr>
      <w:r>
        <w:rPr>
          <w:sz w:val="20"/>
        </w:rPr>
        <w:t>e- Entre 300-465 mts cuadrados f- Entre 465-930 mts. Cuadrados g- Más de 930 mts. cuadrados</w:t>
      </w:r>
    </w:p>
    <w:p>
      <w:pPr>
        <w:pStyle w:val="BodyText"/>
        <w:spacing w:before="4"/>
        <w:rPr>
          <w:sz w:val="29"/>
        </w:rPr>
      </w:pPr>
    </w:p>
    <w:p>
      <w:pPr>
        <w:pStyle w:val="ListParagraph"/>
        <w:numPr>
          <w:ilvl w:val="1"/>
          <w:numId w:val="9"/>
        </w:numPr>
        <w:tabs>
          <w:tab w:pos="1389" w:val="left" w:leader="none"/>
        </w:tabs>
        <w:spacing w:line="240" w:lineRule="auto" w:before="0" w:after="0"/>
        <w:ind w:left="1388" w:right="0" w:hanging="349"/>
        <w:jc w:val="left"/>
        <w:rPr>
          <w:b/>
          <w:sz w:val="20"/>
        </w:rPr>
      </w:pPr>
      <w:r>
        <w:rPr>
          <w:b/>
          <w:sz w:val="20"/>
        </w:rPr>
        <w:t>¿Qué se acerca más a sus hábitos de remodelación y compras para la</w:t>
      </w:r>
      <w:r>
        <w:rPr>
          <w:b/>
          <w:spacing w:val="-17"/>
          <w:sz w:val="20"/>
        </w:rPr>
        <w:t> </w:t>
      </w:r>
      <w:r>
        <w:rPr>
          <w:b/>
          <w:sz w:val="20"/>
        </w:rPr>
        <w:t>casa?</w:t>
      </w:r>
    </w:p>
    <w:p>
      <w:pPr>
        <w:pStyle w:val="ListParagraph"/>
        <w:numPr>
          <w:ilvl w:val="0"/>
          <w:numId w:val="31"/>
        </w:numPr>
        <w:tabs>
          <w:tab w:pos="1277" w:val="left" w:leader="none"/>
        </w:tabs>
        <w:spacing w:line="240" w:lineRule="auto" w:before="118" w:after="0"/>
        <w:ind w:left="1276" w:right="0" w:hanging="237"/>
        <w:jc w:val="left"/>
        <w:rPr>
          <w:sz w:val="20"/>
        </w:rPr>
      </w:pPr>
      <w:r>
        <w:rPr>
          <w:sz w:val="20"/>
        </w:rPr>
        <w:t>No acostumbro comprar cosas nuevas cada año</w:t>
      </w:r>
    </w:p>
    <w:p>
      <w:pPr>
        <w:pStyle w:val="ListParagraph"/>
        <w:numPr>
          <w:ilvl w:val="0"/>
          <w:numId w:val="31"/>
        </w:numPr>
        <w:tabs>
          <w:tab w:pos="1277" w:val="left" w:leader="none"/>
        </w:tabs>
        <w:spacing w:line="362" w:lineRule="auto" w:before="114" w:after="0"/>
        <w:ind w:left="1040" w:right="3022" w:firstLine="0"/>
        <w:jc w:val="left"/>
        <w:rPr>
          <w:sz w:val="20"/>
        </w:rPr>
      </w:pPr>
      <w:r>
        <w:rPr>
          <w:sz w:val="20"/>
        </w:rPr>
        <w:t>Cambio solamente los muebles decorativos (tapetes, lámparas, mesitas</w:t>
      </w:r>
      <w:r>
        <w:rPr>
          <w:spacing w:val="-33"/>
          <w:sz w:val="20"/>
        </w:rPr>
        <w:t> </w:t>
      </w:r>
      <w:r>
        <w:rPr>
          <w:sz w:val="20"/>
        </w:rPr>
        <w:t>repisas) c- Compro algún sillón nuevo para cambiar la</w:t>
      </w:r>
      <w:r>
        <w:rPr>
          <w:spacing w:val="-17"/>
          <w:sz w:val="20"/>
        </w:rPr>
        <w:t> </w:t>
      </w:r>
      <w:r>
        <w:rPr>
          <w:sz w:val="20"/>
        </w:rPr>
        <w:t>sala</w:t>
      </w:r>
    </w:p>
    <w:p>
      <w:pPr>
        <w:pStyle w:val="ListParagraph"/>
        <w:numPr>
          <w:ilvl w:val="0"/>
          <w:numId w:val="32"/>
        </w:numPr>
        <w:tabs>
          <w:tab w:pos="1277" w:val="left" w:leader="none"/>
        </w:tabs>
        <w:spacing w:line="228" w:lineRule="exact" w:before="0" w:after="0"/>
        <w:ind w:left="1276" w:right="0" w:hanging="237"/>
        <w:jc w:val="left"/>
        <w:rPr>
          <w:sz w:val="20"/>
        </w:rPr>
      </w:pPr>
      <w:r>
        <w:rPr>
          <w:sz w:val="20"/>
        </w:rPr>
        <w:t>Me gusta seguir las últimas tendencias de la moda, cambio todo cada</w:t>
      </w:r>
      <w:r>
        <w:rPr>
          <w:spacing w:val="-9"/>
          <w:sz w:val="20"/>
        </w:rPr>
        <w:t> </w:t>
      </w:r>
      <w:r>
        <w:rPr>
          <w:sz w:val="20"/>
        </w:rPr>
        <w:t>año</w:t>
      </w:r>
    </w:p>
    <w:p>
      <w:pPr>
        <w:pStyle w:val="BodyText"/>
        <w:rPr>
          <w:sz w:val="22"/>
        </w:rPr>
      </w:pPr>
    </w:p>
    <w:p>
      <w:pPr>
        <w:pStyle w:val="BodyText"/>
        <w:spacing w:before="5"/>
        <w:rPr>
          <w:sz w:val="17"/>
        </w:rPr>
      </w:pPr>
    </w:p>
    <w:p>
      <w:pPr>
        <w:pStyle w:val="ListParagraph"/>
        <w:numPr>
          <w:ilvl w:val="1"/>
          <w:numId w:val="9"/>
        </w:numPr>
        <w:tabs>
          <w:tab w:pos="1389" w:val="left" w:leader="none"/>
        </w:tabs>
        <w:spacing w:line="240" w:lineRule="auto" w:before="1" w:after="0"/>
        <w:ind w:left="1388" w:right="0" w:hanging="349"/>
        <w:jc w:val="left"/>
        <w:rPr>
          <w:b/>
          <w:sz w:val="20"/>
        </w:rPr>
      </w:pPr>
      <w:r>
        <w:rPr>
          <w:b/>
          <w:sz w:val="20"/>
        </w:rPr>
        <w:t>¿Cuánto paga al mes por el consumo de electricidad en su</w:t>
      </w:r>
      <w:r>
        <w:rPr>
          <w:b/>
          <w:spacing w:val="-9"/>
          <w:sz w:val="20"/>
        </w:rPr>
        <w:t> </w:t>
      </w:r>
      <w:r>
        <w:rPr>
          <w:b/>
          <w:sz w:val="20"/>
        </w:rPr>
        <w:t>casa?</w:t>
      </w:r>
    </w:p>
    <w:p>
      <w:pPr>
        <w:spacing w:line="360" w:lineRule="auto" w:before="121"/>
        <w:ind w:left="1040" w:right="8260" w:firstLine="0"/>
        <w:jc w:val="left"/>
        <w:rPr>
          <w:sz w:val="20"/>
        </w:rPr>
      </w:pPr>
      <w:r>
        <w:rPr>
          <w:sz w:val="20"/>
        </w:rPr>
        <w:t>a- de C.2500 a C.7500 b- de C.7500 a C.12500</w:t>
      </w:r>
    </w:p>
    <w:p>
      <w:pPr>
        <w:spacing w:line="360" w:lineRule="auto" w:before="0"/>
        <w:ind w:left="1040" w:right="8148" w:firstLine="0"/>
        <w:jc w:val="left"/>
        <w:rPr>
          <w:sz w:val="20"/>
        </w:rPr>
      </w:pPr>
      <w:r>
        <w:rPr>
          <w:sz w:val="20"/>
        </w:rPr>
        <w:t>c- de C.12500 a C.17500 d- de C.17500 a C.22500</w:t>
      </w:r>
    </w:p>
    <w:p>
      <w:pPr>
        <w:pStyle w:val="ListParagraph"/>
        <w:numPr>
          <w:ilvl w:val="0"/>
          <w:numId w:val="32"/>
        </w:numPr>
        <w:tabs>
          <w:tab w:pos="1277" w:val="left" w:leader="none"/>
        </w:tabs>
        <w:spacing w:line="240" w:lineRule="auto" w:before="1" w:after="0"/>
        <w:ind w:left="1276" w:right="0" w:hanging="237"/>
        <w:jc w:val="left"/>
        <w:rPr>
          <w:sz w:val="20"/>
        </w:rPr>
      </w:pPr>
      <w:r>
        <w:rPr>
          <w:spacing w:val="-3"/>
          <w:sz w:val="20"/>
        </w:rPr>
        <w:t>más </w:t>
      </w:r>
      <w:r>
        <w:rPr>
          <w:sz w:val="20"/>
        </w:rPr>
        <w:t>de</w:t>
      </w:r>
      <w:r>
        <w:rPr>
          <w:spacing w:val="3"/>
          <w:sz w:val="20"/>
        </w:rPr>
        <w:t> </w:t>
      </w:r>
      <w:r>
        <w:rPr>
          <w:sz w:val="20"/>
        </w:rPr>
        <w:t>C.22500</w:t>
      </w:r>
    </w:p>
    <w:p>
      <w:pPr>
        <w:pStyle w:val="BodyText"/>
        <w:rPr>
          <w:sz w:val="22"/>
        </w:rPr>
      </w:pPr>
    </w:p>
    <w:p>
      <w:pPr>
        <w:pStyle w:val="BodyText"/>
        <w:spacing w:before="6"/>
        <w:rPr>
          <w:sz w:val="17"/>
        </w:rPr>
      </w:pPr>
    </w:p>
    <w:p>
      <w:pPr>
        <w:pStyle w:val="ListParagraph"/>
        <w:numPr>
          <w:ilvl w:val="1"/>
          <w:numId w:val="9"/>
        </w:numPr>
        <w:tabs>
          <w:tab w:pos="1389" w:val="left" w:leader="none"/>
        </w:tabs>
        <w:spacing w:line="360" w:lineRule="auto" w:before="0" w:after="0"/>
        <w:ind w:left="1040" w:right="1450" w:firstLine="0"/>
        <w:jc w:val="left"/>
        <w:rPr>
          <w:b/>
          <w:sz w:val="20"/>
        </w:rPr>
      </w:pPr>
      <w:r>
        <w:rPr>
          <w:b/>
          <w:sz w:val="20"/>
        </w:rPr>
        <w:t>¿Usa usted energía del ICE o de la Compañía Nacional de Fuerza y Luz o de alguna fuente alternativa como solar, u</w:t>
      </w:r>
      <w:r>
        <w:rPr>
          <w:b/>
          <w:spacing w:val="-3"/>
          <w:sz w:val="20"/>
        </w:rPr>
        <w:t> </w:t>
      </w:r>
      <w:r>
        <w:rPr>
          <w:b/>
          <w:sz w:val="20"/>
        </w:rPr>
        <w:t>otra?</w:t>
      </w:r>
    </w:p>
    <w:p>
      <w:pPr>
        <w:pStyle w:val="ListParagraph"/>
        <w:numPr>
          <w:ilvl w:val="0"/>
          <w:numId w:val="33"/>
        </w:numPr>
        <w:tabs>
          <w:tab w:pos="1277" w:val="left" w:leader="none"/>
        </w:tabs>
        <w:spacing w:line="240" w:lineRule="auto" w:before="2" w:after="0"/>
        <w:ind w:left="1276" w:right="0" w:hanging="237"/>
        <w:jc w:val="both"/>
        <w:rPr>
          <w:sz w:val="20"/>
        </w:rPr>
      </w:pPr>
      <w:r>
        <w:rPr>
          <w:sz w:val="20"/>
        </w:rPr>
        <w:t>ICE o</w:t>
      </w:r>
      <w:r>
        <w:rPr>
          <w:spacing w:val="-2"/>
          <w:sz w:val="20"/>
        </w:rPr>
        <w:t> </w:t>
      </w:r>
      <w:r>
        <w:rPr>
          <w:sz w:val="20"/>
        </w:rPr>
        <w:t>CNFL</w:t>
      </w:r>
    </w:p>
    <w:p>
      <w:pPr>
        <w:pStyle w:val="ListParagraph"/>
        <w:numPr>
          <w:ilvl w:val="0"/>
          <w:numId w:val="33"/>
        </w:numPr>
        <w:tabs>
          <w:tab w:pos="1277" w:val="left" w:leader="none"/>
        </w:tabs>
        <w:spacing w:line="240" w:lineRule="auto" w:before="118" w:after="0"/>
        <w:ind w:left="1276" w:right="0" w:hanging="237"/>
        <w:jc w:val="left"/>
        <w:rPr>
          <w:sz w:val="20"/>
        </w:rPr>
      </w:pPr>
      <w:r>
        <w:rPr>
          <w:sz w:val="20"/>
        </w:rPr>
        <w:t>Alternativa</w:t>
      </w:r>
    </w:p>
    <w:p>
      <w:pPr>
        <w:spacing w:after="0" w:line="240" w:lineRule="auto"/>
        <w:jc w:val="left"/>
        <w:rPr>
          <w:sz w:val="20"/>
        </w:rPr>
        <w:sectPr>
          <w:pgSz w:w="12240" w:h="15840"/>
          <w:pgMar w:header="0" w:footer="982" w:top="1500" w:bottom="1260" w:left="400" w:right="400"/>
        </w:sectPr>
      </w:pPr>
    </w:p>
    <w:p>
      <w:pPr>
        <w:pStyle w:val="BodyText"/>
        <w:spacing w:before="10"/>
        <w:rPr>
          <w:sz w:val="15"/>
        </w:rPr>
      </w:pPr>
    </w:p>
    <w:p>
      <w:pPr>
        <w:pStyle w:val="ListParagraph"/>
        <w:numPr>
          <w:ilvl w:val="1"/>
          <w:numId w:val="9"/>
        </w:numPr>
        <w:tabs>
          <w:tab w:pos="1389" w:val="left" w:leader="none"/>
        </w:tabs>
        <w:spacing w:line="240" w:lineRule="auto" w:before="94" w:after="0"/>
        <w:ind w:left="1388" w:right="0" w:hanging="349"/>
        <w:jc w:val="left"/>
        <w:rPr>
          <w:b/>
          <w:sz w:val="20"/>
        </w:rPr>
      </w:pPr>
      <w:r>
        <w:rPr>
          <w:b/>
          <w:sz w:val="20"/>
        </w:rPr>
        <w:t>¿Usa ud. electrodomésticos y bombillos eficientes en</w:t>
      </w:r>
      <w:r>
        <w:rPr>
          <w:b/>
          <w:spacing w:val="-8"/>
          <w:sz w:val="20"/>
        </w:rPr>
        <w:t> </w:t>
      </w:r>
      <w:r>
        <w:rPr>
          <w:b/>
          <w:sz w:val="20"/>
        </w:rPr>
        <w:t>energía?</w:t>
      </w:r>
    </w:p>
    <w:p>
      <w:pPr>
        <w:pStyle w:val="ListParagraph"/>
        <w:numPr>
          <w:ilvl w:val="0"/>
          <w:numId w:val="34"/>
        </w:numPr>
        <w:tabs>
          <w:tab w:pos="1277" w:val="left" w:leader="none"/>
        </w:tabs>
        <w:spacing w:line="240" w:lineRule="auto" w:before="118" w:after="0"/>
        <w:ind w:left="1276" w:right="0" w:hanging="237"/>
        <w:jc w:val="left"/>
        <w:rPr>
          <w:sz w:val="20"/>
        </w:rPr>
      </w:pPr>
      <w:r>
        <w:rPr>
          <w:sz w:val="20"/>
        </w:rPr>
        <w:t>Siempre</w:t>
      </w:r>
    </w:p>
    <w:p>
      <w:pPr>
        <w:pStyle w:val="ListParagraph"/>
        <w:numPr>
          <w:ilvl w:val="0"/>
          <w:numId w:val="34"/>
        </w:numPr>
        <w:tabs>
          <w:tab w:pos="1277" w:val="left" w:leader="none"/>
        </w:tabs>
        <w:spacing w:line="240" w:lineRule="auto" w:before="118" w:after="0"/>
        <w:ind w:left="1276" w:right="0" w:hanging="237"/>
        <w:jc w:val="left"/>
        <w:rPr>
          <w:sz w:val="20"/>
        </w:rPr>
      </w:pPr>
      <w:r>
        <w:rPr>
          <w:sz w:val="20"/>
        </w:rPr>
        <w:t>Casi</w:t>
      </w:r>
      <w:r>
        <w:rPr>
          <w:spacing w:val="2"/>
          <w:sz w:val="20"/>
        </w:rPr>
        <w:t> </w:t>
      </w:r>
      <w:r>
        <w:rPr>
          <w:sz w:val="20"/>
        </w:rPr>
        <w:t>siempre</w:t>
      </w:r>
    </w:p>
    <w:p>
      <w:pPr>
        <w:pStyle w:val="ListParagraph"/>
        <w:numPr>
          <w:ilvl w:val="0"/>
          <w:numId w:val="34"/>
        </w:numPr>
        <w:tabs>
          <w:tab w:pos="1265" w:val="left" w:leader="none"/>
        </w:tabs>
        <w:spacing w:line="360" w:lineRule="auto" w:before="114" w:after="0"/>
        <w:ind w:left="1040" w:right="8432" w:firstLine="0"/>
        <w:jc w:val="left"/>
        <w:rPr>
          <w:sz w:val="20"/>
        </w:rPr>
      </w:pPr>
      <w:r>
        <w:rPr>
          <w:sz w:val="20"/>
        </w:rPr>
        <w:t>La mitad del</w:t>
      </w:r>
      <w:r>
        <w:rPr>
          <w:spacing w:val="-11"/>
          <w:sz w:val="20"/>
        </w:rPr>
        <w:t> </w:t>
      </w:r>
      <w:r>
        <w:rPr>
          <w:sz w:val="20"/>
        </w:rPr>
        <w:t>tiempo d- Algunas veces</w:t>
      </w:r>
    </w:p>
    <w:p>
      <w:pPr>
        <w:spacing w:line="229" w:lineRule="exact" w:before="0"/>
        <w:ind w:left="1040" w:right="0" w:firstLine="0"/>
        <w:jc w:val="left"/>
        <w:rPr>
          <w:sz w:val="20"/>
        </w:rPr>
      </w:pPr>
      <w:r>
        <w:rPr>
          <w:sz w:val="20"/>
        </w:rPr>
        <w:t>e- Nunca</w:t>
      </w:r>
    </w:p>
    <w:p>
      <w:pPr>
        <w:pStyle w:val="BodyText"/>
        <w:rPr>
          <w:sz w:val="22"/>
        </w:rPr>
      </w:pPr>
    </w:p>
    <w:p>
      <w:pPr>
        <w:pStyle w:val="BodyText"/>
        <w:spacing w:before="9"/>
        <w:rPr>
          <w:sz w:val="17"/>
        </w:rPr>
      </w:pPr>
    </w:p>
    <w:p>
      <w:pPr>
        <w:spacing w:before="1"/>
        <w:ind w:left="1040" w:right="0" w:firstLine="0"/>
        <w:jc w:val="left"/>
        <w:rPr>
          <w:b/>
          <w:sz w:val="20"/>
        </w:rPr>
      </w:pPr>
      <w:r>
        <w:rPr>
          <w:sz w:val="20"/>
        </w:rPr>
        <w:t>D- </w:t>
      </w:r>
      <w:r>
        <w:rPr>
          <w:b/>
          <w:sz w:val="20"/>
        </w:rPr>
        <w:t>Movilidad</w:t>
      </w:r>
    </w:p>
    <w:p>
      <w:pPr>
        <w:pStyle w:val="BodyText"/>
        <w:rPr>
          <w:b/>
          <w:sz w:val="22"/>
        </w:rPr>
      </w:pPr>
    </w:p>
    <w:p>
      <w:pPr>
        <w:pStyle w:val="BodyText"/>
        <w:spacing w:before="9"/>
        <w:rPr>
          <w:b/>
          <w:sz w:val="17"/>
        </w:rPr>
      </w:pPr>
    </w:p>
    <w:p>
      <w:pPr>
        <w:pStyle w:val="ListParagraph"/>
        <w:numPr>
          <w:ilvl w:val="1"/>
          <w:numId w:val="9"/>
        </w:numPr>
        <w:tabs>
          <w:tab w:pos="1389" w:val="left" w:leader="none"/>
        </w:tabs>
        <w:spacing w:line="240" w:lineRule="auto" w:before="0" w:after="0"/>
        <w:ind w:left="1388" w:right="0" w:hanging="349"/>
        <w:jc w:val="both"/>
        <w:rPr>
          <w:b/>
          <w:sz w:val="20"/>
        </w:rPr>
      </w:pPr>
      <w:r>
        <w:rPr>
          <w:b/>
          <w:sz w:val="20"/>
        </w:rPr>
        <w:t>¿Normalmente en qué se</w:t>
      </w:r>
      <w:r>
        <w:rPr>
          <w:b/>
          <w:spacing w:val="-4"/>
          <w:sz w:val="20"/>
        </w:rPr>
        <w:t> </w:t>
      </w:r>
      <w:r>
        <w:rPr>
          <w:b/>
          <w:sz w:val="20"/>
        </w:rPr>
        <w:t>transporta?</w:t>
      </w:r>
    </w:p>
    <w:p>
      <w:pPr>
        <w:spacing w:line="360" w:lineRule="auto" w:before="123"/>
        <w:ind w:left="1040" w:right="9670" w:firstLine="0"/>
        <w:jc w:val="both"/>
        <w:rPr>
          <w:sz w:val="20"/>
        </w:rPr>
      </w:pPr>
      <w:r>
        <w:rPr>
          <w:sz w:val="20"/>
        </w:rPr>
        <w:t>a- Bus b- Taxi c- Carro</w:t>
      </w:r>
    </w:p>
    <w:p>
      <w:pPr>
        <w:spacing w:line="362" w:lineRule="auto" w:before="0"/>
        <w:ind w:left="1040" w:right="9415" w:firstLine="0"/>
        <w:jc w:val="both"/>
        <w:rPr>
          <w:sz w:val="20"/>
        </w:rPr>
      </w:pPr>
      <w:r>
        <w:rPr>
          <w:sz w:val="20"/>
        </w:rPr>
        <w:t>d- Bicicleta e- Camino</w:t>
      </w:r>
    </w:p>
    <w:p>
      <w:pPr>
        <w:pStyle w:val="BodyText"/>
        <w:spacing w:before="1"/>
        <w:rPr>
          <w:sz w:val="29"/>
        </w:rPr>
      </w:pPr>
    </w:p>
    <w:p>
      <w:pPr>
        <w:pStyle w:val="ListParagraph"/>
        <w:numPr>
          <w:ilvl w:val="1"/>
          <w:numId w:val="9"/>
        </w:numPr>
        <w:tabs>
          <w:tab w:pos="1389" w:val="left" w:leader="none"/>
        </w:tabs>
        <w:spacing w:line="240" w:lineRule="auto" w:before="0" w:after="0"/>
        <w:ind w:left="1388" w:right="0" w:hanging="349"/>
        <w:jc w:val="left"/>
        <w:rPr>
          <w:b/>
          <w:sz w:val="20"/>
        </w:rPr>
      </w:pPr>
      <w:r>
        <w:rPr>
          <w:b/>
          <w:sz w:val="20"/>
        </w:rPr>
        <w:t>¿Cuánto consume su carro de</w:t>
      </w:r>
      <w:r>
        <w:rPr>
          <w:b/>
          <w:spacing w:val="-2"/>
          <w:sz w:val="20"/>
        </w:rPr>
        <w:t> </w:t>
      </w:r>
      <w:r>
        <w:rPr>
          <w:b/>
          <w:sz w:val="20"/>
        </w:rPr>
        <w:t>combustible?</w:t>
      </w:r>
    </w:p>
    <w:p>
      <w:pPr>
        <w:spacing w:line="362" w:lineRule="auto" w:before="118"/>
        <w:ind w:left="1040" w:right="5140" w:firstLine="0"/>
        <w:jc w:val="left"/>
        <w:rPr>
          <w:sz w:val="20"/>
        </w:rPr>
      </w:pPr>
      <w:r>
        <w:rPr>
          <w:sz w:val="20"/>
        </w:rPr>
        <w:t>a- Menos de 8 km por galón (poquito más de 2 km por litro) b- 8 a 25 km por galón (2 a 7 km. por litro)</w:t>
      </w:r>
    </w:p>
    <w:p>
      <w:pPr>
        <w:pStyle w:val="ListParagraph"/>
        <w:numPr>
          <w:ilvl w:val="0"/>
          <w:numId w:val="35"/>
        </w:numPr>
        <w:tabs>
          <w:tab w:pos="1265" w:val="left" w:leader="none"/>
        </w:tabs>
        <w:spacing w:line="227" w:lineRule="exact" w:before="0" w:after="0"/>
        <w:ind w:left="1264" w:right="0" w:hanging="225"/>
        <w:jc w:val="left"/>
        <w:rPr>
          <w:sz w:val="20"/>
        </w:rPr>
      </w:pPr>
      <w:r>
        <w:rPr>
          <w:sz w:val="20"/>
        </w:rPr>
        <w:t>25 a 50 km por galón (7 a 14 km por</w:t>
      </w:r>
      <w:r>
        <w:rPr>
          <w:spacing w:val="-13"/>
          <w:sz w:val="20"/>
        </w:rPr>
        <w:t> </w:t>
      </w:r>
      <w:r>
        <w:rPr>
          <w:sz w:val="20"/>
        </w:rPr>
        <w:t>litro)</w:t>
      </w:r>
    </w:p>
    <w:p>
      <w:pPr>
        <w:pStyle w:val="ListParagraph"/>
        <w:numPr>
          <w:ilvl w:val="0"/>
          <w:numId w:val="35"/>
        </w:numPr>
        <w:tabs>
          <w:tab w:pos="1277" w:val="left" w:leader="none"/>
        </w:tabs>
        <w:spacing w:line="240" w:lineRule="auto" w:before="114" w:after="0"/>
        <w:ind w:left="1276" w:right="0" w:hanging="237"/>
        <w:jc w:val="left"/>
        <w:rPr>
          <w:sz w:val="20"/>
        </w:rPr>
      </w:pPr>
      <w:r>
        <w:rPr>
          <w:sz w:val="20"/>
        </w:rPr>
        <w:t>50 a 65 km por galón (14 a 18 km por</w:t>
      </w:r>
      <w:r>
        <w:rPr>
          <w:spacing w:val="-15"/>
          <w:sz w:val="20"/>
        </w:rPr>
        <w:t> </w:t>
      </w:r>
      <w:r>
        <w:rPr>
          <w:sz w:val="20"/>
        </w:rPr>
        <w:t>litro)</w:t>
      </w:r>
    </w:p>
    <w:p>
      <w:pPr>
        <w:pStyle w:val="ListParagraph"/>
        <w:numPr>
          <w:ilvl w:val="0"/>
          <w:numId w:val="35"/>
        </w:numPr>
        <w:tabs>
          <w:tab w:pos="1277" w:val="left" w:leader="none"/>
        </w:tabs>
        <w:spacing w:line="362" w:lineRule="auto" w:before="114" w:after="0"/>
        <w:ind w:left="1040" w:right="5851" w:firstLine="0"/>
        <w:jc w:val="left"/>
        <w:rPr>
          <w:sz w:val="20"/>
        </w:rPr>
      </w:pPr>
      <w:r>
        <w:rPr>
          <w:sz w:val="20"/>
        </w:rPr>
        <w:t>Más de 65 km por galón (Más de 18 km por</w:t>
      </w:r>
      <w:r>
        <w:rPr>
          <w:spacing w:val="-15"/>
          <w:sz w:val="20"/>
        </w:rPr>
        <w:t> </w:t>
      </w:r>
      <w:r>
        <w:rPr>
          <w:sz w:val="20"/>
        </w:rPr>
        <w:t>litro) f- No tengo carro</w:t>
      </w:r>
    </w:p>
    <w:p>
      <w:pPr>
        <w:spacing w:line="228" w:lineRule="exact" w:before="0"/>
        <w:ind w:left="1040" w:right="0" w:firstLine="0"/>
        <w:jc w:val="left"/>
        <w:rPr>
          <w:sz w:val="20"/>
        </w:rPr>
      </w:pPr>
      <w:r>
        <w:rPr>
          <w:sz w:val="20"/>
        </w:rPr>
        <w:t>g- No sé pero mi carro es un (marca, modelo y año)</w:t>
      </w:r>
    </w:p>
    <w:p>
      <w:pPr>
        <w:pStyle w:val="BodyText"/>
        <w:rPr>
          <w:sz w:val="22"/>
        </w:rPr>
      </w:pPr>
    </w:p>
    <w:p>
      <w:pPr>
        <w:pStyle w:val="BodyText"/>
        <w:spacing w:before="6"/>
        <w:rPr>
          <w:sz w:val="17"/>
        </w:rPr>
      </w:pPr>
    </w:p>
    <w:p>
      <w:pPr>
        <w:pStyle w:val="ListParagraph"/>
        <w:numPr>
          <w:ilvl w:val="1"/>
          <w:numId w:val="9"/>
        </w:numPr>
        <w:tabs>
          <w:tab w:pos="1389" w:val="left" w:leader="none"/>
        </w:tabs>
        <w:spacing w:line="240" w:lineRule="auto" w:before="0" w:after="0"/>
        <w:ind w:left="1388" w:right="0" w:hanging="349"/>
        <w:jc w:val="both"/>
        <w:rPr>
          <w:b/>
          <w:sz w:val="20"/>
        </w:rPr>
      </w:pPr>
      <w:r>
        <w:rPr>
          <w:b/>
          <w:sz w:val="20"/>
        </w:rPr>
        <w:t>¿Cada cuánto viaja con alguien más en su</w:t>
      </w:r>
      <w:r>
        <w:rPr>
          <w:b/>
          <w:spacing w:val="-11"/>
          <w:sz w:val="20"/>
        </w:rPr>
        <w:t> </w:t>
      </w:r>
      <w:r>
        <w:rPr>
          <w:b/>
          <w:sz w:val="20"/>
        </w:rPr>
        <w:t>carro?</w:t>
      </w:r>
    </w:p>
    <w:p>
      <w:pPr>
        <w:pStyle w:val="ListParagraph"/>
        <w:numPr>
          <w:ilvl w:val="0"/>
          <w:numId w:val="36"/>
        </w:numPr>
        <w:tabs>
          <w:tab w:pos="1277" w:val="left" w:leader="none"/>
        </w:tabs>
        <w:spacing w:line="240" w:lineRule="auto" w:before="122" w:after="0"/>
        <w:ind w:left="1276" w:right="0" w:hanging="237"/>
        <w:jc w:val="left"/>
        <w:rPr>
          <w:sz w:val="20"/>
        </w:rPr>
      </w:pPr>
      <w:r>
        <w:rPr>
          <w:sz w:val="20"/>
        </w:rPr>
        <w:t>Nunca</w:t>
      </w:r>
    </w:p>
    <w:p>
      <w:pPr>
        <w:pStyle w:val="ListParagraph"/>
        <w:numPr>
          <w:ilvl w:val="0"/>
          <w:numId w:val="36"/>
        </w:numPr>
        <w:tabs>
          <w:tab w:pos="1277" w:val="left" w:leader="none"/>
        </w:tabs>
        <w:spacing w:line="360" w:lineRule="auto" w:before="114" w:after="0"/>
        <w:ind w:left="1040" w:right="8551" w:firstLine="0"/>
        <w:jc w:val="left"/>
        <w:rPr>
          <w:sz w:val="20"/>
        </w:rPr>
      </w:pPr>
      <w:r>
        <w:rPr>
          <w:sz w:val="20"/>
        </w:rPr>
        <w:t>De vez en </w:t>
      </w:r>
      <w:r>
        <w:rPr>
          <w:spacing w:val="-3"/>
          <w:sz w:val="20"/>
        </w:rPr>
        <w:t>cuando </w:t>
      </w:r>
      <w:r>
        <w:rPr>
          <w:sz w:val="20"/>
        </w:rPr>
        <w:t>c- Frecuentemente d- Siempre</w:t>
      </w:r>
    </w:p>
    <w:p>
      <w:pPr>
        <w:spacing w:before="2"/>
        <w:ind w:left="1040" w:right="0" w:firstLine="0"/>
        <w:jc w:val="left"/>
        <w:rPr>
          <w:sz w:val="20"/>
        </w:rPr>
      </w:pPr>
      <w:r>
        <w:rPr>
          <w:sz w:val="20"/>
        </w:rPr>
        <w:t>e- No tengo carro</w:t>
      </w:r>
    </w:p>
    <w:p>
      <w:pPr>
        <w:pStyle w:val="BodyText"/>
        <w:rPr>
          <w:sz w:val="22"/>
        </w:rPr>
      </w:pPr>
    </w:p>
    <w:p>
      <w:pPr>
        <w:pStyle w:val="BodyText"/>
        <w:spacing w:before="5"/>
        <w:rPr>
          <w:sz w:val="17"/>
        </w:rPr>
      </w:pPr>
    </w:p>
    <w:p>
      <w:pPr>
        <w:pStyle w:val="ListParagraph"/>
        <w:numPr>
          <w:ilvl w:val="1"/>
          <w:numId w:val="9"/>
        </w:numPr>
        <w:tabs>
          <w:tab w:pos="1389" w:val="left" w:leader="none"/>
        </w:tabs>
        <w:spacing w:line="240" w:lineRule="auto" w:before="0" w:after="0"/>
        <w:ind w:left="1388" w:right="0" w:hanging="349"/>
        <w:jc w:val="left"/>
        <w:rPr>
          <w:b/>
          <w:sz w:val="20"/>
        </w:rPr>
      </w:pPr>
      <w:r>
        <w:rPr>
          <w:b/>
          <w:sz w:val="20"/>
        </w:rPr>
        <w:t>¿Qué distancia recorre semanalmente en transporte</w:t>
      </w:r>
      <w:r>
        <w:rPr>
          <w:b/>
          <w:spacing w:val="-11"/>
          <w:sz w:val="20"/>
        </w:rPr>
        <w:t> </w:t>
      </w:r>
      <w:r>
        <w:rPr>
          <w:b/>
          <w:sz w:val="20"/>
        </w:rPr>
        <w:t>público?</w:t>
      </w:r>
    </w:p>
    <w:p>
      <w:pPr>
        <w:pStyle w:val="ListParagraph"/>
        <w:numPr>
          <w:ilvl w:val="0"/>
          <w:numId w:val="37"/>
        </w:numPr>
        <w:tabs>
          <w:tab w:pos="1277" w:val="left" w:leader="none"/>
        </w:tabs>
        <w:spacing w:line="240" w:lineRule="auto" w:before="118" w:after="0"/>
        <w:ind w:left="1276" w:right="0" w:hanging="237"/>
        <w:jc w:val="left"/>
        <w:rPr>
          <w:sz w:val="20"/>
        </w:rPr>
      </w:pPr>
      <w:r>
        <w:rPr>
          <w:sz w:val="20"/>
        </w:rPr>
        <w:t>1 a 80 km (como ir a San José y volver 8 veces por</w:t>
      </w:r>
      <w:r>
        <w:rPr>
          <w:spacing w:val="-9"/>
          <w:sz w:val="20"/>
        </w:rPr>
        <w:t> </w:t>
      </w:r>
      <w:r>
        <w:rPr>
          <w:sz w:val="20"/>
        </w:rPr>
        <w:t>semana)</w:t>
      </w:r>
    </w:p>
    <w:p>
      <w:pPr>
        <w:pStyle w:val="ListParagraph"/>
        <w:numPr>
          <w:ilvl w:val="0"/>
          <w:numId w:val="37"/>
        </w:numPr>
        <w:tabs>
          <w:tab w:pos="1277" w:val="left" w:leader="none"/>
        </w:tabs>
        <w:spacing w:line="240" w:lineRule="auto" w:before="115" w:after="0"/>
        <w:ind w:left="1276" w:right="0" w:hanging="237"/>
        <w:jc w:val="left"/>
        <w:rPr>
          <w:sz w:val="20"/>
        </w:rPr>
      </w:pPr>
      <w:r>
        <w:rPr>
          <w:sz w:val="20"/>
        </w:rPr>
        <w:t>80 a 150 km (como ir a San José y volver entre 8 y 15 veces por</w:t>
      </w:r>
      <w:r>
        <w:rPr>
          <w:spacing w:val="-20"/>
          <w:sz w:val="20"/>
        </w:rPr>
        <w:t> </w:t>
      </w:r>
      <w:r>
        <w:rPr>
          <w:sz w:val="20"/>
        </w:rPr>
        <w:t>semana)</w:t>
      </w:r>
    </w:p>
    <w:p>
      <w:pPr>
        <w:pStyle w:val="ListParagraph"/>
        <w:numPr>
          <w:ilvl w:val="0"/>
          <w:numId w:val="37"/>
        </w:numPr>
        <w:tabs>
          <w:tab w:pos="1265" w:val="left" w:leader="none"/>
        </w:tabs>
        <w:spacing w:line="240" w:lineRule="auto" w:before="118" w:after="0"/>
        <w:ind w:left="1264" w:right="0" w:hanging="225"/>
        <w:jc w:val="left"/>
        <w:rPr>
          <w:sz w:val="20"/>
        </w:rPr>
      </w:pPr>
      <w:r>
        <w:rPr>
          <w:sz w:val="20"/>
        </w:rPr>
        <w:t>150 a 300 km (como ir a San José y volver entre 15 y 30 veces por</w:t>
      </w:r>
      <w:r>
        <w:rPr>
          <w:spacing w:val="-11"/>
          <w:sz w:val="20"/>
        </w:rPr>
        <w:t> </w:t>
      </w:r>
      <w:r>
        <w:rPr>
          <w:sz w:val="20"/>
        </w:rPr>
        <w:t>semana)</w:t>
      </w:r>
    </w:p>
    <w:p>
      <w:pPr>
        <w:spacing w:after="0" w:line="240" w:lineRule="auto"/>
        <w:jc w:val="left"/>
        <w:rPr>
          <w:sz w:val="20"/>
        </w:rPr>
        <w:sectPr>
          <w:pgSz w:w="12240" w:h="15840"/>
          <w:pgMar w:header="0" w:footer="982" w:top="1500" w:bottom="1260" w:left="400" w:right="400"/>
        </w:sectPr>
      </w:pPr>
    </w:p>
    <w:p>
      <w:pPr>
        <w:pStyle w:val="ListParagraph"/>
        <w:numPr>
          <w:ilvl w:val="0"/>
          <w:numId w:val="37"/>
        </w:numPr>
        <w:tabs>
          <w:tab w:pos="1277" w:val="left" w:leader="none"/>
        </w:tabs>
        <w:spacing w:line="360" w:lineRule="auto" w:before="77" w:after="0"/>
        <w:ind w:left="1040" w:right="3290" w:firstLine="0"/>
        <w:jc w:val="both"/>
        <w:rPr>
          <w:sz w:val="20"/>
        </w:rPr>
      </w:pPr>
      <w:r>
        <w:rPr>
          <w:sz w:val="20"/>
        </w:rPr>
        <w:t>300 a 500 km (como ir a San José y volver entre 30 y 50 veces por</w:t>
      </w:r>
      <w:r>
        <w:rPr>
          <w:spacing w:val="-31"/>
          <w:sz w:val="20"/>
        </w:rPr>
        <w:t> </w:t>
      </w:r>
      <w:r>
        <w:rPr>
          <w:sz w:val="20"/>
        </w:rPr>
        <w:t>semana) e- 500 km o </w:t>
      </w:r>
      <w:r>
        <w:rPr>
          <w:spacing w:val="-3"/>
          <w:sz w:val="20"/>
        </w:rPr>
        <w:t>más </w:t>
      </w:r>
      <w:r>
        <w:rPr>
          <w:sz w:val="20"/>
        </w:rPr>
        <w:t>(como ir a San José y volver </w:t>
      </w:r>
      <w:r>
        <w:rPr>
          <w:spacing w:val="-3"/>
          <w:sz w:val="20"/>
        </w:rPr>
        <w:t>más </w:t>
      </w:r>
      <w:r>
        <w:rPr>
          <w:sz w:val="20"/>
        </w:rPr>
        <w:t>de 50 veces por semana)</w:t>
      </w:r>
    </w:p>
    <w:p>
      <w:pPr>
        <w:pStyle w:val="BodyText"/>
        <w:spacing w:before="8"/>
        <w:rPr>
          <w:sz w:val="29"/>
        </w:rPr>
      </w:pPr>
    </w:p>
    <w:p>
      <w:pPr>
        <w:pStyle w:val="ListParagraph"/>
        <w:numPr>
          <w:ilvl w:val="1"/>
          <w:numId w:val="9"/>
        </w:numPr>
        <w:tabs>
          <w:tab w:pos="1389" w:val="left" w:leader="none"/>
        </w:tabs>
        <w:spacing w:line="240" w:lineRule="auto" w:before="0" w:after="0"/>
        <w:ind w:left="1388" w:right="0" w:hanging="349"/>
        <w:jc w:val="both"/>
        <w:rPr>
          <w:b/>
          <w:sz w:val="20"/>
        </w:rPr>
      </w:pPr>
      <w:r>
        <w:rPr>
          <w:b/>
          <w:sz w:val="20"/>
        </w:rPr>
        <w:t>¿Qué distancia recorre semanalmente en carro particular (como chofer o</w:t>
      </w:r>
      <w:r>
        <w:rPr>
          <w:b/>
          <w:spacing w:val="-13"/>
          <w:sz w:val="20"/>
        </w:rPr>
        <w:t> </w:t>
      </w:r>
      <w:r>
        <w:rPr>
          <w:b/>
          <w:sz w:val="20"/>
        </w:rPr>
        <w:t>pasajero)?</w:t>
      </w:r>
    </w:p>
    <w:p>
      <w:pPr>
        <w:pStyle w:val="ListParagraph"/>
        <w:numPr>
          <w:ilvl w:val="0"/>
          <w:numId w:val="38"/>
        </w:numPr>
        <w:tabs>
          <w:tab w:pos="1277" w:val="left" w:leader="none"/>
        </w:tabs>
        <w:spacing w:line="240" w:lineRule="auto" w:before="118" w:after="0"/>
        <w:ind w:left="1276" w:right="0" w:hanging="237"/>
        <w:jc w:val="both"/>
        <w:rPr>
          <w:sz w:val="20"/>
        </w:rPr>
      </w:pPr>
      <w:r>
        <w:rPr>
          <w:sz w:val="20"/>
        </w:rPr>
        <w:t>1 a 80 km (como ir a San José y volver 8 veces por</w:t>
      </w:r>
      <w:r>
        <w:rPr>
          <w:spacing w:val="-9"/>
          <w:sz w:val="20"/>
        </w:rPr>
        <w:t> </w:t>
      </w:r>
      <w:r>
        <w:rPr>
          <w:sz w:val="20"/>
        </w:rPr>
        <w:t>semana)</w:t>
      </w:r>
    </w:p>
    <w:p>
      <w:pPr>
        <w:pStyle w:val="ListParagraph"/>
        <w:numPr>
          <w:ilvl w:val="0"/>
          <w:numId w:val="38"/>
        </w:numPr>
        <w:tabs>
          <w:tab w:pos="1277" w:val="left" w:leader="none"/>
        </w:tabs>
        <w:spacing w:line="240" w:lineRule="auto" w:before="115" w:after="0"/>
        <w:ind w:left="1276" w:right="0" w:hanging="237"/>
        <w:jc w:val="both"/>
        <w:rPr>
          <w:sz w:val="20"/>
        </w:rPr>
      </w:pPr>
      <w:r>
        <w:rPr>
          <w:sz w:val="20"/>
        </w:rPr>
        <w:t>80 a 150 km (como ir a San José y volver entre 8 y 15 veces por</w:t>
      </w:r>
      <w:r>
        <w:rPr>
          <w:spacing w:val="-20"/>
          <w:sz w:val="20"/>
        </w:rPr>
        <w:t> </w:t>
      </w:r>
      <w:r>
        <w:rPr>
          <w:sz w:val="20"/>
        </w:rPr>
        <w:t>semana)</w:t>
      </w:r>
    </w:p>
    <w:p>
      <w:pPr>
        <w:pStyle w:val="ListParagraph"/>
        <w:numPr>
          <w:ilvl w:val="0"/>
          <w:numId w:val="38"/>
        </w:numPr>
        <w:tabs>
          <w:tab w:pos="1265" w:val="left" w:leader="none"/>
        </w:tabs>
        <w:spacing w:line="360" w:lineRule="auto" w:before="114" w:after="0"/>
        <w:ind w:left="1040" w:right="3286" w:firstLine="0"/>
        <w:jc w:val="both"/>
        <w:rPr>
          <w:sz w:val="20"/>
        </w:rPr>
      </w:pPr>
      <w:r>
        <w:rPr>
          <w:sz w:val="20"/>
        </w:rPr>
        <w:t>150 a 300 km (como ir a San José y volver entre 15 y 30 veces por semana) d- 300 a 500 km (como ir a San José y volver entre 30 y 50 veces por</w:t>
      </w:r>
      <w:r>
        <w:rPr>
          <w:spacing w:val="-26"/>
          <w:sz w:val="20"/>
        </w:rPr>
        <w:t> </w:t>
      </w:r>
      <w:r>
        <w:rPr>
          <w:sz w:val="20"/>
        </w:rPr>
        <w:t>semana) e- 500 km o </w:t>
      </w:r>
      <w:r>
        <w:rPr>
          <w:spacing w:val="-3"/>
          <w:sz w:val="20"/>
        </w:rPr>
        <w:t>más </w:t>
      </w:r>
      <w:r>
        <w:rPr>
          <w:sz w:val="20"/>
        </w:rPr>
        <w:t>(como ir a San José y volver </w:t>
      </w:r>
      <w:r>
        <w:rPr>
          <w:spacing w:val="-3"/>
          <w:sz w:val="20"/>
        </w:rPr>
        <w:t>más </w:t>
      </w:r>
      <w:r>
        <w:rPr>
          <w:sz w:val="20"/>
        </w:rPr>
        <w:t>de 50 veces por semana)</w:t>
      </w:r>
    </w:p>
    <w:p>
      <w:pPr>
        <w:spacing w:before="1"/>
        <w:ind w:left="1040" w:right="0" w:firstLine="0"/>
        <w:jc w:val="both"/>
        <w:rPr>
          <w:sz w:val="20"/>
        </w:rPr>
      </w:pPr>
      <w:r>
        <w:rPr>
          <w:sz w:val="20"/>
        </w:rPr>
        <w:t>f- No uso carro particular</w:t>
      </w:r>
    </w:p>
    <w:p>
      <w:pPr>
        <w:pStyle w:val="BodyText"/>
        <w:rPr>
          <w:sz w:val="22"/>
        </w:rPr>
      </w:pPr>
    </w:p>
    <w:p>
      <w:pPr>
        <w:pStyle w:val="BodyText"/>
        <w:spacing w:before="10"/>
        <w:rPr>
          <w:sz w:val="17"/>
        </w:rPr>
      </w:pPr>
    </w:p>
    <w:p>
      <w:pPr>
        <w:pStyle w:val="ListParagraph"/>
        <w:numPr>
          <w:ilvl w:val="1"/>
          <w:numId w:val="9"/>
        </w:numPr>
        <w:tabs>
          <w:tab w:pos="1389" w:val="left" w:leader="none"/>
        </w:tabs>
        <w:spacing w:line="240" w:lineRule="auto" w:before="0" w:after="0"/>
        <w:ind w:left="1388" w:right="0" w:hanging="349"/>
        <w:jc w:val="both"/>
        <w:rPr>
          <w:b/>
          <w:sz w:val="20"/>
        </w:rPr>
      </w:pPr>
      <w:r>
        <w:rPr>
          <w:b/>
          <w:sz w:val="20"/>
        </w:rPr>
        <w:t>¿Qué distancia recorre semanalmente en moto (como chofer o</w:t>
      </w:r>
      <w:r>
        <w:rPr>
          <w:b/>
          <w:spacing w:val="-16"/>
          <w:sz w:val="20"/>
        </w:rPr>
        <w:t> </w:t>
      </w:r>
      <w:r>
        <w:rPr>
          <w:b/>
          <w:sz w:val="20"/>
        </w:rPr>
        <w:t>pasajero)?</w:t>
      </w:r>
    </w:p>
    <w:p>
      <w:pPr>
        <w:pStyle w:val="ListParagraph"/>
        <w:numPr>
          <w:ilvl w:val="0"/>
          <w:numId w:val="39"/>
        </w:numPr>
        <w:tabs>
          <w:tab w:pos="1277" w:val="left" w:leader="none"/>
        </w:tabs>
        <w:spacing w:line="240" w:lineRule="auto" w:before="118" w:after="0"/>
        <w:ind w:left="1276" w:right="0" w:hanging="237"/>
        <w:jc w:val="both"/>
        <w:rPr>
          <w:sz w:val="20"/>
        </w:rPr>
      </w:pPr>
      <w:r>
        <w:rPr>
          <w:sz w:val="20"/>
        </w:rPr>
        <w:t>1 a 80 km (como ir a San José y volver 8 veces por</w:t>
      </w:r>
      <w:r>
        <w:rPr>
          <w:spacing w:val="-8"/>
          <w:sz w:val="20"/>
        </w:rPr>
        <w:t> </w:t>
      </w:r>
      <w:r>
        <w:rPr>
          <w:sz w:val="20"/>
        </w:rPr>
        <w:t>semana)</w:t>
      </w:r>
    </w:p>
    <w:p>
      <w:pPr>
        <w:pStyle w:val="ListParagraph"/>
        <w:numPr>
          <w:ilvl w:val="0"/>
          <w:numId w:val="39"/>
        </w:numPr>
        <w:tabs>
          <w:tab w:pos="1277" w:val="left" w:leader="none"/>
        </w:tabs>
        <w:spacing w:line="240" w:lineRule="auto" w:before="114" w:after="0"/>
        <w:ind w:left="1276" w:right="0" w:hanging="237"/>
        <w:jc w:val="both"/>
        <w:rPr>
          <w:sz w:val="20"/>
        </w:rPr>
      </w:pPr>
      <w:r>
        <w:rPr>
          <w:sz w:val="20"/>
        </w:rPr>
        <w:t>80 a 150 km (como ir a San José y volver entre 8 y 15 veces por</w:t>
      </w:r>
      <w:r>
        <w:rPr>
          <w:spacing w:val="-20"/>
          <w:sz w:val="20"/>
        </w:rPr>
        <w:t> </w:t>
      </w:r>
      <w:r>
        <w:rPr>
          <w:sz w:val="20"/>
        </w:rPr>
        <w:t>semana)</w:t>
      </w:r>
    </w:p>
    <w:p>
      <w:pPr>
        <w:pStyle w:val="ListParagraph"/>
        <w:numPr>
          <w:ilvl w:val="0"/>
          <w:numId w:val="39"/>
        </w:numPr>
        <w:tabs>
          <w:tab w:pos="1265" w:val="left" w:leader="none"/>
        </w:tabs>
        <w:spacing w:line="360" w:lineRule="auto" w:before="114" w:after="0"/>
        <w:ind w:left="1040" w:right="3280" w:firstLine="0"/>
        <w:jc w:val="both"/>
        <w:rPr>
          <w:sz w:val="20"/>
        </w:rPr>
      </w:pPr>
      <w:r>
        <w:rPr>
          <w:sz w:val="20"/>
        </w:rPr>
        <w:t>150 a 300 km (como ir a San José y volver entre 15 y 30 veces por semana) d- 300 a 500 km (como ir a San José y volver entre 30 y 50 veces por semana) e- 500 km o </w:t>
      </w:r>
      <w:r>
        <w:rPr>
          <w:spacing w:val="-3"/>
          <w:sz w:val="20"/>
        </w:rPr>
        <w:t>más </w:t>
      </w:r>
      <w:r>
        <w:rPr>
          <w:sz w:val="20"/>
        </w:rPr>
        <w:t>(como ir a San José y volver </w:t>
      </w:r>
      <w:r>
        <w:rPr>
          <w:spacing w:val="-3"/>
          <w:sz w:val="20"/>
        </w:rPr>
        <w:t>más </w:t>
      </w:r>
      <w:r>
        <w:rPr>
          <w:sz w:val="20"/>
        </w:rPr>
        <w:t>de 50 veces por semana)</w:t>
      </w:r>
    </w:p>
    <w:p>
      <w:pPr>
        <w:spacing w:before="2"/>
        <w:ind w:left="1040" w:right="0" w:firstLine="0"/>
        <w:jc w:val="both"/>
        <w:rPr>
          <w:sz w:val="20"/>
        </w:rPr>
      </w:pPr>
      <w:r>
        <w:rPr>
          <w:sz w:val="20"/>
        </w:rPr>
        <w:t>f- No uso moto</w:t>
      </w:r>
    </w:p>
    <w:p>
      <w:pPr>
        <w:pStyle w:val="BodyText"/>
        <w:rPr>
          <w:sz w:val="22"/>
        </w:rPr>
      </w:pPr>
    </w:p>
    <w:p>
      <w:pPr>
        <w:pStyle w:val="BodyText"/>
        <w:spacing w:before="9"/>
        <w:rPr>
          <w:sz w:val="17"/>
        </w:rPr>
      </w:pPr>
    </w:p>
    <w:p>
      <w:pPr>
        <w:pStyle w:val="ListParagraph"/>
        <w:numPr>
          <w:ilvl w:val="1"/>
          <w:numId w:val="9"/>
        </w:numPr>
        <w:tabs>
          <w:tab w:pos="1389" w:val="left" w:leader="none"/>
        </w:tabs>
        <w:spacing w:line="240" w:lineRule="auto" w:before="0" w:after="0"/>
        <w:ind w:left="1388" w:right="0" w:hanging="349"/>
        <w:jc w:val="both"/>
        <w:rPr>
          <w:b/>
          <w:sz w:val="20"/>
        </w:rPr>
      </w:pPr>
      <w:r>
        <w:rPr>
          <w:b/>
          <w:sz w:val="20"/>
        </w:rPr>
        <w:t>¿Cuántas horas viaja al año en</w:t>
      </w:r>
      <w:r>
        <w:rPr>
          <w:b/>
          <w:spacing w:val="-6"/>
          <w:sz w:val="20"/>
        </w:rPr>
        <w:t> </w:t>
      </w:r>
      <w:r>
        <w:rPr>
          <w:b/>
          <w:sz w:val="20"/>
        </w:rPr>
        <w:t>avión?</w:t>
      </w:r>
    </w:p>
    <w:p>
      <w:pPr>
        <w:pStyle w:val="ListParagraph"/>
        <w:numPr>
          <w:ilvl w:val="0"/>
          <w:numId w:val="40"/>
        </w:numPr>
        <w:tabs>
          <w:tab w:pos="1277" w:val="left" w:leader="none"/>
        </w:tabs>
        <w:spacing w:line="240" w:lineRule="auto" w:before="118" w:after="0"/>
        <w:ind w:left="1276" w:right="0" w:hanging="237"/>
        <w:jc w:val="left"/>
        <w:rPr>
          <w:sz w:val="20"/>
        </w:rPr>
      </w:pPr>
      <w:r>
        <w:rPr>
          <w:sz w:val="20"/>
        </w:rPr>
        <w:t>0 a 4</w:t>
      </w:r>
      <w:r>
        <w:rPr>
          <w:spacing w:val="-2"/>
          <w:sz w:val="20"/>
        </w:rPr>
        <w:t> </w:t>
      </w:r>
      <w:r>
        <w:rPr>
          <w:sz w:val="20"/>
        </w:rPr>
        <w:t>horas</w:t>
      </w:r>
    </w:p>
    <w:p>
      <w:pPr>
        <w:pStyle w:val="ListParagraph"/>
        <w:numPr>
          <w:ilvl w:val="0"/>
          <w:numId w:val="40"/>
        </w:numPr>
        <w:tabs>
          <w:tab w:pos="1277" w:val="left" w:leader="none"/>
        </w:tabs>
        <w:spacing w:line="240" w:lineRule="auto" w:before="114" w:after="0"/>
        <w:ind w:left="1276" w:right="0" w:hanging="237"/>
        <w:jc w:val="left"/>
        <w:rPr>
          <w:sz w:val="20"/>
        </w:rPr>
      </w:pPr>
      <w:r>
        <w:rPr>
          <w:sz w:val="20"/>
        </w:rPr>
        <w:t>4 a 10 horas</w:t>
      </w:r>
    </w:p>
    <w:p>
      <w:pPr>
        <w:pStyle w:val="ListParagraph"/>
        <w:numPr>
          <w:ilvl w:val="0"/>
          <w:numId w:val="40"/>
        </w:numPr>
        <w:tabs>
          <w:tab w:pos="1321" w:val="left" w:leader="none"/>
        </w:tabs>
        <w:spacing w:line="240" w:lineRule="auto" w:before="114" w:after="0"/>
        <w:ind w:left="1320" w:right="0" w:hanging="281"/>
        <w:jc w:val="left"/>
        <w:rPr>
          <w:sz w:val="20"/>
        </w:rPr>
      </w:pPr>
      <w:r>
        <w:rPr>
          <w:sz w:val="20"/>
        </w:rPr>
        <w:t>10 a 25</w:t>
      </w:r>
      <w:r>
        <w:rPr>
          <w:spacing w:val="-4"/>
          <w:sz w:val="20"/>
        </w:rPr>
        <w:t> </w:t>
      </w:r>
      <w:r>
        <w:rPr>
          <w:sz w:val="20"/>
        </w:rPr>
        <w:t>horas</w:t>
      </w:r>
    </w:p>
    <w:p>
      <w:pPr>
        <w:pStyle w:val="ListParagraph"/>
        <w:numPr>
          <w:ilvl w:val="0"/>
          <w:numId w:val="40"/>
        </w:numPr>
        <w:tabs>
          <w:tab w:pos="1333" w:val="left" w:leader="none"/>
        </w:tabs>
        <w:spacing w:line="240" w:lineRule="auto" w:before="119" w:after="0"/>
        <w:ind w:left="1332" w:right="0" w:hanging="293"/>
        <w:jc w:val="left"/>
        <w:rPr>
          <w:sz w:val="20"/>
        </w:rPr>
      </w:pPr>
      <w:r>
        <w:rPr>
          <w:sz w:val="20"/>
        </w:rPr>
        <w:t>25 a 100</w:t>
      </w:r>
      <w:r>
        <w:rPr>
          <w:spacing w:val="-4"/>
          <w:sz w:val="20"/>
        </w:rPr>
        <w:t> </w:t>
      </w:r>
      <w:r>
        <w:rPr>
          <w:sz w:val="20"/>
        </w:rPr>
        <w:t>horas</w:t>
      </w:r>
    </w:p>
    <w:p>
      <w:pPr>
        <w:pStyle w:val="ListParagraph"/>
        <w:numPr>
          <w:ilvl w:val="0"/>
          <w:numId w:val="40"/>
        </w:numPr>
        <w:tabs>
          <w:tab w:pos="1277" w:val="left" w:leader="none"/>
        </w:tabs>
        <w:spacing w:line="240" w:lineRule="auto" w:before="114" w:after="0"/>
        <w:ind w:left="1276" w:right="0" w:hanging="237"/>
        <w:jc w:val="left"/>
        <w:rPr>
          <w:sz w:val="20"/>
        </w:rPr>
      </w:pPr>
      <w:r>
        <w:rPr>
          <w:sz w:val="20"/>
        </w:rPr>
        <w:t>Más de 100</w:t>
      </w:r>
      <w:r>
        <w:rPr>
          <w:spacing w:val="-3"/>
          <w:sz w:val="20"/>
        </w:rPr>
        <w:t> </w:t>
      </w:r>
      <w:r>
        <w:rPr>
          <w:sz w:val="20"/>
        </w:rPr>
        <w:t>horas</w:t>
      </w:r>
    </w:p>
    <w:p>
      <w:pPr>
        <w:pStyle w:val="BodyText"/>
        <w:rPr>
          <w:sz w:val="22"/>
        </w:rPr>
      </w:pPr>
    </w:p>
    <w:p>
      <w:pPr>
        <w:pStyle w:val="BodyText"/>
        <w:spacing w:before="5"/>
        <w:rPr>
          <w:sz w:val="17"/>
        </w:rPr>
      </w:pPr>
    </w:p>
    <w:p>
      <w:pPr>
        <w:pStyle w:val="ListParagraph"/>
        <w:numPr>
          <w:ilvl w:val="1"/>
          <w:numId w:val="9"/>
        </w:numPr>
        <w:tabs>
          <w:tab w:pos="1389" w:val="left" w:leader="none"/>
        </w:tabs>
        <w:spacing w:line="362" w:lineRule="auto" w:before="0" w:after="0"/>
        <w:ind w:left="1040" w:right="1363" w:firstLine="0"/>
        <w:jc w:val="left"/>
        <w:rPr>
          <w:b/>
          <w:sz w:val="20"/>
        </w:rPr>
      </w:pPr>
      <w:r>
        <w:rPr>
          <w:b/>
          <w:sz w:val="20"/>
        </w:rPr>
        <w:t>Ahora díganos, Cuánto del mundo (en porcentaje) cree ud que debemos guardar para</w:t>
      </w:r>
      <w:r>
        <w:rPr>
          <w:b/>
          <w:spacing w:val="-37"/>
          <w:sz w:val="20"/>
        </w:rPr>
        <w:t> </w:t>
      </w:r>
      <w:r>
        <w:rPr>
          <w:b/>
          <w:sz w:val="20"/>
        </w:rPr>
        <w:t>otras especies? (Las Naciones Unidas han sugerido un modesto 12</w:t>
      </w:r>
      <w:r>
        <w:rPr>
          <w:b/>
          <w:spacing w:val="-11"/>
          <w:sz w:val="20"/>
        </w:rPr>
        <w:t> </w:t>
      </w:r>
      <w:r>
        <w:rPr>
          <w:b/>
          <w:spacing w:val="-5"/>
          <w:sz w:val="20"/>
        </w:rPr>
        <w:t>%)</w:t>
      </w:r>
    </w:p>
    <w:p>
      <w:pPr>
        <w:pStyle w:val="BodyText"/>
        <w:spacing w:before="9"/>
        <w:rPr>
          <w:b/>
          <w:sz w:val="29"/>
        </w:rPr>
      </w:pPr>
    </w:p>
    <w:p>
      <w:pPr>
        <w:spacing w:line="360" w:lineRule="auto" w:before="0"/>
        <w:ind w:left="1040" w:right="1134" w:firstLine="0"/>
        <w:jc w:val="left"/>
        <w:rPr>
          <w:b/>
          <w:sz w:val="20"/>
        </w:rPr>
      </w:pPr>
      <w:r>
        <w:rPr>
          <w:b/>
          <w:sz w:val="20"/>
        </w:rPr>
        <w:t>Muchas gracias por su ayuda! Sus datos serán totalmente confidenciales y son para efectos de un estudio sobre los hábitos de consumo de su casa.</w:t>
      </w:r>
    </w:p>
    <w:p>
      <w:pPr>
        <w:pStyle w:val="BodyText"/>
        <w:spacing w:before="1"/>
        <w:rPr>
          <w:b/>
          <w:sz w:val="30"/>
        </w:rPr>
      </w:pPr>
    </w:p>
    <w:p>
      <w:pPr>
        <w:tabs>
          <w:tab w:pos="3879" w:val="left" w:leader="none"/>
          <w:tab w:pos="4093" w:val="left" w:leader="none"/>
        </w:tabs>
        <w:spacing w:line="360" w:lineRule="auto" w:before="0"/>
        <w:ind w:left="1040" w:right="7344" w:firstLine="0"/>
        <w:jc w:val="left"/>
        <w:rPr>
          <w:b/>
          <w:sz w:val="20"/>
        </w:rPr>
      </w:pPr>
      <w:r>
        <w:rPr>
          <w:b/>
          <w:sz w:val="20"/>
        </w:rPr>
        <w:t>CALLE</w:t>
      </w:r>
      <w:r>
        <w:rPr>
          <w:b/>
          <w:sz w:val="20"/>
          <w:u w:val="single"/>
        </w:rPr>
        <w:tab/>
        <w:tab/>
      </w:r>
      <w:r>
        <w:rPr>
          <w:b/>
          <w:sz w:val="20"/>
        </w:rPr>
        <w:t> CASA</w:t>
      </w:r>
      <w:r>
        <w:rPr>
          <w:b/>
          <w:sz w:val="20"/>
          <w:u w:val="single"/>
        </w:rPr>
        <w:tab/>
        <w:tab/>
      </w:r>
      <w:r>
        <w:rPr>
          <w:b/>
          <w:sz w:val="20"/>
        </w:rPr>
        <w:t> HORA</w:t>
      </w:r>
      <w:r>
        <w:rPr>
          <w:b/>
          <w:spacing w:val="-7"/>
          <w:sz w:val="20"/>
        </w:rPr>
        <w:t> </w:t>
      </w:r>
      <w:r>
        <w:rPr>
          <w:b/>
          <w:sz w:val="20"/>
        </w:rPr>
        <w:t>DE</w:t>
      </w:r>
      <w:r>
        <w:rPr>
          <w:b/>
          <w:spacing w:val="-4"/>
          <w:sz w:val="20"/>
        </w:rPr>
        <w:t> </w:t>
      </w:r>
      <w:r>
        <w:rPr>
          <w:b/>
          <w:sz w:val="20"/>
        </w:rPr>
        <w:t>INICIO</w:t>
      </w:r>
      <w:r>
        <w:rPr>
          <w:b/>
          <w:w w:val="100"/>
          <w:sz w:val="20"/>
          <w:u w:val="single"/>
        </w:rPr>
        <w:t> </w:t>
      </w:r>
      <w:r>
        <w:rPr>
          <w:b/>
          <w:sz w:val="20"/>
          <w:u w:val="single"/>
        </w:rPr>
        <w:tab/>
      </w:r>
      <w:r>
        <w:rPr>
          <w:b/>
          <w:w w:val="43"/>
          <w:sz w:val="20"/>
          <w:u w:val="single"/>
        </w:rPr>
        <w:t> </w:t>
      </w:r>
      <w:r>
        <w:rPr>
          <w:b/>
          <w:sz w:val="20"/>
        </w:rPr>
        <w:t> HORA DE</w:t>
      </w:r>
      <w:r>
        <w:rPr>
          <w:b/>
          <w:spacing w:val="-8"/>
          <w:sz w:val="20"/>
        </w:rPr>
        <w:t> </w:t>
      </w:r>
      <w:r>
        <w:rPr>
          <w:b/>
          <w:sz w:val="20"/>
        </w:rPr>
        <w:t>TERMINO</w:t>
      </w:r>
      <w:r>
        <w:rPr>
          <w:b/>
          <w:w w:val="100"/>
          <w:sz w:val="20"/>
          <w:u w:val="single"/>
        </w:rPr>
        <w:t> </w:t>
      </w:r>
      <w:r>
        <w:rPr>
          <w:b/>
          <w:sz w:val="20"/>
          <w:u w:val="single"/>
        </w:rPr>
        <w:tab/>
      </w:r>
    </w:p>
    <w:p>
      <w:pPr>
        <w:spacing w:after="0" w:line="360" w:lineRule="auto"/>
        <w:jc w:val="left"/>
        <w:rPr>
          <w:sz w:val="20"/>
        </w:rPr>
        <w:sectPr>
          <w:pgSz w:w="12240" w:h="15840"/>
          <w:pgMar w:header="0" w:footer="982" w:top="1360" w:bottom="1260" w:left="400" w:right="400"/>
        </w:sectPr>
      </w:pPr>
    </w:p>
    <w:p>
      <w:pPr>
        <w:pStyle w:val="Heading2"/>
        <w:numPr>
          <w:ilvl w:val="0"/>
          <w:numId w:val="41"/>
        </w:numPr>
        <w:tabs>
          <w:tab w:pos="1760" w:val="left" w:leader="none"/>
          <w:tab w:pos="1761" w:val="left" w:leader="none"/>
        </w:tabs>
        <w:spacing w:line="240" w:lineRule="auto" w:before="75" w:after="0"/>
        <w:ind w:left="1040" w:right="2442" w:firstLine="0"/>
        <w:jc w:val="left"/>
      </w:pPr>
      <w:bookmarkStart w:name="_bookmark65" w:id="89"/>
      <w:bookmarkEnd w:id="89"/>
      <w:r>
        <w:rPr>
          <w:b w:val="0"/>
        </w:rPr>
      </w:r>
      <w:bookmarkStart w:name="_bookmark65" w:id="90"/>
      <w:bookmarkEnd w:id="90"/>
      <w:r>
        <w:rPr/>
        <w:t>A</w:t>
      </w:r>
      <w:r>
        <w:rPr/>
        <w:t>nexo 2: Ejemplos de Selección de Muestra para</w:t>
      </w:r>
      <w:r>
        <w:rPr>
          <w:spacing w:val="-27"/>
        </w:rPr>
        <w:t> </w:t>
      </w:r>
      <w:r>
        <w:rPr/>
        <w:t>Comunidades Encuestadas de Huella</w:t>
      </w:r>
      <w:r>
        <w:rPr>
          <w:spacing w:val="-4"/>
        </w:rPr>
        <w:t> </w:t>
      </w:r>
      <w:r>
        <w:rPr/>
        <w:t>Ecológica</w:t>
      </w:r>
    </w:p>
    <w:p>
      <w:pPr>
        <w:pStyle w:val="BodyText"/>
        <w:rPr>
          <w:b/>
          <w:sz w:val="20"/>
        </w:rPr>
      </w:pPr>
    </w:p>
    <w:p>
      <w:pPr>
        <w:pStyle w:val="BodyText"/>
        <w:rPr>
          <w:b/>
          <w:sz w:val="20"/>
        </w:rPr>
      </w:pPr>
    </w:p>
    <w:p>
      <w:pPr>
        <w:pStyle w:val="BodyText"/>
        <w:rPr>
          <w:b/>
          <w:sz w:val="20"/>
        </w:rPr>
      </w:pPr>
    </w:p>
    <w:p>
      <w:pPr>
        <w:pStyle w:val="BodyText"/>
        <w:spacing w:before="1"/>
        <w:rPr>
          <w:b/>
          <w:sz w:val="17"/>
        </w:rPr>
      </w:pPr>
      <w:r>
        <w:rPr/>
        <w:drawing>
          <wp:anchor distT="0" distB="0" distL="0" distR="0" allowOverlap="1" layoutInCell="1" locked="0" behindDoc="0" simplePos="0" relativeHeight="88">
            <wp:simplePos x="0" y="0"/>
            <wp:positionH relativeFrom="page">
              <wp:posOffset>1502410</wp:posOffset>
            </wp:positionH>
            <wp:positionV relativeFrom="paragraph">
              <wp:posOffset>149908</wp:posOffset>
            </wp:positionV>
            <wp:extent cx="4685828" cy="3169920"/>
            <wp:effectExtent l="0" t="0" r="0" b="0"/>
            <wp:wrapTopAndBottom/>
            <wp:docPr id="77" name="image64.jpeg"/>
            <wp:cNvGraphicFramePr>
              <a:graphicFrameLocks noChangeAspect="1"/>
            </wp:cNvGraphicFramePr>
            <a:graphic>
              <a:graphicData uri="http://schemas.openxmlformats.org/drawingml/2006/picture">
                <pic:pic>
                  <pic:nvPicPr>
                    <pic:cNvPr id="78" name="image64.jpeg"/>
                    <pic:cNvPicPr/>
                  </pic:nvPicPr>
                  <pic:blipFill>
                    <a:blip r:embed="rId114" cstate="print"/>
                    <a:stretch>
                      <a:fillRect/>
                    </a:stretch>
                  </pic:blipFill>
                  <pic:spPr>
                    <a:xfrm>
                      <a:off x="0" y="0"/>
                      <a:ext cx="4685828" cy="3169920"/>
                    </a:xfrm>
                    <a:prstGeom prst="rect">
                      <a:avLst/>
                    </a:prstGeom>
                  </pic:spPr>
                </pic:pic>
              </a:graphicData>
            </a:graphic>
          </wp:anchor>
        </w:drawing>
      </w:r>
    </w:p>
    <w:p>
      <w:pPr>
        <w:pStyle w:val="BodyText"/>
        <w:rPr>
          <w:b/>
          <w:sz w:val="20"/>
        </w:rPr>
      </w:pPr>
    </w:p>
    <w:p>
      <w:pPr>
        <w:pStyle w:val="BodyText"/>
        <w:rPr>
          <w:b/>
          <w:sz w:val="20"/>
        </w:rPr>
      </w:pPr>
    </w:p>
    <w:p>
      <w:pPr>
        <w:pStyle w:val="BodyText"/>
        <w:spacing w:before="9"/>
        <w:rPr>
          <w:b/>
          <w:sz w:val="19"/>
        </w:rPr>
      </w:pPr>
      <w:r>
        <w:rPr/>
        <w:drawing>
          <wp:anchor distT="0" distB="0" distL="0" distR="0" allowOverlap="1" layoutInCell="1" locked="0" behindDoc="0" simplePos="0" relativeHeight="89">
            <wp:simplePos x="0" y="0"/>
            <wp:positionH relativeFrom="page">
              <wp:posOffset>1638300</wp:posOffset>
            </wp:positionH>
            <wp:positionV relativeFrom="paragraph">
              <wp:posOffset>169355</wp:posOffset>
            </wp:positionV>
            <wp:extent cx="4432637" cy="3222402"/>
            <wp:effectExtent l="0" t="0" r="0" b="0"/>
            <wp:wrapTopAndBottom/>
            <wp:docPr id="79" name="image65.jpeg"/>
            <wp:cNvGraphicFramePr>
              <a:graphicFrameLocks noChangeAspect="1"/>
            </wp:cNvGraphicFramePr>
            <a:graphic>
              <a:graphicData uri="http://schemas.openxmlformats.org/drawingml/2006/picture">
                <pic:pic>
                  <pic:nvPicPr>
                    <pic:cNvPr id="80" name="image65.jpeg"/>
                    <pic:cNvPicPr/>
                  </pic:nvPicPr>
                  <pic:blipFill>
                    <a:blip r:embed="rId115" cstate="print"/>
                    <a:stretch>
                      <a:fillRect/>
                    </a:stretch>
                  </pic:blipFill>
                  <pic:spPr>
                    <a:xfrm>
                      <a:off x="0" y="0"/>
                      <a:ext cx="4432637" cy="3222402"/>
                    </a:xfrm>
                    <a:prstGeom prst="rect">
                      <a:avLst/>
                    </a:prstGeom>
                  </pic:spPr>
                </pic:pic>
              </a:graphicData>
            </a:graphic>
          </wp:anchor>
        </w:drawing>
      </w:r>
    </w:p>
    <w:p>
      <w:pPr>
        <w:spacing w:after="0"/>
        <w:rPr>
          <w:sz w:val="19"/>
        </w:rPr>
        <w:sectPr>
          <w:pgSz w:w="12240" w:h="15840"/>
          <w:pgMar w:header="0" w:footer="982" w:top="1360" w:bottom="1260" w:left="400" w:right="400"/>
        </w:sectPr>
      </w:pPr>
    </w:p>
    <w:p>
      <w:pPr>
        <w:pStyle w:val="BodyText"/>
        <w:ind w:left="2469"/>
        <w:rPr>
          <w:sz w:val="20"/>
        </w:rPr>
      </w:pPr>
      <w:r>
        <w:rPr>
          <w:sz w:val="20"/>
        </w:rPr>
        <w:drawing>
          <wp:inline distT="0" distB="0" distL="0" distR="0">
            <wp:extent cx="3948396" cy="3023616"/>
            <wp:effectExtent l="0" t="0" r="0" b="0"/>
            <wp:docPr id="81" name="image66.jpeg"/>
            <wp:cNvGraphicFramePr>
              <a:graphicFrameLocks noChangeAspect="1"/>
            </wp:cNvGraphicFramePr>
            <a:graphic>
              <a:graphicData uri="http://schemas.openxmlformats.org/drawingml/2006/picture">
                <pic:pic>
                  <pic:nvPicPr>
                    <pic:cNvPr id="82" name="image66.jpeg"/>
                    <pic:cNvPicPr/>
                  </pic:nvPicPr>
                  <pic:blipFill>
                    <a:blip r:embed="rId116" cstate="print"/>
                    <a:stretch>
                      <a:fillRect/>
                    </a:stretch>
                  </pic:blipFill>
                  <pic:spPr>
                    <a:xfrm>
                      <a:off x="0" y="0"/>
                      <a:ext cx="3948396" cy="3023616"/>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rPr>
          <w:b/>
          <w:sz w:val="20"/>
        </w:rPr>
      </w:pPr>
    </w:p>
    <w:p>
      <w:pPr>
        <w:pStyle w:val="BodyText"/>
        <w:spacing w:before="5"/>
        <w:rPr>
          <w:b/>
          <w:sz w:val="17"/>
        </w:rPr>
      </w:pPr>
      <w:r>
        <w:rPr/>
        <w:drawing>
          <wp:anchor distT="0" distB="0" distL="0" distR="0" allowOverlap="1" layoutInCell="1" locked="0" behindDoc="0" simplePos="0" relativeHeight="90">
            <wp:simplePos x="0" y="0"/>
            <wp:positionH relativeFrom="page">
              <wp:posOffset>1591981</wp:posOffset>
            </wp:positionH>
            <wp:positionV relativeFrom="paragraph">
              <wp:posOffset>152098</wp:posOffset>
            </wp:positionV>
            <wp:extent cx="4452937" cy="3525678"/>
            <wp:effectExtent l="0" t="0" r="0" b="0"/>
            <wp:wrapTopAndBottom/>
            <wp:docPr id="83" name="image67.jpeg"/>
            <wp:cNvGraphicFramePr>
              <a:graphicFrameLocks noChangeAspect="1"/>
            </wp:cNvGraphicFramePr>
            <a:graphic>
              <a:graphicData uri="http://schemas.openxmlformats.org/drawingml/2006/picture">
                <pic:pic>
                  <pic:nvPicPr>
                    <pic:cNvPr id="84" name="image67.jpeg"/>
                    <pic:cNvPicPr/>
                  </pic:nvPicPr>
                  <pic:blipFill>
                    <a:blip r:embed="rId117" cstate="print"/>
                    <a:stretch>
                      <a:fillRect/>
                    </a:stretch>
                  </pic:blipFill>
                  <pic:spPr>
                    <a:xfrm>
                      <a:off x="0" y="0"/>
                      <a:ext cx="4452937" cy="3525678"/>
                    </a:xfrm>
                    <a:prstGeom prst="rect">
                      <a:avLst/>
                    </a:prstGeom>
                  </pic:spPr>
                </pic:pic>
              </a:graphicData>
            </a:graphic>
          </wp:anchor>
        </w:drawing>
      </w:r>
    </w:p>
    <w:p>
      <w:pPr>
        <w:spacing w:after="0"/>
        <w:rPr>
          <w:sz w:val="17"/>
        </w:rPr>
        <w:sectPr>
          <w:pgSz w:w="12240" w:h="15840"/>
          <w:pgMar w:header="0" w:footer="982" w:top="1440" w:bottom="1180" w:left="400" w:right="400"/>
        </w:sectPr>
      </w:pPr>
    </w:p>
    <w:p>
      <w:pPr>
        <w:pStyle w:val="BodyText"/>
        <w:spacing w:before="1"/>
        <w:rPr>
          <w:b/>
          <w:sz w:val="7"/>
        </w:rPr>
      </w:pPr>
    </w:p>
    <w:p>
      <w:pPr>
        <w:pStyle w:val="BodyText"/>
        <w:ind w:left="2169"/>
        <w:rPr>
          <w:sz w:val="20"/>
        </w:rPr>
      </w:pPr>
      <w:r>
        <w:rPr>
          <w:sz w:val="20"/>
        </w:rPr>
        <w:drawing>
          <wp:inline distT="0" distB="0" distL="0" distR="0">
            <wp:extent cx="4495764" cy="3782091"/>
            <wp:effectExtent l="0" t="0" r="0" b="0"/>
            <wp:docPr id="85" name="image68.jpeg"/>
            <wp:cNvGraphicFramePr>
              <a:graphicFrameLocks noChangeAspect="1"/>
            </wp:cNvGraphicFramePr>
            <a:graphic>
              <a:graphicData uri="http://schemas.openxmlformats.org/drawingml/2006/picture">
                <pic:pic>
                  <pic:nvPicPr>
                    <pic:cNvPr id="86" name="image68.jpeg"/>
                    <pic:cNvPicPr/>
                  </pic:nvPicPr>
                  <pic:blipFill>
                    <a:blip r:embed="rId118" cstate="print"/>
                    <a:stretch>
                      <a:fillRect/>
                    </a:stretch>
                  </pic:blipFill>
                  <pic:spPr>
                    <a:xfrm>
                      <a:off x="0" y="0"/>
                      <a:ext cx="4495764" cy="3782091"/>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spacing w:before="4"/>
        <w:rPr>
          <w:b/>
          <w:sz w:val="11"/>
        </w:rPr>
      </w:pPr>
      <w:r>
        <w:rPr/>
        <w:drawing>
          <wp:anchor distT="0" distB="0" distL="0" distR="0" allowOverlap="1" layoutInCell="1" locked="0" behindDoc="0" simplePos="0" relativeHeight="91">
            <wp:simplePos x="0" y="0"/>
            <wp:positionH relativeFrom="page">
              <wp:posOffset>1713855</wp:posOffset>
            </wp:positionH>
            <wp:positionV relativeFrom="paragraph">
              <wp:posOffset>107661</wp:posOffset>
            </wp:positionV>
            <wp:extent cx="4077014" cy="2928366"/>
            <wp:effectExtent l="0" t="0" r="0" b="0"/>
            <wp:wrapTopAndBottom/>
            <wp:docPr id="87" name="image69.jpeg"/>
            <wp:cNvGraphicFramePr>
              <a:graphicFrameLocks noChangeAspect="1"/>
            </wp:cNvGraphicFramePr>
            <a:graphic>
              <a:graphicData uri="http://schemas.openxmlformats.org/drawingml/2006/picture">
                <pic:pic>
                  <pic:nvPicPr>
                    <pic:cNvPr id="88" name="image69.jpeg"/>
                    <pic:cNvPicPr/>
                  </pic:nvPicPr>
                  <pic:blipFill>
                    <a:blip r:embed="rId119" cstate="print"/>
                    <a:stretch>
                      <a:fillRect/>
                    </a:stretch>
                  </pic:blipFill>
                  <pic:spPr>
                    <a:xfrm>
                      <a:off x="0" y="0"/>
                      <a:ext cx="4077014" cy="2928366"/>
                    </a:xfrm>
                    <a:prstGeom prst="rect">
                      <a:avLst/>
                    </a:prstGeom>
                  </pic:spPr>
                </pic:pic>
              </a:graphicData>
            </a:graphic>
          </wp:anchor>
        </w:drawing>
      </w:r>
    </w:p>
    <w:p>
      <w:pPr>
        <w:spacing w:after="0"/>
        <w:rPr>
          <w:sz w:val="11"/>
        </w:rPr>
        <w:sectPr>
          <w:pgSz w:w="12240" w:h="15840"/>
          <w:pgMar w:header="0" w:footer="982" w:top="1500" w:bottom="1180" w:left="400" w:right="400"/>
        </w:sectPr>
      </w:pPr>
    </w:p>
    <w:p>
      <w:pPr>
        <w:pStyle w:val="BodyText"/>
        <w:spacing w:before="11"/>
        <w:rPr>
          <w:b/>
          <w:sz w:val="6"/>
        </w:rPr>
      </w:pPr>
    </w:p>
    <w:p>
      <w:pPr>
        <w:pStyle w:val="BodyText"/>
        <w:ind w:left="2100"/>
        <w:rPr>
          <w:sz w:val="20"/>
        </w:rPr>
      </w:pPr>
      <w:r>
        <w:rPr>
          <w:sz w:val="20"/>
        </w:rPr>
        <w:drawing>
          <wp:inline distT="0" distB="0" distL="0" distR="0">
            <wp:extent cx="4491382" cy="3452812"/>
            <wp:effectExtent l="0" t="0" r="0" b="0"/>
            <wp:docPr id="89" name="image70.jpeg"/>
            <wp:cNvGraphicFramePr>
              <a:graphicFrameLocks noChangeAspect="1"/>
            </wp:cNvGraphicFramePr>
            <a:graphic>
              <a:graphicData uri="http://schemas.openxmlformats.org/drawingml/2006/picture">
                <pic:pic>
                  <pic:nvPicPr>
                    <pic:cNvPr id="90" name="image70.jpeg"/>
                    <pic:cNvPicPr/>
                  </pic:nvPicPr>
                  <pic:blipFill>
                    <a:blip r:embed="rId120" cstate="print"/>
                    <a:stretch>
                      <a:fillRect/>
                    </a:stretch>
                  </pic:blipFill>
                  <pic:spPr>
                    <a:xfrm>
                      <a:off x="0" y="0"/>
                      <a:ext cx="4491382" cy="3452812"/>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rPr>
          <w:b/>
          <w:sz w:val="20"/>
        </w:rPr>
      </w:pPr>
    </w:p>
    <w:p>
      <w:pPr>
        <w:pStyle w:val="BodyText"/>
        <w:spacing w:before="7"/>
        <w:rPr>
          <w:b/>
          <w:sz w:val="29"/>
        </w:rPr>
      </w:pPr>
      <w:r>
        <w:rPr/>
        <w:drawing>
          <wp:anchor distT="0" distB="0" distL="0" distR="0" allowOverlap="1" layoutInCell="1" locked="0" behindDoc="0" simplePos="0" relativeHeight="92">
            <wp:simplePos x="0" y="0"/>
            <wp:positionH relativeFrom="page">
              <wp:posOffset>1612560</wp:posOffset>
            </wp:positionH>
            <wp:positionV relativeFrom="paragraph">
              <wp:posOffset>241340</wp:posOffset>
            </wp:positionV>
            <wp:extent cx="4272496" cy="3072384"/>
            <wp:effectExtent l="0" t="0" r="0" b="0"/>
            <wp:wrapTopAndBottom/>
            <wp:docPr id="91" name="image71.jpeg"/>
            <wp:cNvGraphicFramePr>
              <a:graphicFrameLocks noChangeAspect="1"/>
            </wp:cNvGraphicFramePr>
            <a:graphic>
              <a:graphicData uri="http://schemas.openxmlformats.org/drawingml/2006/picture">
                <pic:pic>
                  <pic:nvPicPr>
                    <pic:cNvPr id="92" name="image71.jpeg"/>
                    <pic:cNvPicPr/>
                  </pic:nvPicPr>
                  <pic:blipFill>
                    <a:blip r:embed="rId121" cstate="print"/>
                    <a:stretch>
                      <a:fillRect/>
                    </a:stretch>
                  </pic:blipFill>
                  <pic:spPr>
                    <a:xfrm>
                      <a:off x="0" y="0"/>
                      <a:ext cx="4272496" cy="3072384"/>
                    </a:xfrm>
                    <a:prstGeom prst="rect">
                      <a:avLst/>
                    </a:prstGeom>
                  </pic:spPr>
                </pic:pic>
              </a:graphicData>
            </a:graphic>
          </wp:anchor>
        </w:drawing>
      </w:r>
    </w:p>
    <w:p>
      <w:pPr>
        <w:spacing w:after="0"/>
        <w:rPr>
          <w:sz w:val="29"/>
        </w:rPr>
        <w:sectPr>
          <w:pgSz w:w="12240" w:h="15840"/>
          <w:pgMar w:header="0" w:footer="982" w:top="1500" w:bottom="1180" w:left="400" w:right="400"/>
        </w:sectPr>
      </w:pPr>
    </w:p>
    <w:p>
      <w:pPr>
        <w:pStyle w:val="BodyText"/>
        <w:rPr>
          <w:b/>
          <w:sz w:val="7"/>
        </w:rPr>
      </w:pPr>
    </w:p>
    <w:p>
      <w:pPr>
        <w:pStyle w:val="BodyText"/>
        <w:ind w:left="1922"/>
        <w:rPr>
          <w:sz w:val="20"/>
        </w:rPr>
      </w:pPr>
      <w:r>
        <w:rPr>
          <w:sz w:val="20"/>
        </w:rPr>
        <w:drawing>
          <wp:inline distT="0" distB="0" distL="0" distR="0">
            <wp:extent cx="4765548" cy="3512343"/>
            <wp:effectExtent l="0" t="0" r="0" b="0"/>
            <wp:docPr id="93" name="image72.jpeg"/>
            <wp:cNvGraphicFramePr>
              <a:graphicFrameLocks noChangeAspect="1"/>
            </wp:cNvGraphicFramePr>
            <a:graphic>
              <a:graphicData uri="http://schemas.openxmlformats.org/drawingml/2006/picture">
                <pic:pic>
                  <pic:nvPicPr>
                    <pic:cNvPr id="94" name="image72.jpeg"/>
                    <pic:cNvPicPr/>
                  </pic:nvPicPr>
                  <pic:blipFill>
                    <a:blip r:embed="rId122" cstate="print"/>
                    <a:stretch>
                      <a:fillRect/>
                    </a:stretch>
                  </pic:blipFill>
                  <pic:spPr>
                    <a:xfrm>
                      <a:off x="0" y="0"/>
                      <a:ext cx="4765548" cy="3512343"/>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rPr>
          <w:b/>
          <w:sz w:val="20"/>
        </w:rPr>
      </w:pPr>
    </w:p>
    <w:p>
      <w:pPr>
        <w:pStyle w:val="BodyText"/>
        <w:spacing w:before="2"/>
        <w:rPr>
          <w:b/>
          <w:sz w:val="23"/>
        </w:rPr>
      </w:pPr>
      <w:r>
        <w:rPr/>
        <w:drawing>
          <wp:anchor distT="0" distB="0" distL="0" distR="0" allowOverlap="1" layoutInCell="1" locked="0" behindDoc="0" simplePos="0" relativeHeight="93">
            <wp:simplePos x="0" y="0"/>
            <wp:positionH relativeFrom="page">
              <wp:posOffset>1609160</wp:posOffset>
            </wp:positionH>
            <wp:positionV relativeFrom="paragraph">
              <wp:posOffset>194034</wp:posOffset>
            </wp:positionV>
            <wp:extent cx="4368546" cy="2784348"/>
            <wp:effectExtent l="0" t="0" r="0" b="0"/>
            <wp:wrapTopAndBottom/>
            <wp:docPr id="95" name="image73.jpeg"/>
            <wp:cNvGraphicFramePr>
              <a:graphicFrameLocks noChangeAspect="1"/>
            </wp:cNvGraphicFramePr>
            <a:graphic>
              <a:graphicData uri="http://schemas.openxmlformats.org/drawingml/2006/picture">
                <pic:pic>
                  <pic:nvPicPr>
                    <pic:cNvPr id="96" name="image73.jpeg"/>
                    <pic:cNvPicPr/>
                  </pic:nvPicPr>
                  <pic:blipFill>
                    <a:blip r:embed="rId123" cstate="print"/>
                    <a:stretch>
                      <a:fillRect/>
                    </a:stretch>
                  </pic:blipFill>
                  <pic:spPr>
                    <a:xfrm>
                      <a:off x="0" y="0"/>
                      <a:ext cx="4368546" cy="2784348"/>
                    </a:xfrm>
                    <a:prstGeom prst="rect">
                      <a:avLst/>
                    </a:prstGeom>
                  </pic:spPr>
                </pic:pic>
              </a:graphicData>
            </a:graphic>
          </wp:anchor>
        </w:drawing>
      </w:r>
    </w:p>
    <w:p>
      <w:pPr>
        <w:spacing w:after="0"/>
        <w:rPr>
          <w:sz w:val="23"/>
        </w:rPr>
        <w:sectPr>
          <w:pgSz w:w="12240" w:h="15840"/>
          <w:pgMar w:header="0" w:footer="982" w:top="1500" w:bottom="1180" w:left="400" w:right="400"/>
        </w:sectPr>
      </w:pPr>
    </w:p>
    <w:p>
      <w:pPr>
        <w:pStyle w:val="BodyText"/>
        <w:rPr>
          <w:b/>
          <w:sz w:val="8"/>
        </w:rPr>
      </w:pPr>
    </w:p>
    <w:p>
      <w:pPr>
        <w:pStyle w:val="BodyText"/>
        <w:ind w:left="1970"/>
        <w:rPr>
          <w:sz w:val="20"/>
        </w:rPr>
      </w:pPr>
      <w:r>
        <w:rPr>
          <w:sz w:val="20"/>
        </w:rPr>
        <w:drawing>
          <wp:inline distT="0" distB="0" distL="0" distR="0">
            <wp:extent cx="4828067" cy="4200144"/>
            <wp:effectExtent l="0" t="0" r="0" b="0"/>
            <wp:docPr id="97" name="image74.jpeg"/>
            <wp:cNvGraphicFramePr>
              <a:graphicFrameLocks noChangeAspect="1"/>
            </wp:cNvGraphicFramePr>
            <a:graphic>
              <a:graphicData uri="http://schemas.openxmlformats.org/drawingml/2006/picture">
                <pic:pic>
                  <pic:nvPicPr>
                    <pic:cNvPr id="98" name="image74.jpeg"/>
                    <pic:cNvPicPr/>
                  </pic:nvPicPr>
                  <pic:blipFill>
                    <a:blip r:embed="rId124" cstate="print"/>
                    <a:stretch>
                      <a:fillRect/>
                    </a:stretch>
                  </pic:blipFill>
                  <pic:spPr>
                    <a:xfrm>
                      <a:off x="0" y="0"/>
                      <a:ext cx="4828067" cy="4200144"/>
                    </a:xfrm>
                    <a:prstGeom prst="rect">
                      <a:avLst/>
                    </a:prstGeom>
                  </pic:spPr>
                </pic:pic>
              </a:graphicData>
            </a:graphic>
          </wp:inline>
        </w:drawing>
      </w:r>
      <w:r>
        <w:rPr>
          <w:sz w:val="20"/>
        </w:rPr>
      </w:r>
    </w:p>
    <w:p>
      <w:pPr>
        <w:pStyle w:val="BodyText"/>
        <w:rPr>
          <w:b/>
          <w:sz w:val="20"/>
        </w:rPr>
      </w:pPr>
    </w:p>
    <w:p>
      <w:pPr>
        <w:pStyle w:val="BodyText"/>
        <w:spacing w:before="9"/>
        <w:rPr>
          <w:b/>
          <w:sz w:val="20"/>
        </w:rPr>
      </w:pPr>
      <w:r>
        <w:rPr/>
        <w:drawing>
          <wp:anchor distT="0" distB="0" distL="0" distR="0" allowOverlap="1" layoutInCell="1" locked="0" behindDoc="0" simplePos="0" relativeHeight="94">
            <wp:simplePos x="0" y="0"/>
            <wp:positionH relativeFrom="page">
              <wp:posOffset>1672924</wp:posOffset>
            </wp:positionH>
            <wp:positionV relativeFrom="paragraph">
              <wp:posOffset>176873</wp:posOffset>
            </wp:positionV>
            <wp:extent cx="4246127" cy="2694336"/>
            <wp:effectExtent l="0" t="0" r="0" b="0"/>
            <wp:wrapTopAndBottom/>
            <wp:docPr id="99" name="image75.jpeg"/>
            <wp:cNvGraphicFramePr>
              <a:graphicFrameLocks noChangeAspect="1"/>
            </wp:cNvGraphicFramePr>
            <a:graphic>
              <a:graphicData uri="http://schemas.openxmlformats.org/drawingml/2006/picture">
                <pic:pic>
                  <pic:nvPicPr>
                    <pic:cNvPr id="100" name="image75.jpeg"/>
                    <pic:cNvPicPr/>
                  </pic:nvPicPr>
                  <pic:blipFill>
                    <a:blip r:embed="rId125" cstate="print"/>
                    <a:stretch>
                      <a:fillRect/>
                    </a:stretch>
                  </pic:blipFill>
                  <pic:spPr>
                    <a:xfrm>
                      <a:off x="0" y="0"/>
                      <a:ext cx="4246127" cy="2694336"/>
                    </a:xfrm>
                    <a:prstGeom prst="rect">
                      <a:avLst/>
                    </a:prstGeom>
                  </pic:spPr>
                </pic:pic>
              </a:graphicData>
            </a:graphic>
          </wp:anchor>
        </w:drawing>
      </w:r>
    </w:p>
    <w:p>
      <w:pPr>
        <w:spacing w:after="0"/>
        <w:rPr>
          <w:sz w:val="20"/>
        </w:rPr>
        <w:sectPr>
          <w:pgSz w:w="12240" w:h="15840"/>
          <w:pgMar w:header="0" w:footer="982" w:top="1500" w:bottom="1180" w:left="400" w:right="400"/>
        </w:sectPr>
      </w:pPr>
    </w:p>
    <w:p>
      <w:pPr>
        <w:pStyle w:val="Heading2"/>
        <w:numPr>
          <w:ilvl w:val="0"/>
          <w:numId w:val="41"/>
        </w:numPr>
        <w:tabs>
          <w:tab w:pos="1760" w:val="left" w:leader="none"/>
          <w:tab w:pos="1761" w:val="left" w:leader="none"/>
        </w:tabs>
        <w:spacing w:line="240" w:lineRule="auto" w:before="75" w:after="0"/>
        <w:ind w:left="1760" w:right="0" w:hanging="721"/>
        <w:jc w:val="left"/>
      </w:pPr>
      <w:bookmarkStart w:name="_bookmark66" w:id="91"/>
      <w:bookmarkEnd w:id="91"/>
      <w:r>
        <w:rPr>
          <w:b w:val="0"/>
        </w:rPr>
      </w:r>
      <w:bookmarkStart w:name="_bookmark66" w:id="92"/>
      <w:bookmarkEnd w:id="92"/>
      <w:r>
        <w:rPr/>
        <w:t>A</w:t>
      </w:r>
      <w:r>
        <w:rPr/>
        <w:t>nexo 3: Síntesis de Mediciones de Calidad del</w:t>
      </w:r>
      <w:r>
        <w:rPr>
          <w:spacing w:val="-9"/>
        </w:rPr>
        <w:t> </w:t>
      </w:r>
      <w:r>
        <w:rPr/>
        <w:t>Entorno</w:t>
      </w:r>
    </w:p>
    <w:p>
      <w:pPr>
        <w:pStyle w:val="BodyText"/>
        <w:rPr>
          <w:b/>
          <w:sz w:val="20"/>
        </w:rPr>
      </w:pPr>
    </w:p>
    <w:p>
      <w:pPr>
        <w:pStyle w:val="BodyText"/>
        <w:spacing w:before="3"/>
        <w:rPr>
          <w:b/>
          <w:sz w:val="16"/>
        </w:rPr>
      </w:pPr>
    </w:p>
    <w:tbl>
      <w:tblPr>
        <w:tblW w:w="0" w:type="auto"/>
        <w:jc w:val="left"/>
        <w:tblInd w:w="1053" w:type="dxa"/>
        <w:tblBorders>
          <w:top w:val="single" w:sz="4" w:space="0" w:color="6FAC46"/>
          <w:left w:val="single" w:sz="4" w:space="0" w:color="6FAC46"/>
          <w:bottom w:val="single" w:sz="4" w:space="0" w:color="6FAC46"/>
          <w:right w:val="single" w:sz="4" w:space="0" w:color="6FAC46"/>
          <w:insideH w:val="single" w:sz="4" w:space="0" w:color="6FAC46"/>
          <w:insideV w:val="single" w:sz="4" w:space="0" w:color="6FAC46"/>
        </w:tblBorders>
        <w:tblLayout w:type="fixed"/>
        <w:tblCellMar>
          <w:top w:w="0" w:type="dxa"/>
          <w:left w:w="0" w:type="dxa"/>
          <w:bottom w:w="0" w:type="dxa"/>
          <w:right w:w="0" w:type="dxa"/>
        </w:tblCellMar>
        <w:tblLook w:val="01E0"/>
      </w:tblPr>
      <w:tblGrid>
        <w:gridCol w:w="2834"/>
        <w:gridCol w:w="2104"/>
        <w:gridCol w:w="2141"/>
        <w:gridCol w:w="1460"/>
      </w:tblGrid>
      <w:tr>
        <w:trPr>
          <w:trHeight w:val="2027" w:hRule="atLeast"/>
        </w:trPr>
        <w:tc>
          <w:tcPr>
            <w:tcW w:w="2834" w:type="dxa"/>
            <w:tcBorders>
              <w:top w:val="nil"/>
              <w:left w:val="nil"/>
              <w:bottom w:val="nil"/>
              <w:right w:val="nil"/>
            </w:tcBorders>
            <w:shd w:val="clear" w:color="auto" w:fill="6FAC46"/>
          </w:tcPr>
          <w:p>
            <w:pPr>
              <w:pStyle w:val="TableParagraph"/>
              <w:spacing w:line="240" w:lineRule="auto" w:before="13"/>
              <w:ind w:left="111"/>
              <w:jc w:val="left"/>
              <w:rPr>
                <w:rFonts w:ascii="Carlito"/>
                <w:b/>
                <w:sz w:val="20"/>
              </w:rPr>
            </w:pPr>
            <w:r>
              <w:rPr>
                <w:rFonts w:ascii="Carlito"/>
                <w:b/>
                <w:color w:val="FFFFFF"/>
                <w:sz w:val="20"/>
              </w:rPr>
              <w:t>Comunidad</w:t>
            </w:r>
          </w:p>
        </w:tc>
        <w:tc>
          <w:tcPr>
            <w:tcW w:w="2104" w:type="dxa"/>
            <w:tcBorders>
              <w:top w:val="nil"/>
              <w:left w:val="nil"/>
              <w:bottom w:val="nil"/>
              <w:right w:val="nil"/>
            </w:tcBorders>
            <w:shd w:val="clear" w:color="auto" w:fill="6FAC46"/>
          </w:tcPr>
          <w:p>
            <w:pPr>
              <w:pStyle w:val="TableParagraph"/>
              <w:spacing w:line="240" w:lineRule="auto" w:before="13"/>
              <w:ind w:left="155"/>
              <w:jc w:val="left"/>
              <w:rPr>
                <w:rFonts w:ascii="Carlito"/>
                <w:sz w:val="20"/>
              </w:rPr>
            </w:pPr>
            <w:r>
              <w:rPr>
                <w:rFonts w:ascii="Carlito"/>
                <w:b/>
                <w:color w:val="FFFFFF"/>
                <w:sz w:val="20"/>
              </w:rPr>
              <w:t>Distancia a </w:t>
            </w:r>
            <w:r>
              <w:rPr>
                <w:rFonts w:ascii="Carlito"/>
                <w:color w:val="FFFFFF"/>
                <w:sz w:val="20"/>
              </w:rPr>
              <w:t>Centro de</w:t>
            </w:r>
          </w:p>
          <w:p>
            <w:pPr>
              <w:pStyle w:val="TableParagraph"/>
              <w:spacing w:line="240" w:lineRule="auto" w:before="0"/>
              <w:ind w:left="155"/>
              <w:jc w:val="left"/>
              <w:rPr>
                <w:rFonts w:ascii="Carlito" w:hAnsi="Carlito"/>
                <w:sz w:val="20"/>
              </w:rPr>
            </w:pPr>
            <w:r>
              <w:rPr>
                <w:rFonts w:ascii="Carlito" w:hAnsi="Carlito"/>
                <w:b/>
                <w:color w:val="FFFFFF"/>
                <w:sz w:val="20"/>
              </w:rPr>
              <w:t>San José </w:t>
            </w:r>
            <w:r>
              <w:rPr>
                <w:rFonts w:ascii="Carlito" w:hAnsi="Carlito"/>
                <w:color w:val="FFFFFF"/>
                <w:sz w:val="20"/>
              </w:rPr>
              <w:t>(km.)</w:t>
            </w:r>
          </w:p>
        </w:tc>
        <w:tc>
          <w:tcPr>
            <w:tcW w:w="2141" w:type="dxa"/>
            <w:tcBorders>
              <w:top w:val="nil"/>
              <w:left w:val="nil"/>
              <w:bottom w:val="nil"/>
              <w:right w:val="nil"/>
            </w:tcBorders>
            <w:shd w:val="clear" w:color="auto" w:fill="6FAC46"/>
          </w:tcPr>
          <w:p>
            <w:pPr>
              <w:pStyle w:val="TableParagraph"/>
              <w:spacing w:line="240" w:lineRule="auto" w:before="13"/>
              <w:ind w:left="111" w:right="96"/>
              <w:jc w:val="left"/>
              <w:rPr>
                <w:rFonts w:ascii="Carlito" w:hAnsi="Carlito"/>
                <w:sz w:val="20"/>
              </w:rPr>
            </w:pPr>
            <w:r>
              <w:rPr>
                <w:rFonts w:ascii="Carlito" w:hAnsi="Carlito"/>
                <w:b/>
                <w:color w:val="FFFFFF"/>
                <w:sz w:val="20"/>
              </w:rPr>
              <w:t>Distancia a Aglomeraciones de Pobreza (Río Azul, Tirrases, Linda Vista, Rio Azul, Calle Mesén, Los Angeles Patarrá, Los Cuadros) </w:t>
            </w:r>
            <w:r>
              <w:rPr>
                <w:rFonts w:ascii="Carlito" w:hAnsi="Carlito"/>
                <w:color w:val="FFFFFF"/>
                <w:sz w:val="20"/>
              </w:rPr>
              <w:t>(km.)</w:t>
            </w:r>
          </w:p>
        </w:tc>
        <w:tc>
          <w:tcPr>
            <w:tcW w:w="1460" w:type="dxa"/>
            <w:tcBorders>
              <w:top w:val="nil"/>
              <w:left w:val="nil"/>
              <w:bottom w:val="nil"/>
              <w:right w:val="nil"/>
            </w:tcBorders>
            <w:shd w:val="clear" w:color="auto" w:fill="6FAC46"/>
          </w:tcPr>
          <w:p>
            <w:pPr>
              <w:pStyle w:val="TableParagraph"/>
              <w:spacing w:line="240" w:lineRule="auto" w:before="13"/>
              <w:ind w:left="111" w:right="108"/>
              <w:jc w:val="left"/>
              <w:rPr>
                <w:rFonts w:ascii="Carlito"/>
                <w:b/>
                <w:sz w:val="20"/>
              </w:rPr>
            </w:pPr>
            <w:r>
              <w:rPr>
                <w:rFonts w:ascii="Carlito"/>
                <w:b/>
                <w:color w:val="FFFFFF"/>
                <w:sz w:val="20"/>
              </w:rPr>
              <w:t>Zonas </w:t>
            </w:r>
            <w:r>
              <w:rPr>
                <w:rFonts w:ascii="Carlito"/>
                <w:b/>
                <w:color w:val="FFFFFF"/>
                <w:spacing w:val="-1"/>
                <w:sz w:val="20"/>
              </w:rPr>
              <w:t>deslizamientos </w:t>
            </w:r>
            <w:r>
              <w:rPr>
                <w:rFonts w:ascii="Carlito"/>
                <w:b/>
                <w:color w:val="FFFFFF"/>
                <w:sz w:val="20"/>
              </w:rPr>
              <w:t>o inundaciones</w:t>
            </w:r>
          </w:p>
        </w:tc>
      </w:tr>
      <w:tr>
        <w:trPr>
          <w:trHeight w:val="285" w:hRule="atLeast"/>
        </w:trPr>
        <w:tc>
          <w:tcPr>
            <w:tcW w:w="2834" w:type="dxa"/>
            <w:tcBorders>
              <w:right w:val="nil"/>
            </w:tcBorders>
          </w:tcPr>
          <w:p>
            <w:pPr>
              <w:pStyle w:val="TableParagraph"/>
              <w:spacing w:line="240" w:lineRule="auto" w:before="0"/>
              <w:ind w:left="106"/>
              <w:jc w:val="left"/>
              <w:rPr>
                <w:rFonts w:ascii="Carlito"/>
                <w:b/>
                <w:sz w:val="20"/>
              </w:rPr>
            </w:pPr>
            <w:r>
              <w:rPr>
                <w:rFonts w:ascii="Carlito"/>
                <w:b/>
                <w:sz w:val="20"/>
              </w:rPr>
              <w:t>Altamonte</w:t>
            </w:r>
          </w:p>
        </w:tc>
        <w:tc>
          <w:tcPr>
            <w:tcW w:w="2104" w:type="dxa"/>
            <w:tcBorders>
              <w:left w:val="nil"/>
              <w:right w:val="nil"/>
            </w:tcBorders>
          </w:tcPr>
          <w:p>
            <w:pPr>
              <w:pStyle w:val="TableParagraph"/>
              <w:spacing w:line="240" w:lineRule="auto" w:before="0"/>
              <w:ind w:right="101"/>
              <w:rPr>
                <w:rFonts w:ascii="Carlito"/>
                <w:sz w:val="20"/>
              </w:rPr>
            </w:pPr>
            <w:r>
              <w:rPr>
                <w:rFonts w:ascii="Carlito"/>
                <w:sz w:val="20"/>
              </w:rPr>
              <w:t>6.6</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5.8</w:t>
            </w:r>
          </w:p>
        </w:tc>
        <w:tc>
          <w:tcPr>
            <w:tcW w:w="1460" w:type="dxa"/>
            <w:tcBorders>
              <w:left w:val="nil"/>
            </w:tcBorders>
          </w:tcPr>
          <w:p>
            <w:pPr>
              <w:pStyle w:val="TableParagraph"/>
              <w:spacing w:line="240" w:lineRule="auto" w:before="0"/>
              <w:ind w:right="96"/>
              <w:rPr>
                <w:rFonts w:ascii="Carlito"/>
                <w:sz w:val="20"/>
              </w:rPr>
            </w:pPr>
            <w:r>
              <w:rPr>
                <w:rFonts w:ascii="Carlito"/>
                <w:sz w:val="20"/>
              </w:rPr>
              <w:t>0</w:t>
            </w:r>
          </w:p>
        </w:tc>
      </w:tr>
      <w:tr>
        <w:trPr>
          <w:trHeight w:val="290" w:hRule="atLeast"/>
        </w:trPr>
        <w:tc>
          <w:tcPr>
            <w:tcW w:w="2834" w:type="dxa"/>
            <w:tcBorders>
              <w:right w:val="nil"/>
            </w:tcBorders>
          </w:tcPr>
          <w:p>
            <w:pPr>
              <w:pStyle w:val="TableParagraph"/>
              <w:spacing w:line="240" w:lineRule="auto" w:before="4"/>
              <w:ind w:left="106"/>
              <w:jc w:val="left"/>
              <w:rPr>
                <w:rFonts w:ascii="Carlito"/>
                <w:b/>
                <w:sz w:val="20"/>
              </w:rPr>
            </w:pPr>
            <w:r>
              <w:rPr>
                <w:rFonts w:ascii="Carlito"/>
                <w:b/>
                <w:sz w:val="20"/>
              </w:rPr>
              <w:t>Ayarco Norte</w:t>
            </w:r>
          </w:p>
        </w:tc>
        <w:tc>
          <w:tcPr>
            <w:tcW w:w="2104" w:type="dxa"/>
            <w:tcBorders>
              <w:left w:val="nil"/>
              <w:right w:val="nil"/>
            </w:tcBorders>
          </w:tcPr>
          <w:p>
            <w:pPr>
              <w:pStyle w:val="TableParagraph"/>
              <w:spacing w:line="240" w:lineRule="auto" w:before="4"/>
              <w:ind w:right="101"/>
              <w:rPr>
                <w:rFonts w:ascii="Carlito"/>
                <w:sz w:val="20"/>
              </w:rPr>
            </w:pPr>
            <w:r>
              <w:rPr>
                <w:rFonts w:ascii="Carlito"/>
                <w:sz w:val="20"/>
              </w:rPr>
              <w:t>8.3</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3</w:t>
            </w:r>
          </w:p>
        </w:tc>
        <w:tc>
          <w:tcPr>
            <w:tcW w:w="1460" w:type="dxa"/>
            <w:tcBorders>
              <w:left w:val="nil"/>
            </w:tcBorders>
          </w:tcPr>
          <w:p>
            <w:pPr>
              <w:pStyle w:val="TableParagraph"/>
              <w:spacing w:line="240" w:lineRule="auto" w:before="4"/>
              <w:ind w:right="96"/>
              <w:rPr>
                <w:rFonts w:ascii="Carlito"/>
                <w:sz w:val="20"/>
              </w:rPr>
            </w:pPr>
            <w:r>
              <w:rPr>
                <w:rFonts w:ascii="Carlito"/>
                <w:sz w:val="20"/>
              </w:rPr>
              <w:t>0</w:t>
            </w:r>
          </w:p>
        </w:tc>
      </w:tr>
      <w:tr>
        <w:trPr>
          <w:trHeight w:val="285" w:hRule="atLeast"/>
        </w:trPr>
        <w:tc>
          <w:tcPr>
            <w:tcW w:w="2834" w:type="dxa"/>
            <w:tcBorders>
              <w:right w:val="nil"/>
            </w:tcBorders>
          </w:tcPr>
          <w:p>
            <w:pPr>
              <w:pStyle w:val="TableParagraph"/>
              <w:spacing w:line="240" w:lineRule="auto" w:before="0"/>
              <w:ind w:left="106"/>
              <w:jc w:val="left"/>
              <w:rPr>
                <w:rFonts w:ascii="Carlito"/>
                <w:b/>
                <w:sz w:val="20"/>
              </w:rPr>
            </w:pPr>
            <w:r>
              <w:rPr>
                <w:rFonts w:ascii="Carlito"/>
                <w:b/>
                <w:sz w:val="20"/>
              </w:rPr>
              <w:t>Barlovento</w:t>
            </w:r>
          </w:p>
        </w:tc>
        <w:tc>
          <w:tcPr>
            <w:tcW w:w="2104" w:type="dxa"/>
            <w:tcBorders>
              <w:left w:val="nil"/>
              <w:right w:val="nil"/>
            </w:tcBorders>
          </w:tcPr>
          <w:p>
            <w:pPr>
              <w:pStyle w:val="TableParagraph"/>
              <w:spacing w:line="240" w:lineRule="auto" w:before="0"/>
              <w:ind w:right="106"/>
              <w:rPr>
                <w:rFonts w:ascii="Carlito"/>
                <w:sz w:val="20"/>
              </w:rPr>
            </w:pPr>
            <w:r>
              <w:rPr>
                <w:rFonts w:ascii="Carlito"/>
                <w:sz w:val="20"/>
              </w:rPr>
              <w:t>10</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5.7</w:t>
            </w:r>
          </w:p>
        </w:tc>
        <w:tc>
          <w:tcPr>
            <w:tcW w:w="1460" w:type="dxa"/>
            <w:tcBorders>
              <w:left w:val="nil"/>
            </w:tcBorders>
          </w:tcPr>
          <w:p>
            <w:pPr>
              <w:pStyle w:val="TableParagraph"/>
              <w:spacing w:line="240" w:lineRule="auto" w:before="0"/>
              <w:ind w:right="96"/>
              <w:rPr>
                <w:rFonts w:ascii="Carlito"/>
                <w:sz w:val="20"/>
              </w:rPr>
            </w:pPr>
            <w:r>
              <w:rPr>
                <w:rFonts w:ascii="Carlito"/>
                <w:sz w:val="20"/>
              </w:rPr>
              <w:t>0</w:t>
            </w:r>
          </w:p>
        </w:tc>
      </w:tr>
      <w:tr>
        <w:trPr>
          <w:trHeight w:val="290" w:hRule="atLeast"/>
        </w:trPr>
        <w:tc>
          <w:tcPr>
            <w:tcW w:w="2834" w:type="dxa"/>
            <w:tcBorders>
              <w:right w:val="nil"/>
            </w:tcBorders>
          </w:tcPr>
          <w:p>
            <w:pPr>
              <w:pStyle w:val="TableParagraph"/>
              <w:spacing w:line="240" w:lineRule="auto" w:before="5"/>
              <w:ind w:left="106"/>
              <w:jc w:val="left"/>
              <w:rPr>
                <w:rFonts w:ascii="Carlito"/>
                <w:b/>
                <w:sz w:val="20"/>
              </w:rPr>
            </w:pPr>
            <w:r>
              <w:rPr>
                <w:rFonts w:ascii="Carlito"/>
                <w:b/>
                <w:sz w:val="20"/>
              </w:rPr>
              <w:t>Cipreses</w:t>
            </w:r>
          </w:p>
        </w:tc>
        <w:tc>
          <w:tcPr>
            <w:tcW w:w="2104" w:type="dxa"/>
            <w:tcBorders>
              <w:left w:val="nil"/>
              <w:right w:val="nil"/>
            </w:tcBorders>
          </w:tcPr>
          <w:p>
            <w:pPr>
              <w:pStyle w:val="TableParagraph"/>
              <w:spacing w:line="240" w:lineRule="auto" w:before="5"/>
              <w:ind w:right="101"/>
              <w:rPr>
                <w:rFonts w:ascii="Carlito"/>
                <w:sz w:val="20"/>
              </w:rPr>
            </w:pPr>
            <w:r>
              <w:rPr>
                <w:rFonts w:ascii="Carlito"/>
                <w:sz w:val="20"/>
              </w:rPr>
              <w:t>7</w:t>
            </w:r>
          </w:p>
        </w:tc>
        <w:tc>
          <w:tcPr>
            <w:tcW w:w="2141" w:type="dxa"/>
            <w:tcBorders>
              <w:left w:val="nil"/>
              <w:right w:val="nil"/>
            </w:tcBorders>
          </w:tcPr>
          <w:p>
            <w:pPr>
              <w:pStyle w:val="TableParagraph"/>
              <w:spacing w:line="240" w:lineRule="auto" w:before="5"/>
              <w:ind w:right="101"/>
              <w:rPr>
                <w:rFonts w:ascii="Carlito"/>
                <w:sz w:val="20"/>
              </w:rPr>
            </w:pPr>
            <w:r>
              <w:rPr>
                <w:rFonts w:ascii="Carlito"/>
                <w:sz w:val="20"/>
              </w:rPr>
              <w:t>4.3</w:t>
            </w:r>
          </w:p>
        </w:tc>
        <w:tc>
          <w:tcPr>
            <w:tcW w:w="1460" w:type="dxa"/>
            <w:tcBorders>
              <w:left w:val="nil"/>
            </w:tcBorders>
          </w:tcPr>
          <w:p>
            <w:pPr>
              <w:pStyle w:val="TableParagraph"/>
              <w:spacing w:line="240" w:lineRule="auto" w:before="5"/>
              <w:ind w:right="96"/>
              <w:rPr>
                <w:rFonts w:ascii="Carlito"/>
                <w:sz w:val="20"/>
              </w:rPr>
            </w:pPr>
            <w:r>
              <w:rPr>
                <w:rFonts w:ascii="Carlito"/>
                <w:sz w:val="20"/>
              </w:rPr>
              <w:t>0</w:t>
            </w:r>
          </w:p>
        </w:tc>
      </w:tr>
      <w:tr>
        <w:trPr>
          <w:trHeight w:val="286" w:hRule="atLeast"/>
        </w:trPr>
        <w:tc>
          <w:tcPr>
            <w:tcW w:w="2834" w:type="dxa"/>
            <w:tcBorders>
              <w:right w:val="nil"/>
            </w:tcBorders>
          </w:tcPr>
          <w:p>
            <w:pPr>
              <w:pStyle w:val="TableParagraph"/>
              <w:spacing w:line="240" w:lineRule="auto" w:before="0"/>
              <w:ind w:left="106"/>
              <w:jc w:val="left"/>
              <w:rPr>
                <w:rFonts w:ascii="Carlito"/>
                <w:b/>
                <w:sz w:val="20"/>
              </w:rPr>
            </w:pPr>
            <w:r>
              <w:rPr>
                <w:rFonts w:ascii="Carlito"/>
                <w:b/>
                <w:sz w:val="20"/>
              </w:rPr>
              <w:t>Colinas de Montealegre</w:t>
            </w:r>
          </w:p>
        </w:tc>
        <w:tc>
          <w:tcPr>
            <w:tcW w:w="2104" w:type="dxa"/>
            <w:tcBorders>
              <w:left w:val="nil"/>
              <w:right w:val="nil"/>
            </w:tcBorders>
          </w:tcPr>
          <w:p>
            <w:pPr>
              <w:pStyle w:val="TableParagraph"/>
              <w:spacing w:line="240" w:lineRule="auto" w:before="0"/>
              <w:ind w:right="101"/>
              <w:rPr>
                <w:rFonts w:ascii="Carlito"/>
                <w:sz w:val="20"/>
              </w:rPr>
            </w:pPr>
            <w:r>
              <w:rPr>
                <w:rFonts w:ascii="Carlito"/>
                <w:sz w:val="20"/>
              </w:rPr>
              <w:t>8.8</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3.3</w:t>
            </w:r>
          </w:p>
        </w:tc>
        <w:tc>
          <w:tcPr>
            <w:tcW w:w="1460" w:type="dxa"/>
            <w:tcBorders>
              <w:left w:val="nil"/>
            </w:tcBorders>
          </w:tcPr>
          <w:p>
            <w:pPr>
              <w:pStyle w:val="TableParagraph"/>
              <w:spacing w:line="240" w:lineRule="auto" w:before="0"/>
              <w:ind w:right="96"/>
              <w:rPr>
                <w:rFonts w:ascii="Carlito"/>
                <w:sz w:val="20"/>
              </w:rPr>
            </w:pPr>
            <w:r>
              <w:rPr>
                <w:rFonts w:ascii="Carlito"/>
                <w:sz w:val="20"/>
              </w:rPr>
              <w:t>1</w:t>
            </w:r>
          </w:p>
        </w:tc>
      </w:tr>
      <w:tr>
        <w:trPr>
          <w:trHeight w:val="290" w:hRule="atLeast"/>
        </w:trPr>
        <w:tc>
          <w:tcPr>
            <w:tcW w:w="2834" w:type="dxa"/>
            <w:tcBorders>
              <w:right w:val="nil"/>
            </w:tcBorders>
          </w:tcPr>
          <w:p>
            <w:pPr>
              <w:pStyle w:val="TableParagraph"/>
              <w:spacing w:line="240" w:lineRule="auto" w:before="4"/>
              <w:ind w:left="106"/>
              <w:jc w:val="left"/>
              <w:rPr>
                <w:rFonts w:ascii="Carlito" w:hAnsi="Carlito"/>
                <w:b/>
                <w:sz w:val="20"/>
              </w:rPr>
            </w:pPr>
            <w:r>
              <w:rPr>
                <w:rFonts w:ascii="Carlito" w:hAnsi="Carlito"/>
                <w:b/>
                <w:sz w:val="20"/>
              </w:rPr>
              <w:t>Concepción de Tres Ríos</w:t>
            </w:r>
          </w:p>
        </w:tc>
        <w:tc>
          <w:tcPr>
            <w:tcW w:w="2104" w:type="dxa"/>
            <w:tcBorders>
              <w:left w:val="nil"/>
              <w:right w:val="nil"/>
            </w:tcBorders>
          </w:tcPr>
          <w:p>
            <w:pPr>
              <w:pStyle w:val="TableParagraph"/>
              <w:spacing w:line="240" w:lineRule="auto" w:before="4"/>
              <w:ind w:right="105"/>
              <w:rPr>
                <w:rFonts w:ascii="Carlito"/>
                <w:sz w:val="20"/>
              </w:rPr>
            </w:pPr>
            <w:r>
              <w:rPr>
                <w:rFonts w:ascii="Carlito"/>
                <w:sz w:val="20"/>
              </w:rPr>
              <w:t>10.7</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4.9</w:t>
            </w:r>
          </w:p>
        </w:tc>
        <w:tc>
          <w:tcPr>
            <w:tcW w:w="1460" w:type="dxa"/>
            <w:tcBorders>
              <w:left w:val="nil"/>
            </w:tcBorders>
          </w:tcPr>
          <w:p>
            <w:pPr>
              <w:pStyle w:val="TableParagraph"/>
              <w:spacing w:line="240" w:lineRule="auto" w:before="4"/>
              <w:ind w:right="96"/>
              <w:rPr>
                <w:rFonts w:ascii="Carlito"/>
                <w:sz w:val="20"/>
              </w:rPr>
            </w:pPr>
            <w:r>
              <w:rPr>
                <w:rFonts w:ascii="Carlito"/>
                <w:sz w:val="20"/>
              </w:rPr>
              <w:t>0</w:t>
            </w:r>
          </w:p>
        </w:tc>
      </w:tr>
      <w:tr>
        <w:trPr>
          <w:trHeight w:val="286" w:hRule="atLeast"/>
        </w:trPr>
        <w:tc>
          <w:tcPr>
            <w:tcW w:w="2834" w:type="dxa"/>
            <w:tcBorders>
              <w:right w:val="nil"/>
            </w:tcBorders>
          </w:tcPr>
          <w:p>
            <w:pPr>
              <w:pStyle w:val="TableParagraph"/>
              <w:spacing w:line="240" w:lineRule="auto" w:before="0"/>
              <w:ind w:left="106"/>
              <w:jc w:val="left"/>
              <w:rPr>
                <w:rFonts w:ascii="Carlito"/>
                <w:b/>
                <w:sz w:val="20"/>
              </w:rPr>
            </w:pPr>
            <w:r>
              <w:rPr>
                <w:rFonts w:ascii="Carlito"/>
                <w:b/>
                <w:sz w:val="20"/>
              </w:rPr>
              <w:t>Curridabat</w:t>
            </w:r>
          </w:p>
        </w:tc>
        <w:tc>
          <w:tcPr>
            <w:tcW w:w="2104" w:type="dxa"/>
            <w:tcBorders>
              <w:left w:val="nil"/>
              <w:right w:val="nil"/>
            </w:tcBorders>
          </w:tcPr>
          <w:p>
            <w:pPr>
              <w:pStyle w:val="TableParagraph"/>
              <w:spacing w:line="240" w:lineRule="auto" w:before="0"/>
              <w:ind w:right="101"/>
              <w:rPr>
                <w:rFonts w:ascii="Carlito"/>
                <w:sz w:val="20"/>
              </w:rPr>
            </w:pPr>
            <w:r>
              <w:rPr>
                <w:rFonts w:ascii="Carlito"/>
                <w:sz w:val="20"/>
              </w:rPr>
              <w:t>5.7</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3.2</w:t>
            </w:r>
          </w:p>
        </w:tc>
        <w:tc>
          <w:tcPr>
            <w:tcW w:w="1460" w:type="dxa"/>
            <w:tcBorders>
              <w:left w:val="nil"/>
            </w:tcBorders>
          </w:tcPr>
          <w:p>
            <w:pPr>
              <w:pStyle w:val="TableParagraph"/>
              <w:spacing w:line="240" w:lineRule="auto" w:before="0"/>
              <w:ind w:right="96"/>
              <w:rPr>
                <w:rFonts w:ascii="Carlito"/>
                <w:sz w:val="20"/>
              </w:rPr>
            </w:pPr>
            <w:r>
              <w:rPr>
                <w:rFonts w:ascii="Carlito"/>
                <w:sz w:val="20"/>
              </w:rPr>
              <w:t>0</w:t>
            </w:r>
          </w:p>
        </w:tc>
      </w:tr>
      <w:tr>
        <w:trPr>
          <w:trHeight w:val="290" w:hRule="atLeast"/>
        </w:trPr>
        <w:tc>
          <w:tcPr>
            <w:tcW w:w="2834" w:type="dxa"/>
            <w:tcBorders>
              <w:right w:val="nil"/>
            </w:tcBorders>
          </w:tcPr>
          <w:p>
            <w:pPr>
              <w:pStyle w:val="TableParagraph"/>
              <w:spacing w:line="240" w:lineRule="auto" w:before="4"/>
              <w:ind w:left="106"/>
              <w:jc w:val="left"/>
              <w:rPr>
                <w:rFonts w:ascii="Carlito"/>
                <w:b/>
                <w:sz w:val="20"/>
              </w:rPr>
            </w:pPr>
            <w:r>
              <w:rPr>
                <w:rFonts w:ascii="Carlito"/>
                <w:b/>
                <w:sz w:val="20"/>
              </w:rPr>
              <w:t>El Prado</w:t>
            </w:r>
          </w:p>
        </w:tc>
        <w:tc>
          <w:tcPr>
            <w:tcW w:w="2104" w:type="dxa"/>
            <w:tcBorders>
              <w:left w:val="nil"/>
              <w:right w:val="nil"/>
            </w:tcBorders>
          </w:tcPr>
          <w:p>
            <w:pPr>
              <w:pStyle w:val="TableParagraph"/>
              <w:spacing w:line="240" w:lineRule="auto" w:before="4"/>
              <w:ind w:right="101"/>
              <w:rPr>
                <w:rFonts w:ascii="Carlito"/>
                <w:sz w:val="20"/>
              </w:rPr>
            </w:pPr>
            <w:r>
              <w:rPr>
                <w:rFonts w:ascii="Carlito"/>
                <w:sz w:val="20"/>
              </w:rPr>
              <w:t>4.8</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4.8</w:t>
            </w:r>
          </w:p>
        </w:tc>
        <w:tc>
          <w:tcPr>
            <w:tcW w:w="1460" w:type="dxa"/>
            <w:tcBorders>
              <w:left w:val="nil"/>
            </w:tcBorders>
          </w:tcPr>
          <w:p>
            <w:pPr>
              <w:pStyle w:val="TableParagraph"/>
              <w:spacing w:line="240" w:lineRule="auto" w:before="4"/>
              <w:ind w:right="96"/>
              <w:rPr>
                <w:rFonts w:ascii="Carlito"/>
                <w:sz w:val="20"/>
              </w:rPr>
            </w:pPr>
            <w:r>
              <w:rPr>
                <w:rFonts w:ascii="Carlito"/>
                <w:sz w:val="20"/>
              </w:rPr>
              <w:t>0</w:t>
            </w:r>
          </w:p>
        </w:tc>
      </w:tr>
      <w:tr>
        <w:trPr>
          <w:trHeight w:val="285" w:hRule="atLeast"/>
        </w:trPr>
        <w:tc>
          <w:tcPr>
            <w:tcW w:w="2834" w:type="dxa"/>
            <w:tcBorders>
              <w:right w:val="nil"/>
            </w:tcBorders>
          </w:tcPr>
          <w:p>
            <w:pPr>
              <w:pStyle w:val="TableParagraph"/>
              <w:spacing w:line="240" w:lineRule="auto" w:before="0"/>
              <w:ind w:left="106"/>
              <w:jc w:val="left"/>
              <w:rPr>
                <w:rFonts w:ascii="Carlito"/>
                <w:b/>
                <w:sz w:val="20"/>
              </w:rPr>
            </w:pPr>
            <w:r>
              <w:rPr>
                <w:rFonts w:ascii="Carlito"/>
                <w:b/>
                <w:sz w:val="20"/>
              </w:rPr>
              <w:t>Freses</w:t>
            </w:r>
          </w:p>
        </w:tc>
        <w:tc>
          <w:tcPr>
            <w:tcW w:w="2104" w:type="dxa"/>
            <w:tcBorders>
              <w:left w:val="nil"/>
              <w:right w:val="nil"/>
            </w:tcBorders>
          </w:tcPr>
          <w:p>
            <w:pPr>
              <w:pStyle w:val="TableParagraph"/>
              <w:spacing w:line="240" w:lineRule="auto" w:before="0"/>
              <w:ind w:right="101"/>
              <w:rPr>
                <w:rFonts w:ascii="Carlito"/>
                <w:sz w:val="20"/>
              </w:rPr>
            </w:pPr>
            <w:r>
              <w:rPr>
                <w:rFonts w:ascii="Carlito"/>
                <w:sz w:val="20"/>
              </w:rPr>
              <w:t>5.2</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5.2</w:t>
            </w:r>
          </w:p>
        </w:tc>
        <w:tc>
          <w:tcPr>
            <w:tcW w:w="1460" w:type="dxa"/>
            <w:tcBorders>
              <w:left w:val="nil"/>
            </w:tcBorders>
          </w:tcPr>
          <w:p>
            <w:pPr>
              <w:pStyle w:val="TableParagraph"/>
              <w:spacing w:line="240" w:lineRule="auto" w:before="0"/>
              <w:ind w:right="96"/>
              <w:rPr>
                <w:rFonts w:ascii="Carlito"/>
                <w:sz w:val="20"/>
              </w:rPr>
            </w:pPr>
            <w:r>
              <w:rPr>
                <w:rFonts w:ascii="Carlito"/>
                <w:sz w:val="20"/>
              </w:rPr>
              <w:t>0</w:t>
            </w:r>
          </w:p>
        </w:tc>
      </w:tr>
      <w:tr>
        <w:trPr>
          <w:trHeight w:val="290" w:hRule="atLeast"/>
        </w:trPr>
        <w:tc>
          <w:tcPr>
            <w:tcW w:w="2834" w:type="dxa"/>
            <w:tcBorders>
              <w:right w:val="nil"/>
            </w:tcBorders>
          </w:tcPr>
          <w:p>
            <w:pPr>
              <w:pStyle w:val="TableParagraph"/>
              <w:spacing w:line="240" w:lineRule="auto" w:before="4"/>
              <w:ind w:left="106"/>
              <w:jc w:val="left"/>
              <w:rPr>
                <w:rFonts w:ascii="Carlito"/>
                <w:b/>
                <w:sz w:val="20"/>
              </w:rPr>
            </w:pPr>
            <w:r>
              <w:rPr>
                <w:rFonts w:ascii="Carlito"/>
                <w:b/>
                <w:sz w:val="20"/>
              </w:rPr>
              <w:t>Granadilla</w:t>
            </w:r>
          </w:p>
        </w:tc>
        <w:tc>
          <w:tcPr>
            <w:tcW w:w="2104" w:type="dxa"/>
            <w:tcBorders>
              <w:left w:val="nil"/>
              <w:right w:val="nil"/>
            </w:tcBorders>
          </w:tcPr>
          <w:p>
            <w:pPr>
              <w:pStyle w:val="TableParagraph"/>
              <w:spacing w:line="240" w:lineRule="auto" w:before="4"/>
              <w:ind w:right="101"/>
              <w:rPr>
                <w:rFonts w:ascii="Carlito"/>
                <w:sz w:val="20"/>
              </w:rPr>
            </w:pPr>
            <w:r>
              <w:rPr>
                <w:rFonts w:ascii="Carlito"/>
                <w:sz w:val="20"/>
              </w:rPr>
              <w:t>7.2</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5.6</w:t>
            </w:r>
          </w:p>
        </w:tc>
        <w:tc>
          <w:tcPr>
            <w:tcW w:w="1460" w:type="dxa"/>
            <w:tcBorders>
              <w:left w:val="nil"/>
            </w:tcBorders>
          </w:tcPr>
          <w:p>
            <w:pPr>
              <w:pStyle w:val="TableParagraph"/>
              <w:spacing w:line="240" w:lineRule="auto" w:before="4"/>
              <w:ind w:right="96"/>
              <w:rPr>
                <w:rFonts w:ascii="Carlito"/>
                <w:sz w:val="20"/>
              </w:rPr>
            </w:pPr>
            <w:r>
              <w:rPr>
                <w:rFonts w:ascii="Carlito"/>
                <w:sz w:val="20"/>
              </w:rPr>
              <w:t>1</w:t>
            </w:r>
          </w:p>
        </w:tc>
      </w:tr>
      <w:tr>
        <w:trPr>
          <w:trHeight w:val="286" w:hRule="atLeast"/>
        </w:trPr>
        <w:tc>
          <w:tcPr>
            <w:tcW w:w="2834" w:type="dxa"/>
            <w:tcBorders>
              <w:right w:val="nil"/>
            </w:tcBorders>
          </w:tcPr>
          <w:p>
            <w:pPr>
              <w:pStyle w:val="TableParagraph"/>
              <w:spacing w:line="240" w:lineRule="auto" w:before="1"/>
              <w:ind w:left="106"/>
              <w:jc w:val="left"/>
              <w:rPr>
                <w:rFonts w:ascii="Carlito"/>
                <w:b/>
                <w:sz w:val="20"/>
              </w:rPr>
            </w:pPr>
            <w:r>
              <w:rPr>
                <w:rFonts w:ascii="Carlito"/>
                <w:b/>
                <w:sz w:val="20"/>
              </w:rPr>
              <w:t>Guatuso de Patarra</w:t>
            </w:r>
          </w:p>
        </w:tc>
        <w:tc>
          <w:tcPr>
            <w:tcW w:w="2104" w:type="dxa"/>
            <w:tcBorders>
              <w:left w:val="nil"/>
              <w:right w:val="nil"/>
            </w:tcBorders>
          </w:tcPr>
          <w:p>
            <w:pPr>
              <w:pStyle w:val="TableParagraph"/>
              <w:spacing w:line="240" w:lineRule="auto" w:before="1"/>
              <w:ind w:right="103"/>
              <w:rPr>
                <w:rFonts w:ascii="Carlito"/>
                <w:sz w:val="20"/>
              </w:rPr>
            </w:pPr>
            <w:r>
              <w:rPr>
                <w:rFonts w:ascii="Carlito"/>
                <w:sz w:val="20"/>
              </w:rPr>
              <w:t>11.3</w:t>
            </w:r>
          </w:p>
        </w:tc>
        <w:tc>
          <w:tcPr>
            <w:tcW w:w="2141" w:type="dxa"/>
            <w:tcBorders>
              <w:left w:val="nil"/>
              <w:right w:val="nil"/>
            </w:tcBorders>
          </w:tcPr>
          <w:p>
            <w:pPr>
              <w:pStyle w:val="TableParagraph"/>
              <w:spacing w:line="240" w:lineRule="auto" w:before="1"/>
              <w:ind w:right="101"/>
              <w:rPr>
                <w:rFonts w:ascii="Carlito"/>
                <w:sz w:val="20"/>
              </w:rPr>
            </w:pPr>
            <w:r>
              <w:rPr>
                <w:rFonts w:ascii="Carlito"/>
                <w:sz w:val="20"/>
              </w:rPr>
              <w:t>3.1</w:t>
            </w:r>
          </w:p>
        </w:tc>
        <w:tc>
          <w:tcPr>
            <w:tcW w:w="1460" w:type="dxa"/>
            <w:tcBorders>
              <w:left w:val="nil"/>
            </w:tcBorders>
          </w:tcPr>
          <w:p>
            <w:pPr>
              <w:pStyle w:val="TableParagraph"/>
              <w:spacing w:line="240" w:lineRule="auto" w:before="1"/>
              <w:ind w:right="96"/>
              <w:rPr>
                <w:rFonts w:ascii="Carlito"/>
                <w:sz w:val="20"/>
              </w:rPr>
            </w:pPr>
            <w:r>
              <w:rPr>
                <w:rFonts w:ascii="Carlito"/>
                <w:sz w:val="20"/>
              </w:rPr>
              <w:t>0</w:t>
            </w:r>
          </w:p>
        </w:tc>
      </w:tr>
      <w:tr>
        <w:trPr>
          <w:trHeight w:val="290" w:hRule="atLeast"/>
        </w:trPr>
        <w:tc>
          <w:tcPr>
            <w:tcW w:w="2834" w:type="dxa"/>
            <w:tcBorders>
              <w:right w:val="nil"/>
            </w:tcBorders>
          </w:tcPr>
          <w:p>
            <w:pPr>
              <w:pStyle w:val="TableParagraph"/>
              <w:spacing w:line="240" w:lineRule="auto" w:before="4"/>
              <w:ind w:left="106"/>
              <w:jc w:val="left"/>
              <w:rPr>
                <w:rFonts w:ascii="Carlito"/>
                <w:b/>
                <w:sz w:val="20"/>
              </w:rPr>
            </w:pPr>
            <w:r>
              <w:rPr>
                <w:rFonts w:ascii="Carlito"/>
                <w:b/>
                <w:sz w:val="20"/>
              </w:rPr>
              <w:t>Guayabos</w:t>
            </w:r>
          </w:p>
        </w:tc>
        <w:tc>
          <w:tcPr>
            <w:tcW w:w="2104" w:type="dxa"/>
            <w:tcBorders>
              <w:left w:val="nil"/>
              <w:right w:val="nil"/>
            </w:tcBorders>
          </w:tcPr>
          <w:p>
            <w:pPr>
              <w:pStyle w:val="TableParagraph"/>
              <w:spacing w:line="240" w:lineRule="auto" w:before="4"/>
              <w:ind w:right="101"/>
              <w:rPr>
                <w:rFonts w:ascii="Carlito"/>
                <w:sz w:val="20"/>
              </w:rPr>
            </w:pPr>
            <w:r>
              <w:rPr>
                <w:rFonts w:ascii="Carlito"/>
                <w:sz w:val="20"/>
              </w:rPr>
              <w:t>7.4</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5</w:t>
            </w:r>
          </w:p>
        </w:tc>
        <w:tc>
          <w:tcPr>
            <w:tcW w:w="1460" w:type="dxa"/>
            <w:tcBorders>
              <w:left w:val="nil"/>
            </w:tcBorders>
          </w:tcPr>
          <w:p>
            <w:pPr>
              <w:pStyle w:val="TableParagraph"/>
              <w:spacing w:line="240" w:lineRule="auto" w:before="4"/>
              <w:ind w:right="96"/>
              <w:rPr>
                <w:rFonts w:ascii="Carlito"/>
                <w:sz w:val="20"/>
              </w:rPr>
            </w:pPr>
            <w:r>
              <w:rPr>
                <w:rFonts w:ascii="Carlito"/>
                <w:sz w:val="20"/>
              </w:rPr>
              <w:t>0</w:t>
            </w:r>
          </w:p>
        </w:tc>
      </w:tr>
      <w:tr>
        <w:trPr>
          <w:trHeight w:val="285" w:hRule="atLeast"/>
        </w:trPr>
        <w:tc>
          <w:tcPr>
            <w:tcW w:w="2834" w:type="dxa"/>
            <w:tcBorders>
              <w:right w:val="nil"/>
            </w:tcBorders>
          </w:tcPr>
          <w:p>
            <w:pPr>
              <w:pStyle w:val="TableParagraph"/>
              <w:spacing w:line="240" w:lineRule="auto" w:before="0"/>
              <w:ind w:left="106"/>
              <w:jc w:val="left"/>
              <w:rPr>
                <w:rFonts w:ascii="Carlito"/>
                <w:b/>
                <w:sz w:val="20"/>
              </w:rPr>
            </w:pPr>
            <w:r>
              <w:rPr>
                <w:rFonts w:ascii="Carlito"/>
                <w:b/>
                <w:sz w:val="20"/>
              </w:rPr>
              <w:t>Hacienda Vieja</w:t>
            </w:r>
          </w:p>
        </w:tc>
        <w:tc>
          <w:tcPr>
            <w:tcW w:w="2104" w:type="dxa"/>
            <w:tcBorders>
              <w:left w:val="nil"/>
              <w:right w:val="nil"/>
            </w:tcBorders>
          </w:tcPr>
          <w:p>
            <w:pPr>
              <w:pStyle w:val="TableParagraph"/>
              <w:spacing w:line="240" w:lineRule="auto" w:before="0"/>
              <w:ind w:right="101"/>
              <w:rPr>
                <w:rFonts w:ascii="Carlito"/>
                <w:sz w:val="20"/>
              </w:rPr>
            </w:pPr>
            <w:r>
              <w:rPr>
                <w:rFonts w:ascii="Carlito"/>
                <w:sz w:val="20"/>
              </w:rPr>
              <w:t>6.6</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2.8</w:t>
            </w:r>
          </w:p>
        </w:tc>
        <w:tc>
          <w:tcPr>
            <w:tcW w:w="1460" w:type="dxa"/>
            <w:tcBorders>
              <w:left w:val="nil"/>
            </w:tcBorders>
          </w:tcPr>
          <w:p>
            <w:pPr>
              <w:pStyle w:val="TableParagraph"/>
              <w:spacing w:line="240" w:lineRule="auto" w:before="0"/>
              <w:ind w:right="96"/>
              <w:rPr>
                <w:rFonts w:ascii="Carlito"/>
                <w:sz w:val="20"/>
              </w:rPr>
            </w:pPr>
            <w:r>
              <w:rPr>
                <w:rFonts w:ascii="Carlito"/>
                <w:sz w:val="20"/>
              </w:rPr>
              <w:t>0</w:t>
            </w:r>
          </w:p>
        </w:tc>
      </w:tr>
      <w:tr>
        <w:trPr>
          <w:trHeight w:val="290" w:hRule="atLeast"/>
        </w:trPr>
        <w:tc>
          <w:tcPr>
            <w:tcW w:w="2834" w:type="dxa"/>
            <w:tcBorders>
              <w:right w:val="nil"/>
            </w:tcBorders>
          </w:tcPr>
          <w:p>
            <w:pPr>
              <w:pStyle w:val="TableParagraph"/>
              <w:spacing w:line="240" w:lineRule="auto" w:before="4"/>
              <w:ind w:left="106"/>
              <w:jc w:val="left"/>
              <w:rPr>
                <w:rFonts w:ascii="Carlito" w:hAnsi="Carlito"/>
                <w:b/>
                <w:sz w:val="20"/>
              </w:rPr>
            </w:pPr>
            <w:r>
              <w:rPr>
                <w:rFonts w:ascii="Carlito" w:hAnsi="Carlito"/>
                <w:b/>
                <w:sz w:val="20"/>
              </w:rPr>
              <w:t>José María Zeledón</w:t>
            </w:r>
          </w:p>
        </w:tc>
        <w:tc>
          <w:tcPr>
            <w:tcW w:w="2104" w:type="dxa"/>
            <w:tcBorders>
              <w:left w:val="nil"/>
              <w:right w:val="nil"/>
            </w:tcBorders>
          </w:tcPr>
          <w:p>
            <w:pPr>
              <w:pStyle w:val="TableParagraph"/>
              <w:spacing w:line="240" w:lineRule="auto" w:before="4"/>
              <w:ind w:right="101"/>
              <w:rPr>
                <w:rFonts w:ascii="Carlito"/>
                <w:sz w:val="20"/>
              </w:rPr>
            </w:pPr>
            <w:r>
              <w:rPr>
                <w:rFonts w:ascii="Carlito"/>
                <w:sz w:val="20"/>
              </w:rPr>
              <w:t>5.2</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4</w:t>
            </w:r>
          </w:p>
        </w:tc>
        <w:tc>
          <w:tcPr>
            <w:tcW w:w="1460" w:type="dxa"/>
            <w:tcBorders>
              <w:left w:val="nil"/>
            </w:tcBorders>
          </w:tcPr>
          <w:p>
            <w:pPr>
              <w:pStyle w:val="TableParagraph"/>
              <w:spacing w:line="240" w:lineRule="auto" w:before="4"/>
              <w:ind w:right="96"/>
              <w:rPr>
                <w:rFonts w:ascii="Carlito"/>
                <w:sz w:val="20"/>
              </w:rPr>
            </w:pPr>
            <w:r>
              <w:rPr>
                <w:rFonts w:ascii="Carlito"/>
                <w:sz w:val="20"/>
              </w:rPr>
              <w:t>0</w:t>
            </w:r>
          </w:p>
        </w:tc>
      </w:tr>
      <w:tr>
        <w:trPr>
          <w:trHeight w:val="286" w:hRule="atLeast"/>
        </w:trPr>
        <w:tc>
          <w:tcPr>
            <w:tcW w:w="2834" w:type="dxa"/>
            <w:tcBorders>
              <w:right w:val="nil"/>
            </w:tcBorders>
          </w:tcPr>
          <w:p>
            <w:pPr>
              <w:pStyle w:val="TableParagraph"/>
              <w:spacing w:line="240" w:lineRule="auto" w:before="0"/>
              <w:ind w:left="106"/>
              <w:jc w:val="left"/>
              <w:rPr>
                <w:rFonts w:ascii="Carlito"/>
                <w:b/>
                <w:sz w:val="20"/>
              </w:rPr>
            </w:pPr>
            <w:r>
              <w:rPr>
                <w:rFonts w:ascii="Carlito"/>
                <w:b/>
                <w:sz w:val="20"/>
              </w:rPr>
              <w:t>La Colina</w:t>
            </w:r>
          </w:p>
        </w:tc>
        <w:tc>
          <w:tcPr>
            <w:tcW w:w="2104" w:type="dxa"/>
            <w:tcBorders>
              <w:left w:val="nil"/>
              <w:right w:val="nil"/>
            </w:tcBorders>
          </w:tcPr>
          <w:p>
            <w:pPr>
              <w:pStyle w:val="TableParagraph"/>
              <w:spacing w:line="240" w:lineRule="auto" w:before="0"/>
              <w:ind w:right="101"/>
              <w:rPr>
                <w:rFonts w:ascii="Carlito"/>
                <w:sz w:val="20"/>
              </w:rPr>
            </w:pPr>
            <w:r>
              <w:rPr>
                <w:rFonts w:ascii="Carlito"/>
                <w:sz w:val="20"/>
              </w:rPr>
              <w:t>7.4</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2.4</w:t>
            </w:r>
          </w:p>
        </w:tc>
        <w:tc>
          <w:tcPr>
            <w:tcW w:w="1460" w:type="dxa"/>
            <w:tcBorders>
              <w:left w:val="nil"/>
            </w:tcBorders>
          </w:tcPr>
          <w:p>
            <w:pPr>
              <w:pStyle w:val="TableParagraph"/>
              <w:spacing w:line="240" w:lineRule="auto" w:before="0"/>
              <w:ind w:right="96"/>
              <w:rPr>
                <w:rFonts w:ascii="Carlito"/>
                <w:sz w:val="20"/>
              </w:rPr>
            </w:pPr>
            <w:r>
              <w:rPr>
                <w:rFonts w:ascii="Carlito"/>
                <w:sz w:val="20"/>
              </w:rPr>
              <w:t>1</w:t>
            </w:r>
          </w:p>
        </w:tc>
      </w:tr>
      <w:tr>
        <w:trPr>
          <w:trHeight w:val="290" w:hRule="atLeast"/>
        </w:trPr>
        <w:tc>
          <w:tcPr>
            <w:tcW w:w="2834" w:type="dxa"/>
            <w:tcBorders>
              <w:right w:val="nil"/>
            </w:tcBorders>
          </w:tcPr>
          <w:p>
            <w:pPr>
              <w:pStyle w:val="TableParagraph"/>
              <w:spacing w:line="240" w:lineRule="auto" w:before="4"/>
              <w:ind w:left="106"/>
              <w:jc w:val="left"/>
              <w:rPr>
                <w:rFonts w:ascii="Carlito"/>
                <w:b/>
                <w:sz w:val="20"/>
              </w:rPr>
            </w:pPr>
            <w:r>
              <w:rPr>
                <w:rFonts w:ascii="Carlito"/>
                <w:b/>
                <w:sz w:val="20"/>
              </w:rPr>
              <w:t>Lomas de Ayarco Sur</w:t>
            </w:r>
          </w:p>
        </w:tc>
        <w:tc>
          <w:tcPr>
            <w:tcW w:w="2104" w:type="dxa"/>
            <w:tcBorders>
              <w:left w:val="nil"/>
              <w:right w:val="nil"/>
            </w:tcBorders>
          </w:tcPr>
          <w:p>
            <w:pPr>
              <w:pStyle w:val="TableParagraph"/>
              <w:spacing w:line="240" w:lineRule="auto" w:before="4"/>
              <w:ind w:right="101"/>
              <w:rPr>
                <w:rFonts w:ascii="Carlito"/>
                <w:sz w:val="20"/>
              </w:rPr>
            </w:pPr>
            <w:r>
              <w:rPr>
                <w:rFonts w:ascii="Carlito"/>
                <w:sz w:val="20"/>
              </w:rPr>
              <w:t>8.8</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2.8</w:t>
            </w:r>
          </w:p>
        </w:tc>
        <w:tc>
          <w:tcPr>
            <w:tcW w:w="1460" w:type="dxa"/>
            <w:tcBorders>
              <w:left w:val="nil"/>
            </w:tcBorders>
          </w:tcPr>
          <w:p>
            <w:pPr>
              <w:pStyle w:val="TableParagraph"/>
              <w:spacing w:line="240" w:lineRule="auto" w:before="4"/>
              <w:ind w:right="96"/>
              <w:rPr>
                <w:rFonts w:ascii="Carlito"/>
                <w:sz w:val="20"/>
              </w:rPr>
            </w:pPr>
            <w:r>
              <w:rPr>
                <w:rFonts w:ascii="Carlito"/>
                <w:sz w:val="20"/>
              </w:rPr>
              <w:t>0</w:t>
            </w:r>
          </w:p>
        </w:tc>
      </w:tr>
      <w:tr>
        <w:trPr>
          <w:trHeight w:val="286" w:hRule="atLeast"/>
        </w:trPr>
        <w:tc>
          <w:tcPr>
            <w:tcW w:w="2834" w:type="dxa"/>
            <w:tcBorders>
              <w:right w:val="nil"/>
            </w:tcBorders>
          </w:tcPr>
          <w:p>
            <w:pPr>
              <w:pStyle w:val="TableParagraph"/>
              <w:spacing w:line="240" w:lineRule="auto" w:before="0"/>
              <w:ind w:left="106"/>
              <w:jc w:val="left"/>
              <w:rPr>
                <w:rFonts w:ascii="Carlito"/>
                <w:b/>
                <w:sz w:val="20"/>
              </w:rPr>
            </w:pPr>
            <w:r>
              <w:rPr>
                <w:rFonts w:ascii="Carlito"/>
                <w:b/>
                <w:sz w:val="20"/>
              </w:rPr>
              <w:t>Lomas de Granadilla</w:t>
            </w:r>
          </w:p>
        </w:tc>
        <w:tc>
          <w:tcPr>
            <w:tcW w:w="2104" w:type="dxa"/>
            <w:tcBorders>
              <w:left w:val="nil"/>
              <w:right w:val="nil"/>
            </w:tcBorders>
          </w:tcPr>
          <w:p>
            <w:pPr>
              <w:pStyle w:val="TableParagraph"/>
              <w:spacing w:line="240" w:lineRule="auto" w:before="0"/>
              <w:ind w:right="101"/>
              <w:rPr>
                <w:rFonts w:ascii="Carlito"/>
                <w:sz w:val="20"/>
              </w:rPr>
            </w:pPr>
            <w:r>
              <w:rPr>
                <w:rFonts w:ascii="Carlito"/>
                <w:sz w:val="20"/>
              </w:rPr>
              <w:t>8</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6.4</w:t>
            </w:r>
          </w:p>
        </w:tc>
        <w:tc>
          <w:tcPr>
            <w:tcW w:w="1460" w:type="dxa"/>
            <w:tcBorders>
              <w:left w:val="nil"/>
            </w:tcBorders>
          </w:tcPr>
          <w:p>
            <w:pPr>
              <w:pStyle w:val="TableParagraph"/>
              <w:spacing w:line="240" w:lineRule="auto" w:before="0"/>
              <w:ind w:right="96"/>
              <w:rPr>
                <w:rFonts w:ascii="Carlito"/>
                <w:sz w:val="20"/>
              </w:rPr>
            </w:pPr>
            <w:r>
              <w:rPr>
                <w:rFonts w:ascii="Carlito"/>
                <w:sz w:val="20"/>
              </w:rPr>
              <w:t>0</w:t>
            </w:r>
          </w:p>
        </w:tc>
      </w:tr>
      <w:tr>
        <w:trPr>
          <w:trHeight w:val="290" w:hRule="atLeast"/>
        </w:trPr>
        <w:tc>
          <w:tcPr>
            <w:tcW w:w="2834" w:type="dxa"/>
            <w:tcBorders>
              <w:right w:val="nil"/>
            </w:tcBorders>
          </w:tcPr>
          <w:p>
            <w:pPr>
              <w:pStyle w:val="TableParagraph"/>
              <w:spacing w:line="240" w:lineRule="auto" w:before="5"/>
              <w:ind w:left="106"/>
              <w:jc w:val="left"/>
              <w:rPr>
                <w:rFonts w:ascii="Carlito"/>
                <w:b/>
                <w:sz w:val="20"/>
              </w:rPr>
            </w:pPr>
            <w:r>
              <w:rPr>
                <w:rFonts w:ascii="Carlito"/>
                <w:b/>
                <w:sz w:val="20"/>
              </w:rPr>
              <w:t>Lomas del Sol</w:t>
            </w:r>
          </w:p>
        </w:tc>
        <w:tc>
          <w:tcPr>
            <w:tcW w:w="2104" w:type="dxa"/>
            <w:tcBorders>
              <w:left w:val="nil"/>
              <w:right w:val="nil"/>
            </w:tcBorders>
          </w:tcPr>
          <w:p>
            <w:pPr>
              <w:pStyle w:val="TableParagraph"/>
              <w:spacing w:line="240" w:lineRule="auto" w:before="5"/>
              <w:ind w:right="101"/>
              <w:rPr>
                <w:rFonts w:ascii="Carlito"/>
                <w:sz w:val="20"/>
              </w:rPr>
            </w:pPr>
            <w:r>
              <w:rPr>
                <w:rFonts w:ascii="Carlito"/>
                <w:sz w:val="20"/>
              </w:rPr>
              <w:t>7</w:t>
            </w:r>
          </w:p>
        </w:tc>
        <w:tc>
          <w:tcPr>
            <w:tcW w:w="2141" w:type="dxa"/>
            <w:tcBorders>
              <w:left w:val="nil"/>
              <w:right w:val="nil"/>
            </w:tcBorders>
          </w:tcPr>
          <w:p>
            <w:pPr>
              <w:pStyle w:val="TableParagraph"/>
              <w:spacing w:line="240" w:lineRule="auto" w:before="5"/>
              <w:ind w:right="101"/>
              <w:rPr>
                <w:rFonts w:ascii="Carlito"/>
                <w:sz w:val="20"/>
              </w:rPr>
            </w:pPr>
            <w:r>
              <w:rPr>
                <w:rFonts w:ascii="Carlito"/>
                <w:sz w:val="20"/>
              </w:rPr>
              <w:t>3.3</w:t>
            </w:r>
          </w:p>
        </w:tc>
        <w:tc>
          <w:tcPr>
            <w:tcW w:w="1460" w:type="dxa"/>
            <w:tcBorders>
              <w:left w:val="nil"/>
            </w:tcBorders>
          </w:tcPr>
          <w:p>
            <w:pPr>
              <w:pStyle w:val="TableParagraph"/>
              <w:spacing w:line="240" w:lineRule="auto" w:before="5"/>
              <w:ind w:right="96"/>
              <w:rPr>
                <w:rFonts w:ascii="Carlito"/>
                <w:sz w:val="20"/>
              </w:rPr>
            </w:pPr>
            <w:r>
              <w:rPr>
                <w:rFonts w:ascii="Carlito"/>
                <w:sz w:val="20"/>
              </w:rPr>
              <w:t>1</w:t>
            </w:r>
          </w:p>
        </w:tc>
      </w:tr>
      <w:tr>
        <w:trPr>
          <w:trHeight w:val="286" w:hRule="atLeast"/>
        </w:trPr>
        <w:tc>
          <w:tcPr>
            <w:tcW w:w="2834" w:type="dxa"/>
            <w:tcBorders>
              <w:right w:val="nil"/>
            </w:tcBorders>
          </w:tcPr>
          <w:p>
            <w:pPr>
              <w:pStyle w:val="TableParagraph"/>
              <w:spacing w:line="240" w:lineRule="auto" w:before="0"/>
              <w:ind w:left="106"/>
              <w:jc w:val="left"/>
              <w:rPr>
                <w:rFonts w:ascii="Carlito" w:hAnsi="Carlito"/>
                <w:b/>
                <w:sz w:val="20"/>
              </w:rPr>
            </w:pPr>
            <w:r>
              <w:rPr>
                <w:rFonts w:ascii="Carlito" w:hAnsi="Carlito"/>
                <w:b/>
                <w:sz w:val="20"/>
              </w:rPr>
              <w:t>Monterán</w:t>
            </w:r>
          </w:p>
        </w:tc>
        <w:tc>
          <w:tcPr>
            <w:tcW w:w="2104" w:type="dxa"/>
            <w:tcBorders>
              <w:left w:val="nil"/>
              <w:right w:val="nil"/>
            </w:tcBorders>
          </w:tcPr>
          <w:p>
            <w:pPr>
              <w:pStyle w:val="TableParagraph"/>
              <w:spacing w:line="240" w:lineRule="auto" w:before="0"/>
              <w:ind w:right="101"/>
              <w:rPr>
                <w:rFonts w:ascii="Carlito"/>
                <w:sz w:val="20"/>
              </w:rPr>
            </w:pPr>
            <w:r>
              <w:rPr>
                <w:rFonts w:ascii="Carlito"/>
                <w:sz w:val="20"/>
              </w:rPr>
              <w:t>8.7</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5.8</w:t>
            </w:r>
          </w:p>
        </w:tc>
        <w:tc>
          <w:tcPr>
            <w:tcW w:w="1460" w:type="dxa"/>
            <w:tcBorders>
              <w:left w:val="nil"/>
            </w:tcBorders>
          </w:tcPr>
          <w:p>
            <w:pPr>
              <w:pStyle w:val="TableParagraph"/>
              <w:spacing w:line="240" w:lineRule="auto" w:before="0"/>
              <w:ind w:right="96"/>
              <w:rPr>
                <w:rFonts w:ascii="Carlito"/>
                <w:sz w:val="20"/>
              </w:rPr>
            </w:pPr>
            <w:r>
              <w:rPr>
                <w:rFonts w:ascii="Carlito"/>
                <w:sz w:val="20"/>
              </w:rPr>
              <w:t>1</w:t>
            </w:r>
          </w:p>
        </w:tc>
      </w:tr>
      <w:tr>
        <w:trPr>
          <w:trHeight w:val="290" w:hRule="atLeast"/>
        </w:trPr>
        <w:tc>
          <w:tcPr>
            <w:tcW w:w="2834" w:type="dxa"/>
            <w:tcBorders>
              <w:right w:val="nil"/>
            </w:tcBorders>
          </w:tcPr>
          <w:p>
            <w:pPr>
              <w:pStyle w:val="TableParagraph"/>
              <w:spacing w:line="240" w:lineRule="auto" w:before="4"/>
              <w:ind w:left="106"/>
              <w:jc w:val="left"/>
              <w:rPr>
                <w:rFonts w:ascii="Carlito" w:hAnsi="Carlito"/>
                <w:b/>
                <w:sz w:val="20"/>
              </w:rPr>
            </w:pPr>
            <w:r>
              <w:rPr>
                <w:rFonts w:ascii="Carlito" w:hAnsi="Carlito"/>
                <w:b/>
                <w:sz w:val="20"/>
              </w:rPr>
              <w:t>Patarrá</w:t>
            </w:r>
          </w:p>
        </w:tc>
        <w:tc>
          <w:tcPr>
            <w:tcW w:w="2104" w:type="dxa"/>
            <w:tcBorders>
              <w:left w:val="nil"/>
              <w:right w:val="nil"/>
            </w:tcBorders>
          </w:tcPr>
          <w:p>
            <w:pPr>
              <w:pStyle w:val="TableParagraph"/>
              <w:spacing w:line="240" w:lineRule="auto" w:before="4"/>
              <w:ind w:right="101"/>
              <w:rPr>
                <w:rFonts w:ascii="Carlito"/>
                <w:sz w:val="20"/>
              </w:rPr>
            </w:pPr>
            <w:r>
              <w:rPr>
                <w:rFonts w:ascii="Carlito"/>
                <w:sz w:val="20"/>
              </w:rPr>
              <w:t>9.7</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1.3</w:t>
            </w:r>
          </w:p>
        </w:tc>
        <w:tc>
          <w:tcPr>
            <w:tcW w:w="1460" w:type="dxa"/>
            <w:tcBorders>
              <w:left w:val="nil"/>
            </w:tcBorders>
          </w:tcPr>
          <w:p>
            <w:pPr>
              <w:pStyle w:val="TableParagraph"/>
              <w:spacing w:line="240" w:lineRule="auto" w:before="4"/>
              <w:ind w:right="96"/>
              <w:rPr>
                <w:rFonts w:ascii="Carlito"/>
                <w:sz w:val="20"/>
              </w:rPr>
            </w:pPr>
            <w:r>
              <w:rPr>
                <w:rFonts w:ascii="Carlito"/>
                <w:sz w:val="20"/>
              </w:rPr>
              <w:t>0</w:t>
            </w:r>
          </w:p>
        </w:tc>
      </w:tr>
      <w:tr>
        <w:trPr>
          <w:trHeight w:val="285" w:hRule="atLeast"/>
        </w:trPr>
        <w:tc>
          <w:tcPr>
            <w:tcW w:w="2834" w:type="dxa"/>
            <w:tcBorders>
              <w:right w:val="nil"/>
            </w:tcBorders>
          </w:tcPr>
          <w:p>
            <w:pPr>
              <w:pStyle w:val="TableParagraph"/>
              <w:spacing w:line="240" w:lineRule="auto" w:before="0"/>
              <w:ind w:left="106"/>
              <w:jc w:val="left"/>
              <w:rPr>
                <w:rFonts w:ascii="Carlito"/>
                <w:b/>
                <w:sz w:val="20"/>
              </w:rPr>
            </w:pPr>
            <w:r>
              <w:rPr>
                <w:rFonts w:ascii="Carlito"/>
                <w:b/>
                <w:sz w:val="20"/>
              </w:rPr>
              <w:t>Pinares</w:t>
            </w:r>
          </w:p>
        </w:tc>
        <w:tc>
          <w:tcPr>
            <w:tcW w:w="2104" w:type="dxa"/>
            <w:tcBorders>
              <w:left w:val="nil"/>
              <w:right w:val="nil"/>
            </w:tcBorders>
          </w:tcPr>
          <w:p>
            <w:pPr>
              <w:pStyle w:val="TableParagraph"/>
              <w:spacing w:line="240" w:lineRule="auto" w:before="0"/>
              <w:ind w:right="101"/>
              <w:rPr>
                <w:rFonts w:ascii="Carlito"/>
                <w:sz w:val="20"/>
              </w:rPr>
            </w:pPr>
            <w:r>
              <w:rPr>
                <w:rFonts w:ascii="Carlito"/>
                <w:sz w:val="20"/>
              </w:rPr>
              <w:t>7.4</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3.6</w:t>
            </w:r>
          </w:p>
        </w:tc>
        <w:tc>
          <w:tcPr>
            <w:tcW w:w="1460" w:type="dxa"/>
            <w:tcBorders>
              <w:left w:val="nil"/>
            </w:tcBorders>
          </w:tcPr>
          <w:p>
            <w:pPr>
              <w:pStyle w:val="TableParagraph"/>
              <w:spacing w:line="240" w:lineRule="auto" w:before="0"/>
              <w:ind w:right="96"/>
              <w:rPr>
                <w:rFonts w:ascii="Carlito"/>
                <w:sz w:val="20"/>
              </w:rPr>
            </w:pPr>
            <w:r>
              <w:rPr>
                <w:rFonts w:ascii="Carlito"/>
                <w:sz w:val="20"/>
              </w:rPr>
              <w:t>0</w:t>
            </w:r>
          </w:p>
        </w:tc>
      </w:tr>
      <w:tr>
        <w:trPr>
          <w:trHeight w:val="298" w:hRule="atLeast"/>
        </w:trPr>
        <w:tc>
          <w:tcPr>
            <w:tcW w:w="2834" w:type="dxa"/>
            <w:tcBorders>
              <w:right w:val="nil"/>
            </w:tcBorders>
          </w:tcPr>
          <w:p>
            <w:pPr>
              <w:pStyle w:val="TableParagraph"/>
              <w:spacing w:line="240" w:lineRule="auto" w:before="4"/>
              <w:ind w:left="106"/>
              <w:jc w:val="left"/>
              <w:rPr>
                <w:rFonts w:ascii="Carlito"/>
                <w:b/>
                <w:sz w:val="20"/>
              </w:rPr>
            </w:pPr>
            <w:r>
              <w:rPr>
                <w:rFonts w:ascii="Carlito"/>
                <w:b/>
                <w:sz w:val="20"/>
              </w:rPr>
              <w:t>Residencial Avenida San Rafael</w:t>
            </w:r>
          </w:p>
        </w:tc>
        <w:tc>
          <w:tcPr>
            <w:tcW w:w="2104" w:type="dxa"/>
            <w:tcBorders>
              <w:left w:val="nil"/>
              <w:right w:val="nil"/>
            </w:tcBorders>
          </w:tcPr>
          <w:p>
            <w:pPr>
              <w:pStyle w:val="TableParagraph"/>
              <w:spacing w:line="240" w:lineRule="auto" w:before="4"/>
              <w:ind w:right="106"/>
              <w:rPr>
                <w:rFonts w:ascii="Carlito"/>
                <w:sz w:val="20"/>
              </w:rPr>
            </w:pPr>
            <w:r>
              <w:rPr>
                <w:rFonts w:ascii="Carlito"/>
                <w:sz w:val="20"/>
              </w:rPr>
              <w:t>12</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4.1</w:t>
            </w:r>
          </w:p>
        </w:tc>
        <w:tc>
          <w:tcPr>
            <w:tcW w:w="1460" w:type="dxa"/>
            <w:tcBorders>
              <w:left w:val="nil"/>
            </w:tcBorders>
          </w:tcPr>
          <w:p>
            <w:pPr>
              <w:pStyle w:val="TableParagraph"/>
              <w:spacing w:line="240" w:lineRule="auto" w:before="4"/>
              <w:ind w:right="96"/>
              <w:rPr>
                <w:rFonts w:ascii="Carlito"/>
                <w:sz w:val="20"/>
              </w:rPr>
            </w:pPr>
            <w:r>
              <w:rPr>
                <w:rFonts w:ascii="Carlito"/>
                <w:sz w:val="20"/>
              </w:rPr>
              <w:t>0</w:t>
            </w:r>
          </w:p>
        </w:tc>
      </w:tr>
      <w:tr>
        <w:trPr>
          <w:trHeight w:val="286" w:hRule="atLeast"/>
        </w:trPr>
        <w:tc>
          <w:tcPr>
            <w:tcW w:w="2834" w:type="dxa"/>
            <w:tcBorders>
              <w:right w:val="nil"/>
            </w:tcBorders>
          </w:tcPr>
          <w:p>
            <w:pPr>
              <w:pStyle w:val="TableParagraph"/>
              <w:spacing w:line="240" w:lineRule="auto" w:before="0"/>
              <w:ind w:left="106"/>
              <w:jc w:val="left"/>
              <w:rPr>
                <w:rFonts w:ascii="Carlito" w:hAnsi="Carlito"/>
                <w:b/>
                <w:sz w:val="20"/>
              </w:rPr>
            </w:pPr>
            <w:r>
              <w:rPr>
                <w:rFonts w:ascii="Carlito" w:hAnsi="Carlito"/>
                <w:b/>
                <w:sz w:val="20"/>
              </w:rPr>
              <w:t>Residencial del Tirrá</w:t>
            </w:r>
          </w:p>
        </w:tc>
        <w:tc>
          <w:tcPr>
            <w:tcW w:w="2104" w:type="dxa"/>
            <w:tcBorders>
              <w:left w:val="nil"/>
              <w:right w:val="nil"/>
            </w:tcBorders>
          </w:tcPr>
          <w:p>
            <w:pPr>
              <w:pStyle w:val="TableParagraph"/>
              <w:spacing w:line="240" w:lineRule="auto" w:before="0"/>
              <w:ind w:right="101"/>
              <w:rPr>
                <w:rFonts w:ascii="Carlito"/>
                <w:sz w:val="20"/>
              </w:rPr>
            </w:pPr>
            <w:r>
              <w:rPr>
                <w:rFonts w:ascii="Carlito"/>
                <w:sz w:val="20"/>
              </w:rPr>
              <w:t>8.4</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0</w:t>
            </w:r>
          </w:p>
        </w:tc>
        <w:tc>
          <w:tcPr>
            <w:tcW w:w="1460" w:type="dxa"/>
            <w:tcBorders>
              <w:left w:val="nil"/>
            </w:tcBorders>
          </w:tcPr>
          <w:p>
            <w:pPr>
              <w:pStyle w:val="TableParagraph"/>
              <w:spacing w:line="240" w:lineRule="auto" w:before="0"/>
              <w:ind w:right="96"/>
              <w:rPr>
                <w:rFonts w:ascii="Carlito"/>
                <w:sz w:val="20"/>
              </w:rPr>
            </w:pPr>
            <w:r>
              <w:rPr>
                <w:rFonts w:ascii="Carlito"/>
                <w:sz w:val="20"/>
              </w:rPr>
              <w:t>1</w:t>
            </w:r>
          </w:p>
        </w:tc>
      </w:tr>
      <w:tr>
        <w:trPr>
          <w:trHeight w:val="290" w:hRule="atLeast"/>
        </w:trPr>
        <w:tc>
          <w:tcPr>
            <w:tcW w:w="2834" w:type="dxa"/>
            <w:tcBorders>
              <w:right w:val="nil"/>
            </w:tcBorders>
          </w:tcPr>
          <w:p>
            <w:pPr>
              <w:pStyle w:val="TableParagraph"/>
              <w:spacing w:line="240" w:lineRule="auto" w:before="4"/>
              <w:ind w:left="106"/>
              <w:jc w:val="left"/>
              <w:rPr>
                <w:rFonts w:ascii="Carlito"/>
                <w:b/>
                <w:sz w:val="20"/>
              </w:rPr>
            </w:pPr>
            <w:r>
              <w:rPr>
                <w:rFonts w:ascii="Carlito"/>
                <w:b/>
                <w:sz w:val="20"/>
              </w:rPr>
              <w:t>Residencial Omega</w:t>
            </w:r>
          </w:p>
        </w:tc>
        <w:tc>
          <w:tcPr>
            <w:tcW w:w="2104" w:type="dxa"/>
            <w:tcBorders>
              <w:left w:val="nil"/>
              <w:right w:val="nil"/>
            </w:tcBorders>
          </w:tcPr>
          <w:p>
            <w:pPr>
              <w:pStyle w:val="TableParagraph"/>
              <w:spacing w:line="240" w:lineRule="auto" w:before="4"/>
              <w:ind w:right="106"/>
              <w:rPr>
                <w:rFonts w:ascii="Carlito"/>
                <w:sz w:val="20"/>
              </w:rPr>
            </w:pPr>
            <w:r>
              <w:rPr>
                <w:rFonts w:ascii="Carlito"/>
                <w:sz w:val="20"/>
              </w:rPr>
              <w:t>11</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2</w:t>
            </w:r>
          </w:p>
        </w:tc>
        <w:tc>
          <w:tcPr>
            <w:tcW w:w="1460" w:type="dxa"/>
            <w:tcBorders>
              <w:left w:val="nil"/>
            </w:tcBorders>
          </w:tcPr>
          <w:p>
            <w:pPr>
              <w:pStyle w:val="TableParagraph"/>
              <w:spacing w:line="240" w:lineRule="auto" w:before="4"/>
              <w:ind w:right="96"/>
              <w:rPr>
                <w:rFonts w:ascii="Carlito"/>
                <w:sz w:val="20"/>
              </w:rPr>
            </w:pPr>
            <w:r>
              <w:rPr>
                <w:rFonts w:ascii="Carlito"/>
                <w:sz w:val="20"/>
              </w:rPr>
              <w:t>0</w:t>
            </w:r>
          </w:p>
        </w:tc>
      </w:tr>
      <w:tr>
        <w:trPr>
          <w:trHeight w:val="286" w:hRule="atLeast"/>
        </w:trPr>
        <w:tc>
          <w:tcPr>
            <w:tcW w:w="2834" w:type="dxa"/>
            <w:tcBorders>
              <w:right w:val="nil"/>
            </w:tcBorders>
          </w:tcPr>
          <w:p>
            <w:pPr>
              <w:pStyle w:val="TableParagraph"/>
              <w:spacing w:line="240" w:lineRule="auto" w:before="1"/>
              <w:ind w:left="106"/>
              <w:jc w:val="left"/>
              <w:rPr>
                <w:rFonts w:ascii="Carlito"/>
                <w:b/>
                <w:sz w:val="20"/>
              </w:rPr>
            </w:pPr>
            <w:r>
              <w:rPr>
                <w:rFonts w:ascii="Carlito"/>
                <w:b/>
                <w:sz w:val="20"/>
              </w:rPr>
              <w:t>Residencial Paso Real</w:t>
            </w:r>
          </w:p>
        </w:tc>
        <w:tc>
          <w:tcPr>
            <w:tcW w:w="2104" w:type="dxa"/>
            <w:tcBorders>
              <w:left w:val="nil"/>
              <w:right w:val="nil"/>
            </w:tcBorders>
          </w:tcPr>
          <w:p>
            <w:pPr>
              <w:pStyle w:val="TableParagraph"/>
              <w:spacing w:line="240" w:lineRule="auto" w:before="1"/>
              <w:ind w:right="101"/>
              <w:rPr>
                <w:rFonts w:ascii="Carlito"/>
                <w:sz w:val="20"/>
              </w:rPr>
            </w:pPr>
            <w:r>
              <w:rPr>
                <w:rFonts w:ascii="Carlito"/>
                <w:sz w:val="20"/>
              </w:rPr>
              <w:t>9.3</w:t>
            </w:r>
          </w:p>
        </w:tc>
        <w:tc>
          <w:tcPr>
            <w:tcW w:w="2141" w:type="dxa"/>
            <w:tcBorders>
              <w:left w:val="nil"/>
              <w:right w:val="nil"/>
            </w:tcBorders>
          </w:tcPr>
          <w:p>
            <w:pPr>
              <w:pStyle w:val="TableParagraph"/>
              <w:spacing w:line="240" w:lineRule="auto" w:before="1"/>
              <w:ind w:right="105"/>
              <w:rPr>
                <w:rFonts w:ascii="Carlito"/>
                <w:sz w:val="20"/>
              </w:rPr>
            </w:pPr>
            <w:r>
              <w:rPr>
                <w:rFonts w:ascii="Carlito"/>
                <w:sz w:val="20"/>
              </w:rPr>
              <w:t>0.85</w:t>
            </w:r>
          </w:p>
        </w:tc>
        <w:tc>
          <w:tcPr>
            <w:tcW w:w="1460" w:type="dxa"/>
            <w:tcBorders>
              <w:left w:val="nil"/>
            </w:tcBorders>
          </w:tcPr>
          <w:p>
            <w:pPr>
              <w:pStyle w:val="TableParagraph"/>
              <w:spacing w:line="240" w:lineRule="auto" w:before="1"/>
              <w:ind w:right="96"/>
              <w:rPr>
                <w:rFonts w:ascii="Carlito"/>
                <w:sz w:val="20"/>
              </w:rPr>
            </w:pPr>
            <w:r>
              <w:rPr>
                <w:rFonts w:ascii="Carlito"/>
                <w:sz w:val="20"/>
              </w:rPr>
              <w:t>0</w:t>
            </w:r>
          </w:p>
        </w:tc>
      </w:tr>
      <w:tr>
        <w:trPr>
          <w:trHeight w:val="350" w:hRule="atLeast"/>
        </w:trPr>
        <w:tc>
          <w:tcPr>
            <w:tcW w:w="2834" w:type="dxa"/>
            <w:tcBorders>
              <w:right w:val="nil"/>
            </w:tcBorders>
          </w:tcPr>
          <w:p>
            <w:pPr>
              <w:pStyle w:val="TableParagraph"/>
              <w:spacing w:line="240" w:lineRule="auto" w:before="4"/>
              <w:ind w:left="106"/>
              <w:jc w:val="left"/>
              <w:rPr>
                <w:rFonts w:ascii="Carlito"/>
                <w:b/>
                <w:sz w:val="20"/>
              </w:rPr>
            </w:pPr>
            <w:r>
              <w:rPr>
                <w:rFonts w:ascii="Carlito"/>
                <w:b/>
                <w:sz w:val="20"/>
              </w:rPr>
              <w:t>San Antonio Desamparados</w:t>
            </w:r>
          </w:p>
        </w:tc>
        <w:tc>
          <w:tcPr>
            <w:tcW w:w="2104" w:type="dxa"/>
            <w:tcBorders>
              <w:left w:val="nil"/>
              <w:right w:val="nil"/>
            </w:tcBorders>
          </w:tcPr>
          <w:p>
            <w:pPr>
              <w:pStyle w:val="TableParagraph"/>
              <w:spacing w:line="240" w:lineRule="auto" w:before="4"/>
              <w:ind w:right="101"/>
              <w:rPr>
                <w:rFonts w:ascii="Carlito"/>
                <w:sz w:val="20"/>
              </w:rPr>
            </w:pPr>
            <w:r>
              <w:rPr>
                <w:rFonts w:ascii="Carlito"/>
                <w:sz w:val="20"/>
              </w:rPr>
              <w:t>6.4</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1.9</w:t>
            </w:r>
          </w:p>
        </w:tc>
        <w:tc>
          <w:tcPr>
            <w:tcW w:w="1460" w:type="dxa"/>
            <w:tcBorders>
              <w:left w:val="nil"/>
            </w:tcBorders>
          </w:tcPr>
          <w:p>
            <w:pPr>
              <w:pStyle w:val="TableParagraph"/>
              <w:spacing w:line="240" w:lineRule="auto" w:before="4"/>
              <w:ind w:right="96"/>
              <w:rPr>
                <w:rFonts w:ascii="Carlito"/>
                <w:sz w:val="20"/>
              </w:rPr>
            </w:pPr>
            <w:r>
              <w:rPr>
                <w:rFonts w:ascii="Carlito"/>
                <w:sz w:val="20"/>
              </w:rPr>
              <w:t>0</w:t>
            </w:r>
          </w:p>
        </w:tc>
      </w:tr>
      <w:tr>
        <w:trPr>
          <w:trHeight w:val="290" w:hRule="atLeast"/>
        </w:trPr>
        <w:tc>
          <w:tcPr>
            <w:tcW w:w="2834" w:type="dxa"/>
            <w:tcBorders>
              <w:right w:val="nil"/>
            </w:tcBorders>
          </w:tcPr>
          <w:p>
            <w:pPr>
              <w:pStyle w:val="TableParagraph"/>
              <w:spacing w:line="240" w:lineRule="auto" w:before="4"/>
              <w:ind w:left="106"/>
              <w:jc w:val="left"/>
              <w:rPr>
                <w:rFonts w:ascii="Carlito" w:hAnsi="Carlito"/>
                <w:b/>
                <w:sz w:val="20"/>
              </w:rPr>
            </w:pPr>
            <w:r>
              <w:rPr>
                <w:rFonts w:ascii="Carlito" w:hAnsi="Carlito"/>
                <w:b/>
                <w:sz w:val="20"/>
              </w:rPr>
              <w:t>San Diego de Tres Ríos</w:t>
            </w:r>
          </w:p>
        </w:tc>
        <w:tc>
          <w:tcPr>
            <w:tcW w:w="2104" w:type="dxa"/>
            <w:tcBorders>
              <w:left w:val="nil"/>
              <w:right w:val="nil"/>
            </w:tcBorders>
          </w:tcPr>
          <w:p>
            <w:pPr>
              <w:pStyle w:val="TableParagraph"/>
              <w:spacing w:line="240" w:lineRule="auto" w:before="4"/>
              <w:ind w:right="101"/>
              <w:rPr>
                <w:rFonts w:ascii="Carlito"/>
                <w:sz w:val="20"/>
              </w:rPr>
            </w:pPr>
            <w:r>
              <w:rPr>
                <w:rFonts w:ascii="Carlito"/>
                <w:sz w:val="20"/>
              </w:rPr>
              <w:t>9.9</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1</w:t>
            </w:r>
          </w:p>
        </w:tc>
        <w:tc>
          <w:tcPr>
            <w:tcW w:w="1460" w:type="dxa"/>
            <w:tcBorders>
              <w:left w:val="nil"/>
            </w:tcBorders>
          </w:tcPr>
          <w:p>
            <w:pPr>
              <w:pStyle w:val="TableParagraph"/>
              <w:spacing w:line="240" w:lineRule="auto" w:before="4"/>
              <w:ind w:right="96"/>
              <w:rPr>
                <w:rFonts w:ascii="Carlito"/>
                <w:sz w:val="20"/>
              </w:rPr>
            </w:pPr>
            <w:r>
              <w:rPr>
                <w:rFonts w:ascii="Carlito"/>
                <w:sz w:val="20"/>
              </w:rPr>
              <w:t>0</w:t>
            </w:r>
          </w:p>
        </w:tc>
      </w:tr>
      <w:tr>
        <w:trPr>
          <w:trHeight w:val="285" w:hRule="atLeast"/>
        </w:trPr>
        <w:tc>
          <w:tcPr>
            <w:tcW w:w="2834" w:type="dxa"/>
            <w:tcBorders>
              <w:right w:val="nil"/>
            </w:tcBorders>
          </w:tcPr>
          <w:p>
            <w:pPr>
              <w:pStyle w:val="TableParagraph"/>
              <w:spacing w:line="240" w:lineRule="auto" w:before="0"/>
              <w:ind w:left="106"/>
              <w:jc w:val="left"/>
              <w:rPr>
                <w:rFonts w:ascii="Carlito" w:hAnsi="Carlito"/>
                <w:b/>
                <w:sz w:val="20"/>
              </w:rPr>
            </w:pPr>
            <w:r>
              <w:rPr>
                <w:rFonts w:ascii="Carlito" w:hAnsi="Carlito"/>
                <w:b/>
                <w:sz w:val="20"/>
              </w:rPr>
              <w:t>Sánchez</w:t>
            </w:r>
          </w:p>
        </w:tc>
        <w:tc>
          <w:tcPr>
            <w:tcW w:w="2104" w:type="dxa"/>
            <w:tcBorders>
              <w:left w:val="nil"/>
              <w:right w:val="nil"/>
            </w:tcBorders>
          </w:tcPr>
          <w:p>
            <w:pPr>
              <w:pStyle w:val="TableParagraph"/>
              <w:spacing w:line="240" w:lineRule="auto" w:before="0"/>
              <w:ind w:right="101"/>
              <w:rPr>
                <w:rFonts w:ascii="Carlito"/>
                <w:sz w:val="20"/>
              </w:rPr>
            </w:pPr>
            <w:r>
              <w:rPr>
                <w:rFonts w:ascii="Carlito"/>
                <w:sz w:val="20"/>
              </w:rPr>
              <w:t>7.7</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3</w:t>
            </w:r>
          </w:p>
        </w:tc>
        <w:tc>
          <w:tcPr>
            <w:tcW w:w="1460" w:type="dxa"/>
            <w:tcBorders>
              <w:left w:val="nil"/>
            </w:tcBorders>
          </w:tcPr>
          <w:p>
            <w:pPr>
              <w:pStyle w:val="TableParagraph"/>
              <w:spacing w:line="240" w:lineRule="auto" w:before="0"/>
              <w:ind w:right="96"/>
              <w:rPr>
                <w:rFonts w:ascii="Carlito"/>
                <w:sz w:val="20"/>
              </w:rPr>
            </w:pPr>
            <w:r>
              <w:rPr>
                <w:rFonts w:ascii="Carlito"/>
                <w:sz w:val="20"/>
              </w:rPr>
              <w:t>1</w:t>
            </w:r>
          </w:p>
        </w:tc>
      </w:tr>
      <w:tr>
        <w:trPr>
          <w:trHeight w:val="290" w:hRule="atLeast"/>
        </w:trPr>
        <w:tc>
          <w:tcPr>
            <w:tcW w:w="2834" w:type="dxa"/>
            <w:tcBorders>
              <w:right w:val="nil"/>
            </w:tcBorders>
          </w:tcPr>
          <w:p>
            <w:pPr>
              <w:pStyle w:val="TableParagraph"/>
              <w:spacing w:line="240" w:lineRule="auto" w:before="4"/>
              <w:ind w:left="106"/>
              <w:jc w:val="left"/>
              <w:rPr>
                <w:rFonts w:ascii="Carlito"/>
                <w:b/>
                <w:sz w:val="20"/>
              </w:rPr>
            </w:pPr>
            <w:r>
              <w:rPr>
                <w:rFonts w:ascii="Carlito"/>
                <w:b/>
                <w:sz w:val="20"/>
              </w:rPr>
              <w:t>Tirrases</w:t>
            </w:r>
          </w:p>
        </w:tc>
        <w:tc>
          <w:tcPr>
            <w:tcW w:w="2104" w:type="dxa"/>
            <w:tcBorders>
              <w:left w:val="nil"/>
              <w:right w:val="nil"/>
            </w:tcBorders>
          </w:tcPr>
          <w:p>
            <w:pPr>
              <w:pStyle w:val="TableParagraph"/>
              <w:spacing w:line="240" w:lineRule="auto" w:before="4"/>
              <w:ind w:right="101"/>
              <w:rPr>
                <w:rFonts w:ascii="Carlito"/>
                <w:sz w:val="20"/>
              </w:rPr>
            </w:pPr>
            <w:r>
              <w:rPr>
                <w:rFonts w:ascii="Carlito"/>
                <w:sz w:val="20"/>
              </w:rPr>
              <w:t>8.4</w:t>
            </w:r>
          </w:p>
        </w:tc>
        <w:tc>
          <w:tcPr>
            <w:tcW w:w="2141" w:type="dxa"/>
            <w:tcBorders>
              <w:left w:val="nil"/>
              <w:right w:val="nil"/>
            </w:tcBorders>
          </w:tcPr>
          <w:p>
            <w:pPr>
              <w:pStyle w:val="TableParagraph"/>
              <w:spacing w:line="240" w:lineRule="auto" w:before="4"/>
              <w:ind w:right="101"/>
              <w:rPr>
                <w:rFonts w:ascii="Carlito"/>
                <w:sz w:val="20"/>
              </w:rPr>
            </w:pPr>
            <w:r>
              <w:rPr>
                <w:rFonts w:ascii="Carlito"/>
                <w:sz w:val="20"/>
              </w:rPr>
              <w:t>0</w:t>
            </w:r>
          </w:p>
        </w:tc>
        <w:tc>
          <w:tcPr>
            <w:tcW w:w="1460" w:type="dxa"/>
            <w:tcBorders>
              <w:left w:val="nil"/>
            </w:tcBorders>
          </w:tcPr>
          <w:p>
            <w:pPr>
              <w:pStyle w:val="TableParagraph"/>
              <w:spacing w:line="240" w:lineRule="auto" w:before="4"/>
              <w:ind w:right="96"/>
              <w:rPr>
                <w:rFonts w:ascii="Carlito"/>
                <w:sz w:val="20"/>
              </w:rPr>
            </w:pPr>
            <w:r>
              <w:rPr>
                <w:rFonts w:ascii="Carlito"/>
                <w:sz w:val="20"/>
              </w:rPr>
              <w:t>1</w:t>
            </w:r>
          </w:p>
        </w:tc>
      </w:tr>
      <w:tr>
        <w:trPr>
          <w:trHeight w:val="290" w:hRule="atLeast"/>
        </w:trPr>
        <w:tc>
          <w:tcPr>
            <w:tcW w:w="2834" w:type="dxa"/>
            <w:tcBorders>
              <w:right w:val="nil"/>
            </w:tcBorders>
          </w:tcPr>
          <w:p>
            <w:pPr>
              <w:pStyle w:val="TableParagraph"/>
              <w:spacing w:line="240" w:lineRule="auto" w:before="0"/>
              <w:ind w:left="106"/>
              <w:jc w:val="left"/>
              <w:rPr>
                <w:rFonts w:ascii="Carlito" w:hAnsi="Carlito"/>
                <w:b/>
                <w:sz w:val="20"/>
              </w:rPr>
            </w:pPr>
            <w:r>
              <w:rPr>
                <w:rFonts w:ascii="Carlito" w:hAnsi="Carlito"/>
                <w:b/>
                <w:sz w:val="20"/>
              </w:rPr>
              <w:t>Tres Ríos</w:t>
            </w:r>
          </w:p>
        </w:tc>
        <w:tc>
          <w:tcPr>
            <w:tcW w:w="2104" w:type="dxa"/>
            <w:tcBorders>
              <w:left w:val="nil"/>
              <w:right w:val="nil"/>
            </w:tcBorders>
          </w:tcPr>
          <w:p>
            <w:pPr>
              <w:pStyle w:val="TableParagraph"/>
              <w:spacing w:line="240" w:lineRule="auto" w:before="0"/>
              <w:ind w:right="105"/>
              <w:rPr>
                <w:rFonts w:ascii="Carlito"/>
                <w:sz w:val="20"/>
              </w:rPr>
            </w:pPr>
            <w:r>
              <w:rPr>
                <w:rFonts w:ascii="Carlito"/>
                <w:sz w:val="20"/>
              </w:rPr>
              <w:t>12.6</w:t>
            </w:r>
          </w:p>
        </w:tc>
        <w:tc>
          <w:tcPr>
            <w:tcW w:w="2141" w:type="dxa"/>
            <w:tcBorders>
              <w:left w:val="nil"/>
              <w:right w:val="nil"/>
            </w:tcBorders>
          </w:tcPr>
          <w:p>
            <w:pPr>
              <w:pStyle w:val="TableParagraph"/>
              <w:spacing w:line="240" w:lineRule="auto" w:before="0"/>
              <w:ind w:right="101"/>
              <w:rPr>
                <w:rFonts w:ascii="Carlito"/>
                <w:sz w:val="20"/>
              </w:rPr>
            </w:pPr>
            <w:r>
              <w:rPr>
                <w:rFonts w:ascii="Carlito"/>
                <w:sz w:val="20"/>
              </w:rPr>
              <w:t>3</w:t>
            </w:r>
          </w:p>
        </w:tc>
        <w:tc>
          <w:tcPr>
            <w:tcW w:w="1460" w:type="dxa"/>
            <w:tcBorders>
              <w:left w:val="nil"/>
            </w:tcBorders>
          </w:tcPr>
          <w:p>
            <w:pPr>
              <w:pStyle w:val="TableParagraph"/>
              <w:spacing w:line="240" w:lineRule="auto" w:before="0"/>
              <w:ind w:right="96"/>
              <w:rPr>
                <w:rFonts w:ascii="Carlito"/>
                <w:sz w:val="20"/>
              </w:rPr>
            </w:pPr>
            <w:r>
              <w:rPr>
                <w:rFonts w:ascii="Carlito"/>
                <w:sz w:val="20"/>
              </w:rPr>
              <w:t>0</w:t>
            </w:r>
          </w:p>
        </w:tc>
      </w:tr>
    </w:tbl>
    <w:p>
      <w:pPr>
        <w:spacing w:after="0" w:line="240" w:lineRule="auto"/>
        <w:rPr>
          <w:rFonts w:ascii="Carlito"/>
          <w:sz w:val="20"/>
        </w:rPr>
        <w:sectPr>
          <w:pgSz w:w="12240" w:h="15840"/>
          <w:pgMar w:header="0" w:footer="982" w:top="1360" w:bottom="1180" w:left="400" w:right="400"/>
        </w:sectPr>
      </w:pPr>
    </w:p>
    <w:p>
      <w:pPr>
        <w:pStyle w:val="BodyText"/>
        <w:spacing w:before="7"/>
        <w:rPr>
          <w:b/>
          <w:sz w:val="17"/>
        </w:rPr>
      </w:pPr>
    </w:p>
    <w:p>
      <w:pPr>
        <w:pStyle w:val="Heading2"/>
        <w:numPr>
          <w:ilvl w:val="0"/>
          <w:numId w:val="41"/>
        </w:numPr>
        <w:tabs>
          <w:tab w:pos="820" w:val="left" w:leader="none"/>
          <w:tab w:pos="821" w:val="left" w:leader="none"/>
        </w:tabs>
        <w:spacing w:line="240" w:lineRule="auto" w:before="93" w:after="0"/>
        <w:ind w:left="820" w:right="0" w:hanging="721"/>
        <w:jc w:val="left"/>
      </w:pPr>
      <w:bookmarkStart w:name="_bookmark67" w:id="93"/>
      <w:bookmarkEnd w:id="93"/>
      <w:r>
        <w:rPr>
          <w:b w:val="0"/>
        </w:rPr>
      </w:r>
      <w:bookmarkStart w:name="_bookmark67" w:id="94"/>
      <w:bookmarkEnd w:id="94"/>
      <w:r>
        <w:rPr/>
        <w:t>A</w:t>
      </w:r>
      <w:r>
        <w:rPr/>
        <w:t>nexo 4: Set de Datos para Modelar Relación del Servicio de Vista con el Precio de los</w:t>
      </w:r>
      <w:r>
        <w:rPr>
          <w:spacing w:val="-21"/>
        </w:rPr>
        <w:t> </w:t>
      </w:r>
      <w:r>
        <w:rPr/>
        <w:t>Inmuebles.</w:t>
      </w:r>
    </w:p>
    <w:p>
      <w:pPr>
        <w:pStyle w:val="BodyText"/>
        <w:rPr>
          <w:b/>
          <w:sz w:val="20"/>
        </w:rPr>
      </w:pPr>
    </w:p>
    <w:p>
      <w:pPr>
        <w:pStyle w:val="BodyText"/>
        <w:rPr>
          <w:b/>
          <w:sz w:val="20"/>
        </w:rPr>
      </w:pPr>
    </w:p>
    <w:p>
      <w:pPr>
        <w:pStyle w:val="BodyText"/>
        <w:spacing w:before="7"/>
        <w:rPr>
          <w:b/>
          <w:sz w:val="13"/>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58"/>
        <w:gridCol w:w="1650"/>
        <w:gridCol w:w="877"/>
        <w:gridCol w:w="1073"/>
        <w:gridCol w:w="1075"/>
        <w:gridCol w:w="1004"/>
        <w:gridCol w:w="1004"/>
        <w:gridCol w:w="682"/>
        <w:gridCol w:w="684"/>
        <w:gridCol w:w="1152"/>
        <w:gridCol w:w="1348"/>
        <w:gridCol w:w="808"/>
        <w:gridCol w:w="842"/>
      </w:tblGrid>
      <w:tr>
        <w:trPr>
          <w:trHeight w:val="1154" w:hRule="atLeast"/>
        </w:trPr>
        <w:tc>
          <w:tcPr>
            <w:tcW w:w="758" w:type="dxa"/>
            <w:tcBorders>
              <w:top w:val="single" w:sz="4" w:space="0" w:color="000000"/>
              <w:bottom w:val="single" w:sz="4" w:space="0" w:color="000000"/>
            </w:tcBorders>
          </w:tcPr>
          <w:p>
            <w:pPr>
              <w:pStyle w:val="TableParagraph"/>
              <w:spacing w:line="240" w:lineRule="auto" w:before="3"/>
              <w:ind w:right="142"/>
              <w:rPr>
                <w:rFonts w:ascii="Carlito" w:hAnsi="Carlito"/>
                <w:b/>
                <w:sz w:val="16"/>
              </w:rPr>
            </w:pPr>
            <w:r>
              <w:rPr>
                <w:rFonts w:ascii="Carlito" w:hAnsi="Carlito"/>
                <w:b/>
                <w:sz w:val="16"/>
              </w:rPr>
              <w:t>Número</w:t>
            </w:r>
          </w:p>
        </w:tc>
        <w:tc>
          <w:tcPr>
            <w:tcW w:w="1650" w:type="dxa"/>
            <w:tcBorders>
              <w:top w:val="single" w:sz="4" w:space="0" w:color="000000"/>
              <w:bottom w:val="single" w:sz="4" w:space="0" w:color="000000"/>
            </w:tcBorders>
          </w:tcPr>
          <w:p>
            <w:pPr>
              <w:pStyle w:val="TableParagraph"/>
              <w:spacing w:line="240" w:lineRule="auto" w:before="3"/>
              <w:ind w:left="141"/>
              <w:jc w:val="left"/>
              <w:rPr>
                <w:rFonts w:ascii="Carlito"/>
                <w:b/>
                <w:sz w:val="16"/>
              </w:rPr>
            </w:pPr>
            <w:r>
              <w:rPr>
                <w:rFonts w:ascii="Carlito"/>
                <w:b/>
                <w:sz w:val="16"/>
              </w:rPr>
              <w:t>Comunidad Deudora</w:t>
            </w:r>
          </w:p>
        </w:tc>
        <w:tc>
          <w:tcPr>
            <w:tcW w:w="877" w:type="dxa"/>
            <w:tcBorders>
              <w:top w:val="single" w:sz="4" w:space="0" w:color="000000"/>
              <w:bottom w:val="single" w:sz="4" w:space="0" w:color="000000"/>
            </w:tcBorders>
          </w:tcPr>
          <w:p>
            <w:pPr>
              <w:pStyle w:val="TableParagraph"/>
              <w:spacing w:line="240" w:lineRule="auto" w:before="3"/>
              <w:ind w:left="140"/>
              <w:jc w:val="left"/>
              <w:rPr>
                <w:rFonts w:ascii="Carlito"/>
                <w:b/>
                <w:sz w:val="16"/>
              </w:rPr>
            </w:pPr>
            <w:r>
              <w:rPr>
                <w:rFonts w:ascii="Carlito"/>
                <w:b/>
                <w:sz w:val="16"/>
              </w:rPr>
              <w:t>Tipo = 1</w:t>
            </w:r>
          </w:p>
          <w:p>
            <w:pPr>
              <w:pStyle w:val="TableParagraph"/>
              <w:spacing w:line="235" w:lineRule="auto" w:before="4"/>
              <w:ind w:left="140" w:right="153"/>
              <w:jc w:val="left"/>
              <w:rPr>
                <w:rFonts w:ascii="Carlito"/>
                <w:b/>
                <w:sz w:val="16"/>
              </w:rPr>
            </w:pPr>
            <w:r>
              <w:rPr>
                <w:rFonts w:ascii="Carlito"/>
                <w:b/>
                <w:sz w:val="16"/>
              </w:rPr>
              <w:t>casa, 0 = Condo</w:t>
            </w:r>
          </w:p>
        </w:tc>
        <w:tc>
          <w:tcPr>
            <w:tcW w:w="1073" w:type="dxa"/>
            <w:tcBorders>
              <w:top w:val="single" w:sz="4" w:space="0" w:color="000000"/>
              <w:bottom w:val="single" w:sz="4" w:space="0" w:color="000000"/>
            </w:tcBorders>
          </w:tcPr>
          <w:p>
            <w:pPr>
              <w:pStyle w:val="TableParagraph"/>
              <w:spacing w:line="240" w:lineRule="auto" w:before="3"/>
              <w:ind w:right="67"/>
              <w:rPr>
                <w:rFonts w:ascii="Carlito"/>
                <w:b/>
                <w:sz w:val="16"/>
              </w:rPr>
            </w:pPr>
            <w:r>
              <w:rPr>
                <w:rFonts w:ascii="Carlito"/>
                <w:b/>
                <w:sz w:val="16"/>
              </w:rPr>
              <w:t>Precio en USD</w:t>
            </w:r>
          </w:p>
        </w:tc>
        <w:tc>
          <w:tcPr>
            <w:tcW w:w="1075" w:type="dxa"/>
            <w:tcBorders>
              <w:top w:val="single" w:sz="4" w:space="0" w:color="000000"/>
              <w:bottom w:val="single" w:sz="4" w:space="0" w:color="000000"/>
            </w:tcBorders>
          </w:tcPr>
          <w:p>
            <w:pPr>
              <w:pStyle w:val="TableParagraph"/>
              <w:spacing w:line="240" w:lineRule="auto" w:before="3"/>
              <w:ind w:left="74" w:right="117"/>
              <w:jc w:val="left"/>
              <w:rPr>
                <w:rFonts w:ascii="Carlito" w:hAnsi="Carlito"/>
                <w:b/>
                <w:sz w:val="16"/>
              </w:rPr>
            </w:pPr>
            <w:r>
              <w:rPr>
                <w:rFonts w:ascii="Carlito" w:hAnsi="Carlito"/>
                <w:b/>
                <w:sz w:val="16"/>
              </w:rPr>
              <w:t>Área de Construcción en metros cuadrados</w:t>
            </w:r>
          </w:p>
        </w:tc>
        <w:tc>
          <w:tcPr>
            <w:tcW w:w="1004" w:type="dxa"/>
            <w:tcBorders>
              <w:top w:val="single" w:sz="4" w:space="0" w:color="000000"/>
              <w:bottom w:val="single" w:sz="4" w:space="0" w:color="000000"/>
            </w:tcBorders>
          </w:tcPr>
          <w:p>
            <w:pPr>
              <w:pStyle w:val="TableParagraph"/>
              <w:spacing w:line="237" w:lineRule="auto" w:before="4"/>
              <w:ind w:left="76" w:right="130"/>
              <w:jc w:val="left"/>
              <w:rPr>
                <w:rFonts w:ascii="Carlito" w:hAnsi="Carlito"/>
                <w:b/>
                <w:sz w:val="16"/>
              </w:rPr>
            </w:pPr>
            <w:r>
              <w:rPr>
                <w:rFonts w:ascii="Carlito" w:hAnsi="Carlito"/>
                <w:b/>
                <w:sz w:val="16"/>
              </w:rPr>
              <w:t>Año de Construcció n</w:t>
            </w:r>
          </w:p>
        </w:tc>
        <w:tc>
          <w:tcPr>
            <w:tcW w:w="1004" w:type="dxa"/>
            <w:tcBorders>
              <w:top w:val="single" w:sz="4" w:space="0" w:color="000000"/>
              <w:bottom w:val="single" w:sz="4" w:space="0" w:color="000000"/>
            </w:tcBorders>
          </w:tcPr>
          <w:p>
            <w:pPr>
              <w:pStyle w:val="TableParagraph"/>
              <w:spacing w:line="237" w:lineRule="auto" w:before="4"/>
              <w:ind w:left="76" w:right="109"/>
              <w:jc w:val="left"/>
              <w:rPr>
                <w:rFonts w:ascii="Carlito" w:hAnsi="Carlito"/>
                <w:b/>
                <w:sz w:val="16"/>
              </w:rPr>
            </w:pPr>
            <w:r>
              <w:rPr>
                <w:rFonts w:ascii="Carlito" w:hAnsi="Carlito"/>
                <w:b/>
                <w:sz w:val="16"/>
              </w:rPr>
              <w:t>Número de Habitacione s</w:t>
            </w:r>
          </w:p>
        </w:tc>
        <w:tc>
          <w:tcPr>
            <w:tcW w:w="682" w:type="dxa"/>
            <w:tcBorders>
              <w:top w:val="single" w:sz="4" w:space="0" w:color="000000"/>
              <w:bottom w:val="single" w:sz="4" w:space="0" w:color="000000"/>
            </w:tcBorders>
          </w:tcPr>
          <w:p>
            <w:pPr>
              <w:pStyle w:val="TableParagraph"/>
              <w:spacing w:line="237" w:lineRule="auto" w:before="4"/>
              <w:ind w:left="72" w:right="131"/>
              <w:jc w:val="left"/>
              <w:rPr>
                <w:rFonts w:ascii="Carlito" w:hAnsi="Carlito"/>
                <w:b/>
                <w:sz w:val="16"/>
              </w:rPr>
            </w:pPr>
            <w:r>
              <w:rPr>
                <w:rFonts w:ascii="Carlito" w:hAnsi="Carlito"/>
                <w:b/>
                <w:sz w:val="16"/>
              </w:rPr>
              <w:t>Númer o de Baños</w:t>
            </w:r>
          </w:p>
        </w:tc>
        <w:tc>
          <w:tcPr>
            <w:tcW w:w="684" w:type="dxa"/>
            <w:tcBorders>
              <w:top w:val="single" w:sz="4" w:space="0" w:color="000000"/>
              <w:bottom w:val="single" w:sz="4" w:space="0" w:color="000000"/>
            </w:tcBorders>
          </w:tcPr>
          <w:p>
            <w:pPr>
              <w:pStyle w:val="TableParagraph"/>
              <w:spacing w:line="237" w:lineRule="auto" w:before="4"/>
              <w:ind w:left="74" w:right="102"/>
              <w:jc w:val="left"/>
              <w:rPr>
                <w:rFonts w:ascii="Carlito" w:hAnsi="Carlito"/>
                <w:b/>
                <w:sz w:val="16"/>
              </w:rPr>
            </w:pPr>
            <w:r>
              <w:rPr>
                <w:rFonts w:ascii="Carlito" w:hAnsi="Carlito"/>
                <w:b/>
                <w:sz w:val="16"/>
              </w:rPr>
              <w:t>Númer o de Plantas</w:t>
            </w:r>
          </w:p>
        </w:tc>
        <w:tc>
          <w:tcPr>
            <w:tcW w:w="1152" w:type="dxa"/>
            <w:tcBorders>
              <w:top w:val="single" w:sz="4" w:space="0" w:color="000000"/>
              <w:bottom w:val="single" w:sz="4" w:space="0" w:color="000000"/>
            </w:tcBorders>
          </w:tcPr>
          <w:p>
            <w:pPr>
              <w:pStyle w:val="TableParagraph"/>
              <w:spacing w:line="240" w:lineRule="auto" w:before="3"/>
              <w:ind w:left="75" w:right="70"/>
              <w:jc w:val="left"/>
              <w:rPr>
                <w:rFonts w:ascii="Carlito" w:hAnsi="Carlito"/>
                <w:b/>
                <w:sz w:val="16"/>
              </w:rPr>
            </w:pPr>
            <w:r>
              <w:rPr>
                <w:rFonts w:ascii="Carlito" w:hAnsi="Carlito"/>
                <w:b/>
                <w:sz w:val="16"/>
              </w:rPr>
              <w:t>Distancia a </w:t>
            </w:r>
            <w:r>
              <w:rPr>
                <w:rFonts w:ascii="Carlito" w:hAnsi="Carlito"/>
                <w:b/>
                <w:spacing w:val="-5"/>
                <w:sz w:val="16"/>
              </w:rPr>
              <w:t>San </w:t>
            </w:r>
            <w:r>
              <w:rPr>
                <w:rFonts w:ascii="Carlito" w:hAnsi="Carlito"/>
                <w:b/>
                <w:sz w:val="16"/>
              </w:rPr>
              <w:t>José Centro por Ruta Vehicular o Pedestre</w:t>
            </w:r>
          </w:p>
        </w:tc>
        <w:tc>
          <w:tcPr>
            <w:tcW w:w="1348" w:type="dxa"/>
            <w:tcBorders>
              <w:top w:val="single" w:sz="4" w:space="0" w:color="000000"/>
              <w:bottom w:val="single" w:sz="4" w:space="0" w:color="000000"/>
            </w:tcBorders>
          </w:tcPr>
          <w:p>
            <w:pPr>
              <w:pStyle w:val="TableParagraph"/>
              <w:spacing w:line="240" w:lineRule="auto" w:before="3"/>
              <w:ind w:left="78" w:right="49"/>
              <w:jc w:val="left"/>
              <w:rPr>
                <w:rFonts w:ascii="Carlito" w:hAnsi="Carlito"/>
                <w:b/>
                <w:sz w:val="16"/>
              </w:rPr>
            </w:pPr>
            <w:r>
              <w:rPr>
                <w:rFonts w:ascii="Carlito" w:hAnsi="Carlito"/>
                <w:b/>
                <w:sz w:val="16"/>
              </w:rPr>
              <w:t>Distancia a Aglomeraciones de Pobreza (Río Azul, Tirrases, San Diego)</w:t>
            </w:r>
          </w:p>
        </w:tc>
        <w:tc>
          <w:tcPr>
            <w:tcW w:w="808" w:type="dxa"/>
            <w:tcBorders>
              <w:top w:val="single" w:sz="4" w:space="0" w:color="000000"/>
              <w:bottom w:val="single" w:sz="4" w:space="0" w:color="000000"/>
            </w:tcBorders>
          </w:tcPr>
          <w:p>
            <w:pPr>
              <w:pStyle w:val="TableParagraph"/>
              <w:spacing w:line="237" w:lineRule="auto" w:before="4"/>
              <w:ind w:left="75" w:right="74"/>
              <w:jc w:val="left"/>
              <w:rPr>
                <w:rFonts w:ascii="Carlito"/>
                <w:b/>
                <w:sz w:val="16"/>
              </w:rPr>
            </w:pPr>
            <w:r>
              <w:rPr>
                <w:rFonts w:ascii="Carlito"/>
                <w:b/>
                <w:sz w:val="16"/>
              </w:rPr>
              <w:t>Zona de Riesgo de desastre</w:t>
            </w:r>
          </w:p>
        </w:tc>
        <w:tc>
          <w:tcPr>
            <w:tcW w:w="842" w:type="dxa"/>
            <w:tcBorders>
              <w:top w:val="single" w:sz="4" w:space="0" w:color="000000"/>
              <w:bottom w:val="single" w:sz="4" w:space="0" w:color="000000"/>
            </w:tcBorders>
          </w:tcPr>
          <w:p>
            <w:pPr>
              <w:pStyle w:val="TableParagraph"/>
              <w:spacing w:line="237" w:lineRule="auto" w:before="4"/>
              <w:ind w:left="75" w:right="143"/>
              <w:jc w:val="both"/>
              <w:rPr>
                <w:rFonts w:ascii="Carlito"/>
                <w:b/>
                <w:sz w:val="16"/>
              </w:rPr>
            </w:pPr>
            <w:r>
              <w:rPr>
                <w:rFonts w:ascii="Carlito"/>
                <w:b/>
                <w:sz w:val="16"/>
              </w:rPr>
              <w:t>Vista a la </w:t>
            </w:r>
            <w:r>
              <w:rPr>
                <w:rFonts w:ascii="Carlito"/>
                <w:b/>
                <w:spacing w:val="-1"/>
                <w:sz w:val="16"/>
              </w:rPr>
              <w:t>Carpinter </w:t>
            </w:r>
            <w:r>
              <w:rPr>
                <w:rFonts w:ascii="Carlito"/>
                <w:b/>
                <w:sz w:val="16"/>
              </w:rPr>
              <w:t>a</w:t>
            </w:r>
          </w:p>
        </w:tc>
      </w:tr>
      <w:tr>
        <w:trPr>
          <w:trHeight w:val="286" w:hRule="atLeast"/>
        </w:trPr>
        <w:tc>
          <w:tcPr>
            <w:tcW w:w="758" w:type="dxa"/>
            <w:tcBorders>
              <w:top w:val="single" w:sz="4" w:space="0" w:color="000000"/>
            </w:tcBorders>
            <w:shd w:val="clear" w:color="auto" w:fill="D9D9D9"/>
          </w:tcPr>
          <w:p>
            <w:pPr>
              <w:pStyle w:val="TableParagraph"/>
              <w:spacing w:before="90"/>
              <w:ind w:right="138"/>
              <w:rPr>
                <w:rFonts w:ascii="Carlito"/>
                <w:sz w:val="16"/>
              </w:rPr>
            </w:pPr>
            <w:r>
              <w:rPr>
                <w:rFonts w:ascii="Carlito"/>
                <w:sz w:val="16"/>
              </w:rPr>
              <w:t>1</w:t>
            </w:r>
          </w:p>
        </w:tc>
        <w:tc>
          <w:tcPr>
            <w:tcW w:w="1650" w:type="dxa"/>
            <w:tcBorders>
              <w:top w:val="single" w:sz="4" w:space="0" w:color="000000"/>
            </w:tcBorders>
            <w:shd w:val="clear" w:color="auto" w:fill="D9D9D9"/>
          </w:tcPr>
          <w:p>
            <w:pPr>
              <w:pStyle w:val="TableParagraph"/>
              <w:spacing w:before="90"/>
              <w:ind w:left="141"/>
              <w:jc w:val="left"/>
              <w:rPr>
                <w:rFonts w:ascii="Carlito"/>
                <w:sz w:val="16"/>
              </w:rPr>
            </w:pPr>
            <w:r>
              <w:rPr>
                <w:rFonts w:ascii="Carlito"/>
                <w:sz w:val="16"/>
              </w:rPr>
              <w:t>Lomas de Ayarco Sur</w:t>
            </w:r>
          </w:p>
        </w:tc>
        <w:tc>
          <w:tcPr>
            <w:tcW w:w="877" w:type="dxa"/>
            <w:tcBorders>
              <w:top w:val="single" w:sz="4" w:space="0" w:color="000000"/>
            </w:tcBorders>
            <w:shd w:val="clear" w:color="auto" w:fill="D9D9D9"/>
          </w:tcPr>
          <w:p>
            <w:pPr>
              <w:pStyle w:val="TableParagraph"/>
              <w:spacing w:before="90"/>
              <w:ind w:right="65"/>
              <w:rPr>
                <w:rFonts w:ascii="Carlito"/>
                <w:sz w:val="16"/>
              </w:rPr>
            </w:pPr>
            <w:r>
              <w:rPr>
                <w:rFonts w:ascii="Carlito"/>
                <w:sz w:val="16"/>
              </w:rPr>
              <w:t>1</w:t>
            </w:r>
          </w:p>
        </w:tc>
        <w:tc>
          <w:tcPr>
            <w:tcW w:w="1073" w:type="dxa"/>
            <w:tcBorders>
              <w:top w:val="single" w:sz="4" w:space="0" w:color="000000"/>
            </w:tcBorders>
            <w:shd w:val="clear" w:color="auto" w:fill="D9D9D9"/>
          </w:tcPr>
          <w:p>
            <w:pPr>
              <w:pStyle w:val="TableParagraph"/>
              <w:spacing w:before="90"/>
              <w:ind w:right="66"/>
              <w:rPr>
                <w:rFonts w:ascii="Carlito"/>
                <w:sz w:val="16"/>
              </w:rPr>
            </w:pPr>
            <w:r>
              <w:rPr>
                <w:rFonts w:ascii="Carlito"/>
                <w:sz w:val="16"/>
              </w:rPr>
              <w:t>$360,000.00</w:t>
            </w:r>
          </w:p>
        </w:tc>
        <w:tc>
          <w:tcPr>
            <w:tcW w:w="1075" w:type="dxa"/>
            <w:tcBorders>
              <w:top w:val="single" w:sz="4" w:space="0" w:color="000000"/>
            </w:tcBorders>
            <w:shd w:val="clear" w:color="auto" w:fill="D9D9D9"/>
          </w:tcPr>
          <w:p>
            <w:pPr>
              <w:pStyle w:val="TableParagraph"/>
              <w:spacing w:before="90"/>
              <w:ind w:right="66"/>
              <w:rPr>
                <w:rFonts w:ascii="Carlito"/>
                <w:sz w:val="16"/>
              </w:rPr>
            </w:pPr>
            <w:r>
              <w:rPr>
                <w:rFonts w:ascii="Carlito"/>
                <w:sz w:val="16"/>
              </w:rPr>
              <w:t>350</w:t>
            </w:r>
          </w:p>
        </w:tc>
        <w:tc>
          <w:tcPr>
            <w:tcW w:w="1004" w:type="dxa"/>
            <w:tcBorders>
              <w:top w:val="single" w:sz="4" w:space="0" w:color="000000"/>
            </w:tcBorders>
            <w:shd w:val="clear" w:color="auto" w:fill="D9D9D9"/>
          </w:tcPr>
          <w:p>
            <w:pPr>
              <w:pStyle w:val="TableParagraph"/>
              <w:spacing w:before="90"/>
              <w:ind w:right="65"/>
              <w:rPr>
                <w:rFonts w:ascii="Carlito"/>
                <w:sz w:val="16"/>
              </w:rPr>
            </w:pPr>
            <w:r>
              <w:rPr>
                <w:rFonts w:ascii="Carlito"/>
                <w:sz w:val="16"/>
              </w:rPr>
              <w:t>2006</w:t>
            </w:r>
          </w:p>
        </w:tc>
        <w:tc>
          <w:tcPr>
            <w:tcW w:w="1004" w:type="dxa"/>
            <w:tcBorders>
              <w:top w:val="single" w:sz="4" w:space="0" w:color="000000"/>
            </w:tcBorders>
            <w:shd w:val="clear" w:color="auto" w:fill="D9D9D9"/>
          </w:tcPr>
          <w:p>
            <w:pPr>
              <w:pStyle w:val="TableParagraph"/>
              <w:spacing w:before="90"/>
              <w:ind w:right="60"/>
              <w:rPr>
                <w:rFonts w:ascii="Carlito"/>
                <w:sz w:val="16"/>
              </w:rPr>
            </w:pPr>
            <w:r>
              <w:rPr>
                <w:rFonts w:ascii="Carlito"/>
                <w:sz w:val="16"/>
              </w:rPr>
              <w:t>4</w:t>
            </w:r>
          </w:p>
        </w:tc>
        <w:tc>
          <w:tcPr>
            <w:tcW w:w="682" w:type="dxa"/>
            <w:tcBorders>
              <w:top w:val="single" w:sz="4" w:space="0" w:color="000000"/>
            </w:tcBorders>
            <w:shd w:val="clear" w:color="auto" w:fill="D9D9D9"/>
          </w:tcPr>
          <w:p>
            <w:pPr>
              <w:pStyle w:val="TableParagraph"/>
              <w:spacing w:before="90"/>
              <w:ind w:right="61"/>
              <w:rPr>
                <w:rFonts w:ascii="Carlito"/>
                <w:sz w:val="16"/>
              </w:rPr>
            </w:pPr>
            <w:r>
              <w:rPr>
                <w:rFonts w:ascii="Carlito"/>
                <w:sz w:val="16"/>
              </w:rPr>
              <w:t>4</w:t>
            </w:r>
          </w:p>
        </w:tc>
        <w:tc>
          <w:tcPr>
            <w:tcW w:w="684" w:type="dxa"/>
            <w:tcBorders>
              <w:top w:val="single" w:sz="4" w:space="0" w:color="000000"/>
            </w:tcBorders>
            <w:shd w:val="clear" w:color="auto" w:fill="D9D9D9"/>
          </w:tcPr>
          <w:p>
            <w:pPr>
              <w:pStyle w:val="TableParagraph"/>
              <w:spacing w:before="90"/>
              <w:ind w:right="61"/>
              <w:rPr>
                <w:rFonts w:ascii="Carlito"/>
                <w:sz w:val="16"/>
              </w:rPr>
            </w:pPr>
            <w:r>
              <w:rPr>
                <w:rFonts w:ascii="Carlito"/>
                <w:sz w:val="16"/>
              </w:rPr>
              <w:t>2</w:t>
            </w:r>
          </w:p>
        </w:tc>
        <w:tc>
          <w:tcPr>
            <w:tcW w:w="1152" w:type="dxa"/>
            <w:tcBorders>
              <w:top w:val="single" w:sz="4" w:space="0" w:color="000000"/>
            </w:tcBorders>
            <w:shd w:val="clear" w:color="auto" w:fill="D9D9D9"/>
          </w:tcPr>
          <w:p>
            <w:pPr>
              <w:pStyle w:val="TableParagraph"/>
              <w:spacing w:before="90"/>
              <w:ind w:right="65"/>
              <w:rPr>
                <w:rFonts w:ascii="Carlito"/>
                <w:sz w:val="16"/>
              </w:rPr>
            </w:pPr>
            <w:r>
              <w:rPr>
                <w:rFonts w:ascii="Carlito"/>
                <w:sz w:val="16"/>
              </w:rPr>
              <w:t>8.8</w:t>
            </w:r>
          </w:p>
        </w:tc>
        <w:tc>
          <w:tcPr>
            <w:tcW w:w="1348" w:type="dxa"/>
            <w:tcBorders>
              <w:top w:val="single" w:sz="4" w:space="0" w:color="000000"/>
            </w:tcBorders>
            <w:shd w:val="clear" w:color="auto" w:fill="D9D9D9"/>
          </w:tcPr>
          <w:p>
            <w:pPr>
              <w:pStyle w:val="TableParagraph"/>
              <w:spacing w:before="90"/>
              <w:ind w:right="65"/>
              <w:rPr>
                <w:rFonts w:ascii="Carlito"/>
                <w:sz w:val="16"/>
              </w:rPr>
            </w:pPr>
            <w:r>
              <w:rPr>
                <w:rFonts w:ascii="Carlito"/>
                <w:sz w:val="16"/>
              </w:rPr>
              <w:t>2.8</w:t>
            </w:r>
          </w:p>
        </w:tc>
        <w:tc>
          <w:tcPr>
            <w:tcW w:w="808" w:type="dxa"/>
            <w:tcBorders>
              <w:top w:val="single" w:sz="4" w:space="0" w:color="000000"/>
            </w:tcBorders>
            <w:shd w:val="clear" w:color="auto" w:fill="D9D9D9"/>
          </w:tcPr>
          <w:p>
            <w:pPr>
              <w:pStyle w:val="TableParagraph"/>
              <w:spacing w:before="90"/>
              <w:ind w:right="61"/>
              <w:rPr>
                <w:rFonts w:ascii="Carlito"/>
                <w:sz w:val="16"/>
              </w:rPr>
            </w:pPr>
            <w:r>
              <w:rPr>
                <w:rFonts w:ascii="Carlito"/>
                <w:sz w:val="16"/>
              </w:rPr>
              <w:t>0</w:t>
            </w:r>
          </w:p>
        </w:tc>
        <w:tc>
          <w:tcPr>
            <w:tcW w:w="842" w:type="dxa"/>
            <w:tcBorders>
              <w:top w:val="single" w:sz="4" w:space="0" w:color="000000"/>
            </w:tcBorders>
            <w:shd w:val="clear" w:color="auto" w:fill="D9D9D9"/>
          </w:tcPr>
          <w:p>
            <w:pPr>
              <w:pStyle w:val="TableParagraph"/>
              <w:spacing w:before="90"/>
              <w:ind w:right="59"/>
              <w:rPr>
                <w:rFonts w:ascii="Carlito"/>
                <w:sz w:val="16"/>
              </w:rPr>
            </w:pPr>
            <w:r>
              <w:rPr>
                <w:rFonts w:ascii="Carlito"/>
                <w:sz w:val="16"/>
              </w:rPr>
              <w:t>1</w:t>
            </w:r>
          </w:p>
        </w:tc>
      </w:tr>
      <w:tr>
        <w:trPr>
          <w:trHeight w:val="288" w:hRule="atLeast"/>
        </w:trPr>
        <w:tc>
          <w:tcPr>
            <w:tcW w:w="758" w:type="dxa"/>
          </w:tcPr>
          <w:p>
            <w:pPr>
              <w:pStyle w:val="TableParagraph"/>
              <w:spacing w:line="177" w:lineRule="exact" w:before="92"/>
              <w:ind w:right="138"/>
              <w:rPr>
                <w:rFonts w:ascii="Carlito"/>
                <w:sz w:val="16"/>
              </w:rPr>
            </w:pPr>
            <w:r>
              <w:rPr>
                <w:rFonts w:ascii="Carlito"/>
                <w:sz w:val="16"/>
              </w:rPr>
              <w:t>2</w:t>
            </w:r>
          </w:p>
        </w:tc>
        <w:tc>
          <w:tcPr>
            <w:tcW w:w="1650" w:type="dxa"/>
          </w:tcPr>
          <w:p>
            <w:pPr>
              <w:pStyle w:val="TableParagraph"/>
              <w:spacing w:line="177" w:lineRule="exact" w:before="92"/>
              <w:ind w:left="141"/>
              <w:jc w:val="left"/>
              <w:rPr>
                <w:rFonts w:ascii="Carlito"/>
                <w:sz w:val="16"/>
              </w:rPr>
            </w:pPr>
            <w:r>
              <w:rPr>
                <w:rFonts w:ascii="Carlito"/>
                <w:sz w:val="16"/>
              </w:rPr>
              <w:t>Lomas de Ayarco Sur</w:t>
            </w:r>
          </w:p>
        </w:tc>
        <w:tc>
          <w:tcPr>
            <w:tcW w:w="877" w:type="dxa"/>
          </w:tcPr>
          <w:p>
            <w:pPr>
              <w:pStyle w:val="TableParagraph"/>
              <w:spacing w:line="177" w:lineRule="exact" w:before="92"/>
              <w:ind w:right="65"/>
              <w:rPr>
                <w:rFonts w:ascii="Carlito"/>
                <w:sz w:val="16"/>
              </w:rPr>
            </w:pPr>
            <w:r>
              <w:rPr>
                <w:rFonts w:ascii="Carlito"/>
                <w:sz w:val="16"/>
              </w:rPr>
              <w:t>1</w:t>
            </w:r>
          </w:p>
        </w:tc>
        <w:tc>
          <w:tcPr>
            <w:tcW w:w="1073" w:type="dxa"/>
          </w:tcPr>
          <w:p>
            <w:pPr>
              <w:pStyle w:val="TableParagraph"/>
              <w:spacing w:line="177" w:lineRule="exact" w:before="92"/>
              <w:ind w:right="66"/>
              <w:rPr>
                <w:rFonts w:ascii="Carlito"/>
                <w:sz w:val="16"/>
              </w:rPr>
            </w:pPr>
            <w:r>
              <w:rPr>
                <w:rFonts w:ascii="Carlito"/>
                <w:sz w:val="16"/>
              </w:rPr>
              <w:t>$220,000.00</w:t>
            </w:r>
          </w:p>
        </w:tc>
        <w:tc>
          <w:tcPr>
            <w:tcW w:w="1075" w:type="dxa"/>
          </w:tcPr>
          <w:p>
            <w:pPr>
              <w:pStyle w:val="TableParagraph"/>
              <w:spacing w:line="177" w:lineRule="exact" w:before="92"/>
              <w:ind w:right="66"/>
              <w:rPr>
                <w:rFonts w:ascii="Carlito"/>
                <w:sz w:val="16"/>
              </w:rPr>
            </w:pPr>
            <w:r>
              <w:rPr>
                <w:rFonts w:ascii="Carlito"/>
                <w:sz w:val="16"/>
              </w:rPr>
              <w:t>219</w:t>
            </w:r>
          </w:p>
        </w:tc>
        <w:tc>
          <w:tcPr>
            <w:tcW w:w="1004" w:type="dxa"/>
          </w:tcPr>
          <w:p>
            <w:pPr>
              <w:pStyle w:val="TableParagraph"/>
              <w:spacing w:line="177" w:lineRule="exact" w:before="92"/>
              <w:ind w:right="65"/>
              <w:rPr>
                <w:rFonts w:ascii="Carlito"/>
                <w:sz w:val="16"/>
              </w:rPr>
            </w:pPr>
            <w:r>
              <w:rPr>
                <w:rFonts w:ascii="Carlito"/>
                <w:sz w:val="16"/>
              </w:rPr>
              <w:t>2006</w:t>
            </w:r>
          </w:p>
        </w:tc>
        <w:tc>
          <w:tcPr>
            <w:tcW w:w="1004" w:type="dxa"/>
          </w:tcPr>
          <w:p>
            <w:pPr>
              <w:pStyle w:val="TableParagraph"/>
              <w:spacing w:line="177" w:lineRule="exact" w:before="92"/>
              <w:ind w:right="60"/>
              <w:rPr>
                <w:rFonts w:ascii="Carlito"/>
                <w:sz w:val="16"/>
              </w:rPr>
            </w:pPr>
            <w:r>
              <w:rPr>
                <w:rFonts w:ascii="Carlito"/>
                <w:sz w:val="16"/>
              </w:rPr>
              <w:t>3</w:t>
            </w:r>
          </w:p>
        </w:tc>
        <w:tc>
          <w:tcPr>
            <w:tcW w:w="682" w:type="dxa"/>
          </w:tcPr>
          <w:p>
            <w:pPr>
              <w:pStyle w:val="TableParagraph"/>
              <w:spacing w:line="177" w:lineRule="exact" w:before="92"/>
              <w:ind w:right="61"/>
              <w:rPr>
                <w:rFonts w:ascii="Carlito"/>
                <w:sz w:val="16"/>
              </w:rPr>
            </w:pPr>
            <w:r>
              <w:rPr>
                <w:rFonts w:ascii="Carlito"/>
                <w:sz w:val="16"/>
              </w:rPr>
              <w:t>2</w:t>
            </w:r>
          </w:p>
        </w:tc>
        <w:tc>
          <w:tcPr>
            <w:tcW w:w="684" w:type="dxa"/>
          </w:tcPr>
          <w:p>
            <w:pPr>
              <w:pStyle w:val="TableParagraph"/>
              <w:spacing w:line="177" w:lineRule="exact" w:before="92"/>
              <w:ind w:right="61"/>
              <w:rPr>
                <w:rFonts w:ascii="Carlito"/>
                <w:sz w:val="16"/>
              </w:rPr>
            </w:pPr>
            <w:r>
              <w:rPr>
                <w:rFonts w:ascii="Carlito"/>
                <w:sz w:val="16"/>
              </w:rPr>
              <w:t>2</w:t>
            </w:r>
          </w:p>
        </w:tc>
        <w:tc>
          <w:tcPr>
            <w:tcW w:w="1152" w:type="dxa"/>
          </w:tcPr>
          <w:p>
            <w:pPr>
              <w:pStyle w:val="TableParagraph"/>
              <w:spacing w:line="177" w:lineRule="exact" w:before="92"/>
              <w:ind w:right="65"/>
              <w:rPr>
                <w:rFonts w:ascii="Carlito"/>
                <w:sz w:val="16"/>
              </w:rPr>
            </w:pPr>
            <w:r>
              <w:rPr>
                <w:rFonts w:ascii="Carlito"/>
                <w:sz w:val="16"/>
              </w:rPr>
              <w:t>8.8</w:t>
            </w:r>
          </w:p>
        </w:tc>
        <w:tc>
          <w:tcPr>
            <w:tcW w:w="1348" w:type="dxa"/>
          </w:tcPr>
          <w:p>
            <w:pPr>
              <w:pStyle w:val="TableParagraph"/>
              <w:spacing w:line="177" w:lineRule="exact" w:before="92"/>
              <w:ind w:right="65"/>
              <w:rPr>
                <w:rFonts w:ascii="Carlito"/>
                <w:sz w:val="16"/>
              </w:rPr>
            </w:pPr>
            <w:r>
              <w:rPr>
                <w:rFonts w:ascii="Carlito"/>
                <w:sz w:val="16"/>
              </w:rPr>
              <w:t>2.8</w:t>
            </w:r>
          </w:p>
        </w:tc>
        <w:tc>
          <w:tcPr>
            <w:tcW w:w="808" w:type="dxa"/>
          </w:tcPr>
          <w:p>
            <w:pPr>
              <w:pStyle w:val="TableParagraph"/>
              <w:spacing w:line="177" w:lineRule="exact" w:before="92"/>
              <w:ind w:right="61"/>
              <w:rPr>
                <w:rFonts w:ascii="Carlito"/>
                <w:sz w:val="16"/>
              </w:rPr>
            </w:pPr>
            <w:r>
              <w:rPr>
                <w:rFonts w:ascii="Carlito"/>
                <w:sz w:val="16"/>
              </w:rPr>
              <w:t>0</w:t>
            </w:r>
          </w:p>
        </w:tc>
        <w:tc>
          <w:tcPr>
            <w:tcW w:w="842" w:type="dxa"/>
          </w:tcPr>
          <w:p>
            <w:pPr>
              <w:pStyle w:val="TableParagraph"/>
              <w:spacing w:line="177" w:lineRule="exact" w:before="92"/>
              <w:ind w:right="59"/>
              <w:rPr>
                <w:rFonts w:ascii="Carlito"/>
                <w:sz w:val="16"/>
              </w:rPr>
            </w:pPr>
            <w:r>
              <w:rPr>
                <w:rFonts w:ascii="Carlito"/>
                <w:sz w:val="16"/>
              </w:rPr>
              <w:t>1</w:t>
            </w:r>
          </w:p>
        </w:tc>
      </w:tr>
      <w:tr>
        <w:trPr>
          <w:trHeight w:val="287" w:hRule="atLeast"/>
        </w:trPr>
        <w:tc>
          <w:tcPr>
            <w:tcW w:w="758" w:type="dxa"/>
            <w:shd w:val="clear" w:color="auto" w:fill="D9D9D9"/>
          </w:tcPr>
          <w:p>
            <w:pPr>
              <w:pStyle w:val="TableParagraph"/>
              <w:ind w:right="138"/>
              <w:rPr>
                <w:rFonts w:ascii="Carlito"/>
                <w:sz w:val="16"/>
              </w:rPr>
            </w:pPr>
            <w:r>
              <w:rPr>
                <w:rFonts w:ascii="Carlito"/>
                <w:sz w:val="16"/>
              </w:rPr>
              <w:t>3</w:t>
            </w:r>
          </w:p>
        </w:tc>
        <w:tc>
          <w:tcPr>
            <w:tcW w:w="1650" w:type="dxa"/>
            <w:shd w:val="clear" w:color="auto" w:fill="D9D9D9"/>
          </w:tcPr>
          <w:p>
            <w:pPr>
              <w:pStyle w:val="TableParagraph"/>
              <w:ind w:left="141"/>
              <w:jc w:val="left"/>
              <w:rPr>
                <w:rFonts w:ascii="Carlito"/>
                <w:sz w:val="16"/>
              </w:rPr>
            </w:pPr>
            <w:r>
              <w:rPr>
                <w:rFonts w:ascii="Carlito"/>
                <w:sz w:val="16"/>
              </w:rPr>
              <w:t>Lomas de Ayarco</w:t>
            </w:r>
          </w:p>
        </w:tc>
        <w:tc>
          <w:tcPr>
            <w:tcW w:w="877" w:type="dxa"/>
            <w:shd w:val="clear" w:color="auto" w:fill="D9D9D9"/>
          </w:tcPr>
          <w:p>
            <w:pPr>
              <w:pStyle w:val="TableParagraph"/>
              <w:ind w:right="65"/>
              <w:rPr>
                <w:rFonts w:ascii="Carlito"/>
                <w:sz w:val="16"/>
              </w:rPr>
            </w:pPr>
            <w:r>
              <w:rPr>
                <w:rFonts w:ascii="Carlito"/>
                <w:sz w:val="16"/>
              </w:rPr>
              <w:t>1</w:t>
            </w:r>
          </w:p>
        </w:tc>
        <w:tc>
          <w:tcPr>
            <w:tcW w:w="1073" w:type="dxa"/>
            <w:shd w:val="clear" w:color="auto" w:fill="D9D9D9"/>
          </w:tcPr>
          <w:p>
            <w:pPr>
              <w:pStyle w:val="TableParagraph"/>
              <w:ind w:right="66"/>
              <w:rPr>
                <w:rFonts w:ascii="Carlito"/>
                <w:sz w:val="16"/>
              </w:rPr>
            </w:pPr>
            <w:r>
              <w:rPr>
                <w:rFonts w:ascii="Carlito"/>
                <w:sz w:val="16"/>
              </w:rPr>
              <w:t>$600,000.00</w:t>
            </w:r>
          </w:p>
        </w:tc>
        <w:tc>
          <w:tcPr>
            <w:tcW w:w="1075" w:type="dxa"/>
            <w:shd w:val="clear" w:color="auto" w:fill="D9D9D9"/>
          </w:tcPr>
          <w:p>
            <w:pPr>
              <w:pStyle w:val="TableParagraph"/>
              <w:ind w:right="66"/>
              <w:rPr>
                <w:rFonts w:ascii="Carlito"/>
                <w:sz w:val="16"/>
              </w:rPr>
            </w:pPr>
            <w:r>
              <w:rPr>
                <w:rFonts w:ascii="Carlito"/>
                <w:sz w:val="16"/>
              </w:rPr>
              <w:t>500</w:t>
            </w:r>
          </w:p>
        </w:tc>
        <w:tc>
          <w:tcPr>
            <w:tcW w:w="1004" w:type="dxa"/>
            <w:shd w:val="clear" w:color="auto" w:fill="D9D9D9"/>
          </w:tcPr>
          <w:p>
            <w:pPr>
              <w:pStyle w:val="TableParagraph"/>
              <w:ind w:right="65"/>
              <w:rPr>
                <w:rFonts w:ascii="Carlito"/>
                <w:sz w:val="16"/>
              </w:rPr>
            </w:pPr>
            <w:r>
              <w:rPr>
                <w:rFonts w:ascii="Carlito"/>
                <w:sz w:val="16"/>
              </w:rPr>
              <w:t>2006</w:t>
            </w:r>
          </w:p>
        </w:tc>
        <w:tc>
          <w:tcPr>
            <w:tcW w:w="1004" w:type="dxa"/>
            <w:shd w:val="clear" w:color="auto" w:fill="D9D9D9"/>
          </w:tcPr>
          <w:p>
            <w:pPr>
              <w:pStyle w:val="TableParagraph"/>
              <w:ind w:right="60"/>
              <w:rPr>
                <w:rFonts w:ascii="Carlito"/>
                <w:sz w:val="16"/>
              </w:rPr>
            </w:pPr>
            <w:r>
              <w:rPr>
                <w:rFonts w:ascii="Carlito"/>
                <w:sz w:val="16"/>
              </w:rPr>
              <w:t>4</w:t>
            </w:r>
          </w:p>
        </w:tc>
        <w:tc>
          <w:tcPr>
            <w:tcW w:w="682" w:type="dxa"/>
            <w:shd w:val="clear" w:color="auto" w:fill="D9D9D9"/>
          </w:tcPr>
          <w:p>
            <w:pPr>
              <w:pStyle w:val="TableParagraph"/>
              <w:ind w:right="66"/>
              <w:rPr>
                <w:rFonts w:ascii="Carlito"/>
                <w:sz w:val="16"/>
              </w:rPr>
            </w:pPr>
            <w:r>
              <w:rPr>
                <w:rFonts w:ascii="Carlito"/>
                <w:sz w:val="16"/>
              </w:rPr>
              <w:t>3.5</w:t>
            </w:r>
          </w:p>
        </w:tc>
        <w:tc>
          <w:tcPr>
            <w:tcW w:w="684" w:type="dxa"/>
            <w:shd w:val="clear" w:color="auto" w:fill="D9D9D9"/>
          </w:tcPr>
          <w:p>
            <w:pPr>
              <w:pStyle w:val="TableParagraph"/>
              <w:ind w:right="61"/>
              <w:rPr>
                <w:rFonts w:ascii="Carlito"/>
                <w:sz w:val="16"/>
              </w:rPr>
            </w:pPr>
            <w:r>
              <w:rPr>
                <w:rFonts w:ascii="Carlito"/>
                <w:sz w:val="16"/>
              </w:rPr>
              <w:t>1</w:t>
            </w:r>
          </w:p>
        </w:tc>
        <w:tc>
          <w:tcPr>
            <w:tcW w:w="1152" w:type="dxa"/>
            <w:shd w:val="clear" w:color="auto" w:fill="D9D9D9"/>
          </w:tcPr>
          <w:p>
            <w:pPr>
              <w:pStyle w:val="TableParagraph"/>
              <w:ind w:right="65"/>
              <w:rPr>
                <w:rFonts w:ascii="Carlito"/>
                <w:sz w:val="16"/>
              </w:rPr>
            </w:pPr>
            <w:r>
              <w:rPr>
                <w:rFonts w:ascii="Carlito"/>
                <w:sz w:val="16"/>
              </w:rPr>
              <w:t>8.55</w:t>
            </w:r>
          </w:p>
        </w:tc>
        <w:tc>
          <w:tcPr>
            <w:tcW w:w="1348" w:type="dxa"/>
            <w:shd w:val="clear" w:color="auto" w:fill="D9D9D9"/>
          </w:tcPr>
          <w:p>
            <w:pPr>
              <w:pStyle w:val="TableParagraph"/>
              <w:ind w:right="65"/>
              <w:rPr>
                <w:rFonts w:ascii="Carlito"/>
                <w:sz w:val="16"/>
              </w:rPr>
            </w:pPr>
            <w:r>
              <w:rPr>
                <w:rFonts w:ascii="Carlito"/>
                <w:sz w:val="16"/>
              </w:rPr>
              <w:t>2.9</w:t>
            </w:r>
          </w:p>
        </w:tc>
        <w:tc>
          <w:tcPr>
            <w:tcW w:w="808" w:type="dxa"/>
            <w:shd w:val="clear" w:color="auto" w:fill="D9D9D9"/>
          </w:tcPr>
          <w:p>
            <w:pPr>
              <w:pStyle w:val="TableParagraph"/>
              <w:ind w:right="61"/>
              <w:rPr>
                <w:rFonts w:ascii="Carlito"/>
                <w:sz w:val="16"/>
              </w:rPr>
            </w:pPr>
            <w:r>
              <w:rPr>
                <w:rFonts w:ascii="Carlito"/>
                <w:sz w:val="16"/>
              </w:rPr>
              <w:t>0</w:t>
            </w:r>
          </w:p>
        </w:tc>
        <w:tc>
          <w:tcPr>
            <w:tcW w:w="842" w:type="dxa"/>
            <w:shd w:val="clear" w:color="auto" w:fill="D9D9D9"/>
          </w:tcPr>
          <w:p>
            <w:pPr>
              <w:pStyle w:val="TableParagraph"/>
              <w:ind w:right="59"/>
              <w:rPr>
                <w:rFonts w:ascii="Carlito"/>
                <w:sz w:val="16"/>
              </w:rPr>
            </w:pPr>
            <w:r>
              <w:rPr>
                <w:rFonts w:ascii="Carlito"/>
                <w:sz w:val="16"/>
              </w:rPr>
              <w:t>0</w:t>
            </w:r>
          </w:p>
        </w:tc>
      </w:tr>
      <w:tr>
        <w:trPr>
          <w:trHeight w:val="287" w:hRule="atLeast"/>
        </w:trPr>
        <w:tc>
          <w:tcPr>
            <w:tcW w:w="758" w:type="dxa"/>
          </w:tcPr>
          <w:p>
            <w:pPr>
              <w:pStyle w:val="TableParagraph"/>
              <w:ind w:right="138"/>
              <w:rPr>
                <w:rFonts w:ascii="Carlito"/>
                <w:sz w:val="16"/>
              </w:rPr>
            </w:pPr>
            <w:r>
              <w:rPr>
                <w:rFonts w:ascii="Carlito"/>
                <w:sz w:val="16"/>
              </w:rPr>
              <w:t>4</w:t>
            </w:r>
          </w:p>
        </w:tc>
        <w:tc>
          <w:tcPr>
            <w:tcW w:w="1650" w:type="dxa"/>
          </w:tcPr>
          <w:p>
            <w:pPr>
              <w:pStyle w:val="TableParagraph"/>
              <w:ind w:left="141"/>
              <w:jc w:val="left"/>
              <w:rPr>
                <w:rFonts w:ascii="Carlito"/>
                <w:sz w:val="16"/>
              </w:rPr>
            </w:pPr>
            <w:r>
              <w:rPr>
                <w:rFonts w:ascii="Carlito"/>
                <w:sz w:val="16"/>
              </w:rPr>
              <w:t>Lomas de Ayarco Sur</w:t>
            </w:r>
          </w:p>
        </w:tc>
        <w:tc>
          <w:tcPr>
            <w:tcW w:w="877" w:type="dxa"/>
          </w:tcPr>
          <w:p>
            <w:pPr>
              <w:pStyle w:val="TableParagraph"/>
              <w:ind w:right="65"/>
              <w:rPr>
                <w:rFonts w:ascii="Carlito"/>
                <w:sz w:val="16"/>
              </w:rPr>
            </w:pPr>
            <w:r>
              <w:rPr>
                <w:rFonts w:ascii="Carlito"/>
                <w:sz w:val="16"/>
              </w:rPr>
              <w:t>1</w:t>
            </w:r>
          </w:p>
        </w:tc>
        <w:tc>
          <w:tcPr>
            <w:tcW w:w="1073" w:type="dxa"/>
          </w:tcPr>
          <w:p>
            <w:pPr>
              <w:pStyle w:val="TableParagraph"/>
              <w:ind w:right="66"/>
              <w:rPr>
                <w:rFonts w:ascii="Carlito"/>
                <w:sz w:val="16"/>
              </w:rPr>
            </w:pPr>
            <w:r>
              <w:rPr>
                <w:rFonts w:ascii="Carlito"/>
                <w:sz w:val="16"/>
              </w:rPr>
              <w:t>$380,000.00</w:t>
            </w:r>
          </w:p>
        </w:tc>
        <w:tc>
          <w:tcPr>
            <w:tcW w:w="1075" w:type="dxa"/>
          </w:tcPr>
          <w:p>
            <w:pPr>
              <w:pStyle w:val="TableParagraph"/>
              <w:ind w:right="66"/>
              <w:rPr>
                <w:rFonts w:ascii="Carlito"/>
                <w:sz w:val="16"/>
              </w:rPr>
            </w:pPr>
            <w:r>
              <w:rPr>
                <w:rFonts w:ascii="Carlito"/>
                <w:sz w:val="16"/>
              </w:rPr>
              <w:t>360</w:t>
            </w:r>
          </w:p>
        </w:tc>
        <w:tc>
          <w:tcPr>
            <w:tcW w:w="1004" w:type="dxa"/>
          </w:tcPr>
          <w:p>
            <w:pPr>
              <w:pStyle w:val="TableParagraph"/>
              <w:ind w:right="65"/>
              <w:rPr>
                <w:rFonts w:ascii="Carlito"/>
                <w:sz w:val="16"/>
              </w:rPr>
            </w:pPr>
            <w:r>
              <w:rPr>
                <w:rFonts w:ascii="Carlito"/>
                <w:sz w:val="16"/>
              </w:rPr>
              <w:t>2006</w:t>
            </w:r>
          </w:p>
        </w:tc>
        <w:tc>
          <w:tcPr>
            <w:tcW w:w="1004" w:type="dxa"/>
          </w:tcPr>
          <w:p>
            <w:pPr>
              <w:pStyle w:val="TableParagraph"/>
              <w:ind w:right="60"/>
              <w:rPr>
                <w:rFonts w:ascii="Carlito"/>
                <w:sz w:val="16"/>
              </w:rPr>
            </w:pPr>
            <w:r>
              <w:rPr>
                <w:rFonts w:ascii="Carlito"/>
                <w:sz w:val="16"/>
              </w:rPr>
              <w:t>4</w:t>
            </w:r>
          </w:p>
        </w:tc>
        <w:tc>
          <w:tcPr>
            <w:tcW w:w="682" w:type="dxa"/>
          </w:tcPr>
          <w:p>
            <w:pPr>
              <w:pStyle w:val="TableParagraph"/>
              <w:ind w:right="61"/>
              <w:rPr>
                <w:rFonts w:ascii="Carlito"/>
                <w:sz w:val="16"/>
              </w:rPr>
            </w:pPr>
            <w:r>
              <w:rPr>
                <w:rFonts w:ascii="Carlito"/>
                <w:sz w:val="16"/>
              </w:rPr>
              <w:t>3</w:t>
            </w:r>
          </w:p>
        </w:tc>
        <w:tc>
          <w:tcPr>
            <w:tcW w:w="684" w:type="dxa"/>
          </w:tcPr>
          <w:p>
            <w:pPr>
              <w:pStyle w:val="TableParagraph"/>
              <w:ind w:right="61"/>
              <w:rPr>
                <w:rFonts w:ascii="Carlito"/>
                <w:sz w:val="16"/>
              </w:rPr>
            </w:pPr>
            <w:r>
              <w:rPr>
                <w:rFonts w:ascii="Carlito"/>
                <w:sz w:val="16"/>
              </w:rPr>
              <w:t>2</w:t>
            </w:r>
          </w:p>
        </w:tc>
        <w:tc>
          <w:tcPr>
            <w:tcW w:w="1152" w:type="dxa"/>
          </w:tcPr>
          <w:p>
            <w:pPr>
              <w:pStyle w:val="TableParagraph"/>
              <w:ind w:right="65"/>
              <w:rPr>
                <w:rFonts w:ascii="Carlito"/>
                <w:sz w:val="16"/>
              </w:rPr>
            </w:pPr>
            <w:r>
              <w:rPr>
                <w:rFonts w:ascii="Carlito"/>
                <w:sz w:val="16"/>
              </w:rPr>
              <w:t>8.8</w:t>
            </w:r>
          </w:p>
        </w:tc>
        <w:tc>
          <w:tcPr>
            <w:tcW w:w="1348" w:type="dxa"/>
          </w:tcPr>
          <w:p>
            <w:pPr>
              <w:pStyle w:val="TableParagraph"/>
              <w:ind w:right="65"/>
              <w:rPr>
                <w:rFonts w:ascii="Carlito"/>
                <w:sz w:val="16"/>
              </w:rPr>
            </w:pPr>
            <w:r>
              <w:rPr>
                <w:rFonts w:ascii="Carlito"/>
                <w:sz w:val="16"/>
              </w:rPr>
              <w:t>2.8</w:t>
            </w:r>
          </w:p>
        </w:tc>
        <w:tc>
          <w:tcPr>
            <w:tcW w:w="808" w:type="dxa"/>
          </w:tcPr>
          <w:p>
            <w:pPr>
              <w:pStyle w:val="TableParagraph"/>
              <w:ind w:right="61"/>
              <w:rPr>
                <w:rFonts w:ascii="Carlito"/>
                <w:sz w:val="16"/>
              </w:rPr>
            </w:pPr>
            <w:r>
              <w:rPr>
                <w:rFonts w:ascii="Carlito"/>
                <w:sz w:val="16"/>
              </w:rPr>
              <w:t>0</w:t>
            </w:r>
          </w:p>
        </w:tc>
        <w:tc>
          <w:tcPr>
            <w:tcW w:w="842" w:type="dxa"/>
          </w:tcPr>
          <w:p>
            <w:pPr>
              <w:pStyle w:val="TableParagraph"/>
              <w:ind w:right="59"/>
              <w:rPr>
                <w:rFonts w:ascii="Carlito"/>
                <w:sz w:val="16"/>
              </w:rPr>
            </w:pPr>
            <w:r>
              <w:rPr>
                <w:rFonts w:ascii="Carlito"/>
                <w:sz w:val="16"/>
              </w:rPr>
              <w:t>1</w:t>
            </w:r>
          </w:p>
        </w:tc>
      </w:tr>
      <w:tr>
        <w:trPr>
          <w:trHeight w:val="287" w:hRule="atLeast"/>
        </w:trPr>
        <w:tc>
          <w:tcPr>
            <w:tcW w:w="758" w:type="dxa"/>
            <w:shd w:val="clear" w:color="auto" w:fill="D9D9D9"/>
          </w:tcPr>
          <w:p>
            <w:pPr>
              <w:pStyle w:val="TableParagraph"/>
              <w:ind w:right="138"/>
              <w:rPr>
                <w:rFonts w:ascii="Carlito"/>
                <w:sz w:val="16"/>
              </w:rPr>
            </w:pPr>
            <w:r>
              <w:rPr>
                <w:rFonts w:ascii="Carlito"/>
                <w:sz w:val="16"/>
              </w:rPr>
              <w:t>6</w:t>
            </w:r>
          </w:p>
        </w:tc>
        <w:tc>
          <w:tcPr>
            <w:tcW w:w="1650" w:type="dxa"/>
            <w:shd w:val="clear" w:color="auto" w:fill="D9D9D9"/>
          </w:tcPr>
          <w:p>
            <w:pPr>
              <w:pStyle w:val="TableParagraph"/>
              <w:ind w:left="141"/>
              <w:jc w:val="left"/>
              <w:rPr>
                <w:rFonts w:ascii="Carlito"/>
                <w:sz w:val="16"/>
              </w:rPr>
            </w:pPr>
            <w:r>
              <w:rPr>
                <w:rFonts w:ascii="Carlito"/>
                <w:sz w:val="16"/>
              </w:rPr>
              <w:t>Freses</w:t>
            </w:r>
          </w:p>
        </w:tc>
        <w:tc>
          <w:tcPr>
            <w:tcW w:w="877" w:type="dxa"/>
            <w:shd w:val="clear" w:color="auto" w:fill="D9D9D9"/>
          </w:tcPr>
          <w:p>
            <w:pPr>
              <w:pStyle w:val="TableParagraph"/>
              <w:ind w:right="65"/>
              <w:rPr>
                <w:rFonts w:ascii="Carlito"/>
                <w:sz w:val="16"/>
              </w:rPr>
            </w:pPr>
            <w:r>
              <w:rPr>
                <w:rFonts w:ascii="Carlito"/>
                <w:sz w:val="16"/>
              </w:rPr>
              <w:t>1</w:t>
            </w:r>
          </w:p>
        </w:tc>
        <w:tc>
          <w:tcPr>
            <w:tcW w:w="1073" w:type="dxa"/>
            <w:shd w:val="clear" w:color="auto" w:fill="D9D9D9"/>
          </w:tcPr>
          <w:p>
            <w:pPr>
              <w:pStyle w:val="TableParagraph"/>
              <w:ind w:right="66"/>
              <w:rPr>
                <w:rFonts w:ascii="Carlito"/>
                <w:sz w:val="16"/>
              </w:rPr>
            </w:pPr>
            <w:r>
              <w:rPr>
                <w:rFonts w:ascii="Carlito"/>
                <w:sz w:val="16"/>
              </w:rPr>
              <w:t>$475,000.00</w:t>
            </w:r>
          </w:p>
        </w:tc>
        <w:tc>
          <w:tcPr>
            <w:tcW w:w="1075" w:type="dxa"/>
            <w:shd w:val="clear" w:color="auto" w:fill="D9D9D9"/>
          </w:tcPr>
          <w:p>
            <w:pPr>
              <w:pStyle w:val="TableParagraph"/>
              <w:ind w:right="66"/>
              <w:rPr>
                <w:rFonts w:ascii="Carlito"/>
                <w:sz w:val="16"/>
              </w:rPr>
            </w:pPr>
            <w:r>
              <w:rPr>
                <w:rFonts w:ascii="Carlito"/>
                <w:sz w:val="16"/>
              </w:rPr>
              <w:t>445</w:t>
            </w:r>
          </w:p>
        </w:tc>
        <w:tc>
          <w:tcPr>
            <w:tcW w:w="1004" w:type="dxa"/>
            <w:shd w:val="clear" w:color="auto" w:fill="D9D9D9"/>
          </w:tcPr>
          <w:p>
            <w:pPr>
              <w:pStyle w:val="TableParagraph"/>
              <w:ind w:right="65"/>
              <w:rPr>
                <w:rFonts w:ascii="Carlito"/>
                <w:sz w:val="16"/>
              </w:rPr>
            </w:pPr>
            <w:r>
              <w:rPr>
                <w:rFonts w:ascii="Carlito"/>
                <w:sz w:val="16"/>
              </w:rPr>
              <w:t>2006</w:t>
            </w:r>
          </w:p>
        </w:tc>
        <w:tc>
          <w:tcPr>
            <w:tcW w:w="1004" w:type="dxa"/>
            <w:shd w:val="clear" w:color="auto" w:fill="D9D9D9"/>
          </w:tcPr>
          <w:p>
            <w:pPr>
              <w:pStyle w:val="TableParagraph"/>
              <w:ind w:right="60"/>
              <w:rPr>
                <w:rFonts w:ascii="Carlito"/>
                <w:sz w:val="16"/>
              </w:rPr>
            </w:pPr>
            <w:r>
              <w:rPr>
                <w:rFonts w:ascii="Carlito"/>
                <w:sz w:val="16"/>
              </w:rPr>
              <w:t>4</w:t>
            </w:r>
          </w:p>
        </w:tc>
        <w:tc>
          <w:tcPr>
            <w:tcW w:w="682" w:type="dxa"/>
            <w:shd w:val="clear" w:color="auto" w:fill="D9D9D9"/>
          </w:tcPr>
          <w:p>
            <w:pPr>
              <w:pStyle w:val="TableParagraph"/>
              <w:ind w:right="61"/>
              <w:rPr>
                <w:rFonts w:ascii="Carlito"/>
                <w:sz w:val="16"/>
              </w:rPr>
            </w:pPr>
            <w:r>
              <w:rPr>
                <w:rFonts w:ascii="Carlito"/>
                <w:sz w:val="16"/>
              </w:rPr>
              <w:t>4</w:t>
            </w:r>
          </w:p>
        </w:tc>
        <w:tc>
          <w:tcPr>
            <w:tcW w:w="684" w:type="dxa"/>
            <w:shd w:val="clear" w:color="auto" w:fill="D9D9D9"/>
          </w:tcPr>
          <w:p>
            <w:pPr>
              <w:pStyle w:val="TableParagraph"/>
              <w:ind w:right="61"/>
              <w:rPr>
                <w:rFonts w:ascii="Carlito"/>
                <w:sz w:val="16"/>
              </w:rPr>
            </w:pPr>
            <w:r>
              <w:rPr>
                <w:rFonts w:ascii="Carlito"/>
                <w:sz w:val="16"/>
              </w:rPr>
              <w:t>2</w:t>
            </w:r>
          </w:p>
        </w:tc>
        <w:tc>
          <w:tcPr>
            <w:tcW w:w="1152" w:type="dxa"/>
            <w:shd w:val="clear" w:color="auto" w:fill="D9D9D9"/>
          </w:tcPr>
          <w:p>
            <w:pPr>
              <w:pStyle w:val="TableParagraph"/>
              <w:ind w:right="65"/>
              <w:rPr>
                <w:rFonts w:ascii="Carlito"/>
                <w:sz w:val="16"/>
              </w:rPr>
            </w:pPr>
            <w:r>
              <w:rPr>
                <w:rFonts w:ascii="Carlito"/>
                <w:sz w:val="16"/>
              </w:rPr>
              <w:t>5.2</w:t>
            </w:r>
          </w:p>
        </w:tc>
        <w:tc>
          <w:tcPr>
            <w:tcW w:w="1348" w:type="dxa"/>
            <w:shd w:val="clear" w:color="auto" w:fill="D9D9D9"/>
          </w:tcPr>
          <w:p>
            <w:pPr>
              <w:pStyle w:val="TableParagraph"/>
              <w:ind w:right="65"/>
              <w:rPr>
                <w:rFonts w:ascii="Carlito"/>
                <w:sz w:val="16"/>
              </w:rPr>
            </w:pPr>
            <w:r>
              <w:rPr>
                <w:rFonts w:ascii="Carlito"/>
                <w:sz w:val="16"/>
              </w:rPr>
              <w:t>5.2</w:t>
            </w:r>
          </w:p>
        </w:tc>
        <w:tc>
          <w:tcPr>
            <w:tcW w:w="808" w:type="dxa"/>
            <w:shd w:val="clear" w:color="auto" w:fill="D9D9D9"/>
          </w:tcPr>
          <w:p>
            <w:pPr>
              <w:pStyle w:val="TableParagraph"/>
              <w:ind w:right="61"/>
              <w:rPr>
                <w:rFonts w:ascii="Carlito"/>
                <w:sz w:val="16"/>
              </w:rPr>
            </w:pPr>
            <w:r>
              <w:rPr>
                <w:rFonts w:ascii="Carlito"/>
                <w:sz w:val="16"/>
              </w:rPr>
              <w:t>0</w:t>
            </w:r>
          </w:p>
        </w:tc>
        <w:tc>
          <w:tcPr>
            <w:tcW w:w="842"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8" w:type="dxa"/>
          </w:tcPr>
          <w:p>
            <w:pPr>
              <w:pStyle w:val="TableParagraph"/>
              <w:ind w:right="138"/>
              <w:rPr>
                <w:rFonts w:ascii="Carlito"/>
                <w:sz w:val="16"/>
              </w:rPr>
            </w:pPr>
            <w:r>
              <w:rPr>
                <w:rFonts w:ascii="Carlito"/>
                <w:sz w:val="16"/>
              </w:rPr>
              <w:t>7</w:t>
            </w:r>
          </w:p>
        </w:tc>
        <w:tc>
          <w:tcPr>
            <w:tcW w:w="1650" w:type="dxa"/>
          </w:tcPr>
          <w:p>
            <w:pPr>
              <w:pStyle w:val="TableParagraph"/>
              <w:ind w:left="141"/>
              <w:jc w:val="left"/>
              <w:rPr>
                <w:rFonts w:ascii="Carlito"/>
                <w:sz w:val="16"/>
              </w:rPr>
            </w:pPr>
            <w:r>
              <w:rPr>
                <w:rFonts w:ascii="Carlito"/>
                <w:sz w:val="16"/>
              </w:rPr>
              <w:t>Freses</w:t>
            </w:r>
          </w:p>
        </w:tc>
        <w:tc>
          <w:tcPr>
            <w:tcW w:w="877" w:type="dxa"/>
          </w:tcPr>
          <w:p>
            <w:pPr>
              <w:pStyle w:val="TableParagraph"/>
              <w:ind w:right="65"/>
              <w:rPr>
                <w:rFonts w:ascii="Carlito"/>
                <w:sz w:val="16"/>
              </w:rPr>
            </w:pPr>
            <w:r>
              <w:rPr>
                <w:rFonts w:ascii="Carlito"/>
                <w:sz w:val="16"/>
              </w:rPr>
              <w:t>1</w:t>
            </w:r>
          </w:p>
        </w:tc>
        <w:tc>
          <w:tcPr>
            <w:tcW w:w="1073" w:type="dxa"/>
          </w:tcPr>
          <w:p>
            <w:pPr>
              <w:pStyle w:val="TableParagraph"/>
              <w:ind w:right="66"/>
              <w:rPr>
                <w:rFonts w:ascii="Carlito"/>
                <w:sz w:val="16"/>
              </w:rPr>
            </w:pPr>
            <w:r>
              <w:rPr>
                <w:rFonts w:ascii="Carlito"/>
                <w:sz w:val="16"/>
              </w:rPr>
              <w:t>$700,000.00</w:t>
            </w:r>
          </w:p>
        </w:tc>
        <w:tc>
          <w:tcPr>
            <w:tcW w:w="1075" w:type="dxa"/>
          </w:tcPr>
          <w:p>
            <w:pPr>
              <w:pStyle w:val="TableParagraph"/>
              <w:ind w:right="66"/>
              <w:rPr>
                <w:rFonts w:ascii="Carlito"/>
                <w:sz w:val="16"/>
              </w:rPr>
            </w:pPr>
            <w:r>
              <w:rPr>
                <w:rFonts w:ascii="Carlito"/>
                <w:sz w:val="16"/>
              </w:rPr>
              <w:t>720</w:t>
            </w:r>
          </w:p>
        </w:tc>
        <w:tc>
          <w:tcPr>
            <w:tcW w:w="1004" w:type="dxa"/>
          </w:tcPr>
          <w:p>
            <w:pPr>
              <w:pStyle w:val="TableParagraph"/>
              <w:ind w:right="65"/>
              <w:rPr>
                <w:rFonts w:ascii="Carlito"/>
                <w:sz w:val="16"/>
              </w:rPr>
            </w:pPr>
            <w:r>
              <w:rPr>
                <w:rFonts w:ascii="Carlito"/>
                <w:sz w:val="16"/>
              </w:rPr>
              <w:t>2006</w:t>
            </w:r>
          </w:p>
        </w:tc>
        <w:tc>
          <w:tcPr>
            <w:tcW w:w="1004" w:type="dxa"/>
          </w:tcPr>
          <w:p>
            <w:pPr>
              <w:pStyle w:val="TableParagraph"/>
              <w:ind w:right="60"/>
              <w:rPr>
                <w:rFonts w:ascii="Carlito"/>
                <w:sz w:val="16"/>
              </w:rPr>
            </w:pPr>
            <w:r>
              <w:rPr>
                <w:rFonts w:ascii="Carlito"/>
                <w:sz w:val="16"/>
              </w:rPr>
              <w:t>5</w:t>
            </w:r>
          </w:p>
        </w:tc>
        <w:tc>
          <w:tcPr>
            <w:tcW w:w="682" w:type="dxa"/>
          </w:tcPr>
          <w:p>
            <w:pPr>
              <w:pStyle w:val="TableParagraph"/>
              <w:ind w:right="61"/>
              <w:rPr>
                <w:rFonts w:ascii="Carlito"/>
                <w:sz w:val="16"/>
              </w:rPr>
            </w:pPr>
            <w:r>
              <w:rPr>
                <w:rFonts w:ascii="Carlito"/>
                <w:sz w:val="16"/>
              </w:rPr>
              <w:t>5</w:t>
            </w:r>
          </w:p>
        </w:tc>
        <w:tc>
          <w:tcPr>
            <w:tcW w:w="684" w:type="dxa"/>
          </w:tcPr>
          <w:p>
            <w:pPr>
              <w:pStyle w:val="TableParagraph"/>
              <w:ind w:right="61"/>
              <w:rPr>
                <w:rFonts w:ascii="Carlito"/>
                <w:sz w:val="16"/>
              </w:rPr>
            </w:pPr>
            <w:r>
              <w:rPr>
                <w:rFonts w:ascii="Carlito"/>
                <w:sz w:val="16"/>
              </w:rPr>
              <w:t>2</w:t>
            </w:r>
          </w:p>
        </w:tc>
        <w:tc>
          <w:tcPr>
            <w:tcW w:w="1152" w:type="dxa"/>
          </w:tcPr>
          <w:p>
            <w:pPr>
              <w:pStyle w:val="TableParagraph"/>
              <w:ind w:right="65"/>
              <w:rPr>
                <w:rFonts w:ascii="Carlito"/>
                <w:sz w:val="16"/>
              </w:rPr>
            </w:pPr>
            <w:r>
              <w:rPr>
                <w:rFonts w:ascii="Carlito"/>
                <w:sz w:val="16"/>
              </w:rPr>
              <w:t>5.2</w:t>
            </w:r>
          </w:p>
        </w:tc>
        <w:tc>
          <w:tcPr>
            <w:tcW w:w="1348" w:type="dxa"/>
          </w:tcPr>
          <w:p>
            <w:pPr>
              <w:pStyle w:val="TableParagraph"/>
              <w:ind w:right="65"/>
              <w:rPr>
                <w:rFonts w:ascii="Carlito"/>
                <w:sz w:val="16"/>
              </w:rPr>
            </w:pPr>
            <w:r>
              <w:rPr>
                <w:rFonts w:ascii="Carlito"/>
                <w:sz w:val="16"/>
              </w:rPr>
              <w:t>5.2</w:t>
            </w:r>
          </w:p>
        </w:tc>
        <w:tc>
          <w:tcPr>
            <w:tcW w:w="808" w:type="dxa"/>
          </w:tcPr>
          <w:p>
            <w:pPr>
              <w:pStyle w:val="TableParagraph"/>
              <w:ind w:right="61"/>
              <w:rPr>
                <w:rFonts w:ascii="Carlito"/>
                <w:sz w:val="16"/>
              </w:rPr>
            </w:pPr>
            <w:r>
              <w:rPr>
                <w:rFonts w:ascii="Carlito"/>
                <w:sz w:val="16"/>
              </w:rPr>
              <w:t>0</w:t>
            </w:r>
          </w:p>
        </w:tc>
        <w:tc>
          <w:tcPr>
            <w:tcW w:w="842" w:type="dxa"/>
          </w:tcPr>
          <w:p>
            <w:pPr>
              <w:pStyle w:val="TableParagraph"/>
              <w:ind w:right="59"/>
              <w:rPr>
                <w:rFonts w:ascii="Carlito"/>
                <w:sz w:val="16"/>
              </w:rPr>
            </w:pPr>
            <w:r>
              <w:rPr>
                <w:rFonts w:ascii="Carlito"/>
                <w:sz w:val="16"/>
              </w:rPr>
              <w:t>0</w:t>
            </w:r>
          </w:p>
        </w:tc>
      </w:tr>
      <w:tr>
        <w:trPr>
          <w:trHeight w:val="287" w:hRule="atLeast"/>
        </w:trPr>
        <w:tc>
          <w:tcPr>
            <w:tcW w:w="758" w:type="dxa"/>
            <w:shd w:val="clear" w:color="auto" w:fill="D9D9D9"/>
          </w:tcPr>
          <w:p>
            <w:pPr>
              <w:pStyle w:val="TableParagraph"/>
              <w:ind w:right="138"/>
              <w:rPr>
                <w:rFonts w:ascii="Carlito"/>
                <w:sz w:val="16"/>
              </w:rPr>
            </w:pPr>
            <w:r>
              <w:rPr>
                <w:rFonts w:ascii="Carlito"/>
                <w:sz w:val="16"/>
              </w:rPr>
              <w:t>8</w:t>
            </w:r>
          </w:p>
        </w:tc>
        <w:tc>
          <w:tcPr>
            <w:tcW w:w="1650" w:type="dxa"/>
            <w:shd w:val="clear" w:color="auto" w:fill="D9D9D9"/>
          </w:tcPr>
          <w:p>
            <w:pPr>
              <w:pStyle w:val="TableParagraph"/>
              <w:ind w:left="141"/>
              <w:jc w:val="left"/>
              <w:rPr>
                <w:rFonts w:ascii="Carlito" w:hAnsi="Carlito"/>
                <w:sz w:val="16"/>
              </w:rPr>
            </w:pPr>
            <w:r>
              <w:rPr>
                <w:rFonts w:ascii="Carlito" w:hAnsi="Carlito"/>
                <w:sz w:val="16"/>
              </w:rPr>
              <w:t>Patarrá</w:t>
            </w:r>
          </w:p>
        </w:tc>
        <w:tc>
          <w:tcPr>
            <w:tcW w:w="877" w:type="dxa"/>
            <w:shd w:val="clear" w:color="auto" w:fill="D9D9D9"/>
          </w:tcPr>
          <w:p>
            <w:pPr>
              <w:pStyle w:val="TableParagraph"/>
              <w:ind w:right="65"/>
              <w:rPr>
                <w:rFonts w:ascii="Carlito"/>
                <w:sz w:val="16"/>
              </w:rPr>
            </w:pPr>
            <w:r>
              <w:rPr>
                <w:rFonts w:ascii="Carlito"/>
                <w:sz w:val="16"/>
              </w:rPr>
              <w:t>1</w:t>
            </w:r>
          </w:p>
        </w:tc>
        <w:tc>
          <w:tcPr>
            <w:tcW w:w="1073" w:type="dxa"/>
            <w:shd w:val="clear" w:color="auto" w:fill="D9D9D9"/>
          </w:tcPr>
          <w:p>
            <w:pPr>
              <w:pStyle w:val="TableParagraph"/>
              <w:ind w:right="66"/>
              <w:rPr>
                <w:rFonts w:ascii="Carlito"/>
                <w:sz w:val="16"/>
              </w:rPr>
            </w:pPr>
            <w:r>
              <w:rPr>
                <w:rFonts w:ascii="Carlito"/>
                <w:sz w:val="16"/>
              </w:rPr>
              <w:t>$92,597.84</w:t>
            </w:r>
          </w:p>
        </w:tc>
        <w:tc>
          <w:tcPr>
            <w:tcW w:w="1075" w:type="dxa"/>
            <w:shd w:val="clear" w:color="auto" w:fill="D9D9D9"/>
          </w:tcPr>
          <w:p>
            <w:pPr>
              <w:pStyle w:val="TableParagraph"/>
              <w:ind w:right="66"/>
              <w:rPr>
                <w:rFonts w:ascii="Carlito"/>
                <w:sz w:val="16"/>
              </w:rPr>
            </w:pPr>
            <w:r>
              <w:rPr>
                <w:rFonts w:ascii="Carlito"/>
                <w:sz w:val="16"/>
              </w:rPr>
              <w:t>75</w:t>
            </w:r>
          </w:p>
        </w:tc>
        <w:tc>
          <w:tcPr>
            <w:tcW w:w="1004" w:type="dxa"/>
            <w:shd w:val="clear" w:color="auto" w:fill="D9D9D9"/>
          </w:tcPr>
          <w:p>
            <w:pPr>
              <w:pStyle w:val="TableParagraph"/>
              <w:ind w:right="65"/>
              <w:rPr>
                <w:rFonts w:ascii="Carlito"/>
                <w:sz w:val="16"/>
              </w:rPr>
            </w:pPr>
            <w:r>
              <w:rPr>
                <w:rFonts w:ascii="Carlito"/>
                <w:sz w:val="16"/>
              </w:rPr>
              <w:t>2006</w:t>
            </w:r>
          </w:p>
        </w:tc>
        <w:tc>
          <w:tcPr>
            <w:tcW w:w="1004" w:type="dxa"/>
            <w:shd w:val="clear" w:color="auto" w:fill="D9D9D9"/>
          </w:tcPr>
          <w:p>
            <w:pPr>
              <w:pStyle w:val="TableParagraph"/>
              <w:ind w:right="60"/>
              <w:rPr>
                <w:rFonts w:ascii="Carlito"/>
                <w:sz w:val="16"/>
              </w:rPr>
            </w:pPr>
            <w:r>
              <w:rPr>
                <w:rFonts w:ascii="Carlito"/>
                <w:sz w:val="16"/>
              </w:rPr>
              <w:t>3</w:t>
            </w:r>
          </w:p>
        </w:tc>
        <w:tc>
          <w:tcPr>
            <w:tcW w:w="682" w:type="dxa"/>
            <w:shd w:val="clear" w:color="auto" w:fill="D9D9D9"/>
          </w:tcPr>
          <w:p>
            <w:pPr>
              <w:pStyle w:val="TableParagraph"/>
              <w:ind w:right="61"/>
              <w:rPr>
                <w:rFonts w:ascii="Carlito"/>
                <w:sz w:val="16"/>
              </w:rPr>
            </w:pPr>
            <w:r>
              <w:rPr>
                <w:rFonts w:ascii="Carlito"/>
                <w:sz w:val="16"/>
              </w:rPr>
              <w:t>1</w:t>
            </w:r>
          </w:p>
        </w:tc>
        <w:tc>
          <w:tcPr>
            <w:tcW w:w="684" w:type="dxa"/>
            <w:shd w:val="clear" w:color="auto" w:fill="D9D9D9"/>
          </w:tcPr>
          <w:p>
            <w:pPr>
              <w:pStyle w:val="TableParagraph"/>
              <w:ind w:right="61"/>
              <w:rPr>
                <w:rFonts w:ascii="Carlito"/>
                <w:sz w:val="16"/>
              </w:rPr>
            </w:pPr>
            <w:r>
              <w:rPr>
                <w:rFonts w:ascii="Carlito"/>
                <w:sz w:val="16"/>
              </w:rPr>
              <w:t>1</w:t>
            </w:r>
          </w:p>
        </w:tc>
        <w:tc>
          <w:tcPr>
            <w:tcW w:w="1152" w:type="dxa"/>
            <w:shd w:val="clear" w:color="auto" w:fill="D9D9D9"/>
          </w:tcPr>
          <w:p>
            <w:pPr>
              <w:pStyle w:val="TableParagraph"/>
              <w:ind w:right="65"/>
              <w:rPr>
                <w:rFonts w:ascii="Carlito"/>
                <w:sz w:val="16"/>
              </w:rPr>
            </w:pPr>
            <w:r>
              <w:rPr>
                <w:rFonts w:ascii="Carlito"/>
                <w:sz w:val="16"/>
              </w:rPr>
              <w:t>9.7</w:t>
            </w:r>
          </w:p>
        </w:tc>
        <w:tc>
          <w:tcPr>
            <w:tcW w:w="1348" w:type="dxa"/>
            <w:shd w:val="clear" w:color="auto" w:fill="D9D9D9"/>
          </w:tcPr>
          <w:p>
            <w:pPr>
              <w:pStyle w:val="TableParagraph"/>
              <w:ind w:right="65"/>
              <w:rPr>
                <w:rFonts w:ascii="Carlito"/>
                <w:sz w:val="16"/>
              </w:rPr>
            </w:pPr>
            <w:r>
              <w:rPr>
                <w:rFonts w:ascii="Carlito"/>
                <w:sz w:val="16"/>
              </w:rPr>
              <w:t>1.3</w:t>
            </w:r>
          </w:p>
        </w:tc>
        <w:tc>
          <w:tcPr>
            <w:tcW w:w="808" w:type="dxa"/>
            <w:shd w:val="clear" w:color="auto" w:fill="D9D9D9"/>
          </w:tcPr>
          <w:p>
            <w:pPr>
              <w:pStyle w:val="TableParagraph"/>
              <w:ind w:right="61"/>
              <w:rPr>
                <w:rFonts w:ascii="Carlito"/>
                <w:sz w:val="16"/>
              </w:rPr>
            </w:pPr>
            <w:r>
              <w:rPr>
                <w:rFonts w:ascii="Carlito"/>
                <w:sz w:val="16"/>
              </w:rPr>
              <w:t>0</w:t>
            </w:r>
          </w:p>
        </w:tc>
        <w:tc>
          <w:tcPr>
            <w:tcW w:w="842"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8" w:type="dxa"/>
          </w:tcPr>
          <w:p>
            <w:pPr>
              <w:pStyle w:val="TableParagraph"/>
              <w:spacing w:before="92"/>
              <w:ind w:right="138"/>
              <w:rPr>
                <w:rFonts w:ascii="Carlito"/>
                <w:sz w:val="16"/>
              </w:rPr>
            </w:pPr>
            <w:r>
              <w:rPr>
                <w:rFonts w:ascii="Carlito"/>
                <w:sz w:val="16"/>
              </w:rPr>
              <w:t>9</w:t>
            </w:r>
          </w:p>
        </w:tc>
        <w:tc>
          <w:tcPr>
            <w:tcW w:w="1650" w:type="dxa"/>
          </w:tcPr>
          <w:p>
            <w:pPr>
              <w:pStyle w:val="TableParagraph"/>
              <w:spacing w:before="92"/>
              <w:ind w:left="141"/>
              <w:jc w:val="left"/>
              <w:rPr>
                <w:rFonts w:ascii="Carlito" w:hAnsi="Carlito"/>
                <w:sz w:val="16"/>
              </w:rPr>
            </w:pPr>
            <w:r>
              <w:rPr>
                <w:rFonts w:ascii="Carlito" w:hAnsi="Carlito"/>
                <w:sz w:val="16"/>
              </w:rPr>
              <w:t>Patarrá</w:t>
            </w:r>
          </w:p>
        </w:tc>
        <w:tc>
          <w:tcPr>
            <w:tcW w:w="877" w:type="dxa"/>
          </w:tcPr>
          <w:p>
            <w:pPr>
              <w:pStyle w:val="TableParagraph"/>
              <w:spacing w:before="92"/>
              <w:ind w:right="65"/>
              <w:rPr>
                <w:rFonts w:ascii="Carlito"/>
                <w:sz w:val="16"/>
              </w:rPr>
            </w:pPr>
            <w:r>
              <w:rPr>
                <w:rFonts w:ascii="Carlito"/>
                <w:sz w:val="16"/>
              </w:rPr>
              <w:t>1</w:t>
            </w:r>
          </w:p>
        </w:tc>
        <w:tc>
          <w:tcPr>
            <w:tcW w:w="1073" w:type="dxa"/>
          </w:tcPr>
          <w:p>
            <w:pPr>
              <w:pStyle w:val="TableParagraph"/>
              <w:spacing w:before="92"/>
              <w:ind w:right="66"/>
              <w:rPr>
                <w:rFonts w:ascii="Carlito"/>
                <w:sz w:val="16"/>
              </w:rPr>
            </w:pPr>
            <w:r>
              <w:rPr>
                <w:rFonts w:ascii="Carlito"/>
                <w:sz w:val="16"/>
              </w:rPr>
              <w:t>$143,621.14</w:t>
            </w:r>
          </w:p>
        </w:tc>
        <w:tc>
          <w:tcPr>
            <w:tcW w:w="1075" w:type="dxa"/>
          </w:tcPr>
          <w:p>
            <w:pPr>
              <w:pStyle w:val="TableParagraph"/>
              <w:spacing w:before="92"/>
              <w:ind w:right="66"/>
              <w:rPr>
                <w:rFonts w:ascii="Carlito"/>
                <w:sz w:val="16"/>
              </w:rPr>
            </w:pPr>
            <w:r>
              <w:rPr>
                <w:rFonts w:ascii="Carlito"/>
                <w:sz w:val="16"/>
              </w:rPr>
              <w:t>100</w:t>
            </w:r>
          </w:p>
        </w:tc>
        <w:tc>
          <w:tcPr>
            <w:tcW w:w="1004" w:type="dxa"/>
          </w:tcPr>
          <w:p>
            <w:pPr>
              <w:pStyle w:val="TableParagraph"/>
              <w:spacing w:before="92"/>
              <w:ind w:right="65"/>
              <w:rPr>
                <w:rFonts w:ascii="Carlito"/>
                <w:sz w:val="16"/>
              </w:rPr>
            </w:pPr>
            <w:r>
              <w:rPr>
                <w:rFonts w:ascii="Carlito"/>
                <w:sz w:val="16"/>
              </w:rPr>
              <w:t>2006</w:t>
            </w:r>
          </w:p>
        </w:tc>
        <w:tc>
          <w:tcPr>
            <w:tcW w:w="1004" w:type="dxa"/>
          </w:tcPr>
          <w:p>
            <w:pPr>
              <w:pStyle w:val="TableParagraph"/>
              <w:spacing w:before="92"/>
              <w:ind w:right="60"/>
              <w:rPr>
                <w:rFonts w:ascii="Carlito"/>
                <w:sz w:val="16"/>
              </w:rPr>
            </w:pPr>
            <w:r>
              <w:rPr>
                <w:rFonts w:ascii="Carlito"/>
                <w:sz w:val="16"/>
              </w:rPr>
              <w:t>3</w:t>
            </w:r>
          </w:p>
        </w:tc>
        <w:tc>
          <w:tcPr>
            <w:tcW w:w="682" w:type="dxa"/>
          </w:tcPr>
          <w:p>
            <w:pPr>
              <w:pStyle w:val="TableParagraph"/>
              <w:spacing w:before="92"/>
              <w:ind w:right="61"/>
              <w:rPr>
                <w:rFonts w:ascii="Carlito"/>
                <w:sz w:val="16"/>
              </w:rPr>
            </w:pPr>
            <w:r>
              <w:rPr>
                <w:rFonts w:ascii="Carlito"/>
                <w:sz w:val="16"/>
              </w:rPr>
              <w:t>3</w:t>
            </w:r>
          </w:p>
        </w:tc>
        <w:tc>
          <w:tcPr>
            <w:tcW w:w="684" w:type="dxa"/>
          </w:tcPr>
          <w:p>
            <w:pPr>
              <w:pStyle w:val="TableParagraph"/>
              <w:spacing w:before="92"/>
              <w:ind w:right="61"/>
              <w:rPr>
                <w:rFonts w:ascii="Carlito"/>
                <w:sz w:val="16"/>
              </w:rPr>
            </w:pPr>
            <w:r>
              <w:rPr>
                <w:rFonts w:ascii="Carlito"/>
                <w:sz w:val="16"/>
              </w:rPr>
              <w:t>1</w:t>
            </w:r>
          </w:p>
        </w:tc>
        <w:tc>
          <w:tcPr>
            <w:tcW w:w="1152" w:type="dxa"/>
          </w:tcPr>
          <w:p>
            <w:pPr>
              <w:pStyle w:val="TableParagraph"/>
              <w:spacing w:before="92"/>
              <w:ind w:right="65"/>
              <w:rPr>
                <w:rFonts w:ascii="Carlito"/>
                <w:sz w:val="16"/>
              </w:rPr>
            </w:pPr>
            <w:r>
              <w:rPr>
                <w:rFonts w:ascii="Carlito"/>
                <w:sz w:val="16"/>
              </w:rPr>
              <w:t>9.7</w:t>
            </w:r>
          </w:p>
        </w:tc>
        <w:tc>
          <w:tcPr>
            <w:tcW w:w="1348" w:type="dxa"/>
          </w:tcPr>
          <w:p>
            <w:pPr>
              <w:pStyle w:val="TableParagraph"/>
              <w:spacing w:before="92"/>
              <w:ind w:right="65"/>
              <w:rPr>
                <w:rFonts w:ascii="Carlito"/>
                <w:sz w:val="16"/>
              </w:rPr>
            </w:pPr>
            <w:r>
              <w:rPr>
                <w:rFonts w:ascii="Carlito"/>
                <w:sz w:val="16"/>
              </w:rPr>
              <w:t>1.3</w:t>
            </w:r>
          </w:p>
        </w:tc>
        <w:tc>
          <w:tcPr>
            <w:tcW w:w="808" w:type="dxa"/>
          </w:tcPr>
          <w:p>
            <w:pPr>
              <w:pStyle w:val="TableParagraph"/>
              <w:spacing w:before="92"/>
              <w:ind w:right="61"/>
              <w:rPr>
                <w:rFonts w:ascii="Carlito"/>
                <w:sz w:val="16"/>
              </w:rPr>
            </w:pPr>
            <w:r>
              <w:rPr>
                <w:rFonts w:ascii="Carlito"/>
                <w:sz w:val="16"/>
              </w:rPr>
              <w:t>0</w:t>
            </w:r>
          </w:p>
        </w:tc>
        <w:tc>
          <w:tcPr>
            <w:tcW w:w="842" w:type="dxa"/>
          </w:tcPr>
          <w:p>
            <w:pPr>
              <w:pStyle w:val="TableParagraph"/>
              <w:spacing w:before="92"/>
              <w:ind w:right="59"/>
              <w:rPr>
                <w:rFonts w:ascii="Carlito"/>
                <w:sz w:val="16"/>
              </w:rPr>
            </w:pPr>
            <w:r>
              <w:rPr>
                <w:rFonts w:ascii="Carlito"/>
                <w:sz w:val="16"/>
              </w:rPr>
              <w:t>0</w:t>
            </w:r>
          </w:p>
        </w:tc>
      </w:tr>
      <w:tr>
        <w:trPr>
          <w:trHeight w:val="287" w:hRule="atLeast"/>
        </w:trPr>
        <w:tc>
          <w:tcPr>
            <w:tcW w:w="758" w:type="dxa"/>
            <w:shd w:val="clear" w:color="auto" w:fill="D9D9D9"/>
          </w:tcPr>
          <w:p>
            <w:pPr>
              <w:pStyle w:val="TableParagraph"/>
              <w:ind w:right="145"/>
              <w:rPr>
                <w:rFonts w:ascii="Carlito"/>
                <w:sz w:val="16"/>
              </w:rPr>
            </w:pPr>
            <w:r>
              <w:rPr>
                <w:rFonts w:ascii="Carlito"/>
                <w:sz w:val="16"/>
              </w:rPr>
              <w:t>10</w:t>
            </w:r>
          </w:p>
        </w:tc>
        <w:tc>
          <w:tcPr>
            <w:tcW w:w="1650" w:type="dxa"/>
            <w:shd w:val="clear" w:color="auto" w:fill="D9D9D9"/>
          </w:tcPr>
          <w:p>
            <w:pPr>
              <w:pStyle w:val="TableParagraph"/>
              <w:ind w:left="141"/>
              <w:jc w:val="left"/>
              <w:rPr>
                <w:rFonts w:ascii="Carlito"/>
                <w:sz w:val="16"/>
              </w:rPr>
            </w:pPr>
            <w:r>
              <w:rPr>
                <w:rFonts w:ascii="Carlito"/>
                <w:sz w:val="16"/>
              </w:rPr>
              <w:t>Lomas de Ayarco Sur</w:t>
            </w:r>
          </w:p>
        </w:tc>
        <w:tc>
          <w:tcPr>
            <w:tcW w:w="877" w:type="dxa"/>
            <w:shd w:val="clear" w:color="auto" w:fill="D9D9D9"/>
          </w:tcPr>
          <w:p>
            <w:pPr>
              <w:pStyle w:val="TableParagraph"/>
              <w:ind w:right="65"/>
              <w:rPr>
                <w:rFonts w:ascii="Carlito"/>
                <w:sz w:val="16"/>
              </w:rPr>
            </w:pPr>
            <w:r>
              <w:rPr>
                <w:rFonts w:ascii="Carlito"/>
                <w:sz w:val="16"/>
              </w:rPr>
              <w:t>1</w:t>
            </w:r>
          </w:p>
        </w:tc>
        <w:tc>
          <w:tcPr>
            <w:tcW w:w="1073" w:type="dxa"/>
            <w:shd w:val="clear" w:color="auto" w:fill="D9D9D9"/>
          </w:tcPr>
          <w:p>
            <w:pPr>
              <w:pStyle w:val="TableParagraph"/>
              <w:ind w:right="66"/>
              <w:rPr>
                <w:rFonts w:ascii="Carlito"/>
                <w:sz w:val="16"/>
              </w:rPr>
            </w:pPr>
            <w:r>
              <w:rPr>
                <w:rFonts w:ascii="Carlito"/>
                <w:sz w:val="16"/>
              </w:rPr>
              <w:t>$299,000.00</w:t>
            </w:r>
          </w:p>
        </w:tc>
        <w:tc>
          <w:tcPr>
            <w:tcW w:w="1075" w:type="dxa"/>
            <w:shd w:val="clear" w:color="auto" w:fill="D9D9D9"/>
          </w:tcPr>
          <w:p>
            <w:pPr>
              <w:pStyle w:val="TableParagraph"/>
              <w:ind w:right="66"/>
              <w:rPr>
                <w:rFonts w:ascii="Carlito"/>
                <w:sz w:val="16"/>
              </w:rPr>
            </w:pPr>
            <w:r>
              <w:rPr>
                <w:rFonts w:ascii="Carlito"/>
                <w:sz w:val="16"/>
              </w:rPr>
              <w:t>220</w:t>
            </w:r>
          </w:p>
        </w:tc>
        <w:tc>
          <w:tcPr>
            <w:tcW w:w="1004" w:type="dxa"/>
            <w:shd w:val="clear" w:color="auto" w:fill="D9D9D9"/>
          </w:tcPr>
          <w:p>
            <w:pPr>
              <w:pStyle w:val="TableParagraph"/>
              <w:ind w:right="65"/>
              <w:rPr>
                <w:rFonts w:ascii="Carlito"/>
                <w:sz w:val="16"/>
              </w:rPr>
            </w:pPr>
            <w:r>
              <w:rPr>
                <w:rFonts w:ascii="Carlito"/>
                <w:sz w:val="16"/>
              </w:rPr>
              <w:t>2006</w:t>
            </w:r>
          </w:p>
        </w:tc>
        <w:tc>
          <w:tcPr>
            <w:tcW w:w="1004" w:type="dxa"/>
            <w:shd w:val="clear" w:color="auto" w:fill="D9D9D9"/>
          </w:tcPr>
          <w:p>
            <w:pPr>
              <w:pStyle w:val="TableParagraph"/>
              <w:ind w:right="60"/>
              <w:rPr>
                <w:rFonts w:ascii="Carlito"/>
                <w:sz w:val="16"/>
              </w:rPr>
            </w:pPr>
            <w:r>
              <w:rPr>
                <w:rFonts w:ascii="Carlito"/>
                <w:sz w:val="16"/>
              </w:rPr>
              <w:t>4</w:t>
            </w:r>
          </w:p>
        </w:tc>
        <w:tc>
          <w:tcPr>
            <w:tcW w:w="682" w:type="dxa"/>
            <w:shd w:val="clear" w:color="auto" w:fill="D9D9D9"/>
          </w:tcPr>
          <w:p>
            <w:pPr>
              <w:pStyle w:val="TableParagraph"/>
              <w:ind w:right="66"/>
              <w:rPr>
                <w:rFonts w:ascii="Carlito"/>
                <w:sz w:val="16"/>
              </w:rPr>
            </w:pPr>
            <w:r>
              <w:rPr>
                <w:rFonts w:ascii="Carlito"/>
                <w:sz w:val="16"/>
              </w:rPr>
              <w:t>2.5</w:t>
            </w:r>
          </w:p>
        </w:tc>
        <w:tc>
          <w:tcPr>
            <w:tcW w:w="684" w:type="dxa"/>
            <w:shd w:val="clear" w:color="auto" w:fill="D9D9D9"/>
          </w:tcPr>
          <w:p>
            <w:pPr>
              <w:pStyle w:val="TableParagraph"/>
              <w:ind w:right="61"/>
              <w:rPr>
                <w:rFonts w:ascii="Carlito"/>
                <w:sz w:val="16"/>
              </w:rPr>
            </w:pPr>
            <w:r>
              <w:rPr>
                <w:rFonts w:ascii="Carlito"/>
                <w:sz w:val="16"/>
              </w:rPr>
              <w:t>2</w:t>
            </w:r>
          </w:p>
        </w:tc>
        <w:tc>
          <w:tcPr>
            <w:tcW w:w="1152" w:type="dxa"/>
            <w:shd w:val="clear" w:color="auto" w:fill="D9D9D9"/>
          </w:tcPr>
          <w:p>
            <w:pPr>
              <w:pStyle w:val="TableParagraph"/>
              <w:ind w:right="65"/>
              <w:rPr>
                <w:rFonts w:ascii="Carlito"/>
                <w:sz w:val="16"/>
              </w:rPr>
            </w:pPr>
            <w:r>
              <w:rPr>
                <w:rFonts w:ascii="Carlito"/>
                <w:sz w:val="16"/>
              </w:rPr>
              <w:t>8.8</w:t>
            </w:r>
          </w:p>
        </w:tc>
        <w:tc>
          <w:tcPr>
            <w:tcW w:w="1348" w:type="dxa"/>
            <w:shd w:val="clear" w:color="auto" w:fill="D9D9D9"/>
          </w:tcPr>
          <w:p>
            <w:pPr>
              <w:pStyle w:val="TableParagraph"/>
              <w:ind w:right="65"/>
              <w:rPr>
                <w:rFonts w:ascii="Carlito"/>
                <w:sz w:val="16"/>
              </w:rPr>
            </w:pPr>
            <w:r>
              <w:rPr>
                <w:rFonts w:ascii="Carlito"/>
                <w:sz w:val="16"/>
              </w:rPr>
              <w:t>2.8</w:t>
            </w:r>
          </w:p>
        </w:tc>
        <w:tc>
          <w:tcPr>
            <w:tcW w:w="808" w:type="dxa"/>
            <w:shd w:val="clear" w:color="auto" w:fill="D9D9D9"/>
          </w:tcPr>
          <w:p>
            <w:pPr>
              <w:pStyle w:val="TableParagraph"/>
              <w:ind w:right="61"/>
              <w:rPr>
                <w:rFonts w:ascii="Carlito"/>
                <w:sz w:val="16"/>
              </w:rPr>
            </w:pPr>
            <w:r>
              <w:rPr>
                <w:rFonts w:ascii="Carlito"/>
                <w:sz w:val="16"/>
              </w:rPr>
              <w:t>0</w:t>
            </w:r>
          </w:p>
        </w:tc>
        <w:tc>
          <w:tcPr>
            <w:tcW w:w="842"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8" w:type="dxa"/>
          </w:tcPr>
          <w:p>
            <w:pPr>
              <w:pStyle w:val="TableParagraph"/>
              <w:ind w:right="145"/>
              <w:rPr>
                <w:rFonts w:ascii="Carlito"/>
                <w:sz w:val="16"/>
              </w:rPr>
            </w:pPr>
            <w:r>
              <w:rPr>
                <w:rFonts w:ascii="Carlito"/>
                <w:sz w:val="16"/>
              </w:rPr>
              <w:t>11</w:t>
            </w:r>
          </w:p>
        </w:tc>
        <w:tc>
          <w:tcPr>
            <w:tcW w:w="1650" w:type="dxa"/>
          </w:tcPr>
          <w:p>
            <w:pPr>
              <w:pStyle w:val="TableParagraph"/>
              <w:ind w:left="141"/>
              <w:jc w:val="left"/>
              <w:rPr>
                <w:rFonts w:ascii="Carlito"/>
                <w:sz w:val="16"/>
              </w:rPr>
            </w:pPr>
            <w:r>
              <w:rPr>
                <w:rFonts w:ascii="Carlito"/>
                <w:sz w:val="16"/>
              </w:rPr>
              <w:t>Pinares</w:t>
            </w:r>
          </w:p>
        </w:tc>
        <w:tc>
          <w:tcPr>
            <w:tcW w:w="877" w:type="dxa"/>
          </w:tcPr>
          <w:p>
            <w:pPr>
              <w:pStyle w:val="TableParagraph"/>
              <w:ind w:right="65"/>
              <w:rPr>
                <w:rFonts w:ascii="Carlito"/>
                <w:sz w:val="16"/>
              </w:rPr>
            </w:pPr>
            <w:r>
              <w:rPr>
                <w:rFonts w:ascii="Carlito"/>
                <w:sz w:val="16"/>
              </w:rPr>
              <w:t>1</w:t>
            </w:r>
          </w:p>
        </w:tc>
        <w:tc>
          <w:tcPr>
            <w:tcW w:w="1073" w:type="dxa"/>
          </w:tcPr>
          <w:p>
            <w:pPr>
              <w:pStyle w:val="TableParagraph"/>
              <w:ind w:right="66"/>
              <w:rPr>
                <w:rFonts w:ascii="Carlito"/>
                <w:sz w:val="16"/>
              </w:rPr>
            </w:pPr>
            <w:r>
              <w:rPr>
                <w:rFonts w:ascii="Carlito"/>
                <w:sz w:val="16"/>
              </w:rPr>
              <w:t>$235,000.00</w:t>
            </w:r>
          </w:p>
        </w:tc>
        <w:tc>
          <w:tcPr>
            <w:tcW w:w="1075" w:type="dxa"/>
          </w:tcPr>
          <w:p>
            <w:pPr>
              <w:pStyle w:val="TableParagraph"/>
              <w:ind w:right="66"/>
              <w:rPr>
                <w:rFonts w:ascii="Carlito"/>
                <w:sz w:val="16"/>
              </w:rPr>
            </w:pPr>
            <w:r>
              <w:rPr>
                <w:rFonts w:ascii="Carlito"/>
                <w:sz w:val="16"/>
              </w:rPr>
              <w:t>182</w:t>
            </w:r>
          </w:p>
        </w:tc>
        <w:tc>
          <w:tcPr>
            <w:tcW w:w="1004" w:type="dxa"/>
          </w:tcPr>
          <w:p>
            <w:pPr>
              <w:pStyle w:val="TableParagraph"/>
              <w:ind w:right="65"/>
              <w:rPr>
                <w:rFonts w:ascii="Carlito"/>
                <w:sz w:val="16"/>
              </w:rPr>
            </w:pPr>
            <w:r>
              <w:rPr>
                <w:rFonts w:ascii="Carlito"/>
                <w:sz w:val="16"/>
              </w:rPr>
              <w:t>2006</w:t>
            </w:r>
          </w:p>
        </w:tc>
        <w:tc>
          <w:tcPr>
            <w:tcW w:w="1004" w:type="dxa"/>
          </w:tcPr>
          <w:p>
            <w:pPr>
              <w:pStyle w:val="TableParagraph"/>
              <w:ind w:right="60"/>
              <w:rPr>
                <w:rFonts w:ascii="Carlito"/>
                <w:sz w:val="16"/>
              </w:rPr>
            </w:pPr>
            <w:r>
              <w:rPr>
                <w:rFonts w:ascii="Carlito"/>
                <w:sz w:val="16"/>
              </w:rPr>
              <w:t>3</w:t>
            </w:r>
          </w:p>
        </w:tc>
        <w:tc>
          <w:tcPr>
            <w:tcW w:w="682" w:type="dxa"/>
          </w:tcPr>
          <w:p>
            <w:pPr>
              <w:pStyle w:val="TableParagraph"/>
              <w:ind w:right="61"/>
              <w:rPr>
                <w:rFonts w:ascii="Carlito"/>
                <w:sz w:val="16"/>
              </w:rPr>
            </w:pPr>
            <w:r>
              <w:rPr>
                <w:rFonts w:ascii="Carlito"/>
                <w:sz w:val="16"/>
              </w:rPr>
              <w:t>2</w:t>
            </w:r>
          </w:p>
        </w:tc>
        <w:tc>
          <w:tcPr>
            <w:tcW w:w="684" w:type="dxa"/>
          </w:tcPr>
          <w:p>
            <w:pPr>
              <w:pStyle w:val="TableParagraph"/>
              <w:ind w:right="61"/>
              <w:rPr>
                <w:rFonts w:ascii="Carlito"/>
                <w:sz w:val="16"/>
              </w:rPr>
            </w:pPr>
            <w:r>
              <w:rPr>
                <w:rFonts w:ascii="Carlito"/>
                <w:sz w:val="16"/>
              </w:rPr>
              <w:t>1</w:t>
            </w:r>
          </w:p>
        </w:tc>
        <w:tc>
          <w:tcPr>
            <w:tcW w:w="1152" w:type="dxa"/>
          </w:tcPr>
          <w:p>
            <w:pPr>
              <w:pStyle w:val="TableParagraph"/>
              <w:ind w:right="65"/>
              <w:rPr>
                <w:rFonts w:ascii="Carlito"/>
                <w:sz w:val="16"/>
              </w:rPr>
            </w:pPr>
            <w:r>
              <w:rPr>
                <w:rFonts w:ascii="Carlito"/>
                <w:sz w:val="16"/>
              </w:rPr>
              <w:t>7.4</w:t>
            </w:r>
          </w:p>
        </w:tc>
        <w:tc>
          <w:tcPr>
            <w:tcW w:w="1348" w:type="dxa"/>
          </w:tcPr>
          <w:p>
            <w:pPr>
              <w:pStyle w:val="TableParagraph"/>
              <w:ind w:right="65"/>
              <w:rPr>
                <w:rFonts w:ascii="Carlito"/>
                <w:sz w:val="16"/>
              </w:rPr>
            </w:pPr>
            <w:r>
              <w:rPr>
                <w:rFonts w:ascii="Carlito"/>
                <w:sz w:val="16"/>
              </w:rPr>
              <w:t>3.6</w:t>
            </w:r>
          </w:p>
        </w:tc>
        <w:tc>
          <w:tcPr>
            <w:tcW w:w="808" w:type="dxa"/>
          </w:tcPr>
          <w:p>
            <w:pPr>
              <w:pStyle w:val="TableParagraph"/>
              <w:ind w:right="61"/>
              <w:rPr>
                <w:rFonts w:ascii="Carlito"/>
                <w:sz w:val="16"/>
              </w:rPr>
            </w:pPr>
            <w:r>
              <w:rPr>
                <w:rFonts w:ascii="Carlito"/>
                <w:sz w:val="16"/>
              </w:rPr>
              <w:t>0</w:t>
            </w:r>
          </w:p>
        </w:tc>
        <w:tc>
          <w:tcPr>
            <w:tcW w:w="842" w:type="dxa"/>
          </w:tcPr>
          <w:p>
            <w:pPr>
              <w:pStyle w:val="TableParagraph"/>
              <w:ind w:right="59"/>
              <w:rPr>
                <w:rFonts w:ascii="Carlito"/>
                <w:sz w:val="16"/>
              </w:rPr>
            </w:pPr>
            <w:r>
              <w:rPr>
                <w:rFonts w:ascii="Carlito"/>
                <w:sz w:val="16"/>
              </w:rPr>
              <w:t>1</w:t>
            </w:r>
          </w:p>
        </w:tc>
      </w:tr>
      <w:tr>
        <w:trPr>
          <w:trHeight w:val="287" w:hRule="atLeast"/>
        </w:trPr>
        <w:tc>
          <w:tcPr>
            <w:tcW w:w="758" w:type="dxa"/>
            <w:shd w:val="clear" w:color="auto" w:fill="D9D9D9"/>
          </w:tcPr>
          <w:p>
            <w:pPr>
              <w:pStyle w:val="TableParagraph"/>
              <w:ind w:right="145"/>
              <w:rPr>
                <w:rFonts w:ascii="Carlito"/>
                <w:sz w:val="16"/>
              </w:rPr>
            </w:pPr>
            <w:r>
              <w:rPr>
                <w:rFonts w:ascii="Carlito"/>
                <w:sz w:val="16"/>
              </w:rPr>
              <w:t>12</w:t>
            </w:r>
          </w:p>
        </w:tc>
        <w:tc>
          <w:tcPr>
            <w:tcW w:w="1650" w:type="dxa"/>
            <w:shd w:val="clear" w:color="auto" w:fill="D9D9D9"/>
          </w:tcPr>
          <w:p>
            <w:pPr>
              <w:pStyle w:val="TableParagraph"/>
              <w:ind w:left="141"/>
              <w:jc w:val="left"/>
              <w:rPr>
                <w:rFonts w:ascii="Carlito"/>
                <w:sz w:val="16"/>
              </w:rPr>
            </w:pPr>
            <w:r>
              <w:rPr>
                <w:rFonts w:ascii="Carlito"/>
                <w:sz w:val="16"/>
              </w:rPr>
              <w:t>Pinares</w:t>
            </w:r>
          </w:p>
        </w:tc>
        <w:tc>
          <w:tcPr>
            <w:tcW w:w="877" w:type="dxa"/>
            <w:shd w:val="clear" w:color="auto" w:fill="D9D9D9"/>
          </w:tcPr>
          <w:p>
            <w:pPr>
              <w:pStyle w:val="TableParagraph"/>
              <w:ind w:right="65"/>
              <w:rPr>
                <w:rFonts w:ascii="Carlito"/>
                <w:sz w:val="16"/>
              </w:rPr>
            </w:pPr>
            <w:r>
              <w:rPr>
                <w:rFonts w:ascii="Carlito"/>
                <w:sz w:val="16"/>
              </w:rPr>
              <w:t>0</w:t>
            </w:r>
          </w:p>
        </w:tc>
        <w:tc>
          <w:tcPr>
            <w:tcW w:w="1073" w:type="dxa"/>
            <w:shd w:val="clear" w:color="auto" w:fill="D9D9D9"/>
          </w:tcPr>
          <w:p>
            <w:pPr>
              <w:pStyle w:val="TableParagraph"/>
              <w:ind w:right="66"/>
              <w:rPr>
                <w:rFonts w:ascii="Carlito"/>
                <w:sz w:val="16"/>
              </w:rPr>
            </w:pPr>
            <w:r>
              <w:rPr>
                <w:rFonts w:ascii="Carlito"/>
                <w:sz w:val="16"/>
              </w:rPr>
              <w:t>$200,000.00</w:t>
            </w:r>
          </w:p>
        </w:tc>
        <w:tc>
          <w:tcPr>
            <w:tcW w:w="1075" w:type="dxa"/>
            <w:shd w:val="clear" w:color="auto" w:fill="D9D9D9"/>
          </w:tcPr>
          <w:p>
            <w:pPr>
              <w:pStyle w:val="TableParagraph"/>
              <w:ind w:right="66"/>
              <w:rPr>
                <w:rFonts w:ascii="Carlito"/>
                <w:sz w:val="16"/>
              </w:rPr>
            </w:pPr>
            <w:r>
              <w:rPr>
                <w:rFonts w:ascii="Carlito"/>
                <w:sz w:val="16"/>
              </w:rPr>
              <w:t>180</w:t>
            </w:r>
          </w:p>
        </w:tc>
        <w:tc>
          <w:tcPr>
            <w:tcW w:w="1004" w:type="dxa"/>
            <w:shd w:val="clear" w:color="auto" w:fill="D9D9D9"/>
          </w:tcPr>
          <w:p>
            <w:pPr>
              <w:pStyle w:val="TableParagraph"/>
              <w:ind w:right="65"/>
              <w:rPr>
                <w:rFonts w:ascii="Carlito"/>
                <w:sz w:val="16"/>
              </w:rPr>
            </w:pPr>
            <w:r>
              <w:rPr>
                <w:rFonts w:ascii="Carlito"/>
                <w:sz w:val="16"/>
              </w:rPr>
              <w:t>2006</w:t>
            </w:r>
          </w:p>
        </w:tc>
        <w:tc>
          <w:tcPr>
            <w:tcW w:w="1004" w:type="dxa"/>
            <w:shd w:val="clear" w:color="auto" w:fill="D9D9D9"/>
          </w:tcPr>
          <w:p>
            <w:pPr>
              <w:pStyle w:val="TableParagraph"/>
              <w:ind w:right="60"/>
              <w:rPr>
                <w:rFonts w:ascii="Carlito"/>
                <w:sz w:val="16"/>
              </w:rPr>
            </w:pPr>
            <w:r>
              <w:rPr>
                <w:rFonts w:ascii="Carlito"/>
                <w:sz w:val="16"/>
              </w:rPr>
              <w:t>3</w:t>
            </w:r>
          </w:p>
        </w:tc>
        <w:tc>
          <w:tcPr>
            <w:tcW w:w="682" w:type="dxa"/>
            <w:shd w:val="clear" w:color="auto" w:fill="D9D9D9"/>
          </w:tcPr>
          <w:p>
            <w:pPr>
              <w:pStyle w:val="TableParagraph"/>
              <w:ind w:right="66"/>
              <w:rPr>
                <w:rFonts w:ascii="Carlito"/>
                <w:sz w:val="16"/>
              </w:rPr>
            </w:pPr>
            <w:r>
              <w:rPr>
                <w:rFonts w:ascii="Carlito"/>
                <w:sz w:val="16"/>
              </w:rPr>
              <w:t>2.5</w:t>
            </w:r>
          </w:p>
        </w:tc>
        <w:tc>
          <w:tcPr>
            <w:tcW w:w="684" w:type="dxa"/>
            <w:shd w:val="clear" w:color="auto" w:fill="D9D9D9"/>
          </w:tcPr>
          <w:p>
            <w:pPr>
              <w:pStyle w:val="TableParagraph"/>
              <w:ind w:right="61"/>
              <w:rPr>
                <w:rFonts w:ascii="Carlito"/>
                <w:sz w:val="16"/>
              </w:rPr>
            </w:pPr>
            <w:r>
              <w:rPr>
                <w:rFonts w:ascii="Carlito"/>
                <w:sz w:val="16"/>
              </w:rPr>
              <w:t>2</w:t>
            </w:r>
          </w:p>
        </w:tc>
        <w:tc>
          <w:tcPr>
            <w:tcW w:w="1152" w:type="dxa"/>
            <w:shd w:val="clear" w:color="auto" w:fill="D9D9D9"/>
          </w:tcPr>
          <w:p>
            <w:pPr>
              <w:pStyle w:val="TableParagraph"/>
              <w:ind w:right="65"/>
              <w:rPr>
                <w:rFonts w:ascii="Carlito"/>
                <w:sz w:val="16"/>
              </w:rPr>
            </w:pPr>
            <w:r>
              <w:rPr>
                <w:rFonts w:ascii="Carlito"/>
                <w:sz w:val="16"/>
              </w:rPr>
              <w:t>7.7</w:t>
            </w:r>
          </w:p>
        </w:tc>
        <w:tc>
          <w:tcPr>
            <w:tcW w:w="1348" w:type="dxa"/>
            <w:shd w:val="clear" w:color="auto" w:fill="D9D9D9"/>
          </w:tcPr>
          <w:p>
            <w:pPr>
              <w:pStyle w:val="TableParagraph"/>
              <w:ind w:right="65"/>
              <w:rPr>
                <w:rFonts w:ascii="Carlito"/>
                <w:sz w:val="16"/>
              </w:rPr>
            </w:pPr>
            <w:r>
              <w:rPr>
                <w:rFonts w:ascii="Carlito"/>
                <w:sz w:val="16"/>
              </w:rPr>
              <w:t>2.6</w:t>
            </w:r>
          </w:p>
        </w:tc>
        <w:tc>
          <w:tcPr>
            <w:tcW w:w="808" w:type="dxa"/>
            <w:shd w:val="clear" w:color="auto" w:fill="D9D9D9"/>
          </w:tcPr>
          <w:p>
            <w:pPr>
              <w:pStyle w:val="TableParagraph"/>
              <w:ind w:right="61"/>
              <w:rPr>
                <w:rFonts w:ascii="Carlito"/>
                <w:sz w:val="16"/>
              </w:rPr>
            </w:pPr>
            <w:r>
              <w:rPr>
                <w:rFonts w:ascii="Carlito"/>
                <w:sz w:val="16"/>
              </w:rPr>
              <w:t>0</w:t>
            </w:r>
          </w:p>
        </w:tc>
        <w:tc>
          <w:tcPr>
            <w:tcW w:w="842" w:type="dxa"/>
            <w:shd w:val="clear" w:color="auto" w:fill="D9D9D9"/>
          </w:tcPr>
          <w:p>
            <w:pPr>
              <w:pStyle w:val="TableParagraph"/>
              <w:ind w:right="59"/>
              <w:rPr>
                <w:rFonts w:ascii="Carlito"/>
                <w:sz w:val="16"/>
              </w:rPr>
            </w:pPr>
            <w:r>
              <w:rPr>
                <w:rFonts w:ascii="Carlito"/>
                <w:sz w:val="16"/>
              </w:rPr>
              <w:t>1</w:t>
            </w:r>
          </w:p>
        </w:tc>
      </w:tr>
      <w:tr>
        <w:trPr>
          <w:trHeight w:val="288" w:hRule="atLeast"/>
        </w:trPr>
        <w:tc>
          <w:tcPr>
            <w:tcW w:w="758" w:type="dxa"/>
          </w:tcPr>
          <w:p>
            <w:pPr>
              <w:pStyle w:val="TableParagraph"/>
              <w:ind w:right="145"/>
              <w:rPr>
                <w:rFonts w:ascii="Carlito"/>
                <w:sz w:val="16"/>
              </w:rPr>
            </w:pPr>
            <w:r>
              <w:rPr>
                <w:rFonts w:ascii="Carlito"/>
                <w:sz w:val="16"/>
              </w:rPr>
              <w:t>13</w:t>
            </w:r>
          </w:p>
        </w:tc>
        <w:tc>
          <w:tcPr>
            <w:tcW w:w="1650" w:type="dxa"/>
          </w:tcPr>
          <w:p>
            <w:pPr>
              <w:pStyle w:val="TableParagraph"/>
              <w:ind w:left="141"/>
              <w:jc w:val="left"/>
              <w:rPr>
                <w:rFonts w:ascii="Carlito"/>
                <w:sz w:val="16"/>
              </w:rPr>
            </w:pPr>
            <w:r>
              <w:rPr>
                <w:rFonts w:ascii="Carlito"/>
                <w:sz w:val="16"/>
              </w:rPr>
              <w:t>Pinares</w:t>
            </w:r>
          </w:p>
        </w:tc>
        <w:tc>
          <w:tcPr>
            <w:tcW w:w="877" w:type="dxa"/>
          </w:tcPr>
          <w:p>
            <w:pPr>
              <w:pStyle w:val="TableParagraph"/>
              <w:ind w:right="65"/>
              <w:rPr>
                <w:rFonts w:ascii="Carlito"/>
                <w:sz w:val="16"/>
              </w:rPr>
            </w:pPr>
            <w:r>
              <w:rPr>
                <w:rFonts w:ascii="Carlito"/>
                <w:sz w:val="16"/>
              </w:rPr>
              <w:t>1</w:t>
            </w:r>
          </w:p>
        </w:tc>
        <w:tc>
          <w:tcPr>
            <w:tcW w:w="1073" w:type="dxa"/>
          </w:tcPr>
          <w:p>
            <w:pPr>
              <w:pStyle w:val="TableParagraph"/>
              <w:ind w:right="66"/>
              <w:rPr>
                <w:rFonts w:ascii="Carlito"/>
                <w:sz w:val="16"/>
              </w:rPr>
            </w:pPr>
            <w:r>
              <w:rPr>
                <w:rFonts w:ascii="Carlito"/>
                <w:sz w:val="16"/>
              </w:rPr>
              <w:t>$675,000.00</w:t>
            </w:r>
          </w:p>
        </w:tc>
        <w:tc>
          <w:tcPr>
            <w:tcW w:w="1075" w:type="dxa"/>
          </w:tcPr>
          <w:p>
            <w:pPr>
              <w:pStyle w:val="TableParagraph"/>
              <w:ind w:right="66"/>
              <w:rPr>
                <w:rFonts w:ascii="Carlito"/>
                <w:sz w:val="16"/>
              </w:rPr>
            </w:pPr>
            <w:r>
              <w:rPr>
                <w:rFonts w:ascii="Carlito"/>
                <w:sz w:val="16"/>
              </w:rPr>
              <w:t>605</w:t>
            </w:r>
          </w:p>
        </w:tc>
        <w:tc>
          <w:tcPr>
            <w:tcW w:w="1004" w:type="dxa"/>
          </w:tcPr>
          <w:p>
            <w:pPr>
              <w:pStyle w:val="TableParagraph"/>
              <w:ind w:right="65"/>
              <w:rPr>
                <w:rFonts w:ascii="Carlito"/>
                <w:sz w:val="16"/>
              </w:rPr>
            </w:pPr>
            <w:r>
              <w:rPr>
                <w:rFonts w:ascii="Carlito"/>
                <w:sz w:val="16"/>
              </w:rPr>
              <w:t>1985</w:t>
            </w:r>
          </w:p>
        </w:tc>
        <w:tc>
          <w:tcPr>
            <w:tcW w:w="1004" w:type="dxa"/>
          </w:tcPr>
          <w:p>
            <w:pPr>
              <w:pStyle w:val="TableParagraph"/>
              <w:ind w:right="60"/>
              <w:rPr>
                <w:rFonts w:ascii="Carlito"/>
                <w:sz w:val="16"/>
              </w:rPr>
            </w:pPr>
            <w:r>
              <w:rPr>
                <w:rFonts w:ascii="Carlito"/>
                <w:sz w:val="16"/>
              </w:rPr>
              <w:t>5</w:t>
            </w:r>
          </w:p>
        </w:tc>
        <w:tc>
          <w:tcPr>
            <w:tcW w:w="682" w:type="dxa"/>
          </w:tcPr>
          <w:p>
            <w:pPr>
              <w:pStyle w:val="TableParagraph"/>
              <w:ind w:right="61"/>
              <w:rPr>
                <w:rFonts w:ascii="Carlito"/>
                <w:sz w:val="16"/>
              </w:rPr>
            </w:pPr>
            <w:r>
              <w:rPr>
                <w:rFonts w:ascii="Carlito"/>
                <w:sz w:val="16"/>
              </w:rPr>
              <w:t>5</w:t>
            </w:r>
          </w:p>
        </w:tc>
        <w:tc>
          <w:tcPr>
            <w:tcW w:w="684" w:type="dxa"/>
          </w:tcPr>
          <w:p>
            <w:pPr>
              <w:pStyle w:val="TableParagraph"/>
              <w:ind w:right="61"/>
              <w:rPr>
                <w:rFonts w:ascii="Carlito"/>
                <w:sz w:val="16"/>
              </w:rPr>
            </w:pPr>
            <w:r>
              <w:rPr>
                <w:rFonts w:ascii="Carlito"/>
                <w:sz w:val="16"/>
              </w:rPr>
              <w:t>2</w:t>
            </w:r>
          </w:p>
        </w:tc>
        <w:tc>
          <w:tcPr>
            <w:tcW w:w="1152" w:type="dxa"/>
          </w:tcPr>
          <w:p>
            <w:pPr>
              <w:pStyle w:val="TableParagraph"/>
              <w:ind w:right="65"/>
              <w:rPr>
                <w:rFonts w:ascii="Carlito"/>
                <w:sz w:val="16"/>
              </w:rPr>
            </w:pPr>
            <w:r>
              <w:rPr>
                <w:rFonts w:ascii="Carlito"/>
                <w:sz w:val="16"/>
              </w:rPr>
              <w:t>7.4</w:t>
            </w:r>
          </w:p>
        </w:tc>
        <w:tc>
          <w:tcPr>
            <w:tcW w:w="1348" w:type="dxa"/>
          </w:tcPr>
          <w:p>
            <w:pPr>
              <w:pStyle w:val="TableParagraph"/>
              <w:ind w:right="65"/>
              <w:rPr>
                <w:rFonts w:ascii="Carlito"/>
                <w:sz w:val="16"/>
              </w:rPr>
            </w:pPr>
            <w:r>
              <w:rPr>
                <w:rFonts w:ascii="Carlito"/>
                <w:sz w:val="16"/>
              </w:rPr>
              <w:t>3.6</w:t>
            </w:r>
          </w:p>
        </w:tc>
        <w:tc>
          <w:tcPr>
            <w:tcW w:w="808" w:type="dxa"/>
          </w:tcPr>
          <w:p>
            <w:pPr>
              <w:pStyle w:val="TableParagraph"/>
              <w:ind w:right="61"/>
              <w:rPr>
                <w:rFonts w:ascii="Carlito"/>
                <w:sz w:val="16"/>
              </w:rPr>
            </w:pPr>
            <w:r>
              <w:rPr>
                <w:rFonts w:ascii="Carlito"/>
                <w:sz w:val="16"/>
              </w:rPr>
              <w:t>0</w:t>
            </w:r>
          </w:p>
        </w:tc>
        <w:tc>
          <w:tcPr>
            <w:tcW w:w="842" w:type="dxa"/>
          </w:tcPr>
          <w:p>
            <w:pPr>
              <w:pStyle w:val="TableParagraph"/>
              <w:ind w:right="59"/>
              <w:rPr>
                <w:rFonts w:ascii="Carlito"/>
                <w:sz w:val="16"/>
              </w:rPr>
            </w:pPr>
            <w:r>
              <w:rPr>
                <w:rFonts w:ascii="Carlito"/>
                <w:sz w:val="16"/>
              </w:rPr>
              <w:t>1</w:t>
            </w:r>
          </w:p>
        </w:tc>
      </w:tr>
      <w:tr>
        <w:trPr>
          <w:trHeight w:val="288" w:hRule="atLeast"/>
        </w:trPr>
        <w:tc>
          <w:tcPr>
            <w:tcW w:w="758" w:type="dxa"/>
            <w:shd w:val="clear" w:color="auto" w:fill="D9D9D9"/>
          </w:tcPr>
          <w:p>
            <w:pPr>
              <w:pStyle w:val="TableParagraph"/>
              <w:spacing w:line="177" w:lineRule="exact" w:before="92"/>
              <w:ind w:right="145"/>
              <w:rPr>
                <w:rFonts w:ascii="Carlito"/>
                <w:sz w:val="16"/>
              </w:rPr>
            </w:pPr>
            <w:r>
              <w:rPr>
                <w:rFonts w:ascii="Carlito"/>
                <w:sz w:val="16"/>
              </w:rPr>
              <w:t>14</w:t>
            </w:r>
          </w:p>
        </w:tc>
        <w:tc>
          <w:tcPr>
            <w:tcW w:w="1650" w:type="dxa"/>
            <w:shd w:val="clear" w:color="auto" w:fill="D9D9D9"/>
          </w:tcPr>
          <w:p>
            <w:pPr>
              <w:pStyle w:val="TableParagraph"/>
              <w:spacing w:line="177" w:lineRule="exact" w:before="92"/>
              <w:ind w:left="141"/>
              <w:jc w:val="left"/>
              <w:rPr>
                <w:rFonts w:ascii="Carlito"/>
                <w:sz w:val="16"/>
              </w:rPr>
            </w:pPr>
            <w:r>
              <w:rPr>
                <w:rFonts w:ascii="Carlito"/>
                <w:sz w:val="16"/>
              </w:rPr>
              <w:t>Pinares</w:t>
            </w:r>
          </w:p>
        </w:tc>
        <w:tc>
          <w:tcPr>
            <w:tcW w:w="877" w:type="dxa"/>
            <w:shd w:val="clear" w:color="auto" w:fill="D9D9D9"/>
          </w:tcPr>
          <w:p>
            <w:pPr>
              <w:pStyle w:val="TableParagraph"/>
              <w:spacing w:line="177" w:lineRule="exact" w:before="92"/>
              <w:ind w:right="65"/>
              <w:rPr>
                <w:rFonts w:ascii="Carlito"/>
                <w:sz w:val="16"/>
              </w:rPr>
            </w:pPr>
            <w:r>
              <w:rPr>
                <w:rFonts w:ascii="Carlito"/>
                <w:sz w:val="16"/>
              </w:rPr>
              <w:t>1</w:t>
            </w:r>
          </w:p>
        </w:tc>
        <w:tc>
          <w:tcPr>
            <w:tcW w:w="1073" w:type="dxa"/>
            <w:shd w:val="clear" w:color="auto" w:fill="D9D9D9"/>
          </w:tcPr>
          <w:p>
            <w:pPr>
              <w:pStyle w:val="TableParagraph"/>
              <w:spacing w:line="177" w:lineRule="exact" w:before="92"/>
              <w:ind w:right="66"/>
              <w:rPr>
                <w:rFonts w:ascii="Carlito"/>
                <w:sz w:val="16"/>
              </w:rPr>
            </w:pPr>
            <w:r>
              <w:rPr>
                <w:rFonts w:ascii="Carlito"/>
                <w:sz w:val="16"/>
              </w:rPr>
              <w:t>$530,000.00</w:t>
            </w:r>
          </w:p>
        </w:tc>
        <w:tc>
          <w:tcPr>
            <w:tcW w:w="1075" w:type="dxa"/>
            <w:shd w:val="clear" w:color="auto" w:fill="D9D9D9"/>
          </w:tcPr>
          <w:p>
            <w:pPr>
              <w:pStyle w:val="TableParagraph"/>
              <w:spacing w:line="177" w:lineRule="exact" w:before="92"/>
              <w:ind w:right="66"/>
              <w:rPr>
                <w:rFonts w:ascii="Carlito"/>
                <w:sz w:val="16"/>
              </w:rPr>
            </w:pPr>
            <w:r>
              <w:rPr>
                <w:rFonts w:ascii="Carlito"/>
                <w:sz w:val="16"/>
              </w:rPr>
              <w:t>612</w:t>
            </w:r>
          </w:p>
        </w:tc>
        <w:tc>
          <w:tcPr>
            <w:tcW w:w="1004" w:type="dxa"/>
            <w:shd w:val="clear" w:color="auto" w:fill="D9D9D9"/>
          </w:tcPr>
          <w:p>
            <w:pPr>
              <w:pStyle w:val="TableParagraph"/>
              <w:spacing w:line="177" w:lineRule="exact" w:before="92"/>
              <w:ind w:right="65"/>
              <w:rPr>
                <w:rFonts w:ascii="Carlito"/>
                <w:sz w:val="16"/>
              </w:rPr>
            </w:pPr>
            <w:r>
              <w:rPr>
                <w:rFonts w:ascii="Carlito"/>
                <w:sz w:val="16"/>
              </w:rPr>
              <w:t>2006</w:t>
            </w:r>
          </w:p>
        </w:tc>
        <w:tc>
          <w:tcPr>
            <w:tcW w:w="1004" w:type="dxa"/>
            <w:shd w:val="clear" w:color="auto" w:fill="D9D9D9"/>
          </w:tcPr>
          <w:p>
            <w:pPr>
              <w:pStyle w:val="TableParagraph"/>
              <w:spacing w:line="177" w:lineRule="exact" w:before="92"/>
              <w:ind w:right="60"/>
              <w:rPr>
                <w:rFonts w:ascii="Carlito"/>
                <w:sz w:val="16"/>
              </w:rPr>
            </w:pPr>
            <w:r>
              <w:rPr>
                <w:rFonts w:ascii="Carlito"/>
                <w:sz w:val="16"/>
              </w:rPr>
              <w:t>5</w:t>
            </w:r>
          </w:p>
        </w:tc>
        <w:tc>
          <w:tcPr>
            <w:tcW w:w="682" w:type="dxa"/>
            <w:shd w:val="clear" w:color="auto" w:fill="D9D9D9"/>
          </w:tcPr>
          <w:p>
            <w:pPr>
              <w:pStyle w:val="TableParagraph"/>
              <w:spacing w:line="177" w:lineRule="exact" w:before="92"/>
              <w:ind w:right="61"/>
              <w:rPr>
                <w:rFonts w:ascii="Carlito"/>
                <w:sz w:val="16"/>
              </w:rPr>
            </w:pPr>
            <w:r>
              <w:rPr>
                <w:rFonts w:ascii="Carlito"/>
                <w:sz w:val="16"/>
              </w:rPr>
              <w:t>5</w:t>
            </w:r>
          </w:p>
        </w:tc>
        <w:tc>
          <w:tcPr>
            <w:tcW w:w="684" w:type="dxa"/>
            <w:shd w:val="clear" w:color="auto" w:fill="D9D9D9"/>
          </w:tcPr>
          <w:p>
            <w:pPr>
              <w:pStyle w:val="TableParagraph"/>
              <w:spacing w:line="177" w:lineRule="exact" w:before="92"/>
              <w:ind w:right="61"/>
              <w:rPr>
                <w:rFonts w:ascii="Carlito"/>
                <w:sz w:val="16"/>
              </w:rPr>
            </w:pPr>
            <w:r>
              <w:rPr>
                <w:rFonts w:ascii="Carlito"/>
                <w:sz w:val="16"/>
              </w:rPr>
              <w:t>1</w:t>
            </w:r>
          </w:p>
        </w:tc>
        <w:tc>
          <w:tcPr>
            <w:tcW w:w="1152" w:type="dxa"/>
            <w:shd w:val="clear" w:color="auto" w:fill="D9D9D9"/>
          </w:tcPr>
          <w:p>
            <w:pPr>
              <w:pStyle w:val="TableParagraph"/>
              <w:spacing w:line="177" w:lineRule="exact" w:before="92"/>
              <w:ind w:right="65"/>
              <w:rPr>
                <w:rFonts w:ascii="Carlito"/>
                <w:sz w:val="16"/>
              </w:rPr>
            </w:pPr>
            <w:r>
              <w:rPr>
                <w:rFonts w:ascii="Carlito"/>
                <w:sz w:val="16"/>
              </w:rPr>
              <w:t>7.4</w:t>
            </w:r>
          </w:p>
        </w:tc>
        <w:tc>
          <w:tcPr>
            <w:tcW w:w="1348" w:type="dxa"/>
            <w:shd w:val="clear" w:color="auto" w:fill="D9D9D9"/>
          </w:tcPr>
          <w:p>
            <w:pPr>
              <w:pStyle w:val="TableParagraph"/>
              <w:spacing w:line="177" w:lineRule="exact" w:before="92"/>
              <w:ind w:right="65"/>
              <w:rPr>
                <w:rFonts w:ascii="Carlito"/>
                <w:sz w:val="16"/>
              </w:rPr>
            </w:pPr>
            <w:r>
              <w:rPr>
                <w:rFonts w:ascii="Carlito"/>
                <w:sz w:val="16"/>
              </w:rPr>
              <w:t>3.6</w:t>
            </w:r>
          </w:p>
        </w:tc>
        <w:tc>
          <w:tcPr>
            <w:tcW w:w="808" w:type="dxa"/>
            <w:shd w:val="clear" w:color="auto" w:fill="D9D9D9"/>
          </w:tcPr>
          <w:p>
            <w:pPr>
              <w:pStyle w:val="TableParagraph"/>
              <w:spacing w:line="177" w:lineRule="exact" w:before="92"/>
              <w:ind w:right="61"/>
              <w:rPr>
                <w:rFonts w:ascii="Carlito"/>
                <w:sz w:val="16"/>
              </w:rPr>
            </w:pPr>
            <w:r>
              <w:rPr>
                <w:rFonts w:ascii="Carlito"/>
                <w:sz w:val="16"/>
              </w:rPr>
              <w:t>0</w:t>
            </w:r>
          </w:p>
        </w:tc>
        <w:tc>
          <w:tcPr>
            <w:tcW w:w="842" w:type="dxa"/>
            <w:shd w:val="clear" w:color="auto" w:fill="D9D9D9"/>
          </w:tcPr>
          <w:p>
            <w:pPr>
              <w:pStyle w:val="TableParagraph"/>
              <w:spacing w:line="177" w:lineRule="exact" w:before="92"/>
              <w:ind w:right="59"/>
              <w:rPr>
                <w:rFonts w:ascii="Carlito"/>
                <w:sz w:val="16"/>
              </w:rPr>
            </w:pPr>
            <w:r>
              <w:rPr>
                <w:rFonts w:ascii="Carlito"/>
                <w:sz w:val="16"/>
              </w:rPr>
              <w:t>1</w:t>
            </w:r>
          </w:p>
        </w:tc>
      </w:tr>
      <w:tr>
        <w:trPr>
          <w:trHeight w:val="287" w:hRule="atLeast"/>
        </w:trPr>
        <w:tc>
          <w:tcPr>
            <w:tcW w:w="758" w:type="dxa"/>
          </w:tcPr>
          <w:p>
            <w:pPr>
              <w:pStyle w:val="TableParagraph"/>
              <w:ind w:right="145"/>
              <w:rPr>
                <w:rFonts w:ascii="Carlito"/>
                <w:sz w:val="16"/>
              </w:rPr>
            </w:pPr>
            <w:r>
              <w:rPr>
                <w:rFonts w:ascii="Carlito"/>
                <w:sz w:val="16"/>
              </w:rPr>
              <w:t>15</w:t>
            </w:r>
          </w:p>
        </w:tc>
        <w:tc>
          <w:tcPr>
            <w:tcW w:w="1650" w:type="dxa"/>
          </w:tcPr>
          <w:p>
            <w:pPr>
              <w:pStyle w:val="TableParagraph"/>
              <w:ind w:left="141"/>
              <w:jc w:val="left"/>
              <w:rPr>
                <w:rFonts w:ascii="Carlito"/>
                <w:sz w:val="16"/>
              </w:rPr>
            </w:pPr>
            <w:r>
              <w:rPr>
                <w:rFonts w:ascii="Carlito"/>
                <w:sz w:val="16"/>
              </w:rPr>
              <w:t>Lomas de Ayarco</w:t>
            </w:r>
          </w:p>
        </w:tc>
        <w:tc>
          <w:tcPr>
            <w:tcW w:w="877" w:type="dxa"/>
          </w:tcPr>
          <w:p>
            <w:pPr>
              <w:pStyle w:val="TableParagraph"/>
              <w:ind w:right="65"/>
              <w:rPr>
                <w:rFonts w:ascii="Carlito"/>
                <w:sz w:val="16"/>
              </w:rPr>
            </w:pPr>
            <w:r>
              <w:rPr>
                <w:rFonts w:ascii="Carlito"/>
                <w:sz w:val="16"/>
              </w:rPr>
              <w:t>1</w:t>
            </w:r>
          </w:p>
        </w:tc>
        <w:tc>
          <w:tcPr>
            <w:tcW w:w="1073" w:type="dxa"/>
          </w:tcPr>
          <w:p>
            <w:pPr>
              <w:pStyle w:val="TableParagraph"/>
              <w:ind w:right="66"/>
              <w:rPr>
                <w:rFonts w:ascii="Carlito"/>
                <w:sz w:val="16"/>
              </w:rPr>
            </w:pPr>
            <w:r>
              <w:rPr>
                <w:rFonts w:ascii="Carlito"/>
                <w:sz w:val="16"/>
              </w:rPr>
              <w:t>$340,000.00</w:t>
            </w:r>
          </w:p>
        </w:tc>
        <w:tc>
          <w:tcPr>
            <w:tcW w:w="1075" w:type="dxa"/>
          </w:tcPr>
          <w:p>
            <w:pPr>
              <w:pStyle w:val="TableParagraph"/>
              <w:ind w:right="66"/>
              <w:rPr>
                <w:rFonts w:ascii="Carlito"/>
                <w:sz w:val="16"/>
              </w:rPr>
            </w:pPr>
            <w:r>
              <w:rPr>
                <w:rFonts w:ascii="Carlito"/>
                <w:sz w:val="16"/>
              </w:rPr>
              <w:t>312</w:t>
            </w:r>
          </w:p>
        </w:tc>
        <w:tc>
          <w:tcPr>
            <w:tcW w:w="1004" w:type="dxa"/>
          </w:tcPr>
          <w:p>
            <w:pPr>
              <w:pStyle w:val="TableParagraph"/>
              <w:ind w:right="65"/>
              <w:rPr>
                <w:rFonts w:ascii="Carlito"/>
                <w:sz w:val="16"/>
              </w:rPr>
            </w:pPr>
            <w:r>
              <w:rPr>
                <w:rFonts w:ascii="Carlito"/>
                <w:sz w:val="16"/>
              </w:rPr>
              <w:t>2006</w:t>
            </w:r>
          </w:p>
        </w:tc>
        <w:tc>
          <w:tcPr>
            <w:tcW w:w="1004" w:type="dxa"/>
          </w:tcPr>
          <w:p>
            <w:pPr>
              <w:pStyle w:val="TableParagraph"/>
              <w:ind w:right="60"/>
              <w:rPr>
                <w:rFonts w:ascii="Carlito"/>
                <w:sz w:val="16"/>
              </w:rPr>
            </w:pPr>
            <w:r>
              <w:rPr>
                <w:rFonts w:ascii="Carlito"/>
                <w:sz w:val="16"/>
              </w:rPr>
              <w:t>4</w:t>
            </w:r>
          </w:p>
        </w:tc>
        <w:tc>
          <w:tcPr>
            <w:tcW w:w="682" w:type="dxa"/>
          </w:tcPr>
          <w:p>
            <w:pPr>
              <w:pStyle w:val="TableParagraph"/>
              <w:ind w:right="66"/>
              <w:rPr>
                <w:rFonts w:ascii="Carlito"/>
                <w:sz w:val="16"/>
              </w:rPr>
            </w:pPr>
            <w:r>
              <w:rPr>
                <w:rFonts w:ascii="Carlito"/>
                <w:sz w:val="16"/>
              </w:rPr>
              <w:t>3.5</w:t>
            </w:r>
          </w:p>
        </w:tc>
        <w:tc>
          <w:tcPr>
            <w:tcW w:w="684" w:type="dxa"/>
          </w:tcPr>
          <w:p>
            <w:pPr>
              <w:pStyle w:val="TableParagraph"/>
              <w:ind w:right="61"/>
              <w:rPr>
                <w:rFonts w:ascii="Carlito"/>
                <w:sz w:val="16"/>
              </w:rPr>
            </w:pPr>
            <w:r>
              <w:rPr>
                <w:rFonts w:ascii="Carlito"/>
                <w:sz w:val="16"/>
              </w:rPr>
              <w:t>2</w:t>
            </w:r>
          </w:p>
        </w:tc>
        <w:tc>
          <w:tcPr>
            <w:tcW w:w="1152" w:type="dxa"/>
          </w:tcPr>
          <w:p>
            <w:pPr>
              <w:pStyle w:val="TableParagraph"/>
              <w:ind w:right="65"/>
              <w:rPr>
                <w:rFonts w:ascii="Carlito"/>
                <w:sz w:val="16"/>
              </w:rPr>
            </w:pPr>
            <w:r>
              <w:rPr>
                <w:rFonts w:ascii="Carlito"/>
                <w:sz w:val="16"/>
              </w:rPr>
              <w:t>8.55</w:t>
            </w:r>
          </w:p>
        </w:tc>
        <w:tc>
          <w:tcPr>
            <w:tcW w:w="1348" w:type="dxa"/>
          </w:tcPr>
          <w:p>
            <w:pPr>
              <w:pStyle w:val="TableParagraph"/>
              <w:ind w:right="65"/>
              <w:rPr>
                <w:rFonts w:ascii="Carlito"/>
                <w:sz w:val="16"/>
              </w:rPr>
            </w:pPr>
            <w:r>
              <w:rPr>
                <w:rFonts w:ascii="Carlito"/>
                <w:sz w:val="16"/>
              </w:rPr>
              <w:t>2.9</w:t>
            </w:r>
          </w:p>
        </w:tc>
        <w:tc>
          <w:tcPr>
            <w:tcW w:w="808" w:type="dxa"/>
          </w:tcPr>
          <w:p>
            <w:pPr>
              <w:pStyle w:val="TableParagraph"/>
              <w:ind w:right="61"/>
              <w:rPr>
                <w:rFonts w:ascii="Carlito"/>
                <w:sz w:val="16"/>
              </w:rPr>
            </w:pPr>
            <w:r>
              <w:rPr>
                <w:rFonts w:ascii="Carlito"/>
                <w:sz w:val="16"/>
              </w:rPr>
              <w:t>0</w:t>
            </w:r>
          </w:p>
        </w:tc>
        <w:tc>
          <w:tcPr>
            <w:tcW w:w="842" w:type="dxa"/>
          </w:tcPr>
          <w:p>
            <w:pPr>
              <w:pStyle w:val="TableParagraph"/>
              <w:ind w:right="59"/>
              <w:rPr>
                <w:rFonts w:ascii="Carlito"/>
                <w:sz w:val="16"/>
              </w:rPr>
            </w:pPr>
            <w:r>
              <w:rPr>
                <w:rFonts w:ascii="Carlito"/>
                <w:sz w:val="16"/>
              </w:rPr>
              <w:t>1</w:t>
            </w:r>
          </w:p>
        </w:tc>
      </w:tr>
      <w:tr>
        <w:trPr>
          <w:trHeight w:val="287" w:hRule="atLeast"/>
        </w:trPr>
        <w:tc>
          <w:tcPr>
            <w:tcW w:w="758" w:type="dxa"/>
            <w:shd w:val="clear" w:color="auto" w:fill="D9D9D9"/>
          </w:tcPr>
          <w:p>
            <w:pPr>
              <w:pStyle w:val="TableParagraph"/>
              <w:spacing w:before="92"/>
              <w:ind w:right="145"/>
              <w:rPr>
                <w:rFonts w:ascii="Carlito"/>
                <w:sz w:val="16"/>
              </w:rPr>
            </w:pPr>
            <w:r>
              <w:rPr>
                <w:rFonts w:ascii="Carlito"/>
                <w:sz w:val="16"/>
              </w:rPr>
              <w:t>16</w:t>
            </w:r>
          </w:p>
        </w:tc>
        <w:tc>
          <w:tcPr>
            <w:tcW w:w="1650" w:type="dxa"/>
            <w:shd w:val="clear" w:color="auto" w:fill="D9D9D9"/>
          </w:tcPr>
          <w:p>
            <w:pPr>
              <w:pStyle w:val="TableParagraph"/>
              <w:spacing w:before="92"/>
              <w:ind w:left="141"/>
              <w:jc w:val="left"/>
              <w:rPr>
                <w:rFonts w:ascii="Carlito"/>
                <w:sz w:val="16"/>
              </w:rPr>
            </w:pPr>
            <w:r>
              <w:rPr>
                <w:rFonts w:ascii="Carlito"/>
                <w:sz w:val="16"/>
              </w:rPr>
              <w:t>Lomas de Ayarco</w:t>
            </w:r>
          </w:p>
        </w:tc>
        <w:tc>
          <w:tcPr>
            <w:tcW w:w="877" w:type="dxa"/>
            <w:shd w:val="clear" w:color="auto" w:fill="D9D9D9"/>
          </w:tcPr>
          <w:p>
            <w:pPr>
              <w:pStyle w:val="TableParagraph"/>
              <w:spacing w:before="92"/>
              <w:ind w:right="65"/>
              <w:rPr>
                <w:rFonts w:ascii="Carlito"/>
                <w:sz w:val="16"/>
              </w:rPr>
            </w:pPr>
            <w:r>
              <w:rPr>
                <w:rFonts w:ascii="Carlito"/>
                <w:sz w:val="16"/>
              </w:rPr>
              <w:t>1</w:t>
            </w:r>
          </w:p>
        </w:tc>
        <w:tc>
          <w:tcPr>
            <w:tcW w:w="1073" w:type="dxa"/>
            <w:shd w:val="clear" w:color="auto" w:fill="D9D9D9"/>
          </w:tcPr>
          <w:p>
            <w:pPr>
              <w:pStyle w:val="TableParagraph"/>
              <w:spacing w:before="92"/>
              <w:ind w:right="66"/>
              <w:rPr>
                <w:rFonts w:ascii="Carlito"/>
                <w:sz w:val="16"/>
              </w:rPr>
            </w:pPr>
            <w:r>
              <w:rPr>
                <w:rFonts w:ascii="Carlito"/>
                <w:sz w:val="16"/>
              </w:rPr>
              <w:t>$185,000.00</w:t>
            </w:r>
          </w:p>
        </w:tc>
        <w:tc>
          <w:tcPr>
            <w:tcW w:w="1075" w:type="dxa"/>
            <w:shd w:val="clear" w:color="auto" w:fill="D9D9D9"/>
          </w:tcPr>
          <w:p>
            <w:pPr>
              <w:pStyle w:val="TableParagraph"/>
              <w:spacing w:before="92"/>
              <w:ind w:right="66"/>
              <w:rPr>
                <w:rFonts w:ascii="Carlito"/>
                <w:sz w:val="16"/>
              </w:rPr>
            </w:pPr>
            <w:r>
              <w:rPr>
                <w:rFonts w:ascii="Carlito"/>
                <w:sz w:val="16"/>
              </w:rPr>
              <w:t>170</w:t>
            </w:r>
          </w:p>
        </w:tc>
        <w:tc>
          <w:tcPr>
            <w:tcW w:w="1004" w:type="dxa"/>
            <w:shd w:val="clear" w:color="auto" w:fill="D9D9D9"/>
          </w:tcPr>
          <w:p>
            <w:pPr>
              <w:pStyle w:val="TableParagraph"/>
              <w:spacing w:before="92"/>
              <w:ind w:right="65"/>
              <w:rPr>
                <w:rFonts w:ascii="Carlito"/>
                <w:sz w:val="16"/>
              </w:rPr>
            </w:pPr>
            <w:r>
              <w:rPr>
                <w:rFonts w:ascii="Carlito"/>
                <w:sz w:val="16"/>
              </w:rPr>
              <w:t>2006</w:t>
            </w:r>
          </w:p>
        </w:tc>
        <w:tc>
          <w:tcPr>
            <w:tcW w:w="1004" w:type="dxa"/>
            <w:shd w:val="clear" w:color="auto" w:fill="D9D9D9"/>
          </w:tcPr>
          <w:p>
            <w:pPr>
              <w:pStyle w:val="TableParagraph"/>
              <w:spacing w:before="92"/>
              <w:ind w:right="60"/>
              <w:rPr>
                <w:rFonts w:ascii="Carlito"/>
                <w:sz w:val="16"/>
              </w:rPr>
            </w:pPr>
            <w:r>
              <w:rPr>
                <w:rFonts w:ascii="Carlito"/>
                <w:sz w:val="16"/>
              </w:rPr>
              <w:t>2</w:t>
            </w:r>
          </w:p>
        </w:tc>
        <w:tc>
          <w:tcPr>
            <w:tcW w:w="682" w:type="dxa"/>
            <w:shd w:val="clear" w:color="auto" w:fill="D9D9D9"/>
          </w:tcPr>
          <w:p>
            <w:pPr>
              <w:pStyle w:val="TableParagraph"/>
              <w:spacing w:before="92"/>
              <w:ind w:right="61"/>
              <w:rPr>
                <w:rFonts w:ascii="Carlito"/>
                <w:sz w:val="16"/>
              </w:rPr>
            </w:pPr>
            <w:r>
              <w:rPr>
                <w:rFonts w:ascii="Carlito"/>
                <w:sz w:val="16"/>
              </w:rPr>
              <w:t>2</w:t>
            </w:r>
          </w:p>
        </w:tc>
        <w:tc>
          <w:tcPr>
            <w:tcW w:w="684" w:type="dxa"/>
            <w:shd w:val="clear" w:color="auto" w:fill="D9D9D9"/>
          </w:tcPr>
          <w:p>
            <w:pPr>
              <w:pStyle w:val="TableParagraph"/>
              <w:spacing w:before="92"/>
              <w:ind w:right="61"/>
              <w:rPr>
                <w:rFonts w:ascii="Carlito"/>
                <w:sz w:val="16"/>
              </w:rPr>
            </w:pPr>
            <w:r>
              <w:rPr>
                <w:rFonts w:ascii="Carlito"/>
                <w:sz w:val="16"/>
              </w:rPr>
              <w:t>1</w:t>
            </w:r>
          </w:p>
        </w:tc>
        <w:tc>
          <w:tcPr>
            <w:tcW w:w="1152" w:type="dxa"/>
            <w:shd w:val="clear" w:color="auto" w:fill="D9D9D9"/>
          </w:tcPr>
          <w:p>
            <w:pPr>
              <w:pStyle w:val="TableParagraph"/>
              <w:spacing w:before="92"/>
              <w:ind w:right="65"/>
              <w:rPr>
                <w:rFonts w:ascii="Carlito"/>
                <w:sz w:val="16"/>
              </w:rPr>
            </w:pPr>
            <w:r>
              <w:rPr>
                <w:rFonts w:ascii="Carlito"/>
                <w:sz w:val="16"/>
              </w:rPr>
              <w:t>8.55</w:t>
            </w:r>
          </w:p>
        </w:tc>
        <w:tc>
          <w:tcPr>
            <w:tcW w:w="1348" w:type="dxa"/>
            <w:shd w:val="clear" w:color="auto" w:fill="D9D9D9"/>
          </w:tcPr>
          <w:p>
            <w:pPr>
              <w:pStyle w:val="TableParagraph"/>
              <w:spacing w:before="92"/>
              <w:ind w:right="65"/>
              <w:rPr>
                <w:rFonts w:ascii="Carlito"/>
                <w:sz w:val="16"/>
              </w:rPr>
            </w:pPr>
            <w:r>
              <w:rPr>
                <w:rFonts w:ascii="Carlito"/>
                <w:sz w:val="16"/>
              </w:rPr>
              <w:t>2.9</w:t>
            </w:r>
          </w:p>
        </w:tc>
        <w:tc>
          <w:tcPr>
            <w:tcW w:w="808" w:type="dxa"/>
            <w:shd w:val="clear" w:color="auto" w:fill="D9D9D9"/>
          </w:tcPr>
          <w:p>
            <w:pPr>
              <w:pStyle w:val="TableParagraph"/>
              <w:spacing w:before="92"/>
              <w:ind w:right="61"/>
              <w:rPr>
                <w:rFonts w:ascii="Carlito"/>
                <w:sz w:val="16"/>
              </w:rPr>
            </w:pPr>
            <w:r>
              <w:rPr>
                <w:rFonts w:ascii="Carlito"/>
                <w:sz w:val="16"/>
              </w:rPr>
              <w:t>0</w:t>
            </w:r>
          </w:p>
        </w:tc>
        <w:tc>
          <w:tcPr>
            <w:tcW w:w="842" w:type="dxa"/>
            <w:shd w:val="clear" w:color="auto" w:fill="D9D9D9"/>
          </w:tcPr>
          <w:p>
            <w:pPr>
              <w:pStyle w:val="TableParagraph"/>
              <w:spacing w:before="92"/>
              <w:ind w:right="59"/>
              <w:rPr>
                <w:rFonts w:ascii="Carlito"/>
                <w:sz w:val="16"/>
              </w:rPr>
            </w:pPr>
            <w:r>
              <w:rPr>
                <w:rFonts w:ascii="Carlito"/>
                <w:sz w:val="16"/>
              </w:rPr>
              <w:t>1</w:t>
            </w:r>
          </w:p>
        </w:tc>
      </w:tr>
      <w:tr>
        <w:trPr>
          <w:trHeight w:val="288" w:hRule="atLeast"/>
        </w:trPr>
        <w:tc>
          <w:tcPr>
            <w:tcW w:w="758" w:type="dxa"/>
          </w:tcPr>
          <w:p>
            <w:pPr>
              <w:pStyle w:val="TableParagraph"/>
              <w:spacing w:before="92"/>
              <w:ind w:right="145"/>
              <w:rPr>
                <w:rFonts w:ascii="Carlito"/>
                <w:sz w:val="16"/>
              </w:rPr>
            </w:pPr>
            <w:r>
              <w:rPr>
                <w:rFonts w:ascii="Carlito"/>
                <w:sz w:val="16"/>
              </w:rPr>
              <w:t>17</w:t>
            </w:r>
          </w:p>
        </w:tc>
        <w:tc>
          <w:tcPr>
            <w:tcW w:w="1650" w:type="dxa"/>
          </w:tcPr>
          <w:p>
            <w:pPr>
              <w:pStyle w:val="TableParagraph"/>
              <w:spacing w:before="92"/>
              <w:ind w:left="141"/>
              <w:jc w:val="left"/>
              <w:rPr>
                <w:rFonts w:ascii="Carlito"/>
                <w:sz w:val="16"/>
              </w:rPr>
            </w:pPr>
            <w:r>
              <w:rPr>
                <w:rFonts w:ascii="Carlito"/>
                <w:sz w:val="16"/>
              </w:rPr>
              <w:t>Lomas de Ayarco</w:t>
            </w:r>
          </w:p>
        </w:tc>
        <w:tc>
          <w:tcPr>
            <w:tcW w:w="877" w:type="dxa"/>
          </w:tcPr>
          <w:p>
            <w:pPr>
              <w:pStyle w:val="TableParagraph"/>
              <w:spacing w:before="92"/>
              <w:ind w:right="65"/>
              <w:rPr>
                <w:rFonts w:ascii="Carlito"/>
                <w:sz w:val="16"/>
              </w:rPr>
            </w:pPr>
            <w:r>
              <w:rPr>
                <w:rFonts w:ascii="Carlito"/>
                <w:sz w:val="16"/>
              </w:rPr>
              <w:t>1</w:t>
            </w:r>
          </w:p>
        </w:tc>
        <w:tc>
          <w:tcPr>
            <w:tcW w:w="1073" w:type="dxa"/>
          </w:tcPr>
          <w:p>
            <w:pPr>
              <w:pStyle w:val="TableParagraph"/>
              <w:spacing w:before="92"/>
              <w:ind w:right="66"/>
              <w:rPr>
                <w:rFonts w:ascii="Carlito"/>
                <w:sz w:val="16"/>
              </w:rPr>
            </w:pPr>
            <w:r>
              <w:rPr>
                <w:rFonts w:ascii="Carlito"/>
                <w:sz w:val="16"/>
              </w:rPr>
              <w:t>$390,000.00</w:t>
            </w:r>
          </w:p>
        </w:tc>
        <w:tc>
          <w:tcPr>
            <w:tcW w:w="1075" w:type="dxa"/>
          </w:tcPr>
          <w:p>
            <w:pPr>
              <w:pStyle w:val="TableParagraph"/>
              <w:spacing w:before="92"/>
              <w:ind w:right="66"/>
              <w:rPr>
                <w:rFonts w:ascii="Carlito"/>
                <w:sz w:val="16"/>
              </w:rPr>
            </w:pPr>
            <w:r>
              <w:rPr>
                <w:rFonts w:ascii="Carlito"/>
                <w:sz w:val="16"/>
              </w:rPr>
              <w:t>370</w:t>
            </w:r>
          </w:p>
        </w:tc>
        <w:tc>
          <w:tcPr>
            <w:tcW w:w="1004" w:type="dxa"/>
          </w:tcPr>
          <w:p>
            <w:pPr>
              <w:pStyle w:val="TableParagraph"/>
              <w:spacing w:before="92"/>
              <w:ind w:right="65"/>
              <w:rPr>
                <w:rFonts w:ascii="Carlito"/>
                <w:sz w:val="16"/>
              </w:rPr>
            </w:pPr>
            <w:r>
              <w:rPr>
                <w:rFonts w:ascii="Carlito"/>
                <w:sz w:val="16"/>
              </w:rPr>
              <w:t>2006</w:t>
            </w:r>
          </w:p>
        </w:tc>
        <w:tc>
          <w:tcPr>
            <w:tcW w:w="1004" w:type="dxa"/>
          </w:tcPr>
          <w:p>
            <w:pPr>
              <w:pStyle w:val="TableParagraph"/>
              <w:spacing w:before="92"/>
              <w:ind w:right="60"/>
              <w:rPr>
                <w:rFonts w:ascii="Carlito"/>
                <w:sz w:val="16"/>
              </w:rPr>
            </w:pPr>
            <w:r>
              <w:rPr>
                <w:rFonts w:ascii="Carlito"/>
                <w:sz w:val="16"/>
              </w:rPr>
              <w:t>3</w:t>
            </w:r>
          </w:p>
        </w:tc>
        <w:tc>
          <w:tcPr>
            <w:tcW w:w="682" w:type="dxa"/>
          </w:tcPr>
          <w:p>
            <w:pPr>
              <w:pStyle w:val="TableParagraph"/>
              <w:spacing w:before="92"/>
              <w:ind w:right="61"/>
              <w:rPr>
                <w:rFonts w:ascii="Carlito"/>
                <w:sz w:val="16"/>
              </w:rPr>
            </w:pPr>
            <w:r>
              <w:rPr>
                <w:rFonts w:ascii="Carlito"/>
                <w:sz w:val="16"/>
              </w:rPr>
              <w:t>5</w:t>
            </w:r>
          </w:p>
        </w:tc>
        <w:tc>
          <w:tcPr>
            <w:tcW w:w="684" w:type="dxa"/>
          </w:tcPr>
          <w:p>
            <w:pPr>
              <w:pStyle w:val="TableParagraph"/>
              <w:spacing w:before="92"/>
              <w:ind w:right="61"/>
              <w:rPr>
                <w:rFonts w:ascii="Carlito"/>
                <w:sz w:val="16"/>
              </w:rPr>
            </w:pPr>
            <w:r>
              <w:rPr>
                <w:rFonts w:ascii="Carlito"/>
                <w:sz w:val="16"/>
              </w:rPr>
              <w:t>2</w:t>
            </w:r>
          </w:p>
        </w:tc>
        <w:tc>
          <w:tcPr>
            <w:tcW w:w="1152" w:type="dxa"/>
          </w:tcPr>
          <w:p>
            <w:pPr>
              <w:pStyle w:val="TableParagraph"/>
              <w:spacing w:before="92"/>
              <w:ind w:right="65"/>
              <w:rPr>
                <w:rFonts w:ascii="Carlito"/>
                <w:sz w:val="16"/>
              </w:rPr>
            </w:pPr>
            <w:r>
              <w:rPr>
                <w:rFonts w:ascii="Carlito"/>
                <w:sz w:val="16"/>
              </w:rPr>
              <w:t>8.55</w:t>
            </w:r>
          </w:p>
        </w:tc>
        <w:tc>
          <w:tcPr>
            <w:tcW w:w="1348" w:type="dxa"/>
          </w:tcPr>
          <w:p>
            <w:pPr>
              <w:pStyle w:val="TableParagraph"/>
              <w:spacing w:before="92"/>
              <w:ind w:right="65"/>
              <w:rPr>
                <w:rFonts w:ascii="Carlito"/>
                <w:sz w:val="16"/>
              </w:rPr>
            </w:pPr>
            <w:r>
              <w:rPr>
                <w:rFonts w:ascii="Carlito"/>
                <w:sz w:val="16"/>
              </w:rPr>
              <w:t>2.9</w:t>
            </w:r>
          </w:p>
        </w:tc>
        <w:tc>
          <w:tcPr>
            <w:tcW w:w="808" w:type="dxa"/>
          </w:tcPr>
          <w:p>
            <w:pPr>
              <w:pStyle w:val="TableParagraph"/>
              <w:spacing w:before="92"/>
              <w:ind w:right="61"/>
              <w:rPr>
                <w:rFonts w:ascii="Carlito"/>
                <w:sz w:val="16"/>
              </w:rPr>
            </w:pPr>
            <w:r>
              <w:rPr>
                <w:rFonts w:ascii="Carlito"/>
                <w:sz w:val="16"/>
              </w:rPr>
              <w:t>0</w:t>
            </w:r>
          </w:p>
        </w:tc>
        <w:tc>
          <w:tcPr>
            <w:tcW w:w="842" w:type="dxa"/>
          </w:tcPr>
          <w:p>
            <w:pPr>
              <w:pStyle w:val="TableParagraph"/>
              <w:spacing w:before="92"/>
              <w:ind w:right="59"/>
              <w:rPr>
                <w:rFonts w:ascii="Carlito"/>
                <w:sz w:val="16"/>
              </w:rPr>
            </w:pPr>
            <w:r>
              <w:rPr>
                <w:rFonts w:ascii="Carlito"/>
                <w:sz w:val="16"/>
              </w:rPr>
              <w:t>1</w:t>
            </w:r>
          </w:p>
        </w:tc>
      </w:tr>
      <w:tr>
        <w:trPr>
          <w:trHeight w:val="287" w:hRule="atLeast"/>
        </w:trPr>
        <w:tc>
          <w:tcPr>
            <w:tcW w:w="758" w:type="dxa"/>
            <w:shd w:val="clear" w:color="auto" w:fill="D9D9D9"/>
          </w:tcPr>
          <w:p>
            <w:pPr>
              <w:pStyle w:val="TableParagraph"/>
              <w:spacing w:line="177" w:lineRule="exact"/>
              <w:ind w:right="145"/>
              <w:rPr>
                <w:rFonts w:ascii="Carlito"/>
                <w:sz w:val="16"/>
              </w:rPr>
            </w:pPr>
            <w:r>
              <w:rPr>
                <w:rFonts w:ascii="Carlito"/>
                <w:sz w:val="16"/>
              </w:rPr>
              <w:t>18</w:t>
            </w:r>
          </w:p>
        </w:tc>
        <w:tc>
          <w:tcPr>
            <w:tcW w:w="1650" w:type="dxa"/>
            <w:shd w:val="clear" w:color="auto" w:fill="D9D9D9"/>
          </w:tcPr>
          <w:p>
            <w:pPr>
              <w:pStyle w:val="TableParagraph"/>
              <w:spacing w:line="177" w:lineRule="exact"/>
              <w:ind w:left="141"/>
              <w:jc w:val="left"/>
              <w:rPr>
                <w:rFonts w:ascii="Carlito"/>
                <w:sz w:val="16"/>
              </w:rPr>
            </w:pPr>
            <w:r>
              <w:rPr>
                <w:rFonts w:ascii="Carlito"/>
                <w:sz w:val="16"/>
              </w:rPr>
              <w:t>Lomas de Ayarco</w:t>
            </w:r>
          </w:p>
        </w:tc>
        <w:tc>
          <w:tcPr>
            <w:tcW w:w="877" w:type="dxa"/>
            <w:shd w:val="clear" w:color="auto" w:fill="D9D9D9"/>
          </w:tcPr>
          <w:p>
            <w:pPr>
              <w:pStyle w:val="TableParagraph"/>
              <w:spacing w:line="177" w:lineRule="exact"/>
              <w:ind w:right="65"/>
              <w:rPr>
                <w:rFonts w:ascii="Carlito"/>
                <w:sz w:val="16"/>
              </w:rPr>
            </w:pPr>
            <w:r>
              <w:rPr>
                <w:rFonts w:ascii="Carlito"/>
                <w:sz w:val="16"/>
              </w:rPr>
              <w:t>0</w:t>
            </w:r>
          </w:p>
        </w:tc>
        <w:tc>
          <w:tcPr>
            <w:tcW w:w="1073" w:type="dxa"/>
            <w:shd w:val="clear" w:color="auto" w:fill="D9D9D9"/>
          </w:tcPr>
          <w:p>
            <w:pPr>
              <w:pStyle w:val="TableParagraph"/>
              <w:spacing w:line="177" w:lineRule="exact"/>
              <w:ind w:right="66"/>
              <w:rPr>
                <w:rFonts w:ascii="Carlito"/>
                <w:sz w:val="16"/>
              </w:rPr>
            </w:pPr>
            <w:r>
              <w:rPr>
                <w:rFonts w:ascii="Carlito"/>
                <w:sz w:val="16"/>
              </w:rPr>
              <w:t>$250,000.00</w:t>
            </w:r>
          </w:p>
        </w:tc>
        <w:tc>
          <w:tcPr>
            <w:tcW w:w="1075" w:type="dxa"/>
            <w:shd w:val="clear" w:color="auto" w:fill="D9D9D9"/>
          </w:tcPr>
          <w:p>
            <w:pPr>
              <w:pStyle w:val="TableParagraph"/>
              <w:spacing w:line="177" w:lineRule="exact"/>
              <w:ind w:right="66"/>
              <w:rPr>
                <w:rFonts w:ascii="Carlito"/>
                <w:sz w:val="16"/>
              </w:rPr>
            </w:pPr>
            <w:r>
              <w:rPr>
                <w:rFonts w:ascii="Carlito"/>
                <w:sz w:val="16"/>
              </w:rPr>
              <w:t>290</w:t>
            </w:r>
          </w:p>
        </w:tc>
        <w:tc>
          <w:tcPr>
            <w:tcW w:w="1004" w:type="dxa"/>
            <w:shd w:val="clear" w:color="auto" w:fill="D9D9D9"/>
          </w:tcPr>
          <w:p>
            <w:pPr>
              <w:pStyle w:val="TableParagraph"/>
              <w:spacing w:line="177" w:lineRule="exact"/>
              <w:ind w:right="65"/>
              <w:rPr>
                <w:rFonts w:ascii="Carlito"/>
                <w:sz w:val="16"/>
              </w:rPr>
            </w:pPr>
            <w:r>
              <w:rPr>
                <w:rFonts w:ascii="Carlito"/>
                <w:sz w:val="16"/>
              </w:rPr>
              <w:t>2006</w:t>
            </w:r>
          </w:p>
        </w:tc>
        <w:tc>
          <w:tcPr>
            <w:tcW w:w="1004" w:type="dxa"/>
            <w:shd w:val="clear" w:color="auto" w:fill="D9D9D9"/>
          </w:tcPr>
          <w:p>
            <w:pPr>
              <w:pStyle w:val="TableParagraph"/>
              <w:spacing w:line="177" w:lineRule="exact"/>
              <w:ind w:right="60"/>
              <w:rPr>
                <w:rFonts w:ascii="Carlito"/>
                <w:sz w:val="16"/>
              </w:rPr>
            </w:pPr>
            <w:r>
              <w:rPr>
                <w:rFonts w:ascii="Carlito"/>
                <w:sz w:val="16"/>
              </w:rPr>
              <w:t>3</w:t>
            </w:r>
          </w:p>
        </w:tc>
        <w:tc>
          <w:tcPr>
            <w:tcW w:w="682" w:type="dxa"/>
            <w:shd w:val="clear" w:color="auto" w:fill="D9D9D9"/>
          </w:tcPr>
          <w:p>
            <w:pPr>
              <w:pStyle w:val="TableParagraph"/>
              <w:spacing w:line="177" w:lineRule="exact"/>
              <w:ind w:right="66"/>
              <w:rPr>
                <w:rFonts w:ascii="Carlito"/>
                <w:sz w:val="16"/>
              </w:rPr>
            </w:pPr>
            <w:r>
              <w:rPr>
                <w:rFonts w:ascii="Carlito"/>
                <w:sz w:val="16"/>
              </w:rPr>
              <w:t>3.5</w:t>
            </w:r>
          </w:p>
        </w:tc>
        <w:tc>
          <w:tcPr>
            <w:tcW w:w="684" w:type="dxa"/>
            <w:shd w:val="clear" w:color="auto" w:fill="D9D9D9"/>
          </w:tcPr>
          <w:p>
            <w:pPr>
              <w:pStyle w:val="TableParagraph"/>
              <w:spacing w:line="177" w:lineRule="exact"/>
              <w:ind w:right="61"/>
              <w:rPr>
                <w:rFonts w:ascii="Carlito"/>
                <w:sz w:val="16"/>
              </w:rPr>
            </w:pPr>
            <w:r>
              <w:rPr>
                <w:rFonts w:ascii="Carlito"/>
                <w:sz w:val="16"/>
              </w:rPr>
              <w:t>2</w:t>
            </w:r>
          </w:p>
        </w:tc>
        <w:tc>
          <w:tcPr>
            <w:tcW w:w="1152" w:type="dxa"/>
            <w:shd w:val="clear" w:color="auto" w:fill="D9D9D9"/>
          </w:tcPr>
          <w:p>
            <w:pPr>
              <w:pStyle w:val="TableParagraph"/>
              <w:spacing w:line="177" w:lineRule="exact"/>
              <w:ind w:right="65"/>
              <w:rPr>
                <w:rFonts w:ascii="Carlito"/>
                <w:sz w:val="16"/>
              </w:rPr>
            </w:pPr>
            <w:r>
              <w:rPr>
                <w:rFonts w:ascii="Carlito"/>
                <w:sz w:val="16"/>
              </w:rPr>
              <w:t>8.55</w:t>
            </w:r>
          </w:p>
        </w:tc>
        <w:tc>
          <w:tcPr>
            <w:tcW w:w="1348" w:type="dxa"/>
            <w:shd w:val="clear" w:color="auto" w:fill="D9D9D9"/>
          </w:tcPr>
          <w:p>
            <w:pPr>
              <w:pStyle w:val="TableParagraph"/>
              <w:spacing w:line="177" w:lineRule="exact"/>
              <w:ind w:right="65"/>
              <w:rPr>
                <w:rFonts w:ascii="Carlito"/>
                <w:sz w:val="16"/>
              </w:rPr>
            </w:pPr>
            <w:r>
              <w:rPr>
                <w:rFonts w:ascii="Carlito"/>
                <w:sz w:val="16"/>
              </w:rPr>
              <w:t>2.9</w:t>
            </w:r>
          </w:p>
        </w:tc>
        <w:tc>
          <w:tcPr>
            <w:tcW w:w="808" w:type="dxa"/>
            <w:shd w:val="clear" w:color="auto" w:fill="D9D9D9"/>
          </w:tcPr>
          <w:p>
            <w:pPr>
              <w:pStyle w:val="TableParagraph"/>
              <w:spacing w:line="177" w:lineRule="exact"/>
              <w:ind w:right="61"/>
              <w:rPr>
                <w:rFonts w:ascii="Carlito"/>
                <w:sz w:val="16"/>
              </w:rPr>
            </w:pPr>
            <w:r>
              <w:rPr>
                <w:rFonts w:ascii="Carlito"/>
                <w:sz w:val="16"/>
              </w:rPr>
              <w:t>0</w:t>
            </w:r>
          </w:p>
        </w:tc>
        <w:tc>
          <w:tcPr>
            <w:tcW w:w="842" w:type="dxa"/>
            <w:shd w:val="clear" w:color="auto" w:fill="D9D9D9"/>
          </w:tcPr>
          <w:p>
            <w:pPr>
              <w:pStyle w:val="TableParagraph"/>
              <w:spacing w:line="177" w:lineRule="exact"/>
              <w:ind w:right="59"/>
              <w:rPr>
                <w:rFonts w:ascii="Carlito"/>
                <w:sz w:val="16"/>
              </w:rPr>
            </w:pPr>
            <w:r>
              <w:rPr>
                <w:rFonts w:ascii="Carlito"/>
                <w:sz w:val="16"/>
              </w:rPr>
              <w:t>0</w:t>
            </w:r>
          </w:p>
        </w:tc>
      </w:tr>
      <w:tr>
        <w:trPr>
          <w:trHeight w:val="287" w:hRule="atLeast"/>
        </w:trPr>
        <w:tc>
          <w:tcPr>
            <w:tcW w:w="758" w:type="dxa"/>
          </w:tcPr>
          <w:p>
            <w:pPr>
              <w:pStyle w:val="TableParagraph"/>
              <w:ind w:right="145"/>
              <w:rPr>
                <w:rFonts w:ascii="Carlito"/>
                <w:sz w:val="16"/>
              </w:rPr>
            </w:pPr>
            <w:r>
              <w:rPr>
                <w:rFonts w:ascii="Carlito"/>
                <w:sz w:val="16"/>
              </w:rPr>
              <w:t>19</w:t>
            </w:r>
          </w:p>
        </w:tc>
        <w:tc>
          <w:tcPr>
            <w:tcW w:w="1650" w:type="dxa"/>
          </w:tcPr>
          <w:p>
            <w:pPr>
              <w:pStyle w:val="TableParagraph"/>
              <w:ind w:left="141"/>
              <w:jc w:val="left"/>
              <w:rPr>
                <w:rFonts w:ascii="Carlito"/>
                <w:sz w:val="16"/>
              </w:rPr>
            </w:pPr>
            <w:r>
              <w:rPr>
                <w:rFonts w:ascii="Carlito"/>
                <w:sz w:val="16"/>
              </w:rPr>
              <w:t>Lomas de Ayarco Sur</w:t>
            </w:r>
          </w:p>
        </w:tc>
        <w:tc>
          <w:tcPr>
            <w:tcW w:w="877" w:type="dxa"/>
          </w:tcPr>
          <w:p>
            <w:pPr>
              <w:pStyle w:val="TableParagraph"/>
              <w:ind w:right="65"/>
              <w:rPr>
                <w:rFonts w:ascii="Carlito"/>
                <w:sz w:val="16"/>
              </w:rPr>
            </w:pPr>
            <w:r>
              <w:rPr>
                <w:rFonts w:ascii="Carlito"/>
                <w:sz w:val="16"/>
              </w:rPr>
              <w:t>0</w:t>
            </w:r>
          </w:p>
        </w:tc>
        <w:tc>
          <w:tcPr>
            <w:tcW w:w="1073" w:type="dxa"/>
          </w:tcPr>
          <w:p>
            <w:pPr>
              <w:pStyle w:val="TableParagraph"/>
              <w:ind w:right="66"/>
              <w:rPr>
                <w:rFonts w:ascii="Carlito"/>
                <w:sz w:val="16"/>
              </w:rPr>
            </w:pPr>
            <w:r>
              <w:rPr>
                <w:rFonts w:ascii="Carlito"/>
                <w:sz w:val="16"/>
              </w:rPr>
              <w:t>$198,500.00</w:t>
            </w:r>
          </w:p>
        </w:tc>
        <w:tc>
          <w:tcPr>
            <w:tcW w:w="1075" w:type="dxa"/>
          </w:tcPr>
          <w:p>
            <w:pPr>
              <w:pStyle w:val="TableParagraph"/>
              <w:ind w:right="66"/>
              <w:rPr>
                <w:rFonts w:ascii="Carlito"/>
                <w:sz w:val="16"/>
              </w:rPr>
            </w:pPr>
            <w:r>
              <w:rPr>
                <w:rFonts w:ascii="Carlito"/>
                <w:sz w:val="16"/>
              </w:rPr>
              <w:t>202</w:t>
            </w:r>
          </w:p>
        </w:tc>
        <w:tc>
          <w:tcPr>
            <w:tcW w:w="1004" w:type="dxa"/>
          </w:tcPr>
          <w:p>
            <w:pPr>
              <w:pStyle w:val="TableParagraph"/>
              <w:ind w:right="65"/>
              <w:rPr>
                <w:rFonts w:ascii="Carlito"/>
                <w:sz w:val="16"/>
              </w:rPr>
            </w:pPr>
            <w:r>
              <w:rPr>
                <w:rFonts w:ascii="Carlito"/>
                <w:sz w:val="16"/>
              </w:rPr>
              <w:t>2006</w:t>
            </w:r>
          </w:p>
        </w:tc>
        <w:tc>
          <w:tcPr>
            <w:tcW w:w="1004" w:type="dxa"/>
          </w:tcPr>
          <w:p>
            <w:pPr>
              <w:pStyle w:val="TableParagraph"/>
              <w:ind w:right="60"/>
              <w:rPr>
                <w:rFonts w:ascii="Carlito"/>
                <w:sz w:val="16"/>
              </w:rPr>
            </w:pPr>
            <w:r>
              <w:rPr>
                <w:rFonts w:ascii="Carlito"/>
                <w:sz w:val="16"/>
              </w:rPr>
              <w:t>3</w:t>
            </w:r>
          </w:p>
        </w:tc>
        <w:tc>
          <w:tcPr>
            <w:tcW w:w="682" w:type="dxa"/>
          </w:tcPr>
          <w:p>
            <w:pPr>
              <w:pStyle w:val="TableParagraph"/>
              <w:ind w:right="66"/>
              <w:rPr>
                <w:rFonts w:ascii="Carlito"/>
                <w:sz w:val="16"/>
              </w:rPr>
            </w:pPr>
            <w:r>
              <w:rPr>
                <w:rFonts w:ascii="Carlito"/>
                <w:sz w:val="16"/>
              </w:rPr>
              <w:t>2.5</w:t>
            </w:r>
          </w:p>
        </w:tc>
        <w:tc>
          <w:tcPr>
            <w:tcW w:w="684" w:type="dxa"/>
          </w:tcPr>
          <w:p>
            <w:pPr>
              <w:pStyle w:val="TableParagraph"/>
              <w:ind w:right="61"/>
              <w:rPr>
                <w:rFonts w:ascii="Carlito"/>
                <w:sz w:val="16"/>
              </w:rPr>
            </w:pPr>
            <w:r>
              <w:rPr>
                <w:rFonts w:ascii="Carlito"/>
                <w:sz w:val="16"/>
              </w:rPr>
              <w:t>2</w:t>
            </w:r>
          </w:p>
        </w:tc>
        <w:tc>
          <w:tcPr>
            <w:tcW w:w="1152" w:type="dxa"/>
          </w:tcPr>
          <w:p>
            <w:pPr>
              <w:pStyle w:val="TableParagraph"/>
              <w:ind w:right="65"/>
              <w:rPr>
                <w:rFonts w:ascii="Carlito"/>
                <w:sz w:val="16"/>
              </w:rPr>
            </w:pPr>
            <w:r>
              <w:rPr>
                <w:rFonts w:ascii="Carlito"/>
                <w:sz w:val="16"/>
              </w:rPr>
              <w:t>8.8</w:t>
            </w:r>
          </w:p>
        </w:tc>
        <w:tc>
          <w:tcPr>
            <w:tcW w:w="1348" w:type="dxa"/>
          </w:tcPr>
          <w:p>
            <w:pPr>
              <w:pStyle w:val="TableParagraph"/>
              <w:ind w:right="65"/>
              <w:rPr>
                <w:rFonts w:ascii="Carlito"/>
                <w:sz w:val="16"/>
              </w:rPr>
            </w:pPr>
            <w:r>
              <w:rPr>
                <w:rFonts w:ascii="Carlito"/>
                <w:sz w:val="16"/>
              </w:rPr>
              <w:t>2.8</w:t>
            </w:r>
          </w:p>
        </w:tc>
        <w:tc>
          <w:tcPr>
            <w:tcW w:w="808" w:type="dxa"/>
          </w:tcPr>
          <w:p>
            <w:pPr>
              <w:pStyle w:val="TableParagraph"/>
              <w:ind w:right="61"/>
              <w:rPr>
                <w:rFonts w:ascii="Carlito"/>
                <w:sz w:val="16"/>
              </w:rPr>
            </w:pPr>
            <w:r>
              <w:rPr>
                <w:rFonts w:ascii="Carlito"/>
                <w:sz w:val="16"/>
              </w:rPr>
              <w:t>0</w:t>
            </w:r>
          </w:p>
        </w:tc>
        <w:tc>
          <w:tcPr>
            <w:tcW w:w="842" w:type="dxa"/>
          </w:tcPr>
          <w:p>
            <w:pPr>
              <w:pStyle w:val="TableParagraph"/>
              <w:ind w:right="59"/>
              <w:rPr>
                <w:rFonts w:ascii="Carlito"/>
                <w:sz w:val="16"/>
              </w:rPr>
            </w:pPr>
            <w:r>
              <w:rPr>
                <w:rFonts w:ascii="Carlito"/>
                <w:sz w:val="16"/>
              </w:rPr>
              <w:t>1</w:t>
            </w:r>
          </w:p>
        </w:tc>
      </w:tr>
      <w:tr>
        <w:trPr>
          <w:trHeight w:val="288" w:hRule="atLeast"/>
        </w:trPr>
        <w:tc>
          <w:tcPr>
            <w:tcW w:w="758" w:type="dxa"/>
            <w:shd w:val="clear" w:color="auto" w:fill="D9D9D9"/>
          </w:tcPr>
          <w:p>
            <w:pPr>
              <w:pStyle w:val="TableParagraph"/>
              <w:spacing w:before="92"/>
              <w:ind w:right="145"/>
              <w:rPr>
                <w:rFonts w:ascii="Carlito"/>
                <w:sz w:val="16"/>
              </w:rPr>
            </w:pPr>
            <w:r>
              <w:rPr>
                <w:rFonts w:ascii="Carlito"/>
                <w:sz w:val="16"/>
              </w:rPr>
              <w:t>20</w:t>
            </w:r>
          </w:p>
        </w:tc>
        <w:tc>
          <w:tcPr>
            <w:tcW w:w="1650" w:type="dxa"/>
            <w:shd w:val="clear" w:color="auto" w:fill="D9D9D9"/>
          </w:tcPr>
          <w:p>
            <w:pPr>
              <w:pStyle w:val="TableParagraph"/>
              <w:spacing w:before="92"/>
              <w:ind w:left="141"/>
              <w:jc w:val="left"/>
              <w:rPr>
                <w:rFonts w:ascii="Carlito"/>
                <w:sz w:val="16"/>
              </w:rPr>
            </w:pPr>
            <w:r>
              <w:rPr>
                <w:rFonts w:ascii="Carlito"/>
                <w:sz w:val="16"/>
              </w:rPr>
              <w:t>Freses</w:t>
            </w:r>
          </w:p>
        </w:tc>
        <w:tc>
          <w:tcPr>
            <w:tcW w:w="877" w:type="dxa"/>
            <w:shd w:val="clear" w:color="auto" w:fill="D9D9D9"/>
          </w:tcPr>
          <w:p>
            <w:pPr>
              <w:pStyle w:val="TableParagraph"/>
              <w:spacing w:before="92"/>
              <w:ind w:right="65"/>
              <w:rPr>
                <w:rFonts w:ascii="Carlito"/>
                <w:sz w:val="16"/>
              </w:rPr>
            </w:pPr>
            <w:r>
              <w:rPr>
                <w:rFonts w:ascii="Carlito"/>
                <w:sz w:val="16"/>
              </w:rPr>
              <w:t>1</w:t>
            </w:r>
          </w:p>
        </w:tc>
        <w:tc>
          <w:tcPr>
            <w:tcW w:w="1073" w:type="dxa"/>
            <w:shd w:val="clear" w:color="auto" w:fill="D9D9D9"/>
          </w:tcPr>
          <w:p>
            <w:pPr>
              <w:pStyle w:val="TableParagraph"/>
              <w:spacing w:before="92"/>
              <w:ind w:right="66"/>
              <w:rPr>
                <w:rFonts w:ascii="Carlito"/>
                <w:sz w:val="16"/>
              </w:rPr>
            </w:pPr>
            <w:r>
              <w:rPr>
                <w:rFonts w:ascii="Carlito"/>
                <w:sz w:val="16"/>
              </w:rPr>
              <w:t>$475,000.00</w:t>
            </w:r>
          </w:p>
        </w:tc>
        <w:tc>
          <w:tcPr>
            <w:tcW w:w="1075" w:type="dxa"/>
            <w:shd w:val="clear" w:color="auto" w:fill="D9D9D9"/>
          </w:tcPr>
          <w:p>
            <w:pPr>
              <w:pStyle w:val="TableParagraph"/>
              <w:spacing w:before="92"/>
              <w:ind w:right="66"/>
              <w:rPr>
                <w:rFonts w:ascii="Carlito"/>
                <w:sz w:val="16"/>
              </w:rPr>
            </w:pPr>
            <w:r>
              <w:rPr>
                <w:rFonts w:ascii="Carlito"/>
                <w:sz w:val="16"/>
              </w:rPr>
              <w:t>455</w:t>
            </w:r>
          </w:p>
        </w:tc>
        <w:tc>
          <w:tcPr>
            <w:tcW w:w="1004" w:type="dxa"/>
            <w:shd w:val="clear" w:color="auto" w:fill="D9D9D9"/>
          </w:tcPr>
          <w:p>
            <w:pPr>
              <w:pStyle w:val="TableParagraph"/>
              <w:spacing w:before="92"/>
              <w:ind w:right="65"/>
              <w:rPr>
                <w:rFonts w:ascii="Carlito"/>
                <w:sz w:val="16"/>
              </w:rPr>
            </w:pPr>
            <w:r>
              <w:rPr>
                <w:rFonts w:ascii="Carlito"/>
                <w:sz w:val="16"/>
              </w:rPr>
              <w:t>1988</w:t>
            </w:r>
          </w:p>
        </w:tc>
        <w:tc>
          <w:tcPr>
            <w:tcW w:w="1004" w:type="dxa"/>
            <w:shd w:val="clear" w:color="auto" w:fill="D9D9D9"/>
          </w:tcPr>
          <w:p>
            <w:pPr>
              <w:pStyle w:val="TableParagraph"/>
              <w:spacing w:before="92"/>
              <w:ind w:right="60"/>
              <w:rPr>
                <w:rFonts w:ascii="Carlito"/>
                <w:sz w:val="16"/>
              </w:rPr>
            </w:pPr>
            <w:r>
              <w:rPr>
                <w:rFonts w:ascii="Carlito"/>
                <w:sz w:val="16"/>
              </w:rPr>
              <w:t>5</w:t>
            </w:r>
          </w:p>
        </w:tc>
        <w:tc>
          <w:tcPr>
            <w:tcW w:w="682" w:type="dxa"/>
            <w:shd w:val="clear" w:color="auto" w:fill="D9D9D9"/>
          </w:tcPr>
          <w:p>
            <w:pPr>
              <w:pStyle w:val="TableParagraph"/>
              <w:spacing w:before="92"/>
              <w:ind w:right="61"/>
              <w:rPr>
                <w:rFonts w:ascii="Carlito"/>
                <w:sz w:val="16"/>
              </w:rPr>
            </w:pPr>
            <w:r>
              <w:rPr>
                <w:rFonts w:ascii="Carlito"/>
                <w:sz w:val="16"/>
              </w:rPr>
              <w:t>5</w:t>
            </w:r>
          </w:p>
        </w:tc>
        <w:tc>
          <w:tcPr>
            <w:tcW w:w="684" w:type="dxa"/>
            <w:shd w:val="clear" w:color="auto" w:fill="D9D9D9"/>
          </w:tcPr>
          <w:p>
            <w:pPr>
              <w:pStyle w:val="TableParagraph"/>
              <w:spacing w:before="92"/>
              <w:ind w:right="61"/>
              <w:rPr>
                <w:rFonts w:ascii="Carlito"/>
                <w:sz w:val="16"/>
              </w:rPr>
            </w:pPr>
            <w:r>
              <w:rPr>
                <w:rFonts w:ascii="Carlito"/>
                <w:sz w:val="16"/>
              </w:rPr>
              <w:t>2</w:t>
            </w:r>
          </w:p>
        </w:tc>
        <w:tc>
          <w:tcPr>
            <w:tcW w:w="1152" w:type="dxa"/>
            <w:shd w:val="clear" w:color="auto" w:fill="D9D9D9"/>
          </w:tcPr>
          <w:p>
            <w:pPr>
              <w:pStyle w:val="TableParagraph"/>
              <w:spacing w:before="92"/>
              <w:ind w:right="65"/>
              <w:rPr>
                <w:rFonts w:ascii="Carlito"/>
                <w:sz w:val="16"/>
              </w:rPr>
            </w:pPr>
            <w:r>
              <w:rPr>
                <w:rFonts w:ascii="Carlito"/>
                <w:sz w:val="16"/>
              </w:rPr>
              <w:t>5.2</w:t>
            </w:r>
          </w:p>
        </w:tc>
        <w:tc>
          <w:tcPr>
            <w:tcW w:w="1348" w:type="dxa"/>
            <w:shd w:val="clear" w:color="auto" w:fill="D9D9D9"/>
          </w:tcPr>
          <w:p>
            <w:pPr>
              <w:pStyle w:val="TableParagraph"/>
              <w:spacing w:before="92"/>
              <w:ind w:right="65"/>
              <w:rPr>
                <w:rFonts w:ascii="Carlito"/>
                <w:sz w:val="16"/>
              </w:rPr>
            </w:pPr>
            <w:r>
              <w:rPr>
                <w:rFonts w:ascii="Carlito"/>
                <w:sz w:val="16"/>
              </w:rPr>
              <w:t>5.2</w:t>
            </w:r>
          </w:p>
        </w:tc>
        <w:tc>
          <w:tcPr>
            <w:tcW w:w="808" w:type="dxa"/>
            <w:shd w:val="clear" w:color="auto" w:fill="D9D9D9"/>
          </w:tcPr>
          <w:p>
            <w:pPr>
              <w:pStyle w:val="TableParagraph"/>
              <w:spacing w:before="92"/>
              <w:ind w:right="61"/>
              <w:rPr>
                <w:rFonts w:ascii="Carlito"/>
                <w:sz w:val="16"/>
              </w:rPr>
            </w:pPr>
            <w:r>
              <w:rPr>
                <w:rFonts w:ascii="Carlito"/>
                <w:sz w:val="16"/>
              </w:rPr>
              <w:t>0</w:t>
            </w:r>
          </w:p>
        </w:tc>
        <w:tc>
          <w:tcPr>
            <w:tcW w:w="842" w:type="dxa"/>
            <w:shd w:val="clear" w:color="auto" w:fill="D9D9D9"/>
          </w:tcPr>
          <w:p>
            <w:pPr>
              <w:pStyle w:val="TableParagraph"/>
              <w:spacing w:before="92"/>
              <w:ind w:right="59"/>
              <w:rPr>
                <w:rFonts w:ascii="Carlito"/>
                <w:sz w:val="16"/>
              </w:rPr>
            </w:pPr>
            <w:r>
              <w:rPr>
                <w:rFonts w:ascii="Carlito"/>
                <w:sz w:val="16"/>
              </w:rPr>
              <w:t>0</w:t>
            </w:r>
          </w:p>
        </w:tc>
      </w:tr>
      <w:tr>
        <w:trPr>
          <w:trHeight w:val="288" w:hRule="atLeast"/>
        </w:trPr>
        <w:tc>
          <w:tcPr>
            <w:tcW w:w="758" w:type="dxa"/>
          </w:tcPr>
          <w:p>
            <w:pPr>
              <w:pStyle w:val="TableParagraph"/>
              <w:ind w:right="145"/>
              <w:rPr>
                <w:rFonts w:ascii="Carlito"/>
                <w:sz w:val="16"/>
              </w:rPr>
            </w:pPr>
            <w:r>
              <w:rPr>
                <w:rFonts w:ascii="Carlito"/>
                <w:sz w:val="16"/>
              </w:rPr>
              <w:t>21</w:t>
            </w:r>
          </w:p>
        </w:tc>
        <w:tc>
          <w:tcPr>
            <w:tcW w:w="1650" w:type="dxa"/>
          </w:tcPr>
          <w:p>
            <w:pPr>
              <w:pStyle w:val="TableParagraph"/>
              <w:ind w:left="141"/>
              <w:jc w:val="left"/>
              <w:rPr>
                <w:rFonts w:ascii="Carlito"/>
                <w:sz w:val="16"/>
              </w:rPr>
            </w:pPr>
            <w:r>
              <w:rPr>
                <w:rFonts w:ascii="Carlito"/>
                <w:sz w:val="16"/>
              </w:rPr>
              <w:t>Freses</w:t>
            </w:r>
          </w:p>
        </w:tc>
        <w:tc>
          <w:tcPr>
            <w:tcW w:w="877" w:type="dxa"/>
          </w:tcPr>
          <w:p>
            <w:pPr>
              <w:pStyle w:val="TableParagraph"/>
              <w:ind w:right="65"/>
              <w:rPr>
                <w:rFonts w:ascii="Carlito"/>
                <w:sz w:val="16"/>
              </w:rPr>
            </w:pPr>
            <w:r>
              <w:rPr>
                <w:rFonts w:ascii="Carlito"/>
                <w:sz w:val="16"/>
              </w:rPr>
              <w:t>0</w:t>
            </w:r>
          </w:p>
        </w:tc>
        <w:tc>
          <w:tcPr>
            <w:tcW w:w="1073" w:type="dxa"/>
          </w:tcPr>
          <w:p>
            <w:pPr>
              <w:pStyle w:val="TableParagraph"/>
              <w:ind w:right="66"/>
              <w:rPr>
                <w:rFonts w:ascii="Carlito"/>
                <w:sz w:val="16"/>
              </w:rPr>
            </w:pPr>
            <w:r>
              <w:rPr>
                <w:rFonts w:ascii="Carlito"/>
                <w:sz w:val="16"/>
              </w:rPr>
              <w:t>$220,000.00</w:t>
            </w:r>
          </w:p>
        </w:tc>
        <w:tc>
          <w:tcPr>
            <w:tcW w:w="1075" w:type="dxa"/>
          </w:tcPr>
          <w:p>
            <w:pPr>
              <w:pStyle w:val="TableParagraph"/>
              <w:ind w:right="66"/>
              <w:rPr>
                <w:rFonts w:ascii="Carlito"/>
                <w:sz w:val="16"/>
              </w:rPr>
            </w:pPr>
            <w:r>
              <w:rPr>
                <w:rFonts w:ascii="Carlito"/>
                <w:sz w:val="16"/>
              </w:rPr>
              <w:t>205</w:t>
            </w:r>
          </w:p>
        </w:tc>
        <w:tc>
          <w:tcPr>
            <w:tcW w:w="1004" w:type="dxa"/>
          </w:tcPr>
          <w:p>
            <w:pPr>
              <w:pStyle w:val="TableParagraph"/>
              <w:ind w:right="65"/>
              <w:rPr>
                <w:rFonts w:ascii="Carlito"/>
                <w:sz w:val="16"/>
              </w:rPr>
            </w:pPr>
            <w:r>
              <w:rPr>
                <w:rFonts w:ascii="Carlito"/>
                <w:sz w:val="16"/>
              </w:rPr>
              <w:t>2006</w:t>
            </w:r>
          </w:p>
        </w:tc>
        <w:tc>
          <w:tcPr>
            <w:tcW w:w="1004" w:type="dxa"/>
          </w:tcPr>
          <w:p>
            <w:pPr>
              <w:pStyle w:val="TableParagraph"/>
              <w:ind w:right="60"/>
              <w:rPr>
                <w:rFonts w:ascii="Carlito"/>
                <w:sz w:val="16"/>
              </w:rPr>
            </w:pPr>
            <w:r>
              <w:rPr>
                <w:rFonts w:ascii="Carlito"/>
                <w:sz w:val="16"/>
              </w:rPr>
              <w:t>4</w:t>
            </w:r>
          </w:p>
        </w:tc>
        <w:tc>
          <w:tcPr>
            <w:tcW w:w="682" w:type="dxa"/>
          </w:tcPr>
          <w:p>
            <w:pPr>
              <w:pStyle w:val="TableParagraph"/>
              <w:ind w:right="66"/>
              <w:rPr>
                <w:rFonts w:ascii="Carlito"/>
                <w:sz w:val="16"/>
              </w:rPr>
            </w:pPr>
            <w:r>
              <w:rPr>
                <w:rFonts w:ascii="Carlito"/>
                <w:sz w:val="16"/>
              </w:rPr>
              <w:t>3.5</w:t>
            </w:r>
          </w:p>
        </w:tc>
        <w:tc>
          <w:tcPr>
            <w:tcW w:w="684" w:type="dxa"/>
          </w:tcPr>
          <w:p>
            <w:pPr>
              <w:pStyle w:val="TableParagraph"/>
              <w:ind w:right="61"/>
              <w:rPr>
                <w:rFonts w:ascii="Carlito"/>
                <w:sz w:val="16"/>
              </w:rPr>
            </w:pPr>
            <w:r>
              <w:rPr>
                <w:rFonts w:ascii="Carlito"/>
                <w:sz w:val="16"/>
              </w:rPr>
              <w:t>2</w:t>
            </w:r>
          </w:p>
        </w:tc>
        <w:tc>
          <w:tcPr>
            <w:tcW w:w="1152" w:type="dxa"/>
          </w:tcPr>
          <w:p>
            <w:pPr>
              <w:pStyle w:val="TableParagraph"/>
              <w:ind w:right="65"/>
              <w:rPr>
                <w:rFonts w:ascii="Carlito"/>
                <w:sz w:val="16"/>
              </w:rPr>
            </w:pPr>
            <w:r>
              <w:rPr>
                <w:rFonts w:ascii="Carlito"/>
                <w:sz w:val="16"/>
              </w:rPr>
              <w:t>5.2</w:t>
            </w:r>
          </w:p>
        </w:tc>
        <w:tc>
          <w:tcPr>
            <w:tcW w:w="1348" w:type="dxa"/>
          </w:tcPr>
          <w:p>
            <w:pPr>
              <w:pStyle w:val="TableParagraph"/>
              <w:ind w:right="65"/>
              <w:rPr>
                <w:rFonts w:ascii="Carlito"/>
                <w:sz w:val="16"/>
              </w:rPr>
            </w:pPr>
            <w:r>
              <w:rPr>
                <w:rFonts w:ascii="Carlito"/>
                <w:sz w:val="16"/>
              </w:rPr>
              <w:t>5.2</w:t>
            </w:r>
          </w:p>
        </w:tc>
        <w:tc>
          <w:tcPr>
            <w:tcW w:w="808" w:type="dxa"/>
          </w:tcPr>
          <w:p>
            <w:pPr>
              <w:pStyle w:val="TableParagraph"/>
              <w:ind w:right="61"/>
              <w:rPr>
                <w:rFonts w:ascii="Carlito"/>
                <w:sz w:val="16"/>
              </w:rPr>
            </w:pPr>
            <w:r>
              <w:rPr>
                <w:rFonts w:ascii="Carlito"/>
                <w:sz w:val="16"/>
              </w:rPr>
              <w:t>0</w:t>
            </w:r>
          </w:p>
        </w:tc>
        <w:tc>
          <w:tcPr>
            <w:tcW w:w="842" w:type="dxa"/>
          </w:tcPr>
          <w:p>
            <w:pPr>
              <w:pStyle w:val="TableParagraph"/>
              <w:ind w:right="59"/>
              <w:rPr>
                <w:rFonts w:ascii="Carlito"/>
                <w:sz w:val="16"/>
              </w:rPr>
            </w:pPr>
            <w:r>
              <w:rPr>
                <w:rFonts w:ascii="Carlito"/>
                <w:sz w:val="16"/>
              </w:rPr>
              <w:t>1</w:t>
            </w:r>
          </w:p>
        </w:tc>
      </w:tr>
      <w:tr>
        <w:trPr>
          <w:trHeight w:val="287" w:hRule="atLeast"/>
        </w:trPr>
        <w:tc>
          <w:tcPr>
            <w:tcW w:w="758" w:type="dxa"/>
            <w:shd w:val="clear" w:color="auto" w:fill="D9D9D9"/>
          </w:tcPr>
          <w:p>
            <w:pPr>
              <w:pStyle w:val="TableParagraph"/>
              <w:ind w:right="145"/>
              <w:rPr>
                <w:rFonts w:ascii="Carlito"/>
                <w:sz w:val="16"/>
              </w:rPr>
            </w:pPr>
            <w:r>
              <w:rPr>
                <w:rFonts w:ascii="Carlito"/>
                <w:sz w:val="16"/>
              </w:rPr>
              <w:t>22</w:t>
            </w:r>
          </w:p>
        </w:tc>
        <w:tc>
          <w:tcPr>
            <w:tcW w:w="1650" w:type="dxa"/>
            <w:shd w:val="clear" w:color="auto" w:fill="D9D9D9"/>
          </w:tcPr>
          <w:p>
            <w:pPr>
              <w:pStyle w:val="TableParagraph"/>
              <w:ind w:left="141"/>
              <w:jc w:val="left"/>
              <w:rPr>
                <w:rFonts w:ascii="Carlito"/>
                <w:sz w:val="16"/>
              </w:rPr>
            </w:pPr>
            <w:r>
              <w:rPr>
                <w:rFonts w:ascii="Carlito"/>
                <w:sz w:val="16"/>
              </w:rPr>
              <w:t>Guayabos</w:t>
            </w:r>
          </w:p>
        </w:tc>
        <w:tc>
          <w:tcPr>
            <w:tcW w:w="877" w:type="dxa"/>
            <w:shd w:val="clear" w:color="auto" w:fill="D9D9D9"/>
          </w:tcPr>
          <w:p>
            <w:pPr>
              <w:pStyle w:val="TableParagraph"/>
              <w:ind w:right="65"/>
              <w:rPr>
                <w:rFonts w:ascii="Carlito"/>
                <w:sz w:val="16"/>
              </w:rPr>
            </w:pPr>
            <w:r>
              <w:rPr>
                <w:rFonts w:ascii="Carlito"/>
                <w:sz w:val="16"/>
              </w:rPr>
              <w:t>0</w:t>
            </w:r>
          </w:p>
        </w:tc>
        <w:tc>
          <w:tcPr>
            <w:tcW w:w="1073" w:type="dxa"/>
            <w:shd w:val="clear" w:color="auto" w:fill="D9D9D9"/>
          </w:tcPr>
          <w:p>
            <w:pPr>
              <w:pStyle w:val="TableParagraph"/>
              <w:ind w:right="66"/>
              <w:rPr>
                <w:rFonts w:ascii="Carlito"/>
                <w:sz w:val="16"/>
              </w:rPr>
            </w:pPr>
            <w:r>
              <w:rPr>
                <w:rFonts w:ascii="Carlito"/>
                <w:sz w:val="16"/>
              </w:rPr>
              <w:t>$180,000.00</w:t>
            </w:r>
          </w:p>
        </w:tc>
        <w:tc>
          <w:tcPr>
            <w:tcW w:w="1075" w:type="dxa"/>
            <w:shd w:val="clear" w:color="auto" w:fill="D9D9D9"/>
          </w:tcPr>
          <w:p>
            <w:pPr>
              <w:pStyle w:val="TableParagraph"/>
              <w:ind w:right="66"/>
              <w:rPr>
                <w:rFonts w:ascii="Carlito"/>
                <w:sz w:val="16"/>
              </w:rPr>
            </w:pPr>
            <w:r>
              <w:rPr>
                <w:rFonts w:ascii="Carlito"/>
                <w:sz w:val="16"/>
              </w:rPr>
              <w:t>196</w:t>
            </w:r>
          </w:p>
        </w:tc>
        <w:tc>
          <w:tcPr>
            <w:tcW w:w="1004" w:type="dxa"/>
            <w:shd w:val="clear" w:color="auto" w:fill="D9D9D9"/>
          </w:tcPr>
          <w:p>
            <w:pPr>
              <w:pStyle w:val="TableParagraph"/>
              <w:ind w:right="65"/>
              <w:rPr>
                <w:rFonts w:ascii="Carlito"/>
                <w:sz w:val="16"/>
              </w:rPr>
            </w:pPr>
            <w:r>
              <w:rPr>
                <w:rFonts w:ascii="Carlito"/>
                <w:sz w:val="16"/>
              </w:rPr>
              <w:t>2006</w:t>
            </w:r>
          </w:p>
        </w:tc>
        <w:tc>
          <w:tcPr>
            <w:tcW w:w="1004" w:type="dxa"/>
            <w:shd w:val="clear" w:color="auto" w:fill="D9D9D9"/>
          </w:tcPr>
          <w:p>
            <w:pPr>
              <w:pStyle w:val="TableParagraph"/>
              <w:ind w:right="60"/>
              <w:rPr>
                <w:rFonts w:ascii="Carlito"/>
                <w:sz w:val="16"/>
              </w:rPr>
            </w:pPr>
            <w:r>
              <w:rPr>
                <w:rFonts w:ascii="Carlito"/>
                <w:sz w:val="16"/>
              </w:rPr>
              <w:t>3</w:t>
            </w:r>
          </w:p>
        </w:tc>
        <w:tc>
          <w:tcPr>
            <w:tcW w:w="682" w:type="dxa"/>
            <w:shd w:val="clear" w:color="auto" w:fill="D9D9D9"/>
          </w:tcPr>
          <w:p>
            <w:pPr>
              <w:pStyle w:val="TableParagraph"/>
              <w:ind w:right="66"/>
              <w:rPr>
                <w:rFonts w:ascii="Carlito"/>
                <w:sz w:val="16"/>
              </w:rPr>
            </w:pPr>
            <w:r>
              <w:rPr>
                <w:rFonts w:ascii="Carlito"/>
                <w:sz w:val="16"/>
              </w:rPr>
              <w:t>2.5</w:t>
            </w:r>
          </w:p>
        </w:tc>
        <w:tc>
          <w:tcPr>
            <w:tcW w:w="684" w:type="dxa"/>
            <w:shd w:val="clear" w:color="auto" w:fill="D9D9D9"/>
          </w:tcPr>
          <w:p>
            <w:pPr>
              <w:pStyle w:val="TableParagraph"/>
              <w:ind w:right="61"/>
              <w:rPr>
                <w:rFonts w:ascii="Carlito"/>
                <w:sz w:val="16"/>
              </w:rPr>
            </w:pPr>
            <w:r>
              <w:rPr>
                <w:rFonts w:ascii="Carlito"/>
                <w:sz w:val="16"/>
              </w:rPr>
              <w:t>2</w:t>
            </w:r>
          </w:p>
        </w:tc>
        <w:tc>
          <w:tcPr>
            <w:tcW w:w="1152" w:type="dxa"/>
            <w:shd w:val="clear" w:color="auto" w:fill="D9D9D9"/>
          </w:tcPr>
          <w:p>
            <w:pPr>
              <w:pStyle w:val="TableParagraph"/>
              <w:ind w:right="65"/>
              <w:rPr>
                <w:rFonts w:ascii="Carlito"/>
                <w:sz w:val="16"/>
              </w:rPr>
            </w:pPr>
            <w:r>
              <w:rPr>
                <w:rFonts w:ascii="Carlito"/>
                <w:sz w:val="16"/>
              </w:rPr>
              <w:t>7.4</w:t>
            </w:r>
          </w:p>
        </w:tc>
        <w:tc>
          <w:tcPr>
            <w:tcW w:w="1348" w:type="dxa"/>
            <w:shd w:val="clear" w:color="auto" w:fill="D9D9D9"/>
          </w:tcPr>
          <w:p>
            <w:pPr>
              <w:pStyle w:val="TableParagraph"/>
              <w:ind w:right="61"/>
              <w:rPr>
                <w:rFonts w:ascii="Carlito"/>
                <w:sz w:val="16"/>
              </w:rPr>
            </w:pPr>
            <w:r>
              <w:rPr>
                <w:rFonts w:ascii="Carlito"/>
                <w:sz w:val="16"/>
              </w:rPr>
              <w:t>5</w:t>
            </w:r>
          </w:p>
        </w:tc>
        <w:tc>
          <w:tcPr>
            <w:tcW w:w="808" w:type="dxa"/>
            <w:shd w:val="clear" w:color="auto" w:fill="D9D9D9"/>
          </w:tcPr>
          <w:p>
            <w:pPr>
              <w:pStyle w:val="TableParagraph"/>
              <w:ind w:right="61"/>
              <w:rPr>
                <w:rFonts w:ascii="Carlito"/>
                <w:sz w:val="16"/>
              </w:rPr>
            </w:pPr>
            <w:r>
              <w:rPr>
                <w:rFonts w:ascii="Carlito"/>
                <w:sz w:val="16"/>
              </w:rPr>
              <w:t>0</w:t>
            </w:r>
          </w:p>
        </w:tc>
        <w:tc>
          <w:tcPr>
            <w:tcW w:w="842" w:type="dxa"/>
            <w:shd w:val="clear" w:color="auto" w:fill="D9D9D9"/>
          </w:tcPr>
          <w:p>
            <w:pPr>
              <w:pStyle w:val="TableParagraph"/>
              <w:ind w:right="59"/>
              <w:rPr>
                <w:rFonts w:ascii="Carlito"/>
                <w:sz w:val="16"/>
              </w:rPr>
            </w:pPr>
            <w:r>
              <w:rPr>
                <w:rFonts w:ascii="Carlito"/>
                <w:sz w:val="16"/>
              </w:rPr>
              <w:t>0</w:t>
            </w:r>
          </w:p>
        </w:tc>
      </w:tr>
      <w:tr>
        <w:trPr>
          <w:trHeight w:val="287" w:hRule="atLeast"/>
        </w:trPr>
        <w:tc>
          <w:tcPr>
            <w:tcW w:w="758" w:type="dxa"/>
          </w:tcPr>
          <w:p>
            <w:pPr>
              <w:pStyle w:val="TableParagraph"/>
              <w:ind w:right="145"/>
              <w:rPr>
                <w:rFonts w:ascii="Carlito"/>
                <w:sz w:val="16"/>
              </w:rPr>
            </w:pPr>
            <w:r>
              <w:rPr>
                <w:rFonts w:ascii="Carlito"/>
                <w:sz w:val="16"/>
              </w:rPr>
              <w:t>23</w:t>
            </w:r>
          </w:p>
        </w:tc>
        <w:tc>
          <w:tcPr>
            <w:tcW w:w="1650" w:type="dxa"/>
          </w:tcPr>
          <w:p>
            <w:pPr>
              <w:pStyle w:val="TableParagraph"/>
              <w:ind w:left="141"/>
              <w:jc w:val="left"/>
              <w:rPr>
                <w:rFonts w:ascii="Carlito"/>
                <w:sz w:val="16"/>
              </w:rPr>
            </w:pPr>
            <w:r>
              <w:rPr>
                <w:rFonts w:ascii="Carlito"/>
                <w:sz w:val="16"/>
              </w:rPr>
              <w:t>Guayabos</w:t>
            </w:r>
          </w:p>
        </w:tc>
        <w:tc>
          <w:tcPr>
            <w:tcW w:w="877" w:type="dxa"/>
          </w:tcPr>
          <w:p>
            <w:pPr>
              <w:pStyle w:val="TableParagraph"/>
              <w:ind w:right="65"/>
              <w:rPr>
                <w:rFonts w:ascii="Carlito"/>
                <w:sz w:val="16"/>
              </w:rPr>
            </w:pPr>
            <w:r>
              <w:rPr>
                <w:rFonts w:ascii="Carlito"/>
                <w:sz w:val="16"/>
              </w:rPr>
              <w:t>1</w:t>
            </w:r>
          </w:p>
        </w:tc>
        <w:tc>
          <w:tcPr>
            <w:tcW w:w="1073" w:type="dxa"/>
          </w:tcPr>
          <w:p>
            <w:pPr>
              <w:pStyle w:val="TableParagraph"/>
              <w:ind w:right="66"/>
              <w:rPr>
                <w:rFonts w:ascii="Carlito"/>
                <w:sz w:val="16"/>
              </w:rPr>
            </w:pPr>
            <w:r>
              <w:rPr>
                <w:rFonts w:ascii="Carlito"/>
                <w:sz w:val="16"/>
              </w:rPr>
              <w:t>$320,000.00</w:t>
            </w:r>
          </w:p>
        </w:tc>
        <w:tc>
          <w:tcPr>
            <w:tcW w:w="1075" w:type="dxa"/>
          </w:tcPr>
          <w:p>
            <w:pPr>
              <w:pStyle w:val="TableParagraph"/>
              <w:ind w:right="66"/>
              <w:rPr>
                <w:rFonts w:ascii="Carlito"/>
                <w:sz w:val="16"/>
              </w:rPr>
            </w:pPr>
            <w:r>
              <w:rPr>
                <w:rFonts w:ascii="Carlito"/>
                <w:sz w:val="16"/>
              </w:rPr>
              <w:t>345</w:t>
            </w:r>
          </w:p>
        </w:tc>
        <w:tc>
          <w:tcPr>
            <w:tcW w:w="1004" w:type="dxa"/>
          </w:tcPr>
          <w:p>
            <w:pPr>
              <w:pStyle w:val="TableParagraph"/>
              <w:ind w:right="65"/>
              <w:rPr>
                <w:rFonts w:ascii="Carlito"/>
                <w:sz w:val="16"/>
              </w:rPr>
            </w:pPr>
            <w:r>
              <w:rPr>
                <w:rFonts w:ascii="Carlito"/>
                <w:sz w:val="16"/>
              </w:rPr>
              <w:t>2006</w:t>
            </w:r>
          </w:p>
        </w:tc>
        <w:tc>
          <w:tcPr>
            <w:tcW w:w="1004" w:type="dxa"/>
          </w:tcPr>
          <w:p>
            <w:pPr>
              <w:pStyle w:val="TableParagraph"/>
              <w:ind w:right="60"/>
              <w:rPr>
                <w:rFonts w:ascii="Carlito"/>
                <w:sz w:val="16"/>
              </w:rPr>
            </w:pPr>
            <w:r>
              <w:rPr>
                <w:rFonts w:ascii="Carlito"/>
                <w:sz w:val="16"/>
              </w:rPr>
              <w:t>3</w:t>
            </w:r>
          </w:p>
        </w:tc>
        <w:tc>
          <w:tcPr>
            <w:tcW w:w="682" w:type="dxa"/>
          </w:tcPr>
          <w:p>
            <w:pPr>
              <w:pStyle w:val="TableParagraph"/>
              <w:ind w:right="66"/>
              <w:rPr>
                <w:rFonts w:ascii="Carlito"/>
                <w:sz w:val="16"/>
              </w:rPr>
            </w:pPr>
            <w:r>
              <w:rPr>
                <w:rFonts w:ascii="Carlito"/>
                <w:sz w:val="16"/>
              </w:rPr>
              <w:t>3.5</w:t>
            </w:r>
          </w:p>
        </w:tc>
        <w:tc>
          <w:tcPr>
            <w:tcW w:w="684" w:type="dxa"/>
          </w:tcPr>
          <w:p>
            <w:pPr>
              <w:pStyle w:val="TableParagraph"/>
              <w:ind w:right="61"/>
              <w:rPr>
                <w:rFonts w:ascii="Carlito"/>
                <w:sz w:val="16"/>
              </w:rPr>
            </w:pPr>
            <w:r>
              <w:rPr>
                <w:rFonts w:ascii="Carlito"/>
                <w:sz w:val="16"/>
              </w:rPr>
              <w:t>2</w:t>
            </w:r>
          </w:p>
        </w:tc>
        <w:tc>
          <w:tcPr>
            <w:tcW w:w="1152" w:type="dxa"/>
          </w:tcPr>
          <w:p>
            <w:pPr>
              <w:pStyle w:val="TableParagraph"/>
              <w:ind w:right="65"/>
              <w:rPr>
                <w:rFonts w:ascii="Carlito"/>
                <w:sz w:val="16"/>
              </w:rPr>
            </w:pPr>
            <w:r>
              <w:rPr>
                <w:rFonts w:ascii="Carlito"/>
                <w:sz w:val="16"/>
              </w:rPr>
              <w:t>7.4</w:t>
            </w:r>
          </w:p>
        </w:tc>
        <w:tc>
          <w:tcPr>
            <w:tcW w:w="1348" w:type="dxa"/>
          </w:tcPr>
          <w:p>
            <w:pPr>
              <w:pStyle w:val="TableParagraph"/>
              <w:ind w:right="61"/>
              <w:rPr>
                <w:rFonts w:ascii="Carlito"/>
                <w:sz w:val="16"/>
              </w:rPr>
            </w:pPr>
            <w:r>
              <w:rPr>
                <w:rFonts w:ascii="Carlito"/>
                <w:sz w:val="16"/>
              </w:rPr>
              <w:t>5</w:t>
            </w:r>
          </w:p>
        </w:tc>
        <w:tc>
          <w:tcPr>
            <w:tcW w:w="808" w:type="dxa"/>
          </w:tcPr>
          <w:p>
            <w:pPr>
              <w:pStyle w:val="TableParagraph"/>
              <w:ind w:right="61"/>
              <w:rPr>
                <w:rFonts w:ascii="Carlito"/>
                <w:sz w:val="16"/>
              </w:rPr>
            </w:pPr>
            <w:r>
              <w:rPr>
                <w:rFonts w:ascii="Carlito"/>
                <w:sz w:val="16"/>
              </w:rPr>
              <w:t>0</w:t>
            </w:r>
          </w:p>
        </w:tc>
        <w:tc>
          <w:tcPr>
            <w:tcW w:w="842" w:type="dxa"/>
          </w:tcPr>
          <w:p>
            <w:pPr>
              <w:pStyle w:val="TableParagraph"/>
              <w:ind w:right="59"/>
              <w:rPr>
                <w:rFonts w:ascii="Carlito"/>
                <w:sz w:val="16"/>
              </w:rPr>
            </w:pPr>
            <w:r>
              <w:rPr>
                <w:rFonts w:ascii="Carlito"/>
                <w:sz w:val="16"/>
              </w:rPr>
              <w:t>0</w:t>
            </w:r>
          </w:p>
        </w:tc>
      </w:tr>
      <w:tr>
        <w:trPr>
          <w:trHeight w:val="288" w:hRule="atLeast"/>
        </w:trPr>
        <w:tc>
          <w:tcPr>
            <w:tcW w:w="758" w:type="dxa"/>
            <w:shd w:val="clear" w:color="auto" w:fill="D9D9D9"/>
          </w:tcPr>
          <w:p>
            <w:pPr>
              <w:pStyle w:val="TableParagraph"/>
              <w:ind w:right="145"/>
              <w:rPr>
                <w:rFonts w:ascii="Carlito"/>
                <w:sz w:val="16"/>
              </w:rPr>
            </w:pPr>
            <w:r>
              <w:rPr>
                <w:rFonts w:ascii="Carlito"/>
                <w:sz w:val="16"/>
              </w:rPr>
              <w:t>24</w:t>
            </w:r>
          </w:p>
        </w:tc>
        <w:tc>
          <w:tcPr>
            <w:tcW w:w="1650" w:type="dxa"/>
            <w:shd w:val="clear" w:color="auto" w:fill="D9D9D9"/>
          </w:tcPr>
          <w:p>
            <w:pPr>
              <w:pStyle w:val="TableParagraph"/>
              <w:ind w:left="141"/>
              <w:jc w:val="left"/>
              <w:rPr>
                <w:rFonts w:ascii="Carlito"/>
                <w:sz w:val="16"/>
              </w:rPr>
            </w:pPr>
            <w:r>
              <w:rPr>
                <w:rFonts w:ascii="Carlito"/>
                <w:sz w:val="16"/>
              </w:rPr>
              <w:t>Freses</w:t>
            </w:r>
          </w:p>
        </w:tc>
        <w:tc>
          <w:tcPr>
            <w:tcW w:w="877" w:type="dxa"/>
            <w:shd w:val="clear" w:color="auto" w:fill="D9D9D9"/>
          </w:tcPr>
          <w:p>
            <w:pPr>
              <w:pStyle w:val="TableParagraph"/>
              <w:ind w:right="65"/>
              <w:rPr>
                <w:rFonts w:ascii="Carlito"/>
                <w:sz w:val="16"/>
              </w:rPr>
            </w:pPr>
            <w:r>
              <w:rPr>
                <w:rFonts w:ascii="Carlito"/>
                <w:sz w:val="16"/>
              </w:rPr>
              <w:t>1</w:t>
            </w:r>
          </w:p>
        </w:tc>
        <w:tc>
          <w:tcPr>
            <w:tcW w:w="1073" w:type="dxa"/>
            <w:shd w:val="clear" w:color="auto" w:fill="D9D9D9"/>
          </w:tcPr>
          <w:p>
            <w:pPr>
              <w:pStyle w:val="TableParagraph"/>
              <w:ind w:right="66"/>
              <w:rPr>
                <w:rFonts w:ascii="Carlito"/>
                <w:sz w:val="16"/>
              </w:rPr>
            </w:pPr>
            <w:r>
              <w:rPr>
                <w:rFonts w:ascii="Carlito"/>
                <w:sz w:val="16"/>
              </w:rPr>
              <w:t>$335,000.00</w:t>
            </w:r>
          </w:p>
        </w:tc>
        <w:tc>
          <w:tcPr>
            <w:tcW w:w="1075" w:type="dxa"/>
            <w:shd w:val="clear" w:color="auto" w:fill="D9D9D9"/>
          </w:tcPr>
          <w:p>
            <w:pPr>
              <w:pStyle w:val="TableParagraph"/>
              <w:ind w:right="66"/>
              <w:rPr>
                <w:rFonts w:ascii="Carlito"/>
                <w:sz w:val="16"/>
              </w:rPr>
            </w:pPr>
            <w:r>
              <w:rPr>
                <w:rFonts w:ascii="Carlito"/>
                <w:sz w:val="16"/>
              </w:rPr>
              <w:t>392</w:t>
            </w:r>
          </w:p>
        </w:tc>
        <w:tc>
          <w:tcPr>
            <w:tcW w:w="1004" w:type="dxa"/>
            <w:shd w:val="clear" w:color="auto" w:fill="D9D9D9"/>
          </w:tcPr>
          <w:p>
            <w:pPr>
              <w:pStyle w:val="TableParagraph"/>
              <w:ind w:right="65"/>
              <w:rPr>
                <w:rFonts w:ascii="Carlito"/>
                <w:sz w:val="16"/>
              </w:rPr>
            </w:pPr>
            <w:r>
              <w:rPr>
                <w:rFonts w:ascii="Carlito"/>
                <w:sz w:val="16"/>
              </w:rPr>
              <w:t>2006</w:t>
            </w:r>
          </w:p>
        </w:tc>
        <w:tc>
          <w:tcPr>
            <w:tcW w:w="1004" w:type="dxa"/>
            <w:shd w:val="clear" w:color="auto" w:fill="D9D9D9"/>
          </w:tcPr>
          <w:p>
            <w:pPr>
              <w:pStyle w:val="TableParagraph"/>
              <w:ind w:right="60"/>
              <w:rPr>
                <w:rFonts w:ascii="Carlito"/>
                <w:sz w:val="16"/>
              </w:rPr>
            </w:pPr>
            <w:r>
              <w:rPr>
                <w:rFonts w:ascii="Carlito"/>
                <w:sz w:val="16"/>
              </w:rPr>
              <w:t>4</w:t>
            </w:r>
          </w:p>
        </w:tc>
        <w:tc>
          <w:tcPr>
            <w:tcW w:w="682" w:type="dxa"/>
            <w:shd w:val="clear" w:color="auto" w:fill="D9D9D9"/>
          </w:tcPr>
          <w:p>
            <w:pPr>
              <w:pStyle w:val="TableParagraph"/>
              <w:ind w:right="66"/>
              <w:rPr>
                <w:rFonts w:ascii="Carlito"/>
                <w:sz w:val="16"/>
              </w:rPr>
            </w:pPr>
            <w:r>
              <w:rPr>
                <w:rFonts w:ascii="Carlito"/>
                <w:sz w:val="16"/>
              </w:rPr>
              <w:t>2.5</w:t>
            </w:r>
          </w:p>
        </w:tc>
        <w:tc>
          <w:tcPr>
            <w:tcW w:w="684" w:type="dxa"/>
            <w:shd w:val="clear" w:color="auto" w:fill="D9D9D9"/>
          </w:tcPr>
          <w:p>
            <w:pPr>
              <w:pStyle w:val="TableParagraph"/>
              <w:ind w:right="61"/>
              <w:rPr>
                <w:rFonts w:ascii="Carlito"/>
                <w:sz w:val="16"/>
              </w:rPr>
            </w:pPr>
            <w:r>
              <w:rPr>
                <w:rFonts w:ascii="Carlito"/>
                <w:sz w:val="16"/>
              </w:rPr>
              <w:t>2</w:t>
            </w:r>
          </w:p>
        </w:tc>
        <w:tc>
          <w:tcPr>
            <w:tcW w:w="1152" w:type="dxa"/>
            <w:shd w:val="clear" w:color="auto" w:fill="D9D9D9"/>
          </w:tcPr>
          <w:p>
            <w:pPr>
              <w:pStyle w:val="TableParagraph"/>
              <w:ind w:right="65"/>
              <w:rPr>
                <w:rFonts w:ascii="Carlito"/>
                <w:sz w:val="16"/>
              </w:rPr>
            </w:pPr>
            <w:r>
              <w:rPr>
                <w:rFonts w:ascii="Carlito"/>
                <w:sz w:val="16"/>
              </w:rPr>
              <w:t>5.2</w:t>
            </w:r>
          </w:p>
        </w:tc>
        <w:tc>
          <w:tcPr>
            <w:tcW w:w="1348" w:type="dxa"/>
            <w:shd w:val="clear" w:color="auto" w:fill="D9D9D9"/>
          </w:tcPr>
          <w:p>
            <w:pPr>
              <w:pStyle w:val="TableParagraph"/>
              <w:ind w:right="65"/>
              <w:rPr>
                <w:rFonts w:ascii="Carlito"/>
                <w:sz w:val="16"/>
              </w:rPr>
            </w:pPr>
            <w:r>
              <w:rPr>
                <w:rFonts w:ascii="Carlito"/>
                <w:sz w:val="16"/>
              </w:rPr>
              <w:t>5.2</w:t>
            </w:r>
          </w:p>
        </w:tc>
        <w:tc>
          <w:tcPr>
            <w:tcW w:w="808" w:type="dxa"/>
            <w:shd w:val="clear" w:color="auto" w:fill="D9D9D9"/>
          </w:tcPr>
          <w:p>
            <w:pPr>
              <w:pStyle w:val="TableParagraph"/>
              <w:ind w:right="61"/>
              <w:rPr>
                <w:rFonts w:ascii="Carlito"/>
                <w:sz w:val="16"/>
              </w:rPr>
            </w:pPr>
            <w:r>
              <w:rPr>
                <w:rFonts w:ascii="Carlito"/>
                <w:sz w:val="16"/>
              </w:rPr>
              <w:t>0</w:t>
            </w:r>
          </w:p>
        </w:tc>
        <w:tc>
          <w:tcPr>
            <w:tcW w:w="842"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8" w:type="dxa"/>
          </w:tcPr>
          <w:p>
            <w:pPr>
              <w:pStyle w:val="TableParagraph"/>
              <w:spacing w:before="92"/>
              <w:ind w:right="145"/>
              <w:rPr>
                <w:rFonts w:ascii="Carlito"/>
                <w:sz w:val="16"/>
              </w:rPr>
            </w:pPr>
            <w:r>
              <w:rPr>
                <w:rFonts w:ascii="Carlito"/>
                <w:sz w:val="16"/>
              </w:rPr>
              <w:t>25</w:t>
            </w:r>
          </w:p>
        </w:tc>
        <w:tc>
          <w:tcPr>
            <w:tcW w:w="1650" w:type="dxa"/>
          </w:tcPr>
          <w:p>
            <w:pPr>
              <w:pStyle w:val="TableParagraph"/>
              <w:spacing w:before="92"/>
              <w:ind w:left="141"/>
              <w:jc w:val="left"/>
              <w:rPr>
                <w:rFonts w:ascii="Carlito"/>
                <w:sz w:val="16"/>
              </w:rPr>
            </w:pPr>
            <w:r>
              <w:rPr>
                <w:rFonts w:ascii="Carlito"/>
                <w:sz w:val="16"/>
              </w:rPr>
              <w:t>Freses</w:t>
            </w:r>
          </w:p>
        </w:tc>
        <w:tc>
          <w:tcPr>
            <w:tcW w:w="877" w:type="dxa"/>
          </w:tcPr>
          <w:p>
            <w:pPr>
              <w:pStyle w:val="TableParagraph"/>
              <w:spacing w:before="92"/>
              <w:ind w:right="65"/>
              <w:rPr>
                <w:rFonts w:ascii="Carlito"/>
                <w:sz w:val="16"/>
              </w:rPr>
            </w:pPr>
            <w:r>
              <w:rPr>
                <w:rFonts w:ascii="Carlito"/>
                <w:sz w:val="16"/>
              </w:rPr>
              <w:t>1</w:t>
            </w:r>
          </w:p>
        </w:tc>
        <w:tc>
          <w:tcPr>
            <w:tcW w:w="1073" w:type="dxa"/>
          </w:tcPr>
          <w:p>
            <w:pPr>
              <w:pStyle w:val="TableParagraph"/>
              <w:spacing w:before="92"/>
              <w:ind w:right="66"/>
              <w:rPr>
                <w:rFonts w:ascii="Carlito"/>
                <w:sz w:val="16"/>
              </w:rPr>
            </w:pPr>
            <w:r>
              <w:rPr>
                <w:rFonts w:ascii="Carlito"/>
                <w:sz w:val="16"/>
              </w:rPr>
              <w:t>$435,000.00</w:t>
            </w:r>
          </w:p>
        </w:tc>
        <w:tc>
          <w:tcPr>
            <w:tcW w:w="1075" w:type="dxa"/>
          </w:tcPr>
          <w:p>
            <w:pPr>
              <w:pStyle w:val="TableParagraph"/>
              <w:spacing w:before="92"/>
              <w:ind w:right="66"/>
              <w:rPr>
                <w:rFonts w:ascii="Carlito"/>
                <w:sz w:val="16"/>
              </w:rPr>
            </w:pPr>
            <w:r>
              <w:rPr>
                <w:rFonts w:ascii="Carlito"/>
                <w:sz w:val="16"/>
              </w:rPr>
              <w:t>455</w:t>
            </w:r>
          </w:p>
        </w:tc>
        <w:tc>
          <w:tcPr>
            <w:tcW w:w="1004" w:type="dxa"/>
          </w:tcPr>
          <w:p>
            <w:pPr>
              <w:pStyle w:val="TableParagraph"/>
              <w:spacing w:before="92"/>
              <w:ind w:right="65"/>
              <w:rPr>
                <w:rFonts w:ascii="Carlito"/>
                <w:sz w:val="16"/>
              </w:rPr>
            </w:pPr>
            <w:r>
              <w:rPr>
                <w:rFonts w:ascii="Carlito"/>
                <w:sz w:val="16"/>
              </w:rPr>
              <w:t>1972</w:t>
            </w:r>
          </w:p>
        </w:tc>
        <w:tc>
          <w:tcPr>
            <w:tcW w:w="1004" w:type="dxa"/>
          </w:tcPr>
          <w:p>
            <w:pPr>
              <w:pStyle w:val="TableParagraph"/>
              <w:spacing w:before="92"/>
              <w:ind w:right="60"/>
              <w:rPr>
                <w:rFonts w:ascii="Carlito"/>
                <w:sz w:val="16"/>
              </w:rPr>
            </w:pPr>
            <w:r>
              <w:rPr>
                <w:rFonts w:ascii="Carlito"/>
                <w:sz w:val="16"/>
              </w:rPr>
              <w:t>5</w:t>
            </w:r>
          </w:p>
        </w:tc>
        <w:tc>
          <w:tcPr>
            <w:tcW w:w="682" w:type="dxa"/>
          </w:tcPr>
          <w:p>
            <w:pPr>
              <w:pStyle w:val="TableParagraph"/>
              <w:spacing w:before="92"/>
              <w:ind w:right="61"/>
              <w:rPr>
                <w:rFonts w:ascii="Carlito"/>
                <w:sz w:val="16"/>
              </w:rPr>
            </w:pPr>
            <w:r>
              <w:rPr>
                <w:rFonts w:ascii="Carlito"/>
                <w:sz w:val="16"/>
              </w:rPr>
              <w:t>5</w:t>
            </w:r>
          </w:p>
        </w:tc>
        <w:tc>
          <w:tcPr>
            <w:tcW w:w="684" w:type="dxa"/>
          </w:tcPr>
          <w:p>
            <w:pPr>
              <w:pStyle w:val="TableParagraph"/>
              <w:spacing w:before="92"/>
              <w:ind w:right="61"/>
              <w:rPr>
                <w:rFonts w:ascii="Carlito"/>
                <w:sz w:val="16"/>
              </w:rPr>
            </w:pPr>
            <w:r>
              <w:rPr>
                <w:rFonts w:ascii="Carlito"/>
                <w:sz w:val="16"/>
              </w:rPr>
              <w:t>2</w:t>
            </w:r>
          </w:p>
        </w:tc>
        <w:tc>
          <w:tcPr>
            <w:tcW w:w="1152" w:type="dxa"/>
          </w:tcPr>
          <w:p>
            <w:pPr>
              <w:pStyle w:val="TableParagraph"/>
              <w:spacing w:before="92"/>
              <w:ind w:right="65"/>
              <w:rPr>
                <w:rFonts w:ascii="Carlito"/>
                <w:sz w:val="16"/>
              </w:rPr>
            </w:pPr>
            <w:r>
              <w:rPr>
                <w:rFonts w:ascii="Carlito"/>
                <w:sz w:val="16"/>
              </w:rPr>
              <w:t>4.6</w:t>
            </w:r>
          </w:p>
        </w:tc>
        <w:tc>
          <w:tcPr>
            <w:tcW w:w="1348" w:type="dxa"/>
          </w:tcPr>
          <w:p>
            <w:pPr>
              <w:pStyle w:val="TableParagraph"/>
              <w:spacing w:before="92"/>
              <w:ind w:right="65"/>
              <w:rPr>
                <w:rFonts w:ascii="Carlito"/>
                <w:sz w:val="16"/>
              </w:rPr>
            </w:pPr>
            <w:r>
              <w:rPr>
                <w:rFonts w:ascii="Carlito"/>
                <w:sz w:val="16"/>
              </w:rPr>
              <w:t>4.9</w:t>
            </w:r>
          </w:p>
        </w:tc>
        <w:tc>
          <w:tcPr>
            <w:tcW w:w="808" w:type="dxa"/>
          </w:tcPr>
          <w:p>
            <w:pPr>
              <w:pStyle w:val="TableParagraph"/>
              <w:spacing w:before="92"/>
              <w:ind w:right="61"/>
              <w:rPr>
                <w:rFonts w:ascii="Carlito"/>
                <w:sz w:val="16"/>
              </w:rPr>
            </w:pPr>
            <w:r>
              <w:rPr>
                <w:rFonts w:ascii="Carlito"/>
                <w:sz w:val="16"/>
              </w:rPr>
              <w:t>0</w:t>
            </w:r>
          </w:p>
        </w:tc>
        <w:tc>
          <w:tcPr>
            <w:tcW w:w="842" w:type="dxa"/>
          </w:tcPr>
          <w:p>
            <w:pPr>
              <w:pStyle w:val="TableParagraph"/>
              <w:spacing w:before="92"/>
              <w:ind w:right="59"/>
              <w:rPr>
                <w:rFonts w:ascii="Carlito"/>
                <w:sz w:val="16"/>
              </w:rPr>
            </w:pPr>
            <w:r>
              <w:rPr>
                <w:rFonts w:ascii="Carlito"/>
                <w:sz w:val="16"/>
              </w:rPr>
              <w:t>0</w:t>
            </w:r>
          </w:p>
        </w:tc>
      </w:tr>
      <w:tr>
        <w:trPr>
          <w:trHeight w:val="288" w:hRule="atLeast"/>
        </w:trPr>
        <w:tc>
          <w:tcPr>
            <w:tcW w:w="758" w:type="dxa"/>
            <w:shd w:val="clear" w:color="auto" w:fill="D9D9D9"/>
          </w:tcPr>
          <w:p>
            <w:pPr>
              <w:pStyle w:val="TableParagraph"/>
              <w:ind w:right="145"/>
              <w:rPr>
                <w:rFonts w:ascii="Carlito"/>
                <w:sz w:val="16"/>
              </w:rPr>
            </w:pPr>
            <w:r>
              <w:rPr>
                <w:rFonts w:ascii="Carlito"/>
                <w:sz w:val="16"/>
              </w:rPr>
              <w:t>26</w:t>
            </w:r>
          </w:p>
        </w:tc>
        <w:tc>
          <w:tcPr>
            <w:tcW w:w="1650" w:type="dxa"/>
            <w:shd w:val="clear" w:color="auto" w:fill="D9D9D9"/>
          </w:tcPr>
          <w:p>
            <w:pPr>
              <w:pStyle w:val="TableParagraph"/>
              <w:ind w:left="141"/>
              <w:jc w:val="left"/>
              <w:rPr>
                <w:rFonts w:ascii="Carlito"/>
                <w:sz w:val="16"/>
              </w:rPr>
            </w:pPr>
            <w:r>
              <w:rPr>
                <w:rFonts w:ascii="Carlito"/>
                <w:sz w:val="16"/>
              </w:rPr>
              <w:t>Guayabos</w:t>
            </w:r>
          </w:p>
        </w:tc>
        <w:tc>
          <w:tcPr>
            <w:tcW w:w="877" w:type="dxa"/>
            <w:shd w:val="clear" w:color="auto" w:fill="D9D9D9"/>
          </w:tcPr>
          <w:p>
            <w:pPr>
              <w:pStyle w:val="TableParagraph"/>
              <w:ind w:right="65"/>
              <w:rPr>
                <w:rFonts w:ascii="Carlito"/>
                <w:sz w:val="16"/>
              </w:rPr>
            </w:pPr>
            <w:r>
              <w:rPr>
                <w:rFonts w:ascii="Carlito"/>
                <w:sz w:val="16"/>
              </w:rPr>
              <w:t>0</w:t>
            </w:r>
          </w:p>
        </w:tc>
        <w:tc>
          <w:tcPr>
            <w:tcW w:w="1073" w:type="dxa"/>
            <w:shd w:val="clear" w:color="auto" w:fill="D9D9D9"/>
          </w:tcPr>
          <w:p>
            <w:pPr>
              <w:pStyle w:val="TableParagraph"/>
              <w:ind w:right="66"/>
              <w:rPr>
                <w:rFonts w:ascii="Carlito"/>
                <w:sz w:val="16"/>
              </w:rPr>
            </w:pPr>
            <w:r>
              <w:rPr>
                <w:rFonts w:ascii="Carlito"/>
                <w:sz w:val="16"/>
              </w:rPr>
              <w:t>$230,000.00</w:t>
            </w:r>
          </w:p>
        </w:tc>
        <w:tc>
          <w:tcPr>
            <w:tcW w:w="1075" w:type="dxa"/>
            <w:shd w:val="clear" w:color="auto" w:fill="D9D9D9"/>
          </w:tcPr>
          <w:p>
            <w:pPr>
              <w:pStyle w:val="TableParagraph"/>
              <w:ind w:right="66"/>
              <w:rPr>
                <w:rFonts w:ascii="Carlito"/>
                <w:sz w:val="16"/>
              </w:rPr>
            </w:pPr>
            <w:r>
              <w:rPr>
                <w:rFonts w:ascii="Carlito"/>
                <w:sz w:val="16"/>
              </w:rPr>
              <w:t>186</w:t>
            </w:r>
          </w:p>
        </w:tc>
        <w:tc>
          <w:tcPr>
            <w:tcW w:w="1004" w:type="dxa"/>
            <w:shd w:val="clear" w:color="auto" w:fill="D9D9D9"/>
          </w:tcPr>
          <w:p>
            <w:pPr>
              <w:pStyle w:val="TableParagraph"/>
              <w:ind w:right="65"/>
              <w:rPr>
                <w:rFonts w:ascii="Carlito"/>
                <w:sz w:val="16"/>
              </w:rPr>
            </w:pPr>
            <w:r>
              <w:rPr>
                <w:rFonts w:ascii="Carlito"/>
                <w:sz w:val="16"/>
              </w:rPr>
              <w:t>2006</w:t>
            </w:r>
          </w:p>
        </w:tc>
        <w:tc>
          <w:tcPr>
            <w:tcW w:w="1004" w:type="dxa"/>
            <w:shd w:val="clear" w:color="auto" w:fill="D9D9D9"/>
          </w:tcPr>
          <w:p>
            <w:pPr>
              <w:pStyle w:val="TableParagraph"/>
              <w:ind w:right="60"/>
              <w:rPr>
                <w:rFonts w:ascii="Carlito"/>
                <w:sz w:val="16"/>
              </w:rPr>
            </w:pPr>
            <w:r>
              <w:rPr>
                <w:rFonts w:ascii="Carlito"/>
                <w:sz w:val="16"/>
              </w:rPr>
              <w:t>3</w:t>
            </w:r>
          </w:p>
        </w:tc>
        <w:tc>
          <w:tcPr>
            <w:tcW w:w="682" w:type="dxa"/>
            <w:shd w:val="clear" w:color="auto" w:fill="D9D9D9"/>
          </w:tcPr>
          <w:p>
            <w:pPr>
              <w:pStyle w:val="TableParagraph"/>
              <w:ind w:right="66"/>
              <w:rPr>
                <w:rFonts w:ascii="Carlito"/>
                <w:sz w:val="16"/>
              </w:rPr>
            </w:pPr>
            <w:r>
              <w:rPr>
                <w:rFonts w:ascii="Carlito"/>
                <w:sz w:val="16"/>
              </w:rPr>
              <w:t>2.5</w:t>
            </w:r>
          </w:p>
        </w:tc>
        <w:tc>
          <w:tcPr>
            <w:tcW w:w="684" w:type="dxa"/>
            <w:shd w:val="clear" w:color="auto" w:fill="D9D9D9"/>
          </w:tcPr>
          <w:p>
            <w:pPr>
              <w:pStyle w:val="TableParagraph"/>
              <w:ind w:right="61"/>
              <w:rPr>
                <w:rFonts w:ascii="Carlito"/>
                <w:sz w:val="16"/>
              </w:rPr>
            </w:pPr>
            <w:r>
              <w:rPr>
                <w:rFonts w:ascii="Carlito"/>
                <w:sz w:val="16"/>
              </w:rPr>
              <w:t>2</w:t>
            </w:r>
          </w:p>
        </w:tc>
        <w:tc>
          <w:tcPr>
            <w:tcW w:w="1152" w:type="dxa"/>
            <w:shd w:val="clear" w:color="auto" w:fill="D9D9D9"/>
          </w:tcPr>
          <w:p>
            <w:pPr>
              <w:pStyle w:val="TableParagraph"/>
              <w:ind w:right="65"/>
              <w:rPr>
                <w:rFonts w:ascii="Carlito"/>
                <w:sz w:val="16"/>
              </w:rPr>
            </w:pPr>
            <w:r>
              <w:rPr>
                <w:rFonts w:ascii="Carlito"/>
                <w:sz w:val="16"/>
              </w:rPr>
              <w:t>7.4</w:t>
            </w:r>
          </w:p>
        </w:tc>
        <w:tc>
          <w:tcPr>
            <w:tcW w:w="1348" w:type="dxa"/>
            <w:shd w:val="clear" w:color="auto" w:fill="D9D9D9"/>
          </w:tcPr>
          <w:p>
            <w:pPr>
              <w:pStyle w:val="TableParagraph"/>
              <w:ind w:right="61"/>
              <w:rPr>
                <w:rFonts w:ascii="Carlito"/>
                <w:sz w:val="16"/>
              </w:rPr>
            </w:pPr>
            <w:r>
              <w:rPr>
                <w:rFonts w:ascii="Carlito"/>
                <w:sz w:val="16"/>
              </w:rPr>
              <w:t>5</w:t>
            </w:r>
          </w:p>
        </w:tc>
        <w:tc>
          <w:tcPr>
            <w:tcW w:w="808" w:type="dxa"/>
            <w:shd w:val="clear" w:color="auto" w:fill="D9D9D9"/>
          </w:tcPr>
          <w:p>
            <w:pPr>
              <w:pStyle w:val="TableParagraph"/>
              <w:ind w:right="61"/>
              <w:rPr>
                <w:rFonts w:ascii="Carlito"/>
                <w:sz w:val="16"/>
              </w:rPr>
            </w:pPr>
            <w:r>
              <w:rPr>
                <w:rFonts w:ascii="Carlito"/>
                <w:sz w:val="16"/>
              </w:rPr>
              <w:t>0</w:t>
            </w:r>
          </w:p>
        </w:tc>
        <w:tc>
          <w:tcPr>
            <w:tcW w:w="842" w:type="dxa"/>
            <w:shd w:val="clear" w:color="auto" w:fill="D9D9D9"/>
          </w:tcPr>
          <w:p>
            <w:pPr>
              <w:pStyle w:val="TableParagraph"/>
              <w:ind w:right="59"/>
              <w:rPr>
                <w:rFonts w:ascii="Carlito"/>
                <w:sz w:val="16"/>
              </w:rPr>
            </w:pPr>
            <w:r>
              <w:rPr>
                <w:rFonts w:ascii="Carlito"/>
                <w:sz w:val="16"/>
              </w:rPr>
              <w:t>0</w:t>
            </w:r>
          </w:p>
        </w:tc>
      </w:tr>
    </w:tbl>
    <w:p>
      <w:pPr>
        <w:spacing w:after="0"/>
        <w:rPr>
          <w:rFonts w:ascii="Carlito"/>
          <w:sz w:val="16"/>
        </w:rPr>
        <w:sectPr>
          <w:footerReference w:type="default" r:id="rId126"/>
          <w:pgSz w:w="15840" w:h="12240" w:orient="landscape"/>
          <w:pgMar w:footer="982" w:header="0" w:top="1140" w:bottom="1180" w:left="1340" w:right="1320"/>
          <w:pgNumType w:start="165"/>
        </w:sectPr>
      </w:pPr>
    </w:p>
    <w:p>
      <w:pPr>
        <w:pStyle w:val="BodyText"/>
        <w:rPr>
          <w:b/>
          <w:sz w:val="20"/>
        </w:rPr>
      </w:pPr>
    </w:p>
    <w:p>
      <w:pPr>
        <w:pStyle w:val="BodyText"/>
        <w:spacing w:before="10"/>
        <w:rPr>
          <w:b/>
          <w:sz w:val="16"/>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56"/>
        <w:gridCol w:w="1938"/>
        <w:gridCol w:w="596"/>
        <w:gridCol w:w="1379"/>
        <w:gridCol w:w="1041"/>
        <w:gridCol w:w="1127"/>
        <w:gridCol w:w="783"/>
        <w:gridCol w:w="745"/>
        <w:gridCol w:w="816"/>
        <w:gridCol w:w="1290"/>
        <w:gridCol w:w="1140"/>
        <w:gridCol w:w="826"/>
        <w:gridCol w:w="530"/>
      </w:tblGrid>
      <w:tr>
        <w:trPr>
          <w:trHeight w:val="163" w:hRule="atLeast"/>
        </w:trPr>
        <w:tc>
          <w:tcPr>
            <w:tcW w:w="756" w:type="dxa"/>
          </w:tcPr>
          <w:p>
            <w:pPr>
              <w:pStyle w:val="TableParagraph"/>
              <w:spacing w:line="144" w:lineRule="exact" w:before="0"/>
              <w:ind w:right="143"/>
              <w:rPr>
                <w:rFonts w:ascii="Carlito"/>
                <w:sz w:val="16"/>
              </w:rPr>
            </w:pPr>
            <w:r>
              <w:rPr>
                <w:rFonts w:ascii="Carlito"/>
                <w:sz w:val="16"/>
              </w:rPr>
              <w:t>27</w:t>
            </w:r>
          </w:p>
        </w:tc>
        <w:tc>
          <w:tcPr>
            <w:tcW w:w="1938" w:type="dxa"/>
          </w:tcPr>
          <w:p>
            <w:pPr>
              <w:pStyle w:val="TableParagraph"/>
              <w:spacing w:line="144" w:lineRule="exact" w:before="0"/>
              <w:ind w:left="143"/>
              <w:jc w:val="left"/>
              <w:rPr>
                <w:rFonts w:ascii="Carlito"/>
                <w:sz w:val="16"/>
              </w:rPr>
            </w:pPr>
            <w:r>
              <w:rPr>
                <w:rFonts w:ascii="Carlito"/>
                <w:sz w:val="16"/>
              </w:rPr>
              <w:t>Guayabos</w:t>
            </w:r>
          </w:p>
        </w:tc>
        <w:tc>
          <w:tcPr>
            <w:tcW w:w="596" w:type="dxa"/>
          </w:tcPr>
          <w:p>
            <w:pPr>
              <w:pStyle w:val="TableParagraph"/>
              <w:spacing w:line="144" w:lineRule="exact" w:before="0"/>
              <w:ind w:right="70"/>
              <w:rPr>
                <w:rFonts w:ascii="Carlito"/>
                <w:sz w:val="16"/>
              </w:rPr>
            </w:pPr>
            <w:r>
              <w:rPr>
                <w:rFonts w:ascii="Carlito"/>
                <w:sz w:val="16"/>
              </w:rPr>
              <w:t>0</w:t>
            </w:r>
          </w:p>
        </w:tc>
        <w:tc>
          <w:tcPr>
            <w:tcW w:w="1379" w:type="dxa"/>
          </w:tcPr>
          <w:p>
            <w:pPr>
              <w:pStyle w:val="TableParagraph"/>
              <w:spacing w:line="144" w:lineRule="exact" w:before="0"/>
              <w:ind w:right="377"/>
              <w:rPr>
                <w:rFonts w:ascii="Carlito"/>
                <w:sz w:val="16"/>
              </w:rPr>
            </w:pPr>
            <w:r>
              <w:rPr>
                <w:rFonts w:ascii="Carlito"/>
                <w:sz w:val="16"/>
              </w:rPr>
              <w:t>$240,000.00</w:t>
            </w:r>
          </w:p>
        </w:tc>
        <w:tc>
          <w:tcPr>
            <w:tcW w:w="1041" w:type="dxa"/>
          </w:tcPr>
          <w:p>
            <w:pPr>
              <w:pStyle w:val="TableParagraph"/>
              <w:spacing w:line="144" w:lineRule="exact" w:before="0"/>
              <w:ind w:right="343"/>
              <w:rPr>
                <w:rFonts w:ascii="Carlito"/>
                <w:sz w:val="16"/>
              </w:rPr>
            </w:pPr>
            <w:r>
              <w:rPr>
                <w:rFonts w:ascii="Carlito"/>
                <w:sz w:val="16"/>
              </w:rPr>
              <w:t>165</w:t>
            </w:r>
          </w:p>
        </w:tc>
        <w:tc>
          <w:tcPr>
            <w:tcW w:w="1127" w:type="dxa"/>
          </w:tcPr>
          <w:p>
            <w:pPr>
              <w:pStyle w:val="TableParagraph"/>
              <w:spacing w:line="144" w:lineRule="exact" w:before="0"/>
              <w:ind w:left="313" w:right="440"/>
              <w:jc w:val="center"/>
              <w:rPr>
                <w:rFonts w:ascii="Carlito"/>
                <w:sz w:val="16"/>
              </w:rPr>
            </w:pPr>
            <w:r>
              <w:rPr>
                <w:rFonts w:ascii="Carlito"/>
                <w:sz w:val="16"/>
              </w:rPr>
              <w:t>2006</w:t>
            </w:r>
          </w:p>
        </w:tc>
        <w:tc>
          <w:tcPr>
            <w:tcW w:w="783" w:type="dxa"/>
          </w:tcPr>
          <w:p>
            <w:pPr>
              <w:pStyle w:val="TableParagraph"/>
              <w:spacing w:line="144" w:lineRule="exact" w:before="0"/>
              <w:ind w:right="239"/>
              <w:rPr>
                <w:rFonts w:ascii="Carlito"/>
                <w:sz w:val="16"/>
              </w:rPr>
            </w:pPr>
            <w:r>
              <w:rPr>
                <w:rFonts w:ascii="Carlito"/>
                <w:sz w:val="16"/>
              </w:rPr>
              <w:t>2</w:t>
            </w:r>
          </w:p>
        </w:tc>
        <w:tc>
          <w:tcPr>
            <w:tcW w:w="745" w:type="dxa"/>
          </w:tcPr>
          <w:p>
            <w:pPr>
              <w:pStyle w:val="TableParagraph"/>
              <w:spacing w:line="144" w:lineRule="exact" w:before="0"/>
              <w:ind w:right="308"/>
              <w:rPr>
                <w:rFonts w:ascii="Carlito"/>
                <w:sz w:val="16"/>
              </w:rPr>
            </w:pPr>
            <w:r>
              <w:rPr>
                <w:rFonts w:ascii="Carlito"/>
                <w:sz w:val="16"/>
              </w:rPr>
              <w:t>2.5</w:t>
            </w:r>
          </w:p>
        </w:tc>
        <w:tc>
          <w:tcPr>
            <w:tcW w:w="816" w:type="dxa"/>
          </w:tcPr>
          <w:p>
            <w:pPr>
              <w:pStyle w:val="TableParagraph"/>
              <w:spacing w:line="144" w:lineRule="exact" w:before="0"/>
              <w:ind w:left="297"/>
              <w:jc w:val="left"/>
              <w:rPr>
                <w:rFonts w:ascii="Carlito"/>
                <w:sz w:val="16"/>
              </w:rPr>
            </w:pPr>
            <w:r>
              <w:rPr>
                <w:rFonts w:ascii="Carlito"/>
                <w:sz w:val="16"/>
              </w:rPr>
              <w:t>1</w:t>
            </w:r>
          </w:p>
        </w:tc>
        <w:tc>
          <w:tcPr>
            <w:tcW w:w="1290" w:type="dxa"/>
          </w:tcPr>
          <w:p>
            <w:pPr>
              <w:pStyle w:val="TableParagraph"/>
              <w:spacing w:line="144" w:lineRule="exact" w:before="0"/>
              <w:ind w:right="577"/>
              <w:rPr>
                <w:rFonts w:ascii="Carlito"/>
                <w:sz w:val="16"/>
              </w:rPr>
            </w:pPr>
            <w:r>
              <w:rPr>
                <w:rFonts w:ascii="Carlito"/>
                <w:sz w:val="16"/>
              </w:rPr>
              <w:t>7.4</w:t>
            </w:r>
          </w:p>
        </w:tc>
        <w:tc>
          <w:tcPr>
            <w:tcW w:w="1140" w:type="dxa"/>
          </w:tcPr>
          <w:p>
            <w:pPr>
              <w:pStyle w:val="TableParagraph"/>
              <w:spacing w:line="144" w:lineRule="exact" w:before="0"/>
              <w:ind w:right="365"/>
              <w:rPr>
                <w:rFonts w:ascii="Carlito"/>
                <w:sz w:val="16"/>
              </w:rPr>
            </w:pPr>
            <w:r>
              <w:rPr>
                <w:rFonts w:ascii="Carlito"/>
                <w:sz w:val="16"/>
              </w:rPr>
              <w:t>5</w:t>
            </w:r>
          </w:p>
        </w:tc>
        <w:tc>
          <w:tcPr>
            <w:tcW w:w="826" w:type="dxa"/>
          </w:tcPr>
          <w:p>
            <w:pPr>
              <w:pStyle w:val="TableParagraph"/>
              <w:spacing w:line="144" w:lineRule="exact" w:before="0"/>
              <w:ind w:right="383"/>
              <w:rPr>
                <w:rFonts w:ascii="Carlito"/>
                <w:sz w:val="16"/>
              </w:rPr>
            </w:pPr>
            <w:r>
              <w:rPr>
                <w:rFonts w:ascii="Carlito"/>
                <w:sz w:val="16"/>
              </w:rPr>
              <w:t>0</w:t>
            </w:r>
          </w:p>
        </w:tc>
        <w:tc>
          <w:tcPr>
            <w:tcW w:w="530" w:type="dxa"/>
          </w:tcPr>
          <w:p>
            <w:pPr>
              <w:pStyle w:val="TableParagraph"/>
              <w:spacing w:line="144" w:lineRule="exact" w:before="0"/>
              <w:ind w:right="69"/>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28</w:t>
            </w:r>
          </w:p>
        </w:tc>
        <w:tc>
          <w:tcPr>
            <w:tcW w:w="1938" w:type="dxa"/>
            <w:shd w:val="clear" w:color="auto" w:fill="D9D9D9"/>
          </w:tcPr>
          <w:p>
            <w:pPr>
              <w:pStyle w:val="TableParagraph"/>
              <w:ind w:left="143"/>
              <w:jc w:val="left"/>
              <w:rPr>
                <w:rFonts w:ascii="Carlito"/>
                <w:sz w:val="16"/>
              </w:rPr>
            </w:pPr>
            <w:r>
              <w:rPr>
                <w:rFonts w:ascii="Carlito"/>
                <w:sz w:val="16"/>
              </w:rPr>
              <w:t>Pinares</w:t>
            </w:r>
          </w:p>
        </w:tc>
        <w:tc>
          <w:tcPr>
            <w:tcW w:w="596" w:type="dxa"/>
            <w:shd w:val="clear" w:color="auto" w:fill="D9D9D9"/>
          </w:tcPr>
          <w:p>
            <w:pPr>
              <w:pStyle w:val="TableParagraph"/>
              <w:ind w:right="70"/>
              <w:rPr>
                <w:rFonts w:ascii="Carlito"/>
                <w:sz w:val="16"/>
              </w:rPr>
            </w:pPr>
            <w:r>
              <w:rPr>
                <w:rFonts w:ascii="Carlito"/>
                <w:sz w:val="16"/>
              </w:rPr>
              <w:t>1</w:t>
            </w:r>
          </w:p>
        </w:tc>
        <w:tc>
          <w:tcPr>
            <w:tcW w:w="1379" w:type="dxa"/>
            <w:shd w:val="clear" w:color="auto" w:fill="D9D9D9"/>
          </w:tcPr>
          <w:p>
            <w:pPr>
              <w:pStyle w:val="TableParagraph"/>
              <w:ind w:right="377"/>
              <w:rPr>
                <w:rFonts w:ascii="Carlito"/>
                <w:sz w:val="16"/>
              </w:rPr>
            </w:pPr>
            <w:r>
              <w:rPr>
                <w:rFonts w:ascii="Carlito"/>
                <w:sz w:val="16"/>
              </w:rPr>
              <w:t>$560,000.00</w:t>
            </w:r>
          </w:p>
        </w:tc>
        <w:tc>
          <w:tcPr>
            <w:tcW w:w="1041" w:type="dxa"/>
            <w:shd w:val="clear" w:color="auto" w:fill="D9D9D9"/>
          </w:tcPr>
          <w:p>
            <w:pPr>
              <w:pStyle w:val="TableParagraph"/>
              <w:ind w:right="343"/>
              <w:rPr>
                <w:rFonts w:ascii="Carlito"/>
                <w:sz w:val="16"/>
              </w:rPr>
            </w:pPr>
            <w:r>
              <w:rPr>
                <w:rFonts w:ascii="Carlito"/>
                <w:sz w:val="16"/>
              </w:rPr>
              <w:t>490</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4</w:t>
            </w:r>
          </w:p>
        </w:tc>
        <w:tc>
          <w:tcPr>
            <w:tcW w:w="745" w:type="dxa"/>
            <w:shd w:val="clear" w:color="auto" w:fill="D9D9D9"/>
          </w:tcPr>
          <w:p>
            <w:pPr>
              <w:pStyle w:val="TableParagraph"/>
              <w:ind w:right="308"/>
              <w:rPr>
                <w:rFonts w:ascii="Carlito"/>
                <w:sz w:val="16"/>
              </w:rPr>
            </w:pPr>
            <w:r>
              <w:rPr>
                <w:rFonts w:ascii="Carlito"/>
                <w:sz w:val="16"/>
              </w:rPr>
              <w:t>3.5</w:t>
            </w:r>
          </w:p>
        </w:tc>
        <w:tc>
          <w:tcPr>
            <w:tcW w:w="816" w:type="dxa"/>
            <w:shd w:val="clear" w:color="auto" w:fill="D9D9D9"/>
          </w:tcPr>
          <w:p>
            <w:pPr>
              <w:pStyle w:val="TableParagraph"/>
              <w:ind w:left="297"/>
              <w:jc w:val="left"/>
              <w:rPr>
                <w:rFonts w:ascii="Carlito"/>
                <w:sz w:val="16"/>
              </w:rPr>
            </w:pPr>
            <w:r>
              <w:rPr>
                <w:rFonts w:ascii="Carlito"/>
                <w:sz w:val="16"/>
              </w:rPr>
              <w:t>2</w:t>
            </w:r>
          </w:p>
        </w:tc>
        <w:tc>
          <w:tcPr>
            <w:tcW w:w="1290" w:type="dxa"/>
            <w:shd w:val="clear" w:color="auto" w:fill="D9D9D9"/>
          </w:tcPr>
          <w:p>
            <w:pPr>
              <w:pStyle w:val="TableParagraph"/>
              <w:ind w:right="577"/>
              <w:rPr>
                <w:rFonts w:ascii="Carlito"/>
                <w:sz w:val="16"/>
              </w:rPr>
            </w:pPr>
            <w:r>
              <w:rPr>
                <w:rFonts w:ascii="Carlito"/>
                <w:sz w:val="16"/>
              </w:rPr>
              <w:t>7.4</w:t>
            </w:r>
          </w:p>
        </w:tc>
        <w:tc>
          <w:tcPr>
            <w:tcW w:w="1140" w:type="dxa"/>
            <w:shd w:val="clear" w:color="auto" w:fill="D9D9D9"/>
          </w:tcPr>
          <w:p>
            <w:pPr>
              <w:pStyle w:val="TableParagraph"/>
              <w:ind w:right="369"/>
              <w:rPr>
                <w:rFonts w:ascii="Carlito"/>
                <w:sz w:val="16"/>
              </w:rPr>
            </w:pPr>
            <w:r>
              <w:rPr>
                <w:rFonts w:ascii="Carlito"/>
                <w:sz w:val="16"/>
              </w:rPr>
              <w:t>3.6</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29</w:t>
            </w:r>
          </w:p>
        </w:tc>
        <w:tc>
          <w:tcPr>
            <w:tcW w:w="1938" w:type="dxa"/>
          </w:tcPr>
          <w:p>
            <w:pPr>
              <w:pStyle w:val="TableParagraph"/>
              <w:ind w:left="143"/>
              <w:jc w:val="left"/>
              <w:rPr>
                <w:rFonts w:ascii="Carlito"/>
                <w:sz w:val="16"/>
              </w:rPr>
            </w:pPr>
            <w:r>
              <w:rPr>
                <w:rFonts w:ascii="Carlito"/>
                <w:sz w:val="16"/>
              </w:rPr>
              <w:t>Pinares</w:t>
            </w:r>
          </w:p>
        </w:tc>
        <w:tc>
          <w:tcPr>
            <w:tcW w:w="596" w:type="dxa"/>
          </w:tcPr>
          <w:p>
            <w:pPr>
              <w:pStyle w:val="TableParagraph"/>
              <w:ind w:right="70"/>
              <w:rPr>
                <w:rFonts w:ascii="Carlito"/>
                <w:sz w:val="16"/>
              </w:rPr>
            </w:pPr>
            <w:r>
              <w:rPr>
                <w:rFonts w:ascii="Carlito"/>
                <w:sz w:val="16"/>
              </w:rPr>
              <w:t>1</w:t>
            </w:r>
          </w:p>
        </w:tc>
        <w:tc>
          <w:tcPr>
            <w:tcW w:w="1379" w:type="dxa"/>
          </w:tcPr>
          <w:p>
            <w:pPr>
              <w:pStyle w:val="TableParagraph"/>
              <w:ind w:right="377"/>
              <w:rPr>
                <w:rFonts w:ascii="Carlito"/>
                <w:sz w:val="16"/>
              </w:rPr>
            </w:pPr>
            <w:r>
              <w:rPr>
                <w:rFonts w:ascii="Carlito"/>
                <w:sz w:val="16"/>
              </w:rPr>
              <w:t>$630,000.00</w:t>
            </w:r>
          </w:p>
        </w:tc>
        <w:tc>
          <w:tcPr>
            <w:tcW w:w="1041" w:type="dxa"/>
          </w:tcPr>
          <w:p>
            <w:pPr>
              <w:pStyle w:val="TableParagraph"/>
              <w:ind w:right="343"/>
              <w:rPr>
                <w:rFonts w:ascii="Carlito"/>
                <w:sz w:val="16"/>
              </w:rPr>
            </w:pPr>
            <w:r>
              <w:rPr>
                <w:rFonts w:ascii="Carlito"/>
                <w:sz w:val="16"/>
              </w:rPr>
              <w:t>440</w:t>
            </w:r>
          </w:p>
        </w:tc>
        <w:tc>
          <w:tcPr>
            <w:tcW w:w="1127" w:type="dxa"/>
          </w:tcPr>
          <w:p>
            <w:pPr>
              <w:pStyle w:val="TableParagraph"/>
              <w:ind w:left="313" w:right="440"/>
              <w:jc w:val="center"/>
              <w:rPr>
                <w:rFonts w:ascii="Carlito"/>
                <w:sz w:val="16"/>
              </w:rPr>
            </w:pPr>
            <w:r>
              <w:rPr>
                <w:rFonts w:ascii="Carlito"/>
                <w:sz w:val="16"/>
              </w:rPr>
              <w:t>2011</w:t>
            </w:r>
          </w:p>
        </w:tc>
        <w:tc>
          <w:tcPr>
            <w:tcW w:w="783" w:type="dxa"/>
          </w:tcPr>
          <w:p>
            <w:pPr>
              <w:pStyle w:val="TableParagraph"/>
              <w:ind w:right="239"/>
              <w:rPr>
                <w:rFonts w:ascii="Carlito"/>
                <w:sz w:val="16"/>
              </w:rPr>
            </w:pPr>
            <w:r>
              <w:rPr>
                <w:rFonts w:ascii="Carlito"/>
                <w:sz w:val="16"/>
              </w:rPr>
              <w:t>5</w:t>
            </w:r>
          </w:p>
        </w:tc>
        <w:tc>
          <w:tcPr>
            <w:tcW w:w="745" w:type="dxa"/>
          </w:tcPr>
          <w:p>
            <w:pPr>
              <w:pStyle w:val="TableParagraph"/>
              <w:ind w:right="303"/>
              <w:rPr>
                <w:rFonts w:ascii="Carlito"/>
                <w:sz w:val="16"/>
              </w:rPr>
            </w:pPr>
            <w:r>
              <w:rPr>
                <w:rFonts w:ascii="Carlito"/>
                <w:sz w:val="16"/>
              </w:rPr>
              <w:t>5</w:t>
            </w:r>
          </w:p>
        </w:tc>
        <w:tc>
          <w:tcPr>
            <w:tcW w:w="816" w:type="dxa"/>
          </w:tcPr>
          <w:p>
            <w:pPr>
              <w:pStyle w:val="TableParagraph"/>
              <w:ind w:left="297"/>
              <w:jc w:val="left"/>
              <w:rPr>
                <w:rFonts w:ascii="Carlito"/>
                <w:sz w:val="16"/>
              </w:rPr>
            </w:pPr>
            <w:r>
              <w:rPr>
                <w:rFonts w:ascii="Carlito"/>
                <w:sz w:val="16"/>
              </w:rPr>
              <w:t>1</w:t>
            </w:r>
          </w:p>
        </w:tc>
        <w:tc>
          <w:tcPr>
            <w:tcW w:w="1290" w:type="dxa"/>
          </w:tcPr>
          <w:p>
            <w:pPr>
              <w:pStyle w:val="TableParagraph"/>
              <w:ind w:right="577"/>
              <w:rPr>
                <w:rFonts w:ascii="Carlito"/>
                <w:sz w:val="16"/>
              </w:rPr>
            </w:pPr>
            <w:r>
              <w:rPr>
                <w:rFonts w:ascii="Carlito"/>
                <w:sz w:val="16"/>
              </w:rPr>
              <w:t>7.4</w:t>
            </w:r>
          </w:p>
        </w:tc>
        <w:tc>
          <w:tcPr>
            <w:tcW w:w="1140" w:type="dxa"/>
          </w:tcPr>
          <w:p>
            <w:pPr>
              <w:pStyle w:val="TableParagraph"/>
              <w:ind w:right="369"/>
              <w:rPr>
                <w:rFonts w:ascii="Carlito"/>
                <w:sz w:val="16"/>
              </w:rPr>
            </w:pPr>
            <w:r>
              <w:rPr>
                <w:rFonts w:ascii="Carlito"/>
                <w:sz w:val="16"/>
              </w:rPr>
              <w:t>3.6</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30</w:t>
            </w:r>
          </w:p>
        </w:tc>
        <w:tc>
          <w:tcPr>
            <w:tcW w:w="1938" w:type="dxa"/>
            <w:shd w:val="clear" w:color="auto" w:fill="D9D9D9"/>
          </w:tcPr>
          <w:p>
            <w:pPr>
              <w:pStyle w:val="TableParagraph"/>
              <w:spacing w:before="92"/>
              <w:ind w:left="143"/>
              <w:jc w:val="left"/>
              <w:rPr>
                <w:rFonts w:ascii="Carlito"/>
                <w:sz w:val="16"/>
              </w:rPr>
            </w:pPr>
            <w:r>
              <w:rPr>
                <w:rFonts w:ascii="Carlito"/>
                <w:sz w:val="16"/>
              </w:rPr>
              <w:t>Pinares</w:t>
            </w:r>
          </w:p>
        </w:tc>
        <w:tc>
          <w:tcPr>
            <w:tcW w:w="596" w:type="dxa"/>
            <w:shd w:val="clear" w:color="auto" w:fill="D9D9D9"/>
          </w:tcPr>
          <w:p>
            <w:pPr>
              <w:pStyle w:val="TableParagraph"/>
              <w:spacing w:before="92"/>
              <w:ind w:right="70"/>
              <w:rPr>
                <w:rFonts w:ascii="Carlito"/>
                <w:sz w:val="16"/>
              </w:rPr>
            </w:pPr>
            <w:r>
              <w:rPr>
                <w:rFonts w:ascii="Carlito"/>
                <w:sz w:val="16"/>
              </w:rPr>
              <w:t>1</w:t>
            </w:r>
          </w:p>
        </w:tc>
        <w:tc>
          <w:tcPr>
            <w:tcW w:w="1379" w:type="dxa"/>
            <w:shd w:val="clear" w:color="auto" w:fill="D9D9D9"/>
          </w:tcPr>
          <w:p>
            <w:pPr>
              <w:pStyle w:val="TableParagraph"/>
              <w:spacing w:before="92"/>
              <w:ind w:right="377"/>
              <w:rPr>
                <w:rFonts w:ascii="Carlito"/>
                <w:sz w:val="16"/>
              </w:rPr>
            </w:pPr>
            <w:r>
              <w:rPr>
                <w:rFonts w:ascii="Carlito"/>
                <w:sz w:val="16"/>
              </w:rPr>
              <w:t>$350,000.00</w:t>
            </w:r>
          </w:p>
        </w:tc>
        <w:tc>
          <w:tcPr>
            <w:tcW w:w="1041" w:type="dxa"/>
            <w:shd w:val="clear" w:color="auto" w:fill="D9D9D9"/>
          </w:tcPr>
          <w:p>
            <w:pPr>
              <w:pStyle w:val="TableParagraph"/>
              <w:spacing w:before="92"/>
              <w:ind w:right="343"/>
              <w:rPr>
                <w:rFonts w:ascii="Carlito"/>
                <w:sz w:val="16"/>
              </w:rPr>
            </w:pPr>
            <w:r>
              <w:rPr>
                <w:rFonts w:ascii="Carlito"/>
                <w:sz w:val="16"/>
              </w:rPr>
              <w:t>600</w:t>
            </w:r>
          </w:p>
        </w:tc>
        <w:tc>
          <w:tcPr>
            <w:tcW w:w="1127" w:type="dxa"/>
            <w:shd w:val="clear" w:color="auto" w:fill="D9D9D9"/>
          </w:tcPr>
          <w:p>
            <w:pPr>
              <w:pStyle w:val="TableParagraph"/>
              <w:spacing w:before="92"/>
              <w:ind w:left="313" w:right="440"/>
              <w:jc w:val="center"/>
              <w:rPr>
                <w:rFonts w:ascii="Carlito"/>
                <w:sz w:val="16"/>
              </w:rPr>
            </w:pPr>
            <w:r>
              <w:rPr>
                <w:rFonts w:ascii="Carlito"/>
                <w:sz w:val="16"/>
              </w:rPr>
              <w:t>2006</w:t>
            </w:r>
          </w:p>
        </w:tc>
        <w:tc>
          <w:tcPr>
            <w:tcW w:w="783" w:type="dxa"/>
            <w:shd w:val="clear" w:color="auto" w:fill="D9D9D9"/>
          </w:tcPr>
          <w:p>
            <w:pPr>
              <w:pStyle w:val="TableParagraph"/>
              <w:spacing w:before="92"/>
              <w:ind w:right="239"/>
              <w:rPr>
                <w:rFonts w:ascii="Carlito"/>
                <w:sz w:val="16"/>
              </w:rPr>
            </w:pPr>
            <w:r>
              <w:rPr>
                <w:rFonts w:ascii="Carlito"/>
                <w:sz w:val="16"/>
              </w:rPr>
              <w:t>5</w:t>
            </w:r>
          </w:p>
        </w:tc>
        <w:tc>
          <w:tcPr>
            <w:tcW w:w="745" w:type="dxa"/>
            <w:shd w:val="clear" w:color="auto" w:fill="D9D9D9"/>
          </w:tcPr>
          <w:p>
            <w:pPr>
              <w:pStyle w:val="TableParagraph"/>
              <w:spacing w:before="92"/>
              <w:ind w:right="303"/>
              <w:rPr>
                <w:rFonts w:ascii="Carlito"/>
                <w:sz w:val="16"/>
              </w:rPr>
            </w:pPr>
            <w:r>
              <w:rPr>
                <w:rFonts w:ascii="Carlito"/>
                <w:sz w:val="16"/>
              </w:rPr>
              <w:t>4</w:t>
            </w:r>
          </w:p>
        </w:tc>
        <w:tc>
          <w:tcPr>
            <w:tcW w:w="816" w:type="dxa"/>
            <w:shd w:val="clear" w:color="auto" w:fill="D9D9D9"/>
          </w:tcPr>
          <w:p>
            <w:pPr>
              <w:pStyle w:val="TableParagraph"/>
              <w:spacing w:before="92"/>
              <w:ind w:left="297"/>
              <w:jc w:val="left"/>
              <w:rPr>
                <w:rFonts w:ascii="Carlito"/>
                <w:sz w:val="16"/>
              </w:rPr>
            </w:pPr>
            <w:r>
              <w:rPr>
                <w:rFonts w:ascii="Carlito"/>
                <w:sz w:val="16"/>
              </w:rPr>
              <w:t>3</w:t>
            </w:r>
          </w:p>
        </w:tc>
        <w:tc>
          <w:tcPr>
            <w:tcW w:w="1290" w:type="dxa"/>
            <w:shd w:val="clear" w:color="auto" w:fill="D9D9D9"/>
          </w:tcPr>
          <w:p>
            <w:pPr>
              <w:pStyle w:val="TableParagraph"/>
              <w:spacing w:before="92"/>
              <w:ind w:right="577"/>
              <w:rPr>
                <w:rFonts w:ascii="Carlito"/>
                <w:sz w:val="16"/>
              </w:rPr>
            </w:pPr>
            <w:r>
              <w:rPr>
                <w:rFonts w:ascii="Carlito"/>
                <w:sz w:val="16"/>
              </w:rPr>
              <w:t>7.4</w:t>
            </w:r>
          </w:p>
        </w:tc>
        <w:tc>
          <w:tcPr>
            <w:tcW w:w="1140" w:type="dxa"/>
            <w:shd w:val="clear" w:color="auto" w:fill="D9D9D9"/>
          </w:tcPr>
          <w:p>
            <w:pPr>
              <w:pStyle w:val="TableParagraph"/>
              <w:spacing w:before="92"/>
              <w:ind w:right="369"/>
              <w:rPr>
                <w:rFonts w:ascii="Carlito"/>
                <w:sz w:val="16"/>
              </w:rPr>
            </w:pPr>
            <w:r>
              <w:rPr>
                <w:rFonts w:ascii="Carlito"/>
                <w:sz w:val="16"/>
              </w:rPr>
              <w:t>3.6</w:t>
            </w:r>
          </w:p>
        </w:tc>
        <w:tc>
          <w:tcPr>
            <w:tcW w:w="826" w:type="dxa"/>
            <w:shd w:val="clear" w:color="auto" w:fill="D9D9D9"/>
          </w:tcPr>
          <w:p>
            <w:pPr>
              <w:pStyle w:val="TableParagraph"/>
              <w:spacing w:before="92"/>
              <w:ind w:right="383"/>
              <w:rPr>
                <w:rFonts w:ascii="Carlito"/>
                <w:sz w:val="16"/>
              </w:rPr>
            </w:pPr>
            <w:r>
              <w:rPr>
                <w:rFonts w:ascii="Carlito"/>
                <w:sz w:val="16"/>
              </w:rPr>
              <w:t>0</w:t>
            </w:r>
          </w:p>
        </w:tc>
        <w:tc>
          <w:tcPr>
            <w:tcW w:w="530" w:type="dxa"/>
            <w:shd w:val="clear" w:color="auto" w:fill="D9D9D9"/>
          </w:tcPr>
          <w:p>
            <w:pPr>
              <w:pStyle w:val="TableParagraph"/>
              <w:spacing w:before="92"/>
              <w:ind w:right="69"/>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31</w:t>
            </w:r>
          </w:p>
        </w:tc>
        <w:tc>
          <w:tcPr>
            <w:tcW w:w="1938" w:type="dxa"/>
          </w:tcPr>
          <w:p>
            <w:pPr>
              <w:pStyle w:val="TableParagraph"/>
              <w:ind w:left="143"/>
              <w:jc w:val="left"/>
              <w:rPr>
                <w:rFonts w:ascii="Carlito"/>
                <w:sz w:val="16"/>
              </w:rPr>
            </w:pPr>
            <w:r>
              <w:rPr>
                <w:rFonts w:ascii="Carlito"/>
                <w:sz w:val="16"/>
              </w:rPr>
              <w:t>Lomas de Ayarco Sur</w:t>
            </w:r>
          </w:p>
        </w:tc>
        <w:tc>
          <w:tcPr>
            <w:tcW w:w="596" w:type="dxa"/>
          </w:tcPr>
          <w:p>
            <w:pPr>
              <w:pStyle w:val="TableParagraph"/>
              <w:ind w:right="70"/>
              <w:rPr>
                <w:rFonts w:ascii="Carlito"/>
                <w:sz w:val="16"/>
              </w:rPr>
            </w:pPr>
            <w:r>
              <w:rPr>
                <w:rFonts w:ascii="Carlito"/>
                <w:sz w:val="16"/>
              </w:rPr>
              <w:t>0</w:t>
            </w:r>
          </w:p>
        </w:tc>
        <w:tc>
          <w:tcPr>
            <w:tcW w:w="1379" w:type="dxa"/>
          </w:tcPr>
          <w:p>
            <w:pPr>
              <w:pStyle w:val="TableParagraph"/>
              <w:ind w:right="377"/>
              <w:rPr>
                <w:rFonts w:ascii="Carlito"/>
                <w:sz w:val="16"/>
              </w:rPr>
            </w:pPr>
            <w:r>
              <w:rPr>
                <w:rFonts w:ascii="Carlito"/>
                <w:sz w:val="16"/>
              </w:rPr>
              <w:t>$125,000.00</w:t>
            </w:r>
          </w:p>
        </w:tc>
        <w:tc>
          <w:tcPr>
            <w:tcW w:w="1041" w:type="dxa"/>
          </w:tcPr>
          <w:p>
            <w:pPr>
              <w:pStyle w:val="TableParagraph"/>
              <w:ind w:right="343"/>
              <w:rPr>
                <w:rFonts w:ascii="Carlito"/>
                <w:sz w:val="16"/>
              </w:rPr>
            </w:pPr>
            <w:r>
              <w:rPr>
                <w:rFonts w:ascii="Carlito"/>
                <w:sz w:val="16"/>
              </w:rPr>
              <w:t>80</w:t>
            </w:r>
          </w:p>
        </w:tc>
        <w:tc>
          <w:tcPr>
            <w:tcW w:w="1127" w:type="dxa"/>
          </w:tcPr>
          <w:p>
            <w:pPr>
              <w:pStyle w:val="TableParagraph"/>
              <w:ind w:left="313" w:right="440"/>
              <w:jc w:val="center"/>
              <w:rPr>
                <w:rFonts w:ascii="Carlito"/>
                <w:sz w:val="16"/>
              </w:rPr>
            </w:pPr>
            <w:r>
              <w:rPr>
                <w:rFonts w:ascii="Carlito"/>
                <w:sz w:val="16"/>
              </w:rPr>
              <w:t>2006</w:t>
            </w:r>
          </w:p>
        </w:tc>
        <w:tc>
          <w:tcPr>
            <w:tcW w:w="783" w:type="dxa"/>
          </w:tcPr>
          <w:p>
            <w:pPr>
              <w:pStyle w:val="TableParagraph"/>
              <w:ind w:right="239"/>
              <w:rPr>
                <w:rFonts w:ascii="Carlito"/>
                <w:sz w:val="16"/>
              </w:rPr>
            </w:pPr>
            <w:r>
              <w:rPr>
                <w:rFonts w:ascii="Carlito"/>
                <w:sz w:val="16"/>
              </w:rPr>
              <w:t>2</w:t>
            </w:r>
          </w:p>
        </w:tc>
        <w:tc>
          <w:tcPr>
            <w:tcW w:w="745" w:type="dxa"/>
          </w:tcPr>
          <w:p>
            <w:pPr>
              <w:pStyle w:val="TableParagraph"/>
              <w:ind w:right="303"/>
              <w:rPr>
                <w:rFonts w:ascii="Carlito"/>
                <w:sz w:val="16"/>
              </w:rPr>
            </w:pPr>
            <w:r>
              <w:rPr>
                <w:rFonts w:ascii="Carlito"/>
                <w:sz w:val="16"/>
              </w:rPr>
              <w:t>2</w:t>
            </w:r>
          </w:p>
        </w:tc>
        <w:tc>
          <w:tcPr>
            <w:tcW w:w="816" w:type="dxa"/>
          </w:tcPr>
          <w:p>
            <w:pPr>
              <w:pStyle w:val="TableParagraph"/>
              <w:ind w:left="297"/>
              <w:jc w:val="left"/>
              <w:rPr>
                <w:rFonts w:ascii="Carlito"/>
                <w:sz w:val="16"/>
              </w:rPr>
            </w:pPr>
            <w:r>
              <w:rPr>
                <w:rFonts w:ascii="Carlito"/>
                <w:sz w:val="16"/>
              </w:rPr>
              <w:t>3</w:t>
            </w:r>
          </w:p>
        </w:tc>
        <w:tc>
          <w:tcPr>
            <w:tcW w:w="1290" w:type="dxa"/>
          </w:tcPr>
          <w:p>
            <w:pPr>
              <w:pStyle w:val="TableParagraph"/>
              <w:ind w:right="577"/>
              <w:rPr>
                <w:rFonts w:ascii="Carlito"/>
                <w:sz w:val="16"/>
              </w:rPr>
            </w:pPr>
            <w:r>
              <w:rPr>
                <w:rFonts w:ascii="Carlito"/>
                <w:sz w:val="16"/>
              </w:rPr>
              <w:t>7.7</w:t>
            </w:r>
          </w:p>
        </w:tc>
        <w:tc>
          <w:tcPr>
            <w:tcW w:w="1140" w:type="dxa"/>
          </w:tcPr>
          <w:p>
            <w:pPr>
              <w:pStyle w:val="TableParagraph"/>
              <w:ind w:right="369"/>
              <w:rPr>
                <w:rFonts w:ascii="Carlito"/>
                <w:sz w:val="16"/>
              </w:rPr>
            </w:pPr>
            <w:r>
              <w:rPr>
                <w:rFonts w:ascii="Carlito"/>
                <w:sz w:val="16"/>
              </w:rPr>
              <w:t>3.6</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32</w:t>
            </w:r>
          </w:p>
        </w:tc>
        <w:tc>
          <w:tcPr>
            <w:tcW w:w="1938" w:type="dxa"/>
            <w:shd w:val="clear" w:color="auto" w:fill="D9D9D9"/>
          </w:tcPr>
          <w:p>
            <w:pPr>
              <w:pStyle w:val="TableParagraph"/>
              <w:ind w:left="143"/>
              <w:jc w:val="left"/>
              <w:rPr>
                <w:rFonts w:ascii="Carlito"/>
                <w:sz w:val="16"/>
              </w:rPr>
            </w:pPr>
            <w:r>
              <w:rPr>
                <w:rFonts w:ascii="Carlito"/>
                <w:sz w:val="16"/>
              </w:rPr>
              <w:t>Lomas de Ayarco Sur</w:t>
            </w:r>
          </w:p>
        </w:tc>
        <w:tc>
          <w:tcPr>
            <w:tcW w:w="596" w:type="dxa"/>
            <w:shd w:val="clear" w:color="auto" w:fill="D9D9D9"/>
          </w:tcPr>
          <w:p>
            <w:pPr>
              <w:pStyle w:val="TableParagraph"/>
              <w:ind w:right="70"/>
              <w:rPr>
                <w:rFonts w:ascii="Carlito"/>
                <w:sz w:val="16"/>
              </w:rPr>
            </w:pPr>
            <w:r>
              <w:rPr>
                <w:rFonts w:ascii="Carlito"/>
                <w:sz w:val="16"/>
              </w:rPr>
              <w:t>0</w:t>
            </w:r>
          </w:p>
        </w:tc>
        <w:tc>
          <w:tcPr>
            <w:tcW w:w="1379" w:type="dxa"/>
            <w:shd w:val="clear" w:color="auto" w:fill="D9D9D9"/>
          </w:tcPr>
          <w:p>
            <w:pPr>
              <w:pStyle w:val="TableParagraph"/>
              <w:ind w:right="377"/>
              <w:rPr>
                <w:rFonts w:ascii="Carlito"/>
                <w:sz w:val="16"/>
              </w:rPr>
            </w:pPr>
            <w:r>
              <w:rPr>
                <w:rFonts w:ascii="Carlito"/>
                <w:sz w:val="16"/>
              </w:rPr>
              <w:t>$160,000.00</w:t>
            </w:r>
          </w:p>
        </w:tc>
        <w:tc>
          <w:tcPr>
            <w:tcW w:w="1041" w:type="dxa"/>
            <w:shd w:val="clear" w:color="auto" w:fill="D9D9D9"/>
          </w:tcPr>
          <w:p>
            <w:pPr>
              <w:pStyle w:val="TableParagraph"/>
              <w:ind w:right="343"/>
              <w:rPr>
                <w:rFonts w:ascii="Carlito"/>
                <w:sz w:val="16"/>
              </w:rPr>
            </w:pPr>
            <w:r>
              <w:rPr>
                <w:rFonts w:ascii="Carlito"/>
                <w:sz w:val="16"/>
              </w:rPr>
              <w:t>135</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8"/>
              <w:rPr>
                <w:rFonts w:ascii="Carlito"/>
                <w:sz w:val="16"/>
              </w:rPr>
            </w:pPr>
            <w:r>
              <w:rPr>
                <w:rFonts w:ascii="Carlito"/>
                <w:sz w:val="16"/>
              </w:rPr>
              <w:t>2.5</w:t>
            </w:r>
          </w:p>
        </w:tc>
        <w:tc>
          <w:tcPr>
            <w:tcW w:w="816" w:type="dxa"/>
            <w:shd w:val="clear" w:color="auto" w:fill="D9D9D9"/>
          </w:tcPr>
          <w:p>
            <w:pPr>
              <w:pStyle w:val="TableParagraph"/>
              <w:ind w:left="297"/>
              <w:jc w:val="left"/>
              <w:rPr>
                <w:rFonts w:ascii="Carlito"/>
                <w:sz w:val="16"/>
              </w:rPr>
            </w:pPr>
            <w:r>
              <w:rPr>
                <w:rFonts w:ascii="Carlito"/>
                <w:sz w:val="16"/>
              </w:rPr>
              <w:t>2</w:t>
            </w:r>
          </w:p>
        </w:tc>
        <w:tc>
          <w:tcPr>
            <w:tcW w:w="1290" w:type="dxa"/>
            <w:shd w:val="clear" w:color="auto" w:fill="D9D9D9"/>
          </w:tcPr>
          <w:p>
            <w:pPr>
              <w:pStyle w:val="TableParagraph"/>
              <w:ind w:right="577"/>
              <w:rPr>
                <w:rFonts w:ascii="Carlito"/>
                <w:sz w:val="16"/>
              </w:rPr>
            </w:pPr>
            <w:r>
              <w:rPr>
                <w:rFonts w:ascii="Carlito"/>
                <w:sz w:val="16"/>
              </w:rPr>
              <w:t>8.8</w:t>
            </w:r>
          </w:p>
        </w:tc>
        <w:tc>
          <w:tcPr>
            <w:tcW w:w="1140" w:type="dxa"/>
            <w:shd w:val="clear" w:color="auto" w:fill="D9D9D9"/>
          </w:tcPr>
          <w:p>
            <w:pPr>
              <w:pStyle w:val="TableParagraph"/>
              <w:ind w:right="369"/>
              <w:rPr>
                <w:rFonts w:ascii="Carlito"/>
                <w:sz w:val="16"/>
              </w:rPr>
            </w:pPr>
            <w:r>
              <w:rPr>
                <w:rFonts w:ascii="Carlito"/>
                <w:sz w:val="16"/>
              </w:rPr>
              <w:t>2.8</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33</w:t>
            </w:r>
          </w:p>
        </w:tc>
        <w:tc>
          <w:tcPr>
            <w:tcW w:w="1938" w:type="dxa"/>
          </w:tcPr>
          <w:p>
            <w:pPr>
              <w:pStyle w:val="TableParagraph"/>
              <w:ind w:left="143"/>
              <w:jc w:val="left"/>
              <w:rPr>
                <w:rFonts w:ascii="Carlito"/>
                <w:sz w:val="16"/>
              </w:rPr>
            </w:pPr>
            <w:r>
              <w:rPr>
                <w:rFonts w:ascii="Carlito"/>
                <w:sz w:val="16"/>
              </w:rPr>
              <w:t>Guayabos</w:t>
            </w:r>
          </w:p>
        </w:tc>
        <w:tc>
          <w:tcPr>
            <w:tcW w:w="596" w:type="dxa"/>
          </w:tcPr>
          <w:p>
            <w:pPr>
              <w:pStyle w:val="TableParagraph"/>
              <w:ind w:right="70"/>
              <w:rPr>
                <w:rFonts w:ascii="Carlito"/>
                <w:sz w:val="16"/>
              </w:rPr>
            </w:pPr>
            <w:r>
              <w:rPr>
                <w:rFonts w:ascii="Carlito"/>
                <w:sz w:val="16"/>
              </w:rPr>
              <w:t>1</w:t>
            </w:r>
          </w:p>
        </w:tc>
        <w:tc>
          <w:tcPr>
            <w:tcW w:w="1379" w:type="dxa"/>
          </w:tcPr>
          <w:p>
            <w:pPr>
              <w:pStyle w:val="TableParagraph"/>
              <w:ind w:right="377"/>
              <w:rPr>
                <w:rFonts w:ascii="Carlito"/>
                <w:sz w:val="16"/>
              </w:rPr>
            </w:pPr>
            <w:r>
              <w:rPr>
                <w:rFonts w:ascii="Carlito"/>
                <w:sz w:val="16"/>
              </w:rPr>
              <w:t>$199,000.00</w:t>
            </w:r>
          </w:p>
        </w:tc>
        <w:tc>
          <w:tcPr>
            <w:tcW w:w="1041" w:type="dxa"/>
          </w:tcPr>
          <w:p>
            <w:pPr>
              <w:pStyle w:val="TableParagraph"/>
              <w:ind w:right="343"/>
              <w:rPr>
                <w:rFonts w:ascii="Carlito"/>
                <w:sz w:val="16"/>
              </w:rPr>
            </w:pPr>
            <w:r>
              <w:rPr>
                <w:rFonts w:ascii="Carlito"/>
                <w:sz w:val="16"/>
              </w:rPr>
              <w:t>210</w:t>
            </w:r>
          </w:p>
        </w:tc>
        <w:tc>
          <w:tcPr>
            <w:tcW w:w="1127" w:type="dxa"/>
          </w:tcPr>
          <w:p>
            <w:pPr>
              <w:pStyle w:val="TableParagraph"/>
              <w:ind w:left="313" w:right="440"/>
              <w:jc w:val="center"/>
              <w:rPr>
                <w:rFonts w:ascii="Carlito"/>
                <w:sz w:val="16"/>
              </w:rPr>
            </w:pPr>
            <w:r>
              <w:rPr>
                <w:rFonts w:ascii="Carlito"/>
                <w:sz w:val="16"/>
              </w:rPr>
              <w:t>2006</w:t>
            </w:r>
          </w:p>
        </w:tc>
        <w:tc>
          <w:tcPr>
            <w:tcW w:w="783" w:type="dxa"/>
          </w:tcPr>
          <w:p>
            <w:pPr>
              <w:pStyle w:val="TableParagraph"/>
              <w:ind w:right="239"/>
              <w:rPr>
                <w:rFonts w:ascii="Carlito"/>
                <w:sz w:val="16"/>
              </w:rPr>
            </w:pPr>
            <w:r>
              <w:rPr>
                <w:rFonts w:ascii="Carlito"/>
                <w:sz w:val="16"/>
              </w:rPr>
              <w:t>4</w:t>
            </w:r>
          </w:p>
        </w:tc>
        <w:tc>
          <w:tcPr>
            <w:tcW w:w="745" w:type="dxa"/>
          </w:tcPr>
          <w:p>
            <w:pPr>
              <w:pStyle w:val="TableParagraph"/>
              <w:ind w:right="308"/>
              <w:rPr>
                <w:rFonts w:ascii="Carlito"/>
                <w:sz w:val="16"/>
              </w:rPr>
            </w:pPr>
            <w:r>
              <w:rPr>
                <w:rFonts w:ascii="Carlito"/>
                <w:sz w:val="16"/>
              </w:rPr>
              <w:t>3.5</w:t>
            </w:r>
          </w:p>
        </w:tc>
        <w:tc>
          <w:tcPr>
            <w:tcW w:w="816" w:type="dxa"/>
          </w:tcPr>
          <w:p>
            <w:pPr>
              <w:pStyle w:val="TableParagraph"/>
              <w:ind w:left="297"/>
              <w:jc w:val="left"/>
              <w:rPr>
                <w:rFonts w:ascii="Carlito"/>
                <w:sz w:val="16"/>
              </w:rPr>
            </w:pPr>
            <w:r>
              <w:rPr>
                <w:rFonts w:ascii="Carlito"/>
                <w:sz w:val="16"/>
              </w:rPr>
              <w:t>2</w:t>
            </w:r>
          </w:p>
        </w:tc>
        <w:tc>
          <w:tcPr>
            <w:tcW w:w="1290" w:type="dxa"/>
          </w:tcPr>
          <w:p>
            <w:pPr>
              <w:pStyle w:val="TableParagraph"/>
              <w:ind w:right="578"/>
              <w:rPr>
                <w:rFonts w:ascii="Carlito"/>
                <w:sz w:val="16"/>
              </w:rPr>
            </w:pPr>
            <w:r>
              <w:rPr>
                <w:rFonts w:ascii="Carlito"/>
                <w:sz w:val="16"/>
              </w:rPr>
              <w:t>6.2</w:t>
            </w:r>
          </w:p>
        </w:tc>
        <w:tc>
          <w:tcPr>
            <w:tcW w:w="1140" w:type="dxa"/>
          </w:tcPr>
          <w:p>
            <w:pPr>
              <w:pStyle w:val="TableParagraph"/>
              <w:ind w:right="369"/>
              <w:rPr>
                <w:rFonts w:ascii="Carlito"/>
                <w:sz w:val="16"/>
              </w:rPr>
            </w:pPr>
            <w:r>
              <w:rPr>
                <w:rFonts w:ascii="Carlito"/>
                <w:sz w:val="16"/>
              </w:rPr>
              <w:t>4.1</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34</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596" w:type="dxa"/>
            <w:shd w:val="clear" w:color="auto" w:fill="D9D9D9"/>
          </w:tcPr>
          <w:p>
            <w:pPr>
              <w:pStyle w:val="TableParagraph"/>
              <w:ind w:right="70"/>
              <w:rPr>
                <w:rFonts w:ascii="Carlito"/>
                <w:sz w:val="16"/>
              </w:rPr>
            </w:pPr>
            <w:r>
              <w:rPr>
                <w:rFonts w:ascii="Carlito"/>
                <w:sz w:val="16"/>
              </w:rPr>
              <w:t>1</w:t>
            </w:r>
          </w:p>
        </w:tc>
        <w:tc>
          <w:tcPr>
            <w:tcW w:w="1379" w:type="dxa"/>
            <w:shd w:val="clear" w:color="auto" w:fill="D9D9D9"/>
          </w:tcPr>
          <w:p>
            <w:pPr>
              <w:pStyle w:val="TableParagraph"/>
              <w:ind w:right="377"/>
              <w:rPr>
                <w:rFonts w:ascii="Carlito"/>
                <w:sz w:val="16"/>
              </w:rPr>
            </w:pPr>
            <w:r>
              <w:rPr>
                <w:rFonts w:ascii="Carlito"/>
                <w:sz w:val="16"/>
              </w:rPr>
              <w:t>$1,575,000.00</w:t>
            </w:r>
          </w:p>
        </w:tc>
        <w:tc>
          <w:tcPr>
            <w:tcW w:w="1041" w:type="dxa"/>
            <w:shd w:val="clear" w:color="auto" w:fill="D9D9D9"/>
          </w:tcPr>
          <w:p>
            <w:pPr>
              <w:pStyle w:val="TableParagraph"/>
              <w:ind w:right="343"/>
              <w:rPr>
                <w:rFonts w:ascii="Carlito"/>
                <w:sz w:val="16"/>
              </w:rPr>
            </w:pPr>
            <w:r>
              <w:rPr>
                <w:rFonts w:ascii="Carlito"/>
                <w:sz w:val="16"/>
              </w:rPr>
              <w:t>1056</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5</w:t>
            </w:r>
          </w:p>
        </w:tc>
        <w:tc>
          <w:tcPr>
            <w:tcW w:w="745" w:type="dxa"/>
            <w:shd w:val="clear" w:color="auto" w:fill="D9D9D9"/>
          </w:tcPr>
          <w:p>
            <w:pPr>
              <w:pStyle w:val="TableParagraph"/>
              <w:ind w:right="303"/>
              <w:rPr>
                <w:rFonts w:ascii="Carlito"/>
                <w:sz w:val="16"/>
              </w:rPr>
            </w:pPr>
            <w:r>
              <w:rPr>
                <w:rFonts w:ascii="Carlito"/>
                <w:sz w:val="16"/>
              </w:rPr>
              <w:t>6</w:t>
            </w:r>
          </w:p>
        </w:tc>
        <w:tc>
          <w:tcPr>
            <w:tcW w:w="816" w:type="dxa"/>
            <w:shd w:val="clear" w:color="auto" w:fill="D9D9D9"/>
          </w:tcPr>
          <w:p>
            <w:pPr>
              <w:pStyle w:val="TableParagraph"/>
              <w:ind w:left="297"/>
              <w:jc w:val="left"/>
              <w:rPr>
                <w:rFonts w:ascii="Carlito"/>
                <w:sz w:val="16"/>
              </w:rPr>
            </w:pPr>
            <w:r>
              <w:rPr>
                <w:rFonts w:ascii="Carlito"/>
                <w:sz w:val="16"/>
              </w:rPr>
              <w:t>1</w:t>
            </w:r>
          </w:p>
        </w:tc>
        <w:tc>
          <w:tcPr>
            <w:tcW w:w="1290" w:type="dxa"/>
            <w:shd w:val="clear" w:color="auto" w:fill="D9D9D9"/>
          </w:tcPr>
          <w:p>
            <w:pPr>
              <w:pStyle w:val="TableParagraph"/>
              <w:ind w:right="577"/>
              <w:rPr>
                <w:rFonts w:ascii="Carlito"/>
                <w:sz w:val="16"/>
              </w:rPr>
            </w:pPr>
            <w:r>
              <w:rPr>
                <w:rFonts w:ascii="Carlito"/>
                <w:sz w:val="16"/>
              </w:rPr>
              <w:t>7.4</w:t>
            </w:r>
          </w:p>
        </w:tc>
        <w:tc>
          <w:tcPr>
            <w:tcW w:w="1140" w:type="dxa"/>
            <w:shd w:val="clear" w:color="auto" w:fill="D9D9D9"/>
          </w:tcPr>
          <w:p>
            <w:pPr>
              <w:pStyle w:val="TableParagraph"/>
              <w:ind w:right="365"/>
              <w:rPr>
                <w:rFonts w:ascii="Carlito"/>
                <w:sz w:val="16"/>
              </w:rPr>
            </w:pPr>
            <w:r>
              <w:rPr>
                <w:rFonts w:ascii="Carlito"/>
                <w:sz w:val="16"/>
              </w:rPr>
              <w:t>5</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1</w:t>
            </w:r>
          </w:p>
        </w:tc>
      </w:tr>
      <w:tr>
        <w:trPr>
          <w:trHeight w:val="288" w:hRule="atLeast"/>
        </w:trPr>
        <w:tc>
          <w:tcPr>
            <w:tcW w:w="756" w:type="dxa"/>
          </w:tcPr>
          <w:p>
            <w:pPr>
              <w:pStyle w:val="TableParagraph"/>
              <w:spacing w:before="92"/>
              <w:ind w:right="143"/>
              <w:rPr>
                <w:rFonts w:ascii="Carlito"/>
                <w:sz w:val="16"/>
              </w:rPr>
            </w:pPr>
            <w:r>
              <w:rPr>
                <w:rFonts w:ascii="Carlito"/>
                <w:sz w:val="16"/>
              </w:rPr>
              <w:t>35</w:t>
            </w:r>
          </w:p>
        </w:tc>
        <w:tc>
          <w:tcPr>
            <w:tcW w:w="1938" w:type="dxa"/>
          </w:tcPr>
          <w:p>
            <w:pPr>
              <w:pStyle w:val="TableParagraph"/>
              <w:spacing w:before="92"/>
              <w:ind w:left="143"/>
              <w:jc w:val="left"/>
              <w:rPr>
                <w:rFonts w:ascii="Carlito"/>
                <w:sz w:val="16"/>
              </w:rPr>
            </w:pPr>
            <w:r>
              <w:rPr>
                <w:rFonts w:ascii="Carlito"/>
                <w:sz w:val="16"/>
              </w:rPr>
              <w:t>Guayabos</w:t>
            </w:r>
          </w:p>
        </w:tc>
        <w:tc>
          <w:tcPr>
            <w:tcW w:w="596" w:type="dxa"/>
          </w:tcPr>
          <w:p>
            <w:pPr>
              <w:pStyle w:val="TableParagraph"/>
              <w:spacing w:before="92"/>
              <w:ind w:right="70"/>
              <w:rPr>
                <w:rFonts w:ascii="Carlito"/>
                <w:sz w:val="16"/>
              </w:rPr>
            </w:pPr>
            <w:r>
              <w:rPr>
                <w:rFonts w:ascii="Carlito"/>
                <w:sz w:val="16"/>
              </w:rPr>
              <w:t>1</w:t>
            </w:r>
          </w:p>
        </w:tc>
        <w:tc>
          <w:tcPr>
            <w:tcW w:w="1379" w:type="dxa"/>
          </w:tcPr>
          <w:p>
            <w:pPr>
              <w:pStyle w:val="TableParagraph"/>
              <w:spacing w:before="92"/>
              <w:ind w:right="377"/>
              <w:rPr>
                <w:rFonts w:ascii="Carlito"/>
                <w:sz w:val="16"/>
              </w:rPr>
            </w:pPr>
            <w:r>
              <w:rPr>
                <w:rFonts w:ascii="Carlito"/>
                <w:sz w:val="16"/>
              </w:rPr>
              <w:t>$460,000.00</w:t>
            </w:r>
          </w:p>
        </w:tc>
        <w:tc>
          <w:tcPr>
            <w:tcW w:w="1041" w:type="dxa"/>
          </w:tcPr>
          <w:p>
            <w:pPr>
              <w:pStyle w:val="TableParagraph"/>
              <w:spacing w:before="92"/>
              <w:ind w:right="343"/>
              <w:rPr>
                <w:rFonts w:ascii="Carlito"/>
                <w:sz w:val="16"/>
              </w:rPr>
            </w:pPr>
            <w:r>
              <w:rPr>
                <w:rFonts w:ascii="Carlito"/>
                <w:sz w:val="16"/>
              </w:rPr>
              <w:t>550</w:t>
            </w:r>
          </w:p>
        </w:tc>
        <w:tc>
          <w:tcPr>
            <w:tcW w:w="1127" w:type="dxa"/>
          </w:tcPr>
          <w:p>
            <w:pPr>
              <w:pStyle w:val="TableParagraph"/>
              <w:spacing w:before="92"/>
              <w:ind w:left="313" w:right="440"/>
              <w:jc w:val="center"/>
              <w:rPr>
                <w:rFonts w:ascii="Carlito"/>
                <w:sz w:val="16"/>
              </w:rPr>
            </w:pPr>
            <w:r>
              <w:rPr>
                <w:rFonts w:ascii="Carlito"/>
                <w:sz w:val="16"/>
              </w:rPr>
              <w:t>2006</w:t>
            </w:r>
          </w:p>
        </w:tc>
        <w:tc>
          <w:tcPr>
            <w:tcW w:w="783" w:type="dxa"/>
          </w:tcPr>
          <w:p>
            <w:pPr>
              <w:pStyle w:val="TableParagraph"/>
              <w:spacing w:before="92"/>
              <w:ind w:right="239"/>
              <w:rPr>
                <w:rFonts w:ascii="Carlito"/>
                <w:sz w:val="16"/>
              </w:rPr>
            </w:pPr>
            <w:r>
              <w:rPr>
                <w:rFonts w:ascii="Carlito"/>
                <w:sz w:val="16"/>
              </w:rPr>
              <w:t>5</w:t>
            </w:r>
          </w:p>
        </w:tc>
        <w:tc>
          <w:tcPr>
            <w:tcW w:w="745" w:type="dxa"/>
          </w:tcPr>
          <w:p>
            <w:pPr>
              <w:pStyle w:val="TableParagraph"/>
              <w:spacing w:before="92"/>
              <w:ind w:right="303"/>
              <w:rPr>
                <w:rFonts w:ascii="Carlito"/>
                <w:sz w:val="16"/>
              </w:rPr>
            </w:pPr>
            <w:r>
              <w:rPr>
                <w:rFonts w:ascii="Carlito"/>
                <w:sz w:val="16"/>
              </w:rPr>
              <w:t>4</w:t>
            </w:r>
          </w:p>
        </w:tc>
        <w:tc>
          <w:tcPr>
            <w:tcW w:w="816" w:type="dxa"/>
          </w:tcPr>
          <w:p>
            <w:pPr>
              <w:pStyle w:val="TableParagraph"/>
              <w:spacing w:before="92"/>
              <w:ind w:left="297"/>
              <w:jc w:val="left"/>
              <w:rPr>
                <w:rFonts w:ascii="Carlito"/>
                <w:sz w:val="16"/>
              </w:rPr>
            </w:pPr>
            <w:r>
              <w:rPr>
                <w:rFonts w:ascii="Carlito"/>
                <w:sz w:val="16"/>
              </w:rPr>
              <w:t>2</w:t>
            </w:r>
          </w:p>
        </w:tc>
        <w:tc>
          <w:tcPr>
            <w:tcW w:w="1290" w:type="dxa"/>
          </w:tcPr>
          <w:p>
            <w:pPr>
              <w:pStyle w:val="TableParagraph"/>
              <w:spacing w:before="92"/>
              <w:ind w:right="577"/>
              <w:rPr>
                <w:rFonts w:ascii="Carlito"/>
                <w:sz w:val="16"/>
              </w:rPr>
            </w:pPr>
            <w:r>
              <w:rPr>
                <w:rFonts w:ascii="Carlito"/>
                <w:sz w:val="16"/>
              </w:rPr>
              <w:t>7.4</w:t>
            </w:r>
          </w:p>
        </w:tc>
        <w:tc>
          <w:tcPr>
            <w:tcW w:w="1140" w:type="dxa"/>
          </w:tcPr>
          <w:p>
            <w:pPr>
              <w:pStyle w:val="TableParagraph"/>
              <w:spacing w:before="92"/>
              <w:ind w:right="365"/>
              <w:rPr>
                <w:rFonts w:ascii="Carlito"/>
                <w:sz w:val="16"/>
              </w:rPr>
            </w:pPr>
            <w:r>
              <w:rPr>
                <w:rFonts w:ascii="Carlito"/>
                <w:sz w:val="16"/>
              </w:rPr>
              <w:t>5</w:t>
            </w:r>
          </w:p>
        </w:tc>
        <w:tc>
          <w:tcPr>
            <w:tcW w:w="826" w:type="dxa"/>
          </w:tcPr>
          <w:p>
            <w:pPr>
              <w:pStyle w:val="TableParagraph"/>
              <w:spacing w:before="92"/>
              <w:ind w:right="383"/>
              <w:rPr>
                <w:rFonts w:ascii="Carlito"/>
                <w:sz w:val="16"/>
              </w:rPr>
            </w:pPr>
            <w:r>
              <w:rPr>
                <w:rFonts w:ascii="Carlito"/>
                <w:sz w:val="16"/>
              </w:rPr>
              <w:t>0</w:t>
            </w:r>
          </w:p>
        </w:tc>
        <w:tc>
          <w:tcPr>
            <w:tcW w:w="530" w:type="dxa"/>
          </w:tcPr>
          <w:p>
            <w:pPr>
              <w:pStyle w:val="TableParagraph"/>
              <w:spacing w:before="92"/>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36</w:t>
            </w:r>
          </w:p>
        </w:tc>
        <w:tc>
          <w:tcPr>
            <w:tcW w:w="1938" w:type="dxa"/>
            <w:shd w:val="clear" w:color="auto" w:fill="D9D9D9"/>
          </w:tcPr>
          <w:p>
            <w:pPr>
              <w:pStyle w:val="TableParagraph"/>
              <w:ind w:left="143"/>
              <w:jc w:val="left"/>
              <w:rPr>
                <w:rFonts w:ascii="Carlito"/>
                <w:sz w:val="16"/>
              </w:rPr>
            </w:pPr>
            <w:r>
              <w:rPr>
                <w:rFonts w:ascii="Carlito"/>
                <w:sz w:val="16"/>
              </w:rPr>
              <w:t>Lomas de Ayarco</w:t>
            </w:r>
          </w:p>
        </w:tc>
        <w:tc>
          <w:tcPr>
            <w:tcW w:w="596" w:type="dxa"/>
            <w:shd w:val="clear" w:color="auto" w:fill="D9D9D9"/>
          </w:tcPr>
          <w:p>
            <w:pPr>
              <w:pStyle w:val="TableParagraph"/>
              <w:ind w:right="70"/>
              <w:rPr>
                <w:rFonts w:ascii="Carlito"/>
                <w:sz w:val="16"/>
              </w:rPr>
            </w:pPr>
            <w:r>
              <w:rPr>
                <w:rFonts w:ascii="Carlito"/>
                <w:sz w:val="16"/>
              </w:rPr>
              <w:t>0</w:t>
            </w:r>
          </w:p>
        </w:tc>
        <w:tc>
          <w:tcPr>
            <w:tcW w:w="1379" w:type="dxa"/>
            <w:shd w:val="clear" w:color="auto" w:fill="D9D9D9"/>
          </w:tcPr>
          <w:p>
            <w:pPr>
              <w:pStyle w:val="TableParagraph"/>
              <w:ind w:right="377"/>
              <w:rPr>
                <w:rFonts w:ascii="Carlito"/>
                <w:sz w:val="16"/>
              </w:rPr>
            </w:pPr>
            <w:r>
              <w:rPr>
                <w:rFonts w:ascii="Carlito"/>
                <w:sz w:val="16"/>
              </w:rPr>
              <w:t>$178,000.00</w:t>
            </w:r>
          </w:p>
        </w:tc>
        <w:tc>
          <w:tcPr>
            <w:tcW w:w="1041" w:type="dxa"/>
            <w:shd w:val="clear" w:color="auto" w:fill="D9D9D9"/>
          </w:tcPr>
          <w:p>
            <w:pPr>
              <w:pStyle w:val="TableParagraph"/>
              <w:ind w:right="343"/>
              <w:rPr>
                <w:rFonts w:ascii="Carlito"/>
                <w:sz w:val="16"/>
              </w:rPr>
            </w:pPr>
            <w:r>
              <w:rPr>
                <w:rFonts w:ascii="Carlito"/>
                <w:sz w:val="16"/>
              </w:rPr>
              <w:t>101</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2</w:t>
            </w:r>
          </w:p>
        </w:tc>
        <w:tc>
          <w:tcPr>
            <w:tcW w:w="745" w:type="dxa"/>
            <w:shd w:val="clear" w:color="auto" w:fill="D9D9D9"/>
          </w:tcPr>
          <w:p>
            <w:pPr>
              <w:pStyle w:val="TableParagraph"/>
              <w:ind w:right="303"/>
              <w:rPr>
                <w:rFonts w:ascii="Carlito"/>
                <w:sz w:val="16"/>
              </w:rPr>
            </w:pPr>
            <w:r>
              <w:rPr>
                <w:rFonts w:ascii="Carlito"/>
                <w:sz w:val="16"/>
              </w:rPr>
              <w:t>2</w:t>
            </w:r>
          </w:p>
        </w:tc>
        <w:tc>
          <w:tcPr>
            <w:tcW w:w="816" w:type="dxa"/>
            <w:shd w:val="clear" w:color="auto" w:fill="D9D9D9"/>
          </w:tcPr>
          <w:p>
            <w:pPr>
              <w:pStyle w:val="TableParagraph"/>
              <w:ind w:left="297"/>
              <w:jc w:val="left"/>
              <w:rPr>
                <w:rFonts w:ascii="Carlito"/>
                <w:sz w:val="16"/>
              </w:rPr>
            </w:pPr>
            <w:r>
              <w:rPr>
                <w:rFonts w:ascii="Carlito"/>
                <w:sz w:val="16"/>
              </w:rPr>
              <w:t>1</w:t>
            </w:r>
          </w:p>
        </w:tc>
        <w:tc>
          <w:tcPr>
            <w:tcW w:w="1290" w:type="dxa"/>
            <w:shd w:val="clear" w:color="auto" w:fill="D9D9D9"/>
          </w:tcPr>
          <w:p>
            <w:pPr>
              <w:pStyle w:val="TableParagraph"/>
              <w:ind w:right="577"/>
              <w:rPr>
                <w:rFonts w:ascii="Carlito"/>
                <w:sz w:val="16"/>
              </w:rPr>
            </w:pPr>
            <w:r>
              <w:rPr>
                <w:rFonts w:ascii="Carlito"/>
                <w:sz w:val="16"/>
              </w:rPr>
              <w:t>8.55</w:t>
            </w:r>
          </w:p>
        </w:tc>
        <w:tc>
          <w:tcPr>
            <w:tcW w:w="1140" w:type="dxa"/>
            <w:shd w:val="clear" w:color="auto" w:fill="D9D9D9"/>
          </w:tcPr>
          <w:p>
            <w:pPr>
              <w:pStyle w:val="TableParagraph"/>
              <w:ind w:right="369"/>
              <w:rPr>
                <w:rFonts w:ascii="Carlito"/>
                <w:sz w:val="16"/>
              </w:rPr>
            </w:pPr>
            <w:r>
              <w:rPr>
                <w:rFonts w:ascii="Carlito"/>
                <w:sz w:val="16"/>
              </w:rPr>
              <w:t>2.9</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1</w:t>
            </w:r>
          </w:p>
        </w:tc>
      </w:tr>
      <w:tr>
        <w:trPr>
          <w:trHeight w:val="288" w:hRule="atLeast"/>
        </w:trPr>
        <w:tc>
          <w:tcPr>
            <w:tcW w:w="756" w:type="dxa"/>
          </w:tcPr>
          <w:p>
            <w:pPr>
              <w:pStyle w:val="TableParagraph"/>
              <w:spacing w:before="92"/>
              <w:ind w:right="143"/>
              <w:rPr>
                <w:rFonts w:ascii="Carlito"/>
                <w:sz w:val="16"/>
              </w:rPr>
            </w:pPr>
            <w:r>
              <w:rPr>
                <w:rFonts w:ascii="Carlito"/>
                <w:sz w:val="16"/>
              </w:rPr>
              <w:t>37</w:t>
            </w:r>
          </w:p>
        </w:tc>
        <w:tc>
          <w:tcPr>
            <w:tcW w:w="1938" w:type="dxa"/>
          </w:tcPr>
          <w:p>
            <w:pPr>
              <w:pStyle w:val="TableParagraph"/>
              <w:spacing w:before="92"/>
              <w:ind w:left="143"/>
              <w:jc w:val="left"/>
              <w:rPr>
                <w:rFonts w:ascii="Carlito"/>
                <w:sz w:val="16"/>
              </w:rPr>
            </w:pPr>
            <w:r>
              <w:rPr>
                <w:rFonts w:ascii="Carlito"/>
                <w:sz w:val="16"/>
              </w:rPr>
              <w:t>Lomas de Ayarco Sur</w:t>
            </w:r>
          </w:p>
        </w:tc>
        <w:tc>
          <w:tcPr>
            <w:tcW w:w="596" w:type="dxa"/>
          </w:tcPr>
          <w:p>
            <w:pPr>
              <w:pStyle w:val="TableParagraph"/>
              <w:spacing w:before="92"/>
              <w:ind w:right="70"/>
              <w:rPr>
                <w:rFonts w:ascii="Carlito"/>
                <w:sz w:val="16"/>
              </w:rPr>
            </w:pPr>
            <w:r>
              <w:rPr>
                <w:rFonts w:ascii="Carlito"/>
                <w:sz w:val="16"/>
              </w:rPr>
              <w:t>1</w:t>
            </w:r>
          </w:p>
        </w:tc>
        <w:tc>
          <w:tcPr>
            <w:tcW w:w="1379" w:type="dxa"/>
          </w:tcPr>
          <w:p>
            <w:pPr>
              <w:pStyle w:val="TableParagraph"/>
              <w:spacing w:before="92"/>
              <w:ind w:right="377"/>
              <w:rPr>
                <w:rFonts w:ascii="Carlito"/>
                <w:sz w:val="16"/>
              </w:rPr>
            </w:pPr>
            <w:r>
              <w:rPr>
                <w:rFonts w:ascii="Carlito"/>
                <w:sz w:val="16"/>
              </w:rPr>
              <w:t>$195,000.00</w:t>
            </w:r>
          </w:p>
        </w:tc>
        <w:tc>
          <w:tcPr>
            <w:tcW w:w="1041" w:type="dxa"/>
          </w:tcPr>
          <w:p>
            <w:pPr>
              <w:pStyle w:val="TableParagraph"/>
              <w:spacing w:before="92"/>
              <w:ind w:right="343"/>
              <w:rPr>
                <w:rFonts w:ascii="Carlito"/>
                <w:sz w:val="16"/>
              </w:rPr>
            </w:pPr>
            <w:r>
              <w:rPr>
                <w:rFonts w:ascii="Carlito"/>
                <w:sz w:val="16"/>
              </w:rPr>
              <w:t>170</w:t>
            </w:r>
          </w:p>
        </w:tc>
        <w:tc>
          <w:tcPr>
            <w:tcW w:w="1127" w:type="dxa"/>
          </w:tcPr>
          <w:p>
            <w:pPr>
              <w:pStyle w:val="TableParagraph"/>
              <w:spacing w:before="92"/>
              <w:ind w:left="313" w:right="440"/>
              <w:jc w:val="center"/>
              <w:rPr>
                <w:rFonts w:ascii="Carlito"/>
                <w:sz w:val="16"/>
              </w:rPr>
            </w:pPr>
            <w:r>
              <w:rPr>
                <w:rFonts w:ascii="Carlito"/>
                <w:sz w:val="16"/>
              </w:rPr>
              <w:t>2006</w:t>
            </w:r>
          </w:p>
        </w:tc>
        <w:tc>
          <w:tcPr>
            <w:tcW w:w="783" w:type="dxa"/>
          </w:tcPr>
          <w:p>
            <w:pPr>
              <w:pStyle w:val="TableParagraph"/>
              <w:spacing w:before="92"/>
              <w:ind w:right="239"/>
              <w:rPr>
                <w:rFonts w:ascii="Carlito"/>
                <w:sz w:val="16"/>
              </w:rPr>
            </w:pPr>
            <w:r>
              <w:rPr>
                <w:rFonts w:ascii="Carlito"/>
                <w:sz w:val="16"/>
              </w:rPr>
              <w:t>3</w:t>
            </w:r>
          </w:p>
        </w:tc>
        <w:tc>
          <w:tcPr>
            <w:tcW w:w="745" w:type="dxa"/>
          </w:tcPr>
          <w:p>
            <w:pPr>
              <w:pStyle w:val="TableParagraph"/>
              <w:spacing w:before="92"/>
              <w:ind w:right="308"/>
              <w:rPr>
                <w:rFonts w:ascii="Carlito"/>
                <w:sz w:val="16"/>
              </w:rPr>
            </w:pPr>
            <w:r>
              <w:rPr>
                <w:rFonts w:ascii="Carlito"/>
                <w:sz w:val="16"/>
              </w:rPr>
              <w:t>2.5</w:t>
            </w:r>
          </w:p>
        </w:tc>
        <w:tc>
          <w:tcPr>
            <w:tcW w:w="816" w:type="dxa"/>
          </w:tcPr>
          <w:p>
            <w:pPr>
              <w:pStyle w:val="TableParagraph"/>
              <w:spacing w:before="92"/>
              <w:ind w:left="297"/>
              <w:jc w:val="left"/>
              <w:rPr>
                <w:rFonts w:ascii="Carlito"/>
                <w:sz w:val="16"/>
              </w:rPr>
            </w:pPr>
            <w:r>
              <w:rPr>
                <w:rFonts w:ascii="Carlito"/>
                <w:sz w:val="16"/>
              </w:rPr>
              <w:t>2</w:t>
            </w:r>
          </w:p>
        </w:tc>
        <w:tc>
          <w:tcPr>
            <w:tcW w:w="1290" w:type="dxa"/>
          </w:tcPr>
          <w:p>
            <w:pPr>
              <w:pStyle w:val="TableParagraph"/>
              <w:spacing w:before="92"/>
              <w:ind w:right="577"/>
              <w:rPr>
                <w:rFonts w:ascii="Carlito"/>
                <w:sz w:val="16"/>
              </w:rPr>
            </w:pPr>
            <w:r>
              <w:rPr>
                <w:rFonts w:ascii="Carlito"/>
                <w:sz w:val="16"/>
              </w:rPr>
              <w:t>8.8</w:t>
            </w:r>
          </w:p>
        </w:tc>
        <w:tc>
          <w:tcPr>
            <w:tcW w:w="1140" w:type="dxa"/>
          </w:tcPr>
          <w:p>
            <w:pPr>
              <w:pStyle w:val="TableParagraph"/>
              <w:spacing w:before="92"/>
              <w:ind w:right="369"/>
              <w:rPr>
                <w:rFonts w:ascii="Carlito"/>
                <w:sz w:val="16"/>
              </w:rPr>
            </w:pPr>
            <w:r>
              <w:rPr>
                <w:rFonts w:ascii="Carlito"/>
                <w:sz w:val="16"/>
              </w:rPr>
              <w:t>2.8</w:t>
            </w:r>
          </w:p>
        </w:tc>
        <w:tc>
          <w:tcPr>
            <w:tcW w:w="826" w:type="dxa"/>
          </w:tcPr>
          <w:p>
            <w:pPr>
              <w:pStyle w:val="TableParagraph"/>
              <w:spacing w:before="92"/>
              <w:ind w:right="383"/>
              <w:rPr>
                <w:rFonts w:ascii="Carlito"/>
                <w:sz w:val="16"/>
              </w:rPr>
            </w:pPr>
            <w:r>
              <w:rPr>
                <w:rFonts w:ascii="Carlito"/>
                <w:sz w:val="16"/>
              </w:rPr>
              <w:t>0</w:t>
            </w:r>
          </w:p>
        </w:tc>
        <w:tc>
          <w:tcPr>
            <w:tcW w:w="530" w:type="dxa"/>
          </w:tcPr>
          <w:p>
            <w:pPr>
              <w:pStyle w:val="TableParagraph"/>
              <w:spacing w:before="92"/>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38</w:t>
            </w:r>
          </w:p>
        </w:tc>
        <w:tc>
          <w:tcPr>
            <w:tcW w:w="1938" w:type="dxa"/>
            <w:shd w:val="clear" w:color="auto" w:fill="D9D9D9"/>
          </w:tcPr>
          <w:p>
            <w:pPr>
              <w:pStyle w:val="TableParagraph"/>
              <w:ind w:left="143"/>
              <w:jc w:val="left"/>
              <w:rPr>
                <w:rFonts w:ascii="Carlito"/>
                <w:sz w:val="16"/>
              </w:rPr>
            </w:pPr>
            <w:r>
              <w:rPr>
                <w:rFonts w:ascii="Carlito"/>
                <w:sz w:val="16"/>
              </w:rPr>
              <w:t>Lomas de Ayarco</w:t>
            </w:r>
          </w:p>
        </w:tc>
        <w:tc>
          <w:tcPr>
            <w:tcW w:w="596" w:type="dxa"/>
            <w:shd w:val="clear" w:color="auto" w:fill="D9D9D9"/>
          </w:tcPr>
          <w:p>
            <w:pPr>
              <w:pStyle w:val="TableParagraph"/>
              <w:ind w:right="70"/>
              <w:rPr>
                <w:rFonts w:ascii="Carlito"/>
                <w:sz w:val="16"/>
              </w:rPr>
            </w:pPr>
            <w:r>
              <w:rPr>
                <w:rFonts w:ascii="Carlito"/>
                <w:sz w:val="16"/>
              </w:rPr>
              <w:t>0</w:t>
            </w:r>
          </w:p>
        </w:tc>
        <w:tc>
          <w:tcPr>
            <w:tcW w:w="1379" w:type="dxa"/>
            <w:shd w:val="clear" w:color="auto" w:fill="D9D9D9"/>
          </w:tcPr>
          <w:p>
            <w:pPr>
              <w:pStyle w:val="TableParagraph"/>
              <w:ind w:right="377"/>
              <w:rPr>
                <w:rFonts w:ascii="Carlito"/>
                <w:sz w:val="16"/>
              </w:rPr>
            </w:pPr>
            <w:r>
              <w:rPr>
                <w:rFonts w:ascii="Carlito"/>
                <w:sz w:val="16"/>
              </w:rPr>
              <w:t>$230,000.00</w:t>
            </w:r>
          </w:p>
        </w:tc>
        <w:tc>
          <w:tcPr>
            <w:tcW w:w="1041" w:type="dxa"/>
            <w:shd w:val="clear" w:color="auto" w:fill="D9D9D9"/>
          </w:tcPr>
          <w:p>
            <w:pPr>
              <w:pStyle w:val="TableParagraph"/>
              <w:ind w:right="343"/>
              <w:rPr>
                <w:rFonts w:ascii="Carlito"/>
                <w:sz w:val="16"/>
              </w:rPr>
            </w:pPr>
            <w:r>
              <w:rPr>
                <w:rFonts w:ascii="Carlito"/>
                <w:sz w:val="16"/>
              </w:rPr>
              <w:t>200</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4</w:t>
            </w:r>
          </w:p>
        </w:tc>
        <w:tc>
          <w:tcPr>
            <w:tcW w:w="745" w:type="dxa"/>
            <w:shd w:val="clear" w:color="auto" w:fill="D9D9D9"/>
          </w:tcPr>
          <w:p>
            <w:pPr>
              <w:pStyle w:val="TableParagraph"/>
              <w:ind w:right="303"/>
              <w:rPr>
                <w:rFonts w:ascii="Carlito"/>
                <w:sz w:val="16"/>
              </w:rPr>
            </w:pPr>
            <w:r>
              <w:rPr>
                <w:rFonts w:ascii="Carlito"/>
                <w:sz w:val="16"/>
              </w:rPr>
              <w:t>4</w:t>
            </w:r>
          </w:p>
        </w:tc>
        <w:tc>
          <w:tcPr>
            <w:tcW w:w="816" w:type="dxa"/>
            <w:shd w:val="clear" w:color="auto" w:fill="D9D9D9"/>
          </w:tcPr>
          <w:p>
            <w:pPr>
              <w:pStyle w:val="TableParagraph"/>
              <w:ind w:left="297"/>
              <w:jc w:val="left"/>
              <w:rPr>
                <w:rFonts w:ascii="Carlito"/>
                <w:sz w:val="16"/>
              </w:rPr>
            </w:pPr>
            <w:r>
              <w:rPr>
                <w:rFonts w:ascii="Carlito"/>
                <w:sz w:val="16"/>
              </w:rPr>
              <w:t>2</w:t>
            </w:r>
          </w:p>
        </w:tc>
        <w:tc>
          <w:tcPr>
            <w:tcW w:w="1290" w:type="dxa"/>
            <w:shd w:val="clear" w:color="auto" w:fill="D9D9D9"/>
          </w:tcPr>
          <w:p>
            <w:pPr>
              <w:pStyle w:val="TableParagraph"/>
              <w:ind w:right="577"/>
              <w:rPr>
                <w:rFonts w:ascii="Carlito"/>
                <w:sz w:val="16"/>
              </w:rPr>
            </w:pPr>
            <w:r>
              <w:rPr>
                <w:rFonts w:ascii="Carlito"/>
                <w:sz w:val="16"/>
              </w:rPr>
              <w:t>8.55</w:t>
            </w:r>
          </w:p>
        </w:tc>
        <w:tc>
          <w:tcPr>
            <w:tcW w:w="1140" w:type="dxa"/>
            <w:shd w:val="clear" w:color="auto" w:fill="D9D9D9"/>
          </w:tcPr>
          <w:p>
            <w:pPr>
              <w:pStyle w:val="TableParagraph"/>
              <w:ind w:right="369"/>
              <w:rPr>
                <w:rFonts w:ascii="Carlito"/>
                <w:sz w:val="16"/>
              </w:rPr>
            </w:pPr>
            <w:r>
              <w:rPr>
                <w:rFonts w:ascii="Carlito"/>
                <w:sz w:val="16"/>
              </w:rPr>
              <w:t>2.9</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39</w:t>
            </w:r>
          </w:p>
        </w:tc>
        <w:tc>
          <w:tcPr>
            <w:tcW w:w="1938" w:type="dxa"/>
          </w:tcPr>
          <w:p>
            <w:pPr>
              <w:pStyle w:val="TableParagraph"/>
              <w:spacing w:before="92"/>
              <w:ind w:left="143"/>
              <w:jc w:val="left"/>
              <w:rPr>
                <w:rFonts w:ascii="Carlito"/>
                <w:sz w:val="16"/>
              </w:rPr>
            </w:pPr>
            <w:r>
              <w:rPr>
                <w:rFonts w:ascii="Carlito"/>
                <w:sz w:val="16"/>
              </w:rPr>
              <w:t>Lomas de Ayarco Sur</w:t>
            </w:r>
          </w:p>
        </w:tc>
        <w:tc>
          <w:tcPr>
            <w:tcW w:w="596" w:type="dxa"/>
          </w:tcPr>
          <w:p>
            <w:pPr>
              <w:pStyle w:val="TableParagraph"/>
              <w:spacing w:before="92"/>
              <w:ind w:right="70"/>
              <w:rPr>
                <w:rFonts w:ascii="Carlito"/>
                <w:sz w:val="16"/>
              </w:rPr>
            </w:pPr>
            <w:r>
              <w:rPr>
                <w:rFonts w:ascii="Carlito"/>
                <w:sz w:val="16"/>
              </w:rPr>
              <w:t>1</w:t>
            </w:r>
          </w:p>
        </w:tc>
        <w:tc>
          <w:tcPr>
            <w:tcW w:w="1379" w:type="dxa"/>
          </w:tcPr>
          <w:p>
            <w:pPr>
              <w:pStyle w:val="TableParagraph"/>
              <w:spacing w:before="92"/>
              <w:ind w:right="377"/>
              <w:rPr>
                <w:rFonts w:ascii="Carlito"/>
                <w:sz w:val="16"/>
              </w:rPr>
            </w:pPr>
            <w:r>
              <w:rPr>
                <w:rFonts w:ascii="Carlito"/>
                <w:sz w:val="16"/>
              </w:rPr>
              <w:t>$480,000.00</w:t>
            </w:r>
          </w:p>
        </w:tc>
        <w:tc>
          <w:tcPr>
            <w:tcW w:w="1041" w:type="dxa"/>
          </w:tcPr>
          <w:p>
            <w:pPr>
              <w:pStyle w:val="TableParagraph"/>
              <w:spacing w:before="92"/>
              <w:ind w:right="343"/>
              <w:rPr>
                <w:rFonts w:ascii="Carlito"/>
                <w:sz w:val="16"/>
              </w:rPr>
            </w:pPr>
            <w:r>
              <w:rPr>
                <w:rFonts w:ascii="Carlito"/>
                <w:sz w:val="16"/>
              </w:rPr>
              <w:t>500</w:t>
            </w:r>
          </w:p>
        </w:tc>
        <w:tc>
          <w:tcPr>
            <w:tcW w:w="1127" w:type="dxa"/>
          </w:tcPr>
          <w:p>
            <w:pPr>
              <w:pStyle w:val="TableParagraph"/>
              <w:spacing w:before="92"/>
              <w:ind w:left="313" w:right="440"/>
              <w:jc w:val="center"/>
              <w:rPr>
                <w:rFonts w:ascii="Carlito"/>
                <w:sz w:val="16"/>
              </w:rPr>
            </w:pPr>
            <w:r>
              <w:rPr>
                <w:rFonts w:ascii="Carlito"/>
                <w:sz w:val="16"/>
              </w:rPr>
              <w:t>2006</w:t>
            </w:r>
          </w:p>
        </w:tc>
        <w:tc>
          <w:tcPr>
            <w:tcW w:w="783" w:type="dxa"/>
          </w:tcPr>
          <w:p>
            <w:pPr>
              <w:pStyle w:val="TableParagraph"/>
              <w:spacing w:before="92"/>
              <w:ind w:right="239"/>
              <w:rPr>
                <w:rFonts w:ascii="Carlito"/>
                <w:sz w:val="16"/>
              </w:rPr>
            </w:pPr>
            <w:r>
              <w:rPr>
                <w:rFonts w:ascii="Carlito"/>
                <w:sz w:val="16"/>
              </w:rPr>
              <w:t>5</w:t>
            </w:r>
          </w:p>
        </w:tc>
        <w:tc>
          <w:tcPr>
            <w:tcW w:w="745" w:type="dxa"/>
          </w:tcPr>
          <w:p>
            <w:pPr>
              <w:pStyle w:val="TableParagraph"/>
              <w:spacing w:before="92"/>
              <w:ind w:right="303"/>
              <w:rPr>
                <w:rFonts w:ascii="Carlito"/>
                <w:sz w:val="16"/>
              </w:rPr>
            </w:pPr>
            <w:r>
              <w:rPr>
                <w:rFonts w:ascii="Carlito"/>
                <w:sz w:val="16"/>
              </w:rPr>
              <w:t>4</w:t>
            </w:r>
          </w:p>
        </w:tc>
        <w:tc>
          <w:tcPr>
            <w:tcW w:w="816" w:type="dxa"/>
          </w:tcPr>
          <w:p>
            <w:pPr>
              <w:pStyle w:val="TableParagraph"/>
              <w:spacing w:before="92"/>
              <w:ind w:left="297"/>
              <w:jc w:val="left"/>
              <w:rPr>
                <w:rFonts w:ascii="Carlito"/>
                <w:sz w:val="16"/>
              </w:rPr>
            </w:pPr>
            <w:r>
              <w:rPr>
                <w:rFonts w:ascii="Carlito"/>
                <w:sz w:val="16"/>
              </w:rPr>
              <w:t>2</w:t>
            </w:r>
          </w:p>
        </w:tc>
        <w:tc>
          <w:tcPr>
            <w:tcW w:w="1290" w:type="dxa"/>
          </w:tcPr>
          <w:p>
            <w:pPr>
              <w:pStyle w:val="TableParagraph"/>
              <w:spacing w:before="92"/>
              <w:ind w:right="577"/>
              <w:rPr>
                <w:rFonts w:ascii="Carlito"/>
                <w:sz w:val="16"/>
              </w:rPr>
            </w:pPr>
            <w:r>
              <w:rPr>
                <w:rFonts w:ascii="Carlito"/>
                <w:sz w:val="16"/>
              </w:rPr>
              <w:t>8.8</w:t>
            </w:r>
          </w:p>
        </w:tc>
        <w:tc>
          <w:tcPr>
            <w:tcW w:w="1140" w:type="dxa"/>
          </w:tcPr>
          <w:p>
            <w:pPr>
              <w:pStyle w:val="TableParagraph"/>
              <w:spacing w:before="92"/>
              <w:ind w:right="369"/>
              <w:rPr>
                <w:rFonts w:ascii="Carlito"/>
                <w:sz w:val="16"/>
              </w:rPr>
            </w:pPr>
            <w:r>
              <w:rPr>
                <w:rFonts w:ascii="Carlito"/>
                <w:sz w:val="16"/>
              </w:rPr>
              <w:t>2.8</w:t>
            </w:r>
          </w:p>
        </w:tc>
        <w:tc>
          <w:tcPr>
            <w:tcW w:w="826" w:type="dxa"/>
          </w:tcPr>
          <w:p>
            <w:pPr>
              <w:pStyle w:val="TableParagraph"/>
              <w:spacing w:before="92"/>
              <w:ind w:right="383"/>
              <w:rPr>
                <w:rFonts w:ascii="Carlito"/>
                <w:sz w:val="16"/>
              </w:rPr>
            </w:pPr>
            <w:r>
              <w:rPr>
                <w:rFonts w:ascii="Carlito"/>
                <w:sz w:val="16"/>
              </w:rPr>
              <w:t>0</w:t>
            </w:r>
          </w:p>
        </w:tc>
        <w:tc>
          <w:tcPr>
            <w:tcW w:w="530" w:type="dxa"/>
          </w:tcPr>
          <w:p>
            <w:pPr>
              <w:pStyle w:val="TableParagraph"/>
              <w:spacing w:before="92"/>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40</w:t>
            </w:r>
          </w:p>
        </w:tc>
        <w:tc>
          <w:tcPr>
            <w:tcW w:w="1938" w:type="dxa"/>
            <w:shd w:val="clear" w:color="auto" w:fill="D9D9D9"/>
          </w:tcPr>
          <w:p>
            <w:pPr>
              <w:pStyle w:val="TableParagraph"/>
              <w:ind w:left="143"/>
              <w:jc w:val="left"/>
              <w:rPr>
                <w:rFonts w:ascii="Carlito"/>
                <w:sz w:val="16"/>
              </w:rPr>
            </w:pPr>
            <w:r>
              <w:rPr>
                <w:rFonts w:ascii="Carlito"/>
                <w:sz w:val="16"/>
              </w:rPr>
              <w:t>Pinares</w:t>
            </w:r>
          </w:p>
        </w:tc>
        <w:tc>
          <w:tcPr>
            <w:tcW w:w="596" w:type="dxa"/>
            <w:shd w:val="clear" w:color="auto" w:fill="D9D9D9"/>
          </w:tcPr>
          <w:p>
            <w:pPr>
              <w:pStyle w:val="TableParagraph"/>
              <w:ind w:right="70"/>
              <w:rPr>
                <w:rFonts w:ascii="Carlito"/>
                <w:sz w:val="16"/>
              </w:rPr>
            </w:pPr>
            <w:r>
              <w:rPr>
                <w:rFonts w:ascii="Carlito"/>
                <w:sz w:val="16"/>
              </w:rPr>
              <w:t>1</w:t>
            </w:r>
          </w:p>
        </w:tc>
        <w:tc>
          <w:tcPr>
            <w:tcW w:w="1379" w:type="dxa"/>
            <w:shd w:val="clear" w:color="auto" w:fill="D9D9D9"/>
          </w:tcPr>
          <w:p>
            <w:pPr>
              <w:pStyle w:val="TableParagraph"/>
              <w:ind w:right="377"/>
              <w:rPr>
                <w:rFonts w:ascii="Carlito"/>
                <w:sz w:val="16"/>
              </w:rPr>
            </w:pPr>
            <w:r>
              <w:rPr>
                <w:rFonts w:ascii="Carlito"/>
                <w:sz w:val="16"/>
              </w:rPr>
              <w:t>$875,000.00</w:t>
            </w:r>
          </w:p>
        </w:tc>
        <w:tc>
          <w:tcPr>
            <w:tcW w:w="1041" w:type="dxa"/>
            <w:shd w:val="clear" w:color="auto" w:fill="D9D9D9"/>
          </w:tcPr>
          <w:p>
            <w:pPr>
              <w:pStyle w:val="TableParagraph"/>
              <w:ind w:right="343"/>
              <w:rPr>
                <w:rFonts w:ascii="Carlito"/>
                <w:sz w:val="16"/>
              </w:rPr>
            </w:pPr>
            <w:r>
              <w:rPr>
                <w:rFonts w:ascii="Carlito"/>
                <w:sz w:val="16"/>
              </w:rPr>
              <w:t>580</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5</w:t>
            </w:r>
          </w:p>
        </w:tc>
        <w:tc>
          <w:tcPr>
            <w:tcW w:w="745" w:type="dxa"/>
            <w:shd w:val="clear" w:color="auto" w:fill="D9D9D9"/>
          </w:tcPr>
          <w:p>
            <w:pPr>
              <w:pStyle w:val="TableParagraph"/>
              <w:ind w:right="303"/>
              <w:rPr>
                <w:rFonts w:ascii="Carlito"/>
                <w:sz w:val="16"/>
              </w:rPr>
            </w:pPr>
            <w:r>
              <w:rPr>
                <w:rFonts w:ascii="Carlito"/>
                <w:sz w:val="16"/>
              </w:rPr>
              <w:t>5</w:t>
            </w:r>
          </w:p>
        </w:tc>
        <w:tc>
          <w:tcPr>
            <w:tcW w:w="816" w:type="dxa"/>
            <w:shd w:val="clear" w:color="auto" w:fill="D9D9D9"/>
          </w:tcPr>
          <w:p>
            <w:pPr>
              <w:pStyle w:val="TableParagraph"/>
              <w:ind w:left="297"/>
              <w:jc w:val="left"/>
              <w:rPr>
                <w:rFonts w:ascii="Carlito"/>
                <w:sz w:val="16"/>
              </w:rPr>
            </w:pPr>
            <w:r>
              <w:rPr>
                <w:rFonts w:ascii="Carlito"/>
                <w:sz w:val="16"/>
              </w:rPr>
              <w:t>2</w:t>
            </w:r>
          </w:p>
        </w:tc>
        <w:tc>
          <w:tcPr>
            <w:tcW w:w="1290" w:type="dxa"/>
            <w:shd w:val="clear" w:color="auto" w:fill="D9D9D9"/>
          </w:tcPr>
          <w:p>
            <w:pPr>
              <w:pStyle w:val="TableParagraph"/>
              <w:ind w:right="577"/>
              <w:rPr>
                <w:rFonts w:ascii="Carlito"/>
                <w:sz w:val="16"/>
              </w:rPr>
            </w:pPr>
            <w:r>
              <w:rPr>
                <w:rFonts w:ascii="Carlito"/>
                <w:sz w:val="16"/>
              </w:rPr>
              <w:t>7.4</w:t>
            </w:r>
          </w:p>
        </w:tc>
        <w:tc>
          <w:tcPr>
            <w:tcW w:w="1140" w:type="dxa"/>
            <w:shd w:val="clear" w:color="auto" w:fill="D9D9D9"/>
          </w:tcPr>
          <w:p>
            <w:pPr>
              <w:pStyle w:val="TableParagraph"/>
              <w:ind w:right="369"/>
              <w:rPr>
                <w:rFonts w:ascii="Carlito"/>
                <w:sz w:val="16"/>
              </w:rPr>
            </w:pPr>
            <w:r>
              <w:rPr>
                <w:rFonts w:ascii="Carlito"/>
                <w:sz w:val="16"/>
              </w:rPr>
              <w:t>3.6</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1</w:t>
            </w:r>
          </w:p>
        </w:tc>
      </w:tr>
      <w:tr>
        <w:trPr>
          <w:trHeight w:val="288" w:hRule="atLeast"/>
        </w:trPr>
        <w:tc>
          <w:tcPr>
            <w:tcW w:w="756" w:type="dxa"/>
          </w:tcPr>
          <w:p>
            <w:pPr>
              <w:pStyle w:val="TableParagraph"/>
              <w:spacing w:before="92"/>
              <w:ind w:right="143"/>
              <w:rPr>
                <w:rFonts w:ascii="Carlito"/>
                <w:sz w:val="16"/>
              </w:rPr>
            </w:pPr>
            <w:r>
              <w:rPr>
                <w:rFonts w:ascii="Carlito"/>
                <w:sz w:val="16"/>
              </w:rPr>
              <w:t>41</w:t>
            </w:r>
          </w:p>
        </w:tc>
        <w:tc>
          <w:tcPr>
            <w:tcW w:w="1938" w:type="dxa"/>
          </w:tcPr>
          <w:p>
            <w:pPr>
              <w:pStyle w:val="TableParagraph"/>
              <w:spacing w:before="92"/>
              <w:ind w:left="143"/>
              <w:jc w:val="left"/>
              <w:rPr>
                <w:rFonts w:ascii="Carlito"/>
                <w:sz w:val="16"/>
              </w:rPr>
            </w:pPr>
            <w:r>
              <w:rPr>
                <w:rFonts w:ascii="Carlito"/>
                <w:sz w:val="16"/>
              </w:rPr>
              <w:t>Pinares</w:t>
            </w:r>
          </w:p>
        </w:tc>
        <w:tc>
          <w:tcPr>
            <w:tcW w:w="596" w:type="dxa"/>
          </w:tcPr>
          <w:p>
            <w:pPr>
              <w:pStyle w:val="TableParagraph"/>
              <w:spacing w:before="92"/>
              <w:ind w:right="70"/>
              <w:rPr>
                <w:rFonts w:ascii="Carlito"/>
                <w:sz w:val="16"/>
              </w:rPr>
            </w:pPr>
            <w:r>
              <w:rPr>
                <w:rFonts w:ascii="Carlito"/>
                <w:sz w:val="16"/>
              </w:rPr>
              <w:t>1</w:t>
            </w:r>
          </w:p>
        </w:tc>
        <w:tc>
          <w:tcPr>
            <w:tcW w:w="1379" w:type="dxa"/>
          </w:tcPr>
          <w:p>
            <w:pPr>
              <w:pStyle w:val="TableParagraph"/>
              <w:spacing w:before="92"/>
              <w:ind w:right="377"/>
              <w:rPr>
                <w:rFonts w:ascii="Carlito"/>
                <w:sz w:val="16"/>
              </w:rPr>
            </w:pPr>
            <w:r>
              <w:rPr>
                <w:rFonts w:ascii="Carlito"/>
                <w:sz w:val="16"/>
              </w:rPr>
              <w:t>$675,000.00</w:t>
            </w:r>
          </w:p>
        </w:tc>
        <w:tc>
          <w:tcPr>
            <w:tcW w:w="1041" w:type="dxa"/>
          </w:tcPr>
          <w:p>
            <w:pPr>
              <w:pStyle w:val="TableParagraph"/>
              <w:spacing w:before="92"/>
              <w:ind w:right="343"/>
              <w:rPr>
                <w:rFonts w:ascii="Carlito"/>
                <w:sz w:val="16"/>
              </w:rPr>
            </w:pPr>
            <w:r>
              <w:rPr>
                <w:rFonts w:ascii="Carlito"/>
                <w:sz w:val="16"/>
              </w:rPr>
              <w:t>550</w:t>
            </w:r>
          </w:p>
        </w:tc>
        <w:tc>
          <w:tcPr>
            <w:tcW w:w="1127" w:type="dxa"/>
          </w:tcPr>
          <w:p>
            <w:pPr>
              <w:pStyle w:val="TableParagraph"/>
              <w:spacing w:before="92"/>
              <w:ind w:left="313" w:right="440"/>
              <w:jc w:val="center"/>
              <w:rPr>
                <w:rFonts w:ascii="Carlito"/>
                <w:sz w:val="16"/>
              </w:rPr>
            </w:pPr>
            <w:r>
              <w:rPr>
                <w:rFonts w:ascii="Carlito"/>
                <w:sz w:val="16"/>
              </w:rPr>
              <w:t>2006</w:t>
            </w:r>
          </w:p>
        </w:tc>
        <w:tc>
          <w:tcPr>
            <w:tcW w:w="783" w:type="dxa"/>
          </w:tcPr>
          <w:p>
            <w:pPr>
              <w:pStyle w:val="TableParagraph"/>
              <w:spacing w:before="92"/>
              <w:ind w:right="239"/>
              <w:rPr>
                <w:rFonts w:ascii="Carlito"/>
                <w:sz w:val="16"/>
              </w:rPr>
            </w:pPr>
            <w:r>
              <w:rPr>
                <w:rFonts w:ascii="Carlito"/>
                <w:sz w:val="16"/>
              </w:rPr>
              <w:t>4</w:t>
            </w:r>
          </w:p>
        </w:tc>
        <w:tc>
          <w:tcPr>
            <w:tcW w:w="745" w:type="dxa"/>
          </w:tcPr>
          <w:p>
            <w:pPr>
              <w:pStyle w:val="TableParagraph"/>
              <w:spacing w:before="92"/>
              <w:ind w:right="308"/>
              <w:rPr>
                <w:rFonts w:ascii="Carlito"/>
                <w:sz w:val="16"/>
              </w:rPr>
            </w:pPr>
            <w:r>
              <w:rPr>
                <w:rFonts w:ascii="Carlito"/>
                <w:sz w:val="16"/>
              </w:rPr>
              <w:t>4.5</w:t>
            </w:r>
          </w:p>
        </w:tc>
        <w:tc>
          <w:tcPr>
            <w:tcW w:w="816" w:type="dxa"/>
          </w:tcPr>
          <w:p>
            <w:pPr>
              <w:pStyle w:val="TableParagraph"/>
              <w:spacing w:before="92"/>
              <w:ind w:left="297"/>
              <w:jc w:val="left"/>
              <w:rPr>
                <w:rFonts w:ascii="Carlito"/>
                <w:sz w:val="16"/>
              </w:rPr>
            </w:pPr>
            <w:r>
              <w:rPr>
                <w:rFonts w:ascii="Carlito"/>
                <w:sz w:val="16"/>
              </w:rPr>
              <w:t>3</w:t>
            </w:r>
          </w:p>
        </w:tc>
        <w:tc>
          <w:tcPr>
            <w:tcW w:w="1290" w:type="dxa"/>
          </w:tcPr>
          <w:p>
            <w:pPr>
              <w:pStyle w:val="TableParagraph"/>
              <w:spacing w:before="92"/>
              <w:ind w:right="577"/>
              <w:rPr>
                <w:rFonts w:ascii="Carlito"/>
                <w:sz w:val="16"/>
              </w:rPr>
            </w:pPr>
            <w:r>
              <w:rPr>
                <w:rFonts w:ascii="Carlito"/>
                <w:sz w:val="16"/>
              </w:rPr>
              <w:t>7.2</w:t>
            </w:r>
          </w:p>
        </w:tc>
        <w:tc>
          <w:tcPr>
            <w:tcW w:w="1140" w:type="dxa"/>
          </w:tcPr>
          <w:p>
            <w:pPr>
              <w:pStyle w:val="TableParagraph"/>
              <w:spacing w:before="92"/>
              <w:ind w:right="369"/>
              <w:rPr>
                <w:rFonts w:ascii="Carlito"/>
                <w:sz w:val="16"/>
              </w:rPr>
            </w:pPr>
            <w:r>
              <w:rPr>
                <w:rFonts w:ascii="Carlito"/>
                <w:sz w:val="16"/>
              </w:rPr>
              <w:t>3.6</w:t>
            </w:r>
          </w:p>
        </w:tc>
        <w:tc>
          <w:tcPr>
            <w:tcW w:w="826" w:type="dxa"/>
          </w:tcPr>
          <w:p>
            <w:pPr>
              <w:pStyle w:val="TableParagraph"/>
              <w:spacing w:before="92"/>
              <w:ind w:right="383"/>
              <w:rPr>
                <w:rFonts w:ascii="Carlito"/>
                <w:sz w:val="16"/>
              </w:rPr>
            </w:pPr>
            <w:r>
              <w:rPr>
                <w:rFonts w:ascii="Carlito"/>
                <w:sz w:val="16"/>
              </w:rPr>
              <w:t>0</w:t>
            </w:r>
          </w:p>
        </w:tc>
        <w:tc>
          <w:tcPr>
            <w:tcW w:w="530" w:type="dxa"/>
          </w:tcPr>
          <w:p>
            <w:pPr>
              <w:pStyle w:val="TableParagraph"/>
              <w:spacing w:before="92"/>
              <w:ind w:right="69"/>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42</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596" w:type="dxa"/>
            <w:shd w:val="clear" w:color="auto" w:fill="D9D9D9"/>
          </w:tcPr>
          <w:p>
            <w:pPr>
              <w:pStyle w:val="TableParagraph"/>
              <w:ind w:right="70"/>
              <w:rPr>
                <w:rFonts w:ascii="Carlito"/>
                <w:sz w:val="16"/>
              </w:rPr>
            </w:pPr>
            <w:r>
              <w:rPr>
                <w:rFonts w:ascii="Carlito"/>
                <w:sz w:val="16"/>
              </w:rPr>
              <w:t>0</w:t>
            </w:r>
          </w:p>
        </w:tc>
        <w:tc>
          <w:tcPr>
            <w:tcW w:w="1379" w:type="dxa"/>
            <w:shd w:val="clear" w:color="auto" w:fill="D9D9D9"/>
          </w:tcPr>
          <w:p>
            <w:pPr>
              <w:pStyle w:val="TableParagraph"/>
              <w:ind w:right="377"/>
              <w:rPr>
                <w:rFonts w:ascii="Carlito"/>
                <w:sz w:val="16"/>
              </w:rPr>
            </w:pPr>
            <w:r>
              <w:rPr>
                <w:rFonts w:ascii="Carlito"/>
                <w:sz w:val="16"/>
              </w:rPr>
              <w:t>$275,000.00</w:t>
            </w:r>
          </w:p>
        </w:tc>
        <w:tc>
          <w:tcPr>
            <w:tcW w:w="1041" w:type="dxa"/>
            <w:shd w:val="clear" w:color="auto" w:fill="D9D9D9"/>
          </w:tcPr>
          <w:p>
            <w:pPr>
              <w:pStyle w:val="TableParagraph"/>
              <w:ind w:right="343"/>
              <w:rPr>
                <w:rFonts w:ascii="Carlito"/>
                <w:sz w:val="16"/>
              </w:rPr>
            </w:pPr>
            <w:r>
              <w:rPr>
                <w:rFonts w:ascii="Carlito"/>
                <w:sz w:val="16"/>
              </w:rPr>
              <w:t>200</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3"/>
              <w:rPr>
                <w:rFonts w:ascii="Carlito"/>
                <w:sz w:val="16"/>
              </w:rPr>
            </w:pPr>
            <w:r>
              <w:rPr>
                <w:rFonts w:ascii="Carlito"/>
                <w:sz w:val="16"/>
              </w:rPr>
              <w:t>3</w:t>
            </w:r>
          </w:p>
        </w:tc>
        <w:tc>
          <w:tcPr>
            <w:tcW w:w="816" w:type="dxa"/>
            <w:shd w:val="clear" w:color="auto" w:fill="D9D9D9"/>
          </w:tcPr>
          <w:p>
            <w:pPr>
              <w:pStyle w:val="TableParagraph"/>
              <w:ind w:left="297"/>
              <w:jc w:val="left"/>
              <w:rPr>
                <w:rFonts w:ascii="Carlito"/>
                <w:sz w:val="16"/>
              </w:rPr>
            </w:pPr>
            <w:r>
              <w:rPr>
                <w:rFonts w:ascii="Carlito"/>
                <w:sz w:val="16"/>
              </w:rPr>
              <w:t>2</w:t>
            </w:r>
          </w:p>
        </w:tc>
        <w:tc>
          <w:tcPr>
            <w:tcW w:w="1290" w:type="dxa"/>
            <w:shd w:val="clear" w:color="auto" w:fill="D9D9D9"/>
          </w:tcPr>
          <w:p>
            <w:pPr>
              <w:pStyle w:val="TableParagraph"/>
              <w:ind w:right="577"/>
              <w:rPr>
                <w:rFonts w:ascii="Carlito"/>
                <w:sz w:val="16"/>
              </w:rPr>
            </w:pPr>
            <w:r>
              <w:rPr>
                <w:rFonts w:ascii="Carlito"/>
                <w:sz w:val="16"/>
              </w:rPr>
              <w:t>7.4</w:t>
            </w:r>
          </w:p>
        </w:tc>
        <w:tc>
          <w:tcPr>
            <w:tcW w:w="1140" w:type="dxa"/>
            <w:shd w:val="clear" w:color="auto" w:fill="D9D9D9"/>
          </w:tcPr>
          <w:p>
            <w:pPr>
              <w:pStyle w:val="TableParagraph"/>
              <w:ind w:right="365"/>
              <w:rPr>
                <w:rFonts w:ascii="Carlito"/>
                <w:sz w:val="16"/>
              </w:rPr>
            </w:pPr>
            <w:r>
              <w:rPr>
                <w:rFonts w:ascii="Carlito"/>
                <w:sz w:val="16"/>
              </w:rPr>
              <w:t>5</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43</w:t>
            </w:r>
          </w:p>
        </w:tc>
        <w:tc>
          <w:tcPr>
            <w:tcW w:w="1938" w:type="dxa"/>
          </w:tcPr>
          <w:p>
            <w:pPr>
              <w:pStyle w:val="TableParagraph"/>
              <w:ind w:left="143"/>
              <w:jc w:val="left"/>
              <w:rPr>
                <w:rFonts w:ascii="Carlito"/>
                <w:sz w:val="16"/>
              </w:rPr>
            </w:pPr>
            <w:r>
              <w:rPr>
                <w:rFonts w:ascii="Carlito"/>
                <w:sz w:val="16"/>
              </w:rPr>
              <w:t>Lomas de Ayarco</w:t>
            </w:r>
          </w:p>
        </w:tc>
        <w:tc>
          <w:tcPr>
            <w:tcW w:w="596" w:type="dxa"/>
          </w:tcPr>
          <w:p>
            <w:pPr>
              <w:pStyle w:val="TableParagraph"/>
              <w:ind w:right="70"/>
              <w:rPr>
                <w:rFonts w:ascii="Carlito"/>
                <w:sz w:val="16"/>
              </w:rPr>
            </w:pPr>
            <w:r>
              <w:rPr>
                <w:rFonts w:ascii="Carlito"/>
                <w:sz w:val="16"/>
              </w:rPr>
              <w:t>1</w:t>
            </w:r>
          </w:p>
        </w:tc>
        <w:tc>
          <w:tcPr>
            <w:tcW w:w="1379" w:type="dxa"/>
          </w:tcPr>
          <w:p>
            <w:pPr>
              <w:pStyle w:val="TableParagraph"/>
              <w:ind w:right="377"/>
              <w:rPr>
                <w:rFonts w:ascii="Carlito"/>
                <w:sz w:val="16"/>
              </w:rPr>
            </w:pPr>
            <w:r>
              <w:rPr>
                <w:rFonts w:ascii="Carlito"/>
                <w:sz w:val="16"/>
              </w:rPr>
              <w:t>$250,000.00</w:t>
            </w:r>
          </w:p>
        </w:tc>
        <w:tc>
          <w:tcPr>
            <w:tcW w:w="1041" w:type="dxa"/>
          </w:tcPr>
          <w:p>
            <w:pPr>
              <w:pStyle w:val="TableParagraph"/>
              <w:ind w:right="343"/>
              <w:rPr>
                <w:rFonts w:ascii="Carlito"/>
                <w:sz w:val="16"/>
              </w:rPr>
            </w:pPr>
            <w:r>
              <w:rPr>
                <w:rFonts w:ascii="Carlito"/>
                <w:sz w:val="16"/>
              </w:rPr>
              <w:t>247</w:t>
            </w:r>
          </w:p>
        </w:tc>
        <w:tc>
          <w:tcPr>
            <w:tcW w:w="1127" w:type="dxa"/>
          </w:tcPr>
          <w:p>
            <w:pPr>
              <w:pStyle w:val="TableParagraph"/>
              <w:ind w:left="313" w:right="440"/>
              <w:jc w:val="center"/>
              <w:rPr>
                <w:rFonts w:ascii="Carlito"/>
                <w:sz w:val="16"/>
              </w:rPr>
            </w:pPr>
            <w:r>
              <w:rPr>
                <w:rFonts w:ascii="Carlito"/>
                <w:sz w:val="16"/>
              </w:rPr>
              <w:t>2014</w:t>
            </w:r>
          </w:p>
        </w:tc>
        <w:tc>
          <w:tcPr>
            <w:tcW w:w="783" w:type="dxa"/>
          </w:tcPr>
          <w:p>
            <w:pPr>
              <w:pStyle w:val="TableParagraph"/>
              <w:ind w:right="239"/>
              <w:rPr>
                <w:rFonts w:ascii="Carlito"/>
                <w:sz w:val="16"/>
              </w:rPr>
            </w:pPr>
            <w:r>
              <w:rPr>
                <w:rFonts w:ascii="Carlito"/>
                <w:sz w:val="16"/>
              </w:rPr>
              <w:t>4</w:t>
            </w:r>
          </w:p>
        </w:tc>
        <w:tc>
          <w:tcPr>
            <w:tcW w:w="745" w:type="dxa"/>
          </w:tcPr>
          <w:p>
            <w:pPr>
              <w:pStyle w:val="TableParagraph"/>
              <w:ind w:right="303"/>
              <w:rPr>
                <w:rFonts w:ascii="Carlito"/>
                <w:sz w:val="16"/>
              </w:rPr>
            </w:pPr>
            <w:r>
              <w:rPr>
                <w:rFonts w:ascii="Carlito"/>
                <w:sz w:val="16"/>
              </w:rPr>
              <w:t>3</w:t>
            </w:r>
          </w:p>
        </w:tc>
        <w:tc>
          <w:tcPr>
            <w:tcW w:w="816" w:type="dxa"/>
          </w:tcPr>
          <w:p>
            <w:pPr>
              <w:pStyle w:val="TableParagraph"/>
              <w:ind w:left="297"/>
              <w:jc w:val="left"/>
              <w:rPr>
                <w:rFonts w:ascii="Carlito"/>
                <w:sz w:val="16"/>
              </w:rPr>
            </w:pPr>
            <w:r>
              <w:rPr>
                <w:rFonts w:ascii="Carlito"/>
                <w:sz w:val="16"/>
              </w:rPr>
              <w:t>2</w:t>
            </w:r>
          </w:p>
        </w:tc>
        <w:tc>
          <w:tcPr>
            <w:tcW w:w="1290" w:type="dxa"/>
          </w:tcPr>
          <w:p>
            <w:pPr>
              <w:pStyle w:val="TableParagraph"/>
              <w:ind w:right="577"/>
              <w:rPr>
                <w:rFonts w:ascii="Carlito"/>
                <w:sz w:val="16"/>
              </w:rPr>
            </w:pPr>
            <w:r>
              <w:rPr>
                <w:rFonts w:ascii="Carlito"/>
                <w:sz w:val="16"/>
              </w:rPr>
              <w:t>8.55</w:t>
            </w:r>
          </w:p>
        </w:tc>
        <w:tc>
          <w:tcPr>
            <w:tcW w:w="1140" w:type="dxa"/>
          </w:tcPr>
          <w:p>
            <w:pPr>
              <w:pStyle w:val="TableParagraph"/>
              <w:ind w:right="369"/>
              <w:rPr>
                <w:rFonts w:ascii="Carlito"/>
                <w:sz w:val="16"/>
              </w:rPr>
            </w:pPr>
            <w:r>
              <w:rPr>
                <w:rFonts w:ascii="Carlito"/>
                <w:sz w:val="16"/>
              </w:rPr>
              <w:t>2.9</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44</w:t>
            </w:r>
          </w:p>
        </w:tc>
        <w:tc>
          <w:tcPr>
            <w:tcW w:w="1938" w:type="dxa"/>
            <w:shd w:val="clear" w:color="auto" w:fill="D9D9D9"/>
          </w:tcPr>
          <w:p>
            <w:pPr>
              <w:pStyle w:val="TableParagraph"/>
              <w:ind w:left="143"/>
              <w:jc w:val="left"/>
              <w:rPr>
                <w:rFonts w:ascii="Carlito"/>
                <w:sz w:val="16"/>
              </w:rPr>
            </w:pPr>
            <w:r>
              <w:rPr>
                <w:rFonts w:ascii="Carlito"/>
                <w:sz w:val="16"/>
              </w:rPr>
              <w:t>Lomas de Ayarco</w:t>
            </w:r>
          </w:p>
        </w:tc>
        <w:tc>
          <w:tcPr>
            <w:tcW w:w="596" w:type="dxa"/>
            <w:shd w:val="clear" w:color="auto" w:fill="D9D9D9"/>
          </w:tcPr>
          <w:p>
            <w:pPr>
              <w:pStyle w:val="TableParagraph"/>
              <w:ind w:right="70"/>
              <w:rPr>
                <w:rFonts w:ascii="Carlito"/>
                <w:sz w:val="16"/>
              </w:rPr>
            </w:pPr>
            <w:r>
              <w:rPr>
                <w:rFonts w:ascii="Carlito"/>
                <w:sz w:val="16"/>
              </w:rPr>
              <w:t>0</w:t>
            </w:r>
          </w:p>
        </w:tc>
        <w:tc>
          <w:tcPr>
            <w:tcW w:w="1379" w:type="dxa"/>
            <w:shd w:val="clear" w:color="auto" w:fill="D9D9D9"/>
          </w:tcPr>
          <w:p>
            <w:pPr>
              <w:pStyle w:val="TableParagraph"/>
              <w:ind w:right="377"/>
              <w:rPr>
                <w:rFonts w:ascii="Carlito"/>
                <w:sz w:val="16"/>
              </w:rPr>
            </w:pPr>
            <w:r>
              <w:rPr>
                <w:rFonts w:ascii="Carlito"/>
                <w:sz w:val="16"/>
              </w:rPr>
              <w:t>$189,000.00</w:t>
            </w:r>
          </w:p>
        </w:tc>
        <w:tc>
          <w:tcPr>
            <w:tcW w:w="1041" w:type="dxa"/>
            <w:shd w:val="clear" w:color="auto" w:fill="D9D9D9"/>
          </w:tcPr>
          <w:p>
            <w:pPr>
              <w:pStyle w:val="TableParagraph"/>
              <w:ind w:right="343"/>
              <w:rPr>
                <w:rFonts w:ascii="Carlito"/>
                <w:sz w:val="16"/>
              </w:rPr>
            </w:pPr>
            <w:r>
              <w:rPr>
                <w:rFonts w:ascii="Carlito"/>
                <w:sz w:val="16"/>
              </w:rPr>
              <w:t>175</w:t>
            </w:r>
          </w:p>
        </w:tc>
        <w:tc>
          <w:tcPr>
            <w:tcW w:w="1127" w:type="dxa"/>
            <w:shd w:val="clear" w:color="auto" w:fill="D9D9D9"/>
          </w:tcPr>
          <w:p>
            <w:pPr>
              <w:pStyle w:val="TableParagraph"/>
              <w:ind w:left="313" w:right="440"/>
              <w:jc w:val="center"/>
              <w:rPr>
                <w:rFonts w:ascii="Carlito"/>
                <w:sz w:val="16"/>
              </w:rPr>
            </w:pPr>
            <w:r>
              <w:rPr>
                <w:rFonts w:ascii="Carlito"/>
                <w:sz w:val="16"/>
              </w:rPr>
              <w:t>2005</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8"/>
              <w:rPr>
                <w:rFonts w:ascii="Carlito"/>
                <w:sz w:val="16"/>
              </w:rPr>
            </w:pPr>
            <w:r>
              <w:rPr>
                <w:rFonts w:ascii="Carlito"/>
                <w:sz w:val="16"/>
              </w:rPr>
              <w:t>2.5</w:t>
            </w:r>
          </w:p>
        </w:tc>
        <w:tc>
          <w:tcPr>
            <w:tcW w:w="816" w:type="dxa"/>
            <w:shd w:val="clear" w:color="auto" w:fill="D9D9D9"/>
          </w:tcPr>
          <w:p>
            <w:pPr>
              <w:pStyle w:val="TableParagraph"/>
              <w:ind w:left="297"/>
              <w:jc w:val="left"/>
              <w:rPr>
                <w:rFonts w:ascii="Carlito"/>
                <w:sz w:val="16"/>
              </w:rPr>
            </w:pPr>
            <w:r>
              <w:rPr>
                <w:rFonts w:ascii="Carlito"/>
                <w:sz w:val="16"/>
              </w:rPr>
              <w:t>2</w:t>
            </w:r>
          </w:p>
        </w:tc>
        <w:tc>
          <w:tcPr>
            <w:tcW w:w="1290" w:type="dxa"/>
            <w:shd w:val="clear" w:color="auto" w:fill="D9D9D9"/>
          </w:tcPr>
          <w:p>
            <w:pPr>
              <w:pStyle w:val="TableParagraph"/>
              <w:ind w:right="577"/>
              <w:rPr>
                <w:rFonts w:ascii="Carlito"/>
                <w:sz w:val="16"/>
              </w:rPr>
            </w:pPr>
            <w:r>
              <w:rPr>
                <w:rFonts w:ascii="Carlito"/>
                <w:sz w:val="16"/>
              </w:rPr>
              <w:t>8.55</w:t>
            </w:r>
          </w:p>
        </w:tc>
        <w:tc>
          <w:tcPr>
            <w:tcW w:w="1140" w:type="dxa"/>
            <w:shd w:val="clear" w:color="auto" w:fill="D9D9D9"/>
          </w:tcPr>
          <w:p>
            <w:pPr>
              <w:pStyle w:val="TableParagraph"/>
              <w:ind w:right="369"/>
              <w:rPr>
                <w:rFonts w:ascii="Carlito"/>
                <w:sz w:val="16"/>
              </w:rPr>
            </w:pPr>
            <w:r>
              <w:rPr>
                <w:rFonts w:ascii="Carlito"/>
                <w:sz w:val="16"/>
              </w:rPr>
              <w:t>2.9</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45</w:t>
            </w:r>
          </w:p>
        </w:tc>
        <w:tc>
          <w:tcPr>
            <w:tcW w:w="1938" w:type="dxa"/>
          </w:tcPr>
          <w:p>
            <w:pPr>
              <w:pStyle w:val="TableParagraph"/>
              <w:ind w:left="143"/>
              <w:jc w:val="left"/>
              <w:rPr>
                <w:rFonts w:ascii="Carlito" w:hAnsi="Carlito"/>
                <w:sz w:val="16"/>
              </w:rPr>
            </w:pPr>
            <w:r>
              <w:rPr>
                <w:rFonts w:ascii="Carlito" w:hAnsi="Carlito"/>
                <w:sz w:val="16"/>
              </w:rPr>
              <w:t>Sánchez</w:t>
            </w:r>
          </w:p>
        </w:tc>
        <w:tc>
          <w:tcPr>
            <w:tcW w:w="596" w:type="dxa"/>
          </w:tcPr>
          <w:p>
            <w:pPr>
              <w:pStyle w:val="TableParagraph"/>
              <w:ind w:right="70"/>
              <w:rPr>
                <w:rFonts w:ascii="Carlito"/>
                <w:sz w:val="16"/>
              </w:rPr>
            </w:pPr>
            <w:r>
              <w:rPr>
                <w:rFonts w:ascii="Carlito"/>
                <w:sz w:val="16"/>
              </w:rPr>
              <w:t>0</w:t>
            </w:r>
          </w:p>
        </w:tc>
        <w:tc>
          <w:tcPr>
            <w:tcW w:w="1379" w:type="dxa"/>
          </w:tcPr>
          <w:p>
            <w:pPr>
              <w:pStyle w:val="TableParagraph"/>
              <w:ind w:right="377"/>
              <w:rPr>
                <w:rFonts w:ascii="Carlito"/>
                <w:sz w:val="16"/>
              </w:rPr>
            </w:pPr>
            <w:r>
              <w:rPr>
                <w:rFonts w:ascii="Carlito"/>
                <w:sz w:val="16"/>
              </w:rPr>
              <w:t>$195,000.00</w:t>
            </w:r>
          </w:p>
        </w:tc>
        <w:tc>
          <w:tcPr>
            <w:tcW w:w="1041" w:type="dxa"/>
          </w:tcPr>
          <w:p>
            <w:pPr>
              <w:pStyle w:val="TableParagraph"/>
              <w:ind w:right="343"/>
              <w:rPr>
                <w:rFonts w:ascii="Carlito"/>
                <w:sz w:val="16"/>
              </w:rPr>
            </w:pPr>
            <w:r>
              <w:rPr>
                <w:rFonts w:ascii="Carlito"/>
                <w:sz w:val="16"/>
              </w:rPr>
              <w:t>180</w:t>
            </w:r>
          </w:p>
        </w:tc>
        <w:tc>
          <w:tcPr>
            <w:tcW w:w="1127" w:type="dxa"/>
          </w:tcPr>
          <w:p>
            <w:pPr>
              <w:pStyle w:val="TableParagraph"/>
              <w:ind w:left="313" w:right="440"/>
              <w:jc w:val="center"/>
              <w:rPr>
                <w:rFonts w:ascii="Carlito"/>
                <w:sz w:val="16"/>
              </w:rPr>
            </w:pPr>
            <w:r>
              <w:rPr>
                <w:rFonts w:ascii="Carlito"/>
                <w:sz w:val="16"/>
              </w:rPr>
              <w:t>2006</w:t>
            </w:r>
          </w:p>
        </w:tc>
        <w:tc>
          <w:tcPr>
            <w:tcW w:w="783" w:type="dxa"/>
          </w:tcPr>
          <w:p>
            <w:pPr>
              <w:pStyle w:val="TableParagraph"/>
              <w:ind w:right="239"/>
              <w:rPr>
                <w:rFonts w:ascii="Carlito"/>
                <w:sz w:val="16"/>
              </w:rPr>
            </w:pPr>
            <w:r>
              <w:rPr>
                <w:rFonts w:ascii="Carlito"/>
                <w:sz w:val="16"/>
              </w:rPr>
              <w:t>3</w:t>
            </w:r>
          </w:p>
        </w:tc>
        <w:tc>
          <w:tcPr>
            <w:tcW w:w="745" w:type="dxa"/>
          </w:tcPr>
          <w:p>
            <w:pPr>
              <w:pStyle w:val="TableParagraph"/>
              <w:ind w:right="308"/>
              <w:rPr>
                <w:rFonts w:ascii="Carlito"/>
                <w:sz w:val="16"/>
              </w:rPr>
            </w:pPr>
            <w:r>
              <w:rPr>
                <w:rFonts w:ascii="Carlito"/>
                <w:sz w:val="16"/>
              </w:rPr>
              <w:t>2.5</w:t>
            </w:r>
          </w:p>
        </w:tc>
        <w:tc>
          <w:tcPr>
            <w:tcW w:w="816" w:type="dxa"/>
          </w:tcPr>
          <w:p>
            <w:pPr>
              <w:pStyle w:val="TableParagraph"/>
              <w:ind w:left="297"/>
              <w:jc w:val="left"/>
              <w:rPr>
                <w:rFonts w:ascii="Carlito"/>
                <w:sz w:val="16"/>
              </w:rPr>
            </w:pPr>
            <w:r>
              <w:rPr>
                <w:rFonts w:ascii="Carlito"/>
                <w:sz w:val="16"/>
              </w:rPr>
              <w:t>1</w:t>
            </w:r>
          </w:p>
        </w:tc>
        <w:tc>
          <w:tcPr>
            <w:tcW w:w="1290" w:type="dxa"/>
          </w:tcPr>
          <w:p>
            <w:pPr>
              <w:pStyle w:val="TableParagraph"/>
              <w:ind w:right="577"/>
              <w:rPr>
                <w:rFonts w:ascii="Carlito"/>
                <w:sz w:val="16"/>
              </w:rPr>
            </w:pPr>
            <w:r>
              <w:rPr>
                <w:rFonts w:ascii="Carlito"/>
                <w:sz w:val="16"/>
              </w:rPr>
              <w:t>7.7</w:t>
            </w:r>
          </w:p>
        </w:tc>
        <w:tc>
          <w:tcPr>
            <w:tcW w:w="1140" w:type="dxa"/>
          </w:tcPr>
          <w:p>
            <w:pPr>
              <w:pStyle w:val="TableParagraph"/>
              <w:ind w:right="365"/>
              <w:rPr>
                <w:rFonts w:ascii="Carlito"/>
                <w:sz w:val="16"/>
              </w:rPr>
            </w:pPr>
            <w:r>
              <w:rPr>
                <w:rFonts w:ascii="Carlito"/>
                <w:sz w:val="16"/>
              </w:rPr>
              <w:t>3</w:t>
            </w:r>
          </w:p>
        </w:tc>
        <w:tc>
          <w:tcPr>
            <w:tcW w:w="826" w:type="dxa"/>
          </w:tcPr>
          <w:p>
            <w:pPr>
              <w:pStyle w:val="TableParagraph"/>
              <w:ind w:right="383"/>
              <w:rPr>
                <w:rFonts w:ascii="Carlito"/>
                <w:sz w:val="16"/>
              </w:rPr>
            </w:pPr>
            <w:r>
              <w:rPr>
                <w:rFonts w:ascii="Carlito"/>
                <w:sz w:val="16"/>
              </w:rPr>
              <w:t>1</w:t>
            </w:r>
          </w:p>
        </w:tc>
        <w:tc>
          <w:tcPr>
            <w:tcW w:w="530" w:type="dxa"/>
          </w:tcPr>
          <w:p>
            <w:pPr>
              <w:pStyle w:val="TableParagraph"/>
              <w:ind w:right="69"/>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46</w:t>
            </w:r>
          </w:p>
        </w:tc>
        <w:tc>
          <w:tcPr>
            <w:tcW w:w="1938" w:type="dxa"/>
            <w:shd w:val="clear" w:color="auto" w:fill="D9D9D9"/>
          </w:tcPr>
          <w:p>
            <w:pPr>
              <w:pStyle w:val="TableParagraph"/>
              <w:spacing w:before="92"/>
              <w:ind w:left="143"/>
              <w:jc w:val="left"/>
              <w:rPr>
                <w:rFonts w:ascii="Carlito" w:hAnsi="Carlito"/>
                <w:sz w:val="16"/>
              </w:rPr>
            </w:pPr>
            <w:r>
              <w:rPr>
                <w:rFonts w:ascii="Carlito" w:hAnsi="Carlito"/>
                <w:sz w:val="16"/>
              </w:rPr>
              <w:t>Residencias del Tirrá</w:t>
            </w:r>
          </w:p>
        </w:tc>
        <w:tc>
          <w:tcPr>
            <w:tcW w:w="596" w:type="dxa"/>
            <w:shd w:val="clear" w:color="auto" w:fill="D9D9D9"/>
          </w:tcPr>
          <w:p>
            <w:pPr>
              <w:pStyle w:val="TableParagraph"/>
              <w:spacing w:before="92"/>
              <w:ind w:right="70"/>
              <w:rPr>
                <w:rFonts w:ascii="Carlito"/>
                <w:sz w:val="16"/>
              </w:rPr>
            </w:pPr>
            <w:r>
              <w:rPr>
                <w:rFonts w:ascii="Carlito"/>
                <w:sz w:val="16"/>
              </w:rPr>
              <w:t>1</w:t>
            </w:r>
          </w:p>
        </w:tc>
        <w:tc>
          <w:tcPr>
            <w:tcW w:w="1379" w:type="dxa"/>
            <w:shd w:val="clear" w:color="auto" w:fill="D9D9D9"/>
          </w:tcPr>
          <w:p>
            <w:pPr>
              <w:pStyle w:val="TableParagraph"/>
              <w:spacing w:before="92"/>
              <w:ind w:right="377"/>
              <w:rPr>
                <w:rFonts w:ascii="Carlito"/>
                <w:sz w:val="16"/>
              </w:rPr>
            </w:pPr>
            <w:r>
              <w:rPr>
                <w:rFonts w:ascii="Carlito"/>
                <w:sz w:val="16"/>
              </w:rPr>
              <w:t>$100,000.00</w:t>
            </w:r>
          </w:p>
        </w:tc>
        <w:tc>
          <w:tcPr>
            <w:tcW w:w="1041" w:type="dxa"/>
            <w:shd w:val="clear" w:color="auto" w:fill="D9D9D9"/>
          </w:tcPr>
          <w:p>
            <w:pPr>
              <w:pStyle w:val="TableParagraph"/>
              <w:spacing w:before="92"/>
              <w:ind w:right="343"/>
              <w:rPr>
                <w:rFonts w:ascii="Carlito"/>
                <w:sz w:val="16"/>
              </w:rPr>
            </w:pPr>
            <w:r>
              <w:rPr>
                <w:rFonts w:ascii="Carlito"/>
                <w:sz w:val="16"/>
              </w:rPr>
              <w:t>80</w:t>
            </w:r>
          </w:p>
        </w:tc>
        <w:tc>
          <w:tcPr>
            <w:tcW w:w="1127" w:type="dxa"/>
            <w:shd w:val="clear" w:color="auto" w:fill="D9D9D9"/>
          </w:tcPr>
          <w:p>
            <w:pPr>
              <w:pStyle w:val="TableParagraph"/>
              <w:spacing w:before="92"/>
              <w:ind w:left="313" w:right="440"/>
              <w:jc w:val="center"/>
              <w:rPr>
                <w:rFonts w:ascii="Carlito"/>
                <w:sz w:val="16"/>
              </w:rPr>
            </w:pPr>
            <w:r>
              <w:rPr>
                <w:rFonts w:ascii="Carlito"/>
                <w:sz w:val="16"/>
              </w:rPr>
              <w:t>2017</w:t>
            </w:r>
          </w:p>
        </w:tc>
        <w:tc>
          <w:tcPr>
            <w:tcW w:w="783" w:type="dxa"/>
            <w:shd w:val="clear" w:color="auto" w:fill="D9D9D9"/>
          </w:tcPr>
          <w:p>
            <w:pPr>
              <w:pStyle w:val="TableParagraph"/>
              <w:spacing w:before="92"/>
              <w:ind w:right="239"/>
              <w:rPr>
                <w:rFonts w:ascii="Carlito"/>
                <w:sz w:val="16"/>
              </w:rPr>
            </w:pPr>
            <w:r>
              <w:rPr>
                <w:rFonts w:ascii="Carlito"/>
                <w:sz w:val="16"/>
              </w:rPr>
              <w:t>2</w:t>
            </w:r>
          </w:p>
        </w:tc>
        <w:tc>
          <w:tcPr>
            <w:tcW w:w="745" w:type="dxa"/>
            <w:shd w:val="clear" w:color="auto" w:fill="D9D9D9"/>
          </w:tcPr>
          <w:p>
            <w:pPr>
              <w:pStyle w:val="TableParagraph"/>
              <w:spacing w:before="92"/>
              <w:ind w:right="308"/>
              <w:rPr>
                <w:rFonts w:ascii="Carlito"/>
                <w:sz w:val="16"/>
              </w:rPr>
            </w:pPr>
            <w:r>
              <w:rPr>
                <w:rFonts w:ascii="Carlito"/>
                <w:sz w:val="16"/>
              </w:rPr>
              <w:t>1.5</w:t>
            </w:r>
          </w:p>
        </w:tc>
        <w:tc>
          <w:tcPr>
            <w:tcW w:w="816" w:type="dxa"/>
            <w:shd w:val="clear" w:color="auto" w:fill="D9D9D9"/>
          </w:tcPr>
          <w:p>
            <w:pPr>
              <w:pStyle w:val="TableParagraph"/>
              <w:spacing w:before="92"/>
              <w:ind w:left="297"/>
              <w:jc w:val="left"/>
              <w:rPr>
                <w:rFonts w:ascii="Carlito"/>
                <w:sz w:val="16"/>
              </w:rPr>
            </w:pPr>
            <w:r>
              <w:rPr>
                <w:rFonts w:ascii="Carlito"/>
                <w:sz w:val="16"/>
              </w:rPr>
              <w:t>2</w:t>
            </w:r>
          </w:p>
        </w:tc>
        <w:tc>
          <w:tcPr>
            <w:tcW w:w="1290" w:type="dxa"/>
            <w:shd w:val="clear" w:color="auto" w:fill="D9D9D9"/>
          </w:tcPr>
          <w:p>
            <w:pPr>
              <w:pStyle w:val="TableParagraph"/>
              <w:spacing w:before="92"/>
              <w:ind w:right="577"/>
              <w:rPr>
                <w:rFonts w:ascii="Carlito"/>
                <w:sz w:val="16"/>
              </w:rPr>
            </w:pPr>
            <w:r>
              <w:rPr>
                <w:rFonts w:ascii="Carlito"/>
                <w:sz w:val="16"/>
              </w:rPr>
              <w:t>8.4</w:t>
            </w:r>
          </w:p>
        </w:tc>
        <w:tc>
          <w:tcPr>
            <w:tcW w:w="1140" w:type="dxa"/>
            <w:shd w:val="clear" w:color="auto" w:fill="D9D9D9"/>
          </w:tcPr>
          <w:p>
            <w:pPr>
              <w:pStyle w:val="TableParagraph"/>
              <w:spacing w:before="92"/>
              <w:ind w:right="365"/>
              <w:rPr>
                <w:rFonts w:ascii="Carlito"/>
                <w:sz w:val="16"/>
              </w:rPr>
            </w:pPr>
            <w:r>
              <w:rPr>
                <w:rFonts w:ascii="Carlito"/>
                <w:sz w:val="16"/>
              </w:rPr>
              <w:t>0</w:t>
            </w:r>
          </w:p>
        </w:tc>
        <w:tc>
          <w:tcPr>
            <w:tcW w:w="826" w:type="dxa"/>
            <w:shd w:val="clear" w:color="auto" w:fill="D9D9D9"/>
          </w:tcPr>
          <w:p>
            <w:pPr>
              <w:pStyle w:val="TableParagraph"/>
              <w:spacing w:before="92"/>
              <w:ind w:right="383"/>
              <w:rPr>
                <w:rFonts w:ascii="Carlito"/>
                <w:sz w:val="16"/>
              </w:rPr>
            </w:pPr>
            <w:r>
              <w:rPr>
                <w:rFonts w:ascii="Carlito"/>
                <w:sz w:val="16"/>
              </w:rPr>
              <w:t>1</w:t>
            </w:r>
          </w:p>
        </w:tc>
        <w:tc>
          <w:tcPr>
            <w:tcW w:w="530" w:type="dxa"/>
            <w:shd w:val="clear" w:color="auto" w:fill="D9D9D9"/>
          </w:tcPr>
          <w:p>
            <w:pPr>
              <w:pStyle w:val="TableParagraph"/>
              <w:spacing w:before="92"/>
              <w:ind w:right="69"/>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47</w:t>
            </w:r>
          </w:p>
        </w:tc>
        <w:tc>
          <w:tcPr>
            <w:tcW w:w="1938" w:type="dxa"/>
          </w:tcPr>
          <w:p>
            <w:pPr>
              <w:pStyle w:val="TableParagraph"/>
              <w:spacing w:before="92"/>
              <w:ind w:left="143"/>
              <w:jc w:val="left"/>
              <w:rPr>
                <w:rFonts w:ascii="Carlito"/>
                <w:sz w:val="16"/>
              </w:rPr>
            </w:pPr>
            <w:r>
              <w:rPr>
                <w:rFonts w:ascii="Carlito"/>
                <w:sz w:val="16"/>
              </w:rPr>
              <w:t>Curridabat</w:t>
            </w:r>
          </w:p>
        </w:tc>
        <w:tc>
          <w:tcPr>
            <w:tcW w:w="596" w:type="dxa"/>
          </w:tcPr>
          <w:p>
            <w:pPr>
              <w:pStyle w:val="TableParagraph"/>
              <w:spacing w:before="92"/>
              <w:ind w:right="70"/>
              <w:rPr>
                <w:rFonts w:ascii="Carlito"/>
                <w:sz w:val="16"/>
              </w:rPr>
            </w:pPr>
            <w:r>
              <w:rPr>
                <w:rFonts w:ascii="Carlito"/>
                <w:sz w:val="16"/>
              </w:rPr>
              <w:t>1</w:t>
            </w:r>
          </w:p>
        </w:tc>
        <w:tc>
          <w:tcPr>
            <w:tcW w:w="1379" w:type="dxa"/>
          </w:tcPr>
          <w:p>
            <w:pPr>
              <w:pStyle w:val="TableParagraph"/>
              <w:spacing w:before="92"/>
              <w:ind w:right="377"/>
              <w:rPr>
                <w:rFonts w:ascii="Carlito"/>
                <w:sz w:val="16"/>
              </w:rPr>
            </w:pPr>
            <w:r>
              <w:rPr>
                <w:rFonts w:ascii="Carlito"/>
                <w:sz w:val="16"/>
              </w:rPr>
              <w:t>$785,000.00</w:t>
            </w:r>
          </w:p>
        </w:tc>
        <w:tc>
          <w:tcPr>
            <w:tcW w:w="1041" w:type="dxa"/>
          </w:tcPr>
          <w:p>
            <w:pPr>
              <w:pStyle w:val="TableParagraph"/>
              <w:spacing w:before="92"/>
              <w:ind w:right="343"/>
              <w:rPr>
                <w:rFonts w:ascii="Carlito"/>
                <w:sz w:val="16"/>
              </w:rPr>
            </w:pPr>
            <w:r>
              <w:rPr>
                <w:rFonts w:ascii="Carlito"/>
                <w:sz w:val="16"/>
              </w:rPr>
              <w:t>650</w:t>
            </w:r>
          </w:p>
        </w:tc>
        <w:tc>
          <w:tcPr>
            <w:tcW w:w="1127" w:type="dxa"/>
          </w:tcPr>
          <w:p>
            <w:pPr>
              <w:pStyle w:val="TableParagraph"/>
              <w:spacing w:before="92"/>
              <w:ind w:left="313" w:right="440"/>
              <w:jc w:val="center"/>
              <w:rPr>
                <w:rFonts w:ascii="Carlito"/>
                <w:sz w:val="16"/>
              </w:rPr>
            </w:pPr>
            <w:r>
              <w:rPr>
                <w:rFonts w:ascii="Carlito"/>
                <w:sz w:val="16"/>
              </w:rPr>
              <w:t>1986</w:t>
            </w:r>
          </w:p>
        </w:tc>
        <w:tc>
          <w:tcPr>
            <w:tcW w:w="783" w:type="dxa"/>
          </w:tcPr>
          <w:p>
            <w:pPr>
              <w:pStyle w:val="TableParagraph"/>
              <w:spacing w:before="92"/>
              <w:ind w:right="239"/>
              <w:rPr>
                <w:rFonts w:ascii="Carlito"/>
                <w:sz w:val="16"/>
              </w:rPr>
            </w:pPr>
            <w:r>
              <w:rPr>
                <w:rFonts w:ascii="Carlito"/>
                <w:sz w:val="16"/>
              </w:rPr>
              <w:t>6</w:t>
            </w:r>
          </w:p>
        </w:tc>
        <w:tc>
          <w:tcPr>
            <w:tcW w:w="745" w:type="dxa"/>
          </w:tcPr>
          <w:p>
            <w:pPr>
              <w:pStyle w:val="TableParagraph"/>
              <w:spacing w:before="92"/>
              <w:ind w:right="303"/>
              <w:rPr>
                <w:rFonts w:ascii="Carlito"/>
                <w:sz w:val="16"/>
              </w:rPr>
            </w:pPr>
            <w:r>
              <w:rPr>
                <w:rFonts w:ascii="Carlito"/>
                <w:sz w:val="16"/>
              </w:rPr>
              <w:t>4</w:t>
            </w:r>
          </w:p>
        </w:tc>
        <w:tc>
          <w:tcPr>
            <w:tcW w:w="816" w:type="dxa"/>
          </w:tcPr>
          <w:p>
            <w:pPr>
              <w:pStyle w:val="TableParagraph"/>
              <w:spacing w:before="92"/>
              <w:ind w:left="297"/>
              <w:jc w:val="left"/>
              <w:rPr>
                <w:rFonts w:ascii="Carlito"/>
                <w:sz w:val="16"/>
              </w:rPr>
            </w:pPr>
            <w:r>
              <w:rPr>
                <w:rFonts w:ascii="Carlito"/>
                <w:sz w:val="16"/>
              </w:rPr>
              <w:t>2</w:t>
            </w:r>
          </w:p>
        </w:tc>
        <w:tc>
          <w:tcPr>
            <w:tcW w:w="1290" w:type="dxa"/>
          </w:tcPr>
          <w:p>
            <w:pPr>
              <w:pStyle w:val="TableParagraph"/>
              <w:spacing w:before="92"/>
              <w:ind w:right="577"/>
              <w:rPr>
                <w:rFonts w:ascii="Carlito"/>
                <w:sz w:val="16"/>
              </w:rPr>
            </w:pPr>
            <w:r>
              <w:rPr>
                <w:rFonts w:ascii="Carlito"/>
                <w:sz w:val="16"/>
              </w:rPr>
              <w:t>5.7</w:t>
            </w:r>
          </w:p>
        </w:tc>
        <w:tc>
          <w:tcPr>
            <w:tcW w:w="1140" w:type="dxa"/>
          </w:tcPr>
          <w:p>
            <w:pPr>
              <w:pStyle w:val="TableParagraph"/>
              <w:spacing w:before="92"/>
              <w:ind w:right="369"/>
              <w:rPr>
                <w:rFonts w:ascii="Carlito"/>
                <w:sz w:val="16"/>
              </w:rPr>
            </w:pPr>
            <w:r>
              <w:rPr>
                <w:rFonts w:ascii="Carlito"/>
                <w:sz w:val="16"/>
              </w:rPr>
              <w:t>3.2</w:t>
            </w:r>
          </w:p>
        </w:tc>
        <w:tc>
          <w:tcPr>
            <w:tcW w:w="826" w:type="dxa"/>
          </w:tcPr>
          <w:p>
            <w:pPr>
              <w:pStyle w:val="TableParagraph"/>
              <w:spacing w:before="92"/>
              <w:ind w:right="383"/>
              <w:rPr>
                <w:rFonts w:ascii="Carlito"/>
                <w:sz w:val="16"/>
              </w:rPr>
            </w:pPr>
            <w:r>
              <w:rPr>
                <w:rFonts w:ascii="Carlito"/>
                <w:sz w:val="16"/>
              </w:rPr>
              <w:t>0</w:t>
            </w:r>
          </w:p>
        </w:tc>
        <w:tc>
          <w:tcPr>
            <w:tcW w:w="530" w:type="dxa"/>
          </w:tcPr>
          <w:p>
            <w:pPr>
              <w:pStyle w:val="TableParagraph"/>
              <w:spacing w:before="92"/>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48</w:t>
            </w:r>
          </w:p>
        </w:tc>
        <w:tc>
          <w:tcPr>
            <w:tcW w:w="1938" w:type="dxa"/>
            <w:shd w:val="clear" w:color="auto" w:fill="D9D9D9"/>
          </w:tcPr>
          <w:p>
            <w:pPr>
              <w:pStyle w:val="TableParagraph"/>
              <w:ind w:left="143"/>
              <w:jc w:val="left"/>
              <w:rPr>
                <w:rFonts w:ascii="Carlito"/>
                <w:sz w:val="16"/>
              </w:rPr>
            </w:pPr>
            <w:r>
              <w:rPr>
                <w:rFonts w:ascii="Carlito"/>
                <w:sz w:val="16"/>
              </w:rPr>
              <w:t>La Colina</w:t>
            </w:r>
          </w:p>
        </w:tc>
        <w:tc>
          <w:tcPr>
            <w:tcW w:w="596" w:type="dxa"/>
            <w:shd w:val="clear" w:color="auto" w:fill="D9D9D9"/>
          </w:tcPr>
          <w:p>
            <w:pPr>
              <w:pStyle w:val="TableParagraph"/>
              <w:ind w:right="70"/>
              <w:rPr>
                <w:rFonts w:ascii="Carlito"/>
                <w:sz w:val="16"/>
              </w:rPr>
            </w:pPr>
            <w:r>
              <w:rPr>
                <w:rFonts w:ascii="Carlito"/>
                <w:sz w:val="16"/>
              </w:rPr>
              <w:t>1</w:t>
            </w:r>
          </w:p>
        </w:tc>
        <w:tc>
          <w:tcPr>
            <w:tcW w:w="1379" w:type="dxa"/>
            <w:shd w:val="clear" w:color="auto" w:fill="D9D9D9"/>
          </w:tcPr>
          <w:p>
            <w:pPr>
              <w:pStyle w:val="TableParagraph"/>
              <w:ind w:right="377"/>
              <w:rPr>
                <w:rFonts w:ascii="Carlito"/>
                <w:sz w:val="16"/>
              </w:rPr>
            </w:pPr>
            <w:r>
              <w:rPr>
                <w:rFonts w:ascii="Carlito"/>
                <w:sz w:val="16"/>
              </w:rPr>
              <w:t>$143,636.36</w:t>
            </w:r>
          </w:p>
        </w:tc>
        <w:tc>
          <w:tcPr>
            <w:tcW w:w="1041" w:type="dxa"/>
            <w:shd w:val="clear" w:color="auto" w:fill="D9D9D9"/>
          </w:tcPr>
          <w:p>
            <w:pPr>
              <w:pStyle w:val="TableParagraph"/>
              <w:ind w:right="343"/>
              <w:rPr>
                <w:rFonts w:ascii="Carlito"/>
                <w:sz w:val="16"/>
              </w:rPr>
            </w:pPr>
            <w:r>
              <w:rPr>
                <w:rFonts w:ascii="Carlito"/>
                <w:sz w:val="16"/>
              </w:rPr>
              <w:t>140</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3"/>
              <w:rPr>
                <w:rFonts w:ascii="Carlito"/>
                <w:sz w:val="16"/>
              </w:rPr>
            </w:pPr>
            <w:r>
              <w:rPr>
                <w:rFonts w:ascii="Carlito"/>
                <w:sz w:val="16"/>
              </w:rPr>
              <w:t>2</w:t>
            </w:r>
          </w:p>
        </w:tc>
        <w:tc>
          <w:tcPr>
            <w:tcW w:w="816" w:type="dxa"/>
            <w:shd w:val="clear" w:color="auto" w:fill="D9D9D9"/>
          </w:tcPr>
          <w:p>
            <w:pPr>
              <w:pStyle w:val="TableParagraph"/>
              <w:ind w:left="297"/>
              <w:jc w:val="left"/>
              <w:rPr>
                <w:rFonts w:ascii="Carlito"/>
                <w:sz w:val="16"/>
              </w:rPr>
            </w:pPr>
            <w:r>
              <w:rPr>
                <w:rFonts w:ascii="Carlito"/>
                <w:sz w:val="16"/>
              </w:rPr>
              <w:t>1</w:t>
            </w:r>
          </w:p>
        </w:tc>
        <w:tc>
          <w:tcPr>
            <w:tcW w:w="1290" w:type="dxa"/>
            <w:shd w:val="clear" w:color="auto" w:fill="D9D9D9"/>
          </w:tcPr>
          <w:p>
            <w:pPr>
              <w:pStyle w:val="TableParagraph"/>
              <w:ind w:right="577"/>
              <w:rPr>
                <w:rFonts w:ascii="Carlito"/>
                <w:sz w:val="16"/>
              </w:rPr>
            </w:pPr>
            <w:r>
              <w:rPr>
                <w:rFonts w:ascii="Carlito"/>
                <w:sz w:val="16"/>
              </w:rPr>
              <w:t>7.4</w:t>
            </w:r>
          </w:p>
        </w:tc>
        <w:tc>
          <w:tcPr>
            <w:tcW w:w="1140" w:type="dxa"/>
            <w:shd w:val="clear" w:color="auto" w:fill="D9D9D9"/>
          </w:tcPr>
          <w:p>
            <w:pPr>
              <w:pStyle w:val="TableParagraph"/>
              <w:ind w:right="369"/>
              <w:rPr>
                <w:rFonts w:ascii="Carlito"/>
                <w:sz w:val="16"/>
              </w:rPr>
            </w:pPr>
            <w:r>
              <w:rPr>
                <w:rFonts w:ascii="Carlito"/>
                <w:sz w:val="16"/>
              </w:rPr>
              <w:t>2.4</w:t>
            </w:r>
          </w:p>
        </w:tc>
        <w:tc>
          <w:tcPr>
            <w:tcW w:w="826" w:type="dxa"/>
            <w:shd w:val="clear" w:color="auto" w:fill="D9D9D9"/>
          </w:tcPr>
          <w:p>
            <w:pPr>
              <w:pStyle w:val="TableParagraph"/>
              <w:ind w:right="383"/>
              <w:rPr>
                <w:rFonts w:ascii="Carlito"/>
                <w:sz w:val="16"/>
              </w:rPr>
            </w:pPr>
            <w:r>
              <w:rPr>
                <w:rFonts w:ascii="Carlito"/>
                <w:sz w:val="16"/>
              </w:rPr>
              <w:t>1</w:t>
            </w:r>
          </w:p>
        </w:tc>
        <w:tc>
          <w:tcPr>
            <w:tcW w:w="530" w:type="dxa"/>
            <w:shd w:val="clear" w:color="auto" w:fill="D9D9D9"/>
          </w:tcPr>
          <w:p>
            <w:pPr>
              <w:pStyle w:val="TableParagraph"/>
              <w:ind w:right="69"/>
              <w:rPr>
                <w:rFonts w:ascii="Carlito"/>
                <w:sz w:val="16"/>
              </w:rPr>
            </w:pPr>
            <w:r>
              <w:rPr>
                <w:rFonts w:ascii="Carlito"/>
                <w:sz w:val="16"/>
              </w:rPr>
              <w:t>0</w:t>
            </w:r>
          </w:p>
        </w:tc>
      </w:tr>
      <w:tr>
        <w:trPr>
          <w:trHeight w:val="287" w:hRule="atLeast"/>
        </w:trPr>
        <w:tc>
          <w:tcPr>
            <w:tcW w:w="756" w:type="dxa"/>
          </w:tcPr>
          <w:p>
            <w:pPr>
              <w:pStyle w:val="TableParagraph"/>
              <w:spacing w:line="177" w:lineRule="exact"/>
              <w:ind w:right="143"/>
              <w:rPr>
                <w:rFonts w:ascii="Carlito"/>
                <w:sz w:val="16"/>
              </w:rPr>
            </w:pPr>
            <w:r>
              <w:rPr>
                <w:rFonts w:ascii="Carlito"/>
                <w:sz w:val="16"/>
              </w:rPr>
              <w:t>49</w:t>
            </w:r>
          </w:p>
        </w:tc>
        <w:tc>
          <w:tcPr>
            <w:tcW w:w="1938" w:type="dxa"/>
          </w:tcPr>
          <w:p>
            <w:pPr>
              <w:pStyle w:val="TableParagraph"/>
              <w:spacing w:line="177" w:lineRule="exact"/>
              <w:ind w:left="143"/>
              <w:jc w:val="left"/>
              <w:rPr>
                <w:rFonts w:ascii="Carlito"/>
                <w:sz w:val="16"/>
              </w:rPr>
            </w:pPr>
            <w:r>
              <w:rPr>
                <w:rFonts w:ascii="Carlito"/>
                <w:sz w:val="16"/>
              </w:rPr>
              <w:t>La Colina</w:t>
            </w:r>
          </w:p>
        </w:tc>
        <w:tc>
          <w:tcPr>
            <w:tcW w:w="596" w:type="dxa"/>
          </w:tcPr>
          <w:p>
            <w:pPr>
              <w:pStyle w:val="TableParagraph"/>
              <w:spacing w:line="177" w:lineRule="exact"/>
              <w:ind w:right="70"/>
              <w:rPr>
                <w:rFonts w:ascii="Carlito"/>
                <w:sz w:val="16"/>
              </w:rPr>
            </w:pPr>
            <w:r>
              <w:rPr>
                <w:rFonts w:ascii="Carlito"/>
                <w:sz w:val="16"/>
              </w:rPr>
              <w:t>1</w:t>
            </w:r>
          </w:p>
        </w:tc>
        <w:tc>
          <w:tcPr>
            <w:tcW w:w="1379" w:type="dxa"/>
          </w:tcPr>
          <w:p>
            <w:pPr>
              <w:pStyle w:val="TableParagraph"/>
              <w:spacing w:line="177" w:lineRule="exact"/>
              <w:ind w:right="377"/>
              <w:rPr>
                <w:rFonts w:ascii="Carlito"/>
                <w:sz w:val="16"/>
              </w:rPr>
            </w:pPr>
            <w:r>
              <w:rPr>
                <w:rFonts w:ascii="Carlito"/>
                <w:sz w:val="16"/>
              </w:rPr>
              <w:t>$190,000.00</w:t>
            </w:r>
          </w:p>
        </w:tc>
        <w:tc>
          <w:tcPr>
            <w:tcW w:w="1041" w:type="dxa"/>
          </w:tcPr>
          <w:p>
            <w:pPr>
              <w:pStyle w:val="TableParagraph"/>
              <w:spacing w:line="177" w:lineRule="exact"/>
              <w:ind w:right="343"/>
              <w:rPr>
                <w:rFonts w:ascii="Carlito"/>
                <w:sz w:val="16"/>
              </w:rPr>
            </w:pPr>
            <w:r>
              <w:rPr>
                <w:rFonts w:ascii="Carlito"/>
                <w:sz w:val="16"/>
              </w:rPr>
              <w:t>216</w:t>
            </w:r>
          </w:p>
        </w:tc>
        <w:tc>
          <w:tcPr>
            <w:tcW w:w="1127" w:type="dxa"/>
          </w:tcPr>
          <w:p>
            <w:pPr>
              <w:pStyle w:val="TableParagraph"/>
              <w:spacing w:line="177" w:lineRule="exact"/>
              <w:ind w:left="313" w:right="440"/>
              <w:jc w:val="center"/>
              <w:rPr>
                <w:rFonts w:ascii="Carlito"/>
                <w:sz w:val="16"/>
              </w:rPr>
            </w:pPr>
            <w:r>
              <w:rPr>
                <w:rFonts w:ascii="Carlito"/>
                <w:sz w:val="16"/>
              </w:rPr>
              <w:t>2006</w:t>
            </w:r>
          </w:p>
        </w:tc>
        <w:tc>
          <w:tcPr>
            <w:tcW w:w="783" w:type="dxa"/>
          </w:tcPr>
          <w:p>
            <w:pPr>
              <w:pStyle w:val="TableParagraph"/>
              <w:spacing w:line="177" w:lineRule="exact"/>
              <w:ind w:right="239"/>
              <w:rPr>
                <w:rFonts w:ascii="Carlito"/>
                <w:sz w:val="16"/>
              </w:rPr>
            </w:pPr>
            <w:r>
              <w:rPr>
                <w:rFonts w:ascii="Carlito"/>
                <w:sz w:val="16"/>
              </w:rPr>
              <w:t>5</w:t>
            </w:r>
          </w:p>
        </w:tc>
        <w:tc>
          <w:tcPr>
            <w:tcW w:w="745" w:type="dxa"/>
          </w:tcPr>
          <w:p>
            <w:pPr>
              <w:pStyle w:val="TableParagraph"/>
              <w:spacing w:line="177" w:lineRule="exact"/>
              <w:ind w:right="303"/>
              <w:rPr>
                <w:rFonts w:ascii="Carlito"/>
                <w:sz w:val="16"/>
              </w:rPr>
            </w:pPr>
            <w:r>
              <w:rPr>
                <w:rFonts w:ascii="Carlito"/>
                <w:sz w:val="16"/>
              </w:rPr>
              <w:t>3</w:t>
            </w:r>
          </w:p>
        </w:tc>
        <w:tc>
          <w:tcPr>
            <w:tcW w:w="816" w:type="dxa"/>
          </w:tcPr>
          <w:p>
            <w:pPr>
              <w:pStyle w:val="TableParagraph"/>
              <w:spacing w:line="177" w:lineRule="exact"/>
              <w:ind w:left="297"/>
              <w:jc w:val="left"/>
              <w:rPr>
                <w:rFonts w:ascii="Carlito"/>
                <w:sz w:val="16"/>
              </w:rPr>
            </w:pPr>
            <w:r>
              <w:rPr>
                <w:rFonts w:ascii="Carlito"/>
                <w:sz w:val="16"/>
              </w:rPr>
              <w:t>2</w:t>
            </w:r>
          </w:p>
        </w:tc>
        <w:tc>
          <w:tcPr>
            <w:tcW w:w="1290" w:type="dxa"/>
          </w:tcPr>
          <w:p>
            <w:pPr>
              <w:pStyle w:val="TableParagraph"/>
              <w:spacing w:line="177" w:lineRule="exact"/>
              <w:ind w:right="577"/>
              <w:rPr>
                <w:rFonts w:ascii="Carlito"/>
                <w:sz w:val="16"/>
              </w:rPr>
            </w:pPr>
            <w:r>
              <w:rPr>
                <w:rFonts w:ascii="Carlito"/>
                <w:sz w:val="16"/>
              </w:rPr>
              <w:t>7.4</w:t>
            </w:r>
          </w:p>
        </w:tc>
        <w:tc>
          <w:tcPr>
            <w:tcW w:w="1140" w:type="dxa"/>
          </w:tcPr>
          <w:p>
            <w:pPr>
              <w:pStyle w:val="TableParagraph"/>
              <w:spacing w:line="177" w:lineRule="exact"/>
              <w:ind w:right="369"/>
              <w:rPr>
                <w:rFonts w:ascii="Carlito"/>
                <w:sz w:val="16"/>
              </w:rPr>
            </w:pPr>
            <w:r>
              <w:rPr>
                <w:rFonts w:ascii="Carlito"/>
                <w:sz w:val="16"/>
              </w:rPr>
              <w:t>2.4</w:t>
            </w:r>
          </w:p>
        </w:tc>
        <w:tc>
          <w:tcPr>
            <w:tcW w:w="826" w:type="dxa"/>
          </w:tcPr>
          <w:p>
            <w:pPr>
              <w:pStyle w:val="TableParagraph"/>
              <w:spacing w:line="177" w:lineRule="exact"/>
              <w:ind w:right="383"/>
              <w:rPr>
                <w:rFonts w:ascii="Carlito"/>
                <w:sz w:val="16"/>
              </w:rPr>
            </w:pPr>
            <w:r>
              <w:rPr>
                <w:rFonts w:ascii="Carlito"/>
                <w:sz w:val="16"/>
              </w:rPr>
              <w:t>1</w:t>
            </w:r>
          </w:p>
        </w:tc>
        <w:tc>
          <w:tcPr>
            <w:tcW w:w="530" w:type="dxa"/>
          </w:tcPr>
          <w:p>
            <w:pPr>
              <w:pStyle w:val="TableParagraph"/>
              <w:spacing w:line="177" w:lineRule="exact"/>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spacing w:line="177" w:lineRule="exact"/>
              <w:ind w:right="143"/>
              <w:rPr>
                <w:rFonts w:ascii="Carlito"/>
                <w:sz w:val="16"/>
              </w:rPr>
            </w:pPr>
            <w:r>
              <w:rPr>
                <w:rFonts w:ascii="Carlito"/>
                <w:sz w:val="16"/>
              </w:rPr>
              <w:t>50</w:t>
            </w:r>
          </w:p>
        </w:tc>
        <w:tc>
          <w:tcPr>
            <w:tcW w:w="1938" w:type="dxa"/>
            <w:shd w:val="clear" w:color="auto" w:fill="D9D9D9"/>
          </w:tcPr>
          <w:p>
            <w:pPr>
              <w:pStyle w:val="TableParagraph"/>
              <w:spacing w:line="177" w:lineRule="exact"/>
              <w:ind w:left="143"/>
              <w:jc w:val="left"/>
              <w:rPr>
                <w:rFonts w:ascii="Carlito"/>
                <w:sz w:val="16"/>
              </w:rPr>
            </w:pPr>
            <w:r>
              <w:rPr>
                <w:rFonts w:ascii="Carlito"/>
                <w:sz w:val="16"/>
              </w:rPr>
              <w:t>Altamonte</w:t>
            </w:r>
          </w:p>
        </w:tc>
        <w:tc>
          <w:tcPr>
            <w:tcW w:w="596" w:type="dxa"/>
            <w:shd w:val="clear" w:color="auto" w:fill="D9D9D9"/>
          </w:tcPr>
          <w:p>
            <w:pPr>
              <w:pStyle w:val="TableParagraph"/>
              <w:spacing w:line="177" w:lineRule="exact"/>
              <w:ind w:right="70"/>
              <w:rPr>
                <w:rFonts w:ascii="Carlito"/>
                <w:sz w:val="16"/>
              </w:rPr>
            </w:pPr>
            <w:r>
              <w:rPr>
                <w:rFonts w:ascii="Carlito"/>
                <w:sz w:val="16"/>
              </w:rPr>
              <w:t>1</w:t>
            </w:r>
          </w:p>
        </w:tc>
        <w:tc>
          <w:tcPr>
            <w:tcW w:w="1379" w:type="dxa"/>
            <w:shd w:val="clear" w:color="auto" w:fill="D9D9D9"/>
          </w:tcPr>
          <w:p>
            <w:pPr>
              <w:pStyle w:val="TableParagraph"/>
              <w:spacing w:line="177" w:lineRule="exact"/>
              <w:ind w:right="377"/>
              <w:rPr>
                <w:rFonts w:ascii="Carlito"/>
                <w:sz w:val="16"/>
              </w:rPr>
            </w:pPr>
            <w:r>
              <w:rPr>
                <w:rFonts w:ascii="Carlito"/>
                <w:sz w:val="16"/>
              </w:rPr>
              <w:t>$735,000.00</w:t>
            </w:r>
          </w:p>
        </w:tc>
        <w:tc>
          <w:tcPr>
            <w:tcW w:w="1041" w:type="dxa"/>
            <w:shd w:val="clear" w:color="auto" w:fill="D9D9D9"/>
          </w:tcPr>
          <w:p>
            <w:pPr>
              <w:pStyle w:val="TableParagraph"/>
              <w:spacing w:line="177" w:lineRule="exact"/>
              <w:ind w:right="343"/>
              <w:rPr>
                <w:rFonts w:ascii="Carlito"/>
                <w:sz w:val="16"/>
              </w:rPr>
            </w:pPr>
            <w:r>
              <w:rPr>
                <w:rFonts w:ascii="Carlito"/>
                <w:sz w:val="16"/>
              </w:rPr>
              <w:t>864</w:t>
            </w:r>
          </w:p>
        </w:tc>
        <w:tc>
          <w:tcPr>
            <w:tcW w:w="1127" w:type="dxa"/>
            <w:shd w:val="clear" w:color="auto" w:fill="D9D9D9"/>
          </w:tcPr>
          <w:p>
            <w:pPr>
              <w:pStyle w:val="TableParagraph"/>
              <w:spacing w:line="177" w:lineRule="exact"/>
              <w:ind w:left="313" w:right="440"/>
              <w:jc w:val="center"/>
              <w:rPr>
                <w:rFonts w:ascii="Carlito"/>
                <w:sz w:val="16"/>
              </w:rPr>
            </w:pPr>
            <w:r>
              <w:rPr>
                <w:rFonts w:ascii="Carlito"/>
                <w:sz w:val="16"/>
              </w:rPr>
              <w:t>2004</w:t>
            </w:r>
          </w:p>
        </w:tc>
        <w:tc>
          <w:tcPr>
            <w:tcW w:w="783" w:type="dxa"/>
            <w:shd w:val="clear" w:color="auto" w:fill="D9D9D9"/>
          </w:tcPr>
          <w:p>
            <w:pPr>
              <w:pStyle w:val="TableParagraph"/>
              <w:spacing w:line="177" w:lineRule="exact"/>
              <w:ind w:right="239"/>
              <w:rPr>
                <w:rFonts w:ascii="Carlito"/>
                <w:sz w:val="16"/>
              </w:rPr>
            </w:pPr>
            <w:r>
              <w:rPr>
                <w:rFonts w:ascii="Carlito"/>
                <w:sz w:val="16"/>
              </w:rPr>
              <w:t>4</w:t>
            </w:r>
          </w:p>
        </w:tc>
        <w:tc>
          <w:tcPr>
            <w:tcW w:w="745" w:type="dxa"/>
            <w:shd w:val="clear" w:color="auto" w:fill="D9D9D9"/>
          </w:tcPr>
          <w:p>
            <w:pPr>
              <w:pStyle w:val="TableParagraph"/>
              <w:spacing w:line="177" w:lineRule="exact"/>
              <w:ind w:right="308"/>
              <w:rPr>
                <w:rFonts w:ascii="Carlito"/>
                <w:sz w:val="16"/>
              </w:rPr>
            </w:pPr>
            <w:r>
              <w:rPr>
                <w:rFonts w:ascii="Carlito"/>
                <w:sz w:val="16"/>
              </w:rPr>
              <w:t>3.5</w:t>
            </w:r>
          </w:p>
        </w:tc>
        <w:tc>
          <w:tcPr>
            <w:tcW w:w="816" w:type="dxa"/>
            <w:shd w:val="clear" w:color="auto" w:fill="D9D9D9"/>
          </w:tcPr>
          <w:p>
            <w:pPr>
              <w:pStyle w:val="TableParagraph"/>
              <w:spacing w:line="177" w:lineRule="exact"/>
              <w:ind w:left="297"/>
              <w:jc w:val="left"/>
              <w:rPr>
                <w:rFonts w:ascii="Carlito"/>
                <w:sz w:val="16"/>
              </w:rPr>
            </w:pPr>
            <w:r>
              <w:rPr>
                <w:rFonts w:ascii="Carlito"/>
                <w:sz w:val="16"/>
              </w:rPr>
              <w:t>1</w:t>
            </w:r>
          </w:p>
        </w:tc>
        <w:tc>
          <w:tcPr>
            <w:tcW w:w="1290" w:type="dxa"/>
            <w:shd w:val="clear" w:color="auto" w:fill="D9D9D9"/>
          </w:tcPr>
          <w:p>
            <w:pPr>
              <w:pStyle w:val="TableParagraph"/>
              <w:spacing w:line="177" w:lineRule="exact"/>
              <w:ind w:right="577"/>
              <w:rPr>
                <w:rFonts w:ascii="Carlito"/>
                <w:sz w:val="16"/>
              </w:rPr>
            </w:pPr>
            <w:r>
              <w:rPr>
                <w:rFonts w:ascii="Carlito"/>
                <w:sz w:val="16"/>
              </w:rPr>
              <w:t>6.6</w:t>
            </w:r>
          </w:p>
        </w:tc>
        <w:tc>
          <w:tcPr>
            <w:tcW w:w="1140" w:type="dxa"/>
            <w:shd w:val="clear" w:color="auto" w:fill="D9D9D9"/>
          </w:tcPr>
          <w:p>
            <w:pPr>
              <w:pStyle w:val="TableParagraph"/>
              <w:spacing w:line="177" w:lineRule="exact"/>
              <w:ind w:right="369"/>
              <w:rPr>
                <w:rFonts w:ascii="Carlito"/>
                <w:sz w:val="16"/>
              </w:rPr>
            </w:pPr>
            <w:r>
              <w:rPr>
                <w:rFonts w:ascii="Carlito"/>
                <w:sz w:val="16"/>
              </w:rPr>
              <w:t>5.8</w:t>
            </w:r>
          </w:p>
        </w:tc>
        <w:tc>
          <w:tcPr>
            <w:tcW w:w="826" w:type="dxa"/>
            <w:shd w:val="clear" w:color="auto" w:fill="D9D9D9"/>
          </w:tcPr>
          <w:p>
            <w:pPr>
              <w:pStyle w:val="TableParagraph"/>
              <w:spacing w:line="177" w:lineRule="exact"/>
              <w:ind w:right="383"/>
              <w:rPr>
                <w:rFonts w:ascii="Carlito"/>
                <w:sz w:val="16"/>
              </w:rPr>
            </w:pPr>
            <w:r>
              <w:rPr>
                <w:rFonts w:ascii="Carlito"/>
                <w:sz w:val="16"/>
              </w:rPr>
              <w:t>0</w:t>
            </w:r>
          </w:p>
        </w:tc>
        <w:tc>
          <w:tcPr>
            <w:tcW w:w="530" w:type="dxa"/>
            <w:shd w:val="clear" w:color="auto" w:fill="D9D9D9"/>
          </w:tcPr>
          <w:p>
            <w:pPr>
              <w:pStyle w:val="TableParagraph"/>
              <w:spacing w:line="177" w:lineRule="exact"/>
              <w:ind w:right="69"/>
              <w:rPr>
                <w:rFonts w:ascii="Carlito"/>
                <w:sz w:val="16"/>
              </w:rPr>
            </w:pPr>
            <w:r>
              <w:rPr>
                <w:rFonts w:ascii="Carlito"/>
                <w:sz w:val="16"/>
              </w:rPr>
              <w:t>1</w:t>
            </w:r>
          </w:p>
        </w:tc>
      </w:tr>
      <w:tr>
        <w:trPr>
          <w:trHeight w:val="287" w:hRule="atLeast"/>
        </w:trPr>
        <w:tc>
          <w:tcPr>
            <w:tcW w:w="756" w:type="dxa"/>
          </w:tcPr>
          <w:p>
            <w:pPr>
              <w:pStyle w:val="TableParagraph"/>
              <w:ind w:right="143"/>
              <w:rPr>
                <w:rFonts w:ascii="Carlito"/>
                <w:sz w:val="16"/>
              </w:rPr>
            </w:pPr>
            <w:r>
              <w:rPr>
                <w:rFonts w:ascii="Carlito"/>
                <w:sz w:val="16"/>
              </w:rPr>
              <w:t>51</w:t>
            </w:r>
          </w:p>
        </w:tc>
        <w:tc>
          <w:tcPr>
            <w:tcW w:w="1938" w:type="dxa"/>
          </w:tcPr>
          <w:p>
            <w:pPr>
              <w:pStyle w:val="TableParagraph"/>
              <w:ind w:left="143"/>
              <w:jc w:val="left"/>
              <w:rPr>
                <w:rFonts w:ascii="Carlito"/>
                <w:sz w:val="16"/>
              </w:rPr>
            </w:pPr>
            <w:r>
              <w:rPr>
                <w:rFonts w:ascii="Carlito"/>
                <w:sz w:val="16"/>
              </w:rPr>
              <w:t>Lomas de Ayarco Sur</w:t>
            </w:r>
          </w:p>
        </w:tc>
        <w:tc>
          <w:tcPr>
            <w:tcW w:w="596" w:type="dxa"/>
          </w:tcPr>
          <w:p>
            <w:pPr>
              <w:pStyle w:val="TableParagraph"/>
              <w:ind w:right="70"/>
              <w:rPr>
                <w:rFonts w:ascii="Carlito"/>
                <w:sz w:val="16"/>
              </w:rPr>
            </w:pPr>
            <w:r>
              <w:rPr>
                <w:rFonts w:ascii="Carlito"/>
                <w:sz w:val="16"/>
              </w:rPr>
              <w:t>1</w:t>
            </w:r>
          </w:p>
        </w:tc>
        <w:tc>
          <w:tcPr>
            <w:tcW w:w="1379" w:type="dxa"/>
          </w:tcPr>
          <w:p>
            <w:pPr>
              <w:pStyle w:val="TableParagraph"/>
              <w:ind w:right="377"/>
              <w:rPr>
                <w:rFonts w:ascii="Carlito"/>
                <w:sz w:val="16"/>
              </w:rPr>
            </w:pPr>
            <w:r>
              <w:rPr>
                <w:rFonts w:ascii="Carlito"/>
                <w:sz w:val="16"/>
              </w:rPr>
              <w:t>$620,000.00</w:t>
            </w:r>
          </w:p>
        </w:tc>
        <w:tc>
          <w:tcPr>
            <w:tcW w:w="1041" w:type="dxa"/>
          </w:tcPr>
          <w:p>
            <w:pPr>
              <w:pStyle w:val="TableParagraph"/>
              <w:ind w:right="343"/>
              <w:rPr>
                <w:rFonts w:ascii="Carlito"/>
                <w:sz w:val="16"/>
              </w:rPr>
            </w:pPr>
            <w:r>
              <w:rPr>
                <w:rFonts w:ascii="Carlito"/>
                <w:sz w:val="16"/>
              </w:rPr>
              <w:t>500</w:t>
            </w:r>
          </w:p>
        </w:tc>
        <w:tc>
          <w:tcPr>
            <w:tcW w:w="1127" w:type="dxa"/>
          </w:tcPr>
          <w:p>
            <w:pPr>
              <w:pStyle w:val="TableParagraph"/>
              <w:ind w:left="313" w:right="440"/>
              <w:jc w:val="center"/>
              <w:rPr>
                <w:rFonts w:ascii="Carlito"/>
                <w:sz w:val="16"/>
              </w:rPr>
            </w:pPr>
            <w:r>
              <w:rPr>
                <w:rFonts w:ascii="Carlito"/>
                <w:sz w:val="16"/>
              </w:rPr>
              <w:t>2006</w:t>
            </w:r>
          </w:p>
        </w:tc>
        <w:tc>
          <w:tcPr>
            <w:tcW w:w="783" w:type="dxa"/>
          </w:tcPr>
          <w:p>
            <w:pPr>
              <w:pStyle w:val="TableParagraph"/>
              <w:ind w:right="239"/>
              <w:rPr>
                <w:rFonts w:ascii="Carlito"/>
                <w:sz w:val="16"/>
              </w:rPr>
            </w:pPr>
            <w:r>
              <w:rPr>
                <w:rFonts w:ascii="Carlito"/>
                <w:sz w:val="16"/>
              </w:rPr>
              <w:t>5</w:t>
            </w:r>
          </w:p>
        </w:tc>
        <w:tc>
          <w:tcPr>
            <w:tcW w:w="745" w:type="dxa"/>
          </w:tcPr>
          <w:p>
            <w:pPr>
              <w:pStyle w:val="TableParagraph"/>
              <w:ind w:right="308"/>
              <w:rPr>
                <w:rFonts w:ascii="Carlito"/>
                <w:sz w:val="16"/>
              </w:rPr>
            </w:pPr>
            <w:r>
              <w:rPr>
                <w:rFonts w:ascii="Carlito"/>
                <w:sz w:val="16"/>
              </w:rPr>
              <w:t>4.5</w:t>
            </w:r>
          </w:p>
        </w:tc>
        <w:tc>
          <w:tcPr>
            <w:tcW w:w="816" w:type="dxa"/>
          </w:tcPr>
          <w:p>
            <w:pPr>
              <w:pStyle w:val="TableParagraph"/>
              <w:ind w:left="297"/>
              <w:jc w:val="left"/>
              <w:rPr>
                <w:rFonts w:ascii="Carlito"/>
                <w:sz w:val="16"/>
              </w:rPr>
            </w:pPr>
            <w:r>
              <w:rPr>
                <w:rFonts w:ascii="Carlito"/>
                <w:sz w:val="16"/>
              </w:rPr>
              <w:t>1</w:t>
            </w:r>
          </w:p>
        </w:tc>
        <w:tc>
          <w:tcPr>
            <w:tcW w:w="1290" w:type="dxa"/>
          </w:tcPr>
          <w:p>
            <w:pPr>
              <w:pStyle w:val="TableParagraph"/>
              <w:ind w:right="577"/>
              <w:rPr>
                <w:rFonts w:ascii="Carlito"/>
                <w:sz w:val="16"/>
              </w:rPr>
            </w:pPr>
            <w:r>
              <w:rPr>
                <w:rFonts w:ascii="Carlito"/>
                <w:sz w:val="16"/>
              </w:rPr>
              <w:t>8.8</w:t>
            </w:r>
          </w:p>
        </w:tc>
        <w:tc>
          <w:tcPr>
            <w:tcW w:w="1140" w:type="dxa"/>
          </w:tcPr>
          <w:p>
            <w:pPr>
              <w:pStyle w:val="TableParagraph"/>
              <w:ind w:right="369"/>
              <w:rPr>
                <w:rFonts w:ascii="Carlito"/>
                <w:sz w:val="16"/>
              </w:rPr>
            </w:pPr>
            <w:r>
              <w:rPr>
                <w:rFonts w:ascii="Carlito"/>
                <w:sz w:val="16"/>
              </w:rPr>
              <w:t>2.8</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52</w:t>
            </w:r>
          </w:p>
        </w:tc>
        <w:tc>
          <w:tcPr>
            <w:tcW w:w="1938" w:type="dxa"/>
            <w:shd w:val="clear" w:color="auto" w:fill="D9D9D9"/>
          </w:tcPr>
          <w:p>
            <w:pPr>
              <w:pStyle w:val="TableParagraph"/>
              <w:spacing w:before="92"/>
              <w:ind w:left="143"/>
              <w:jc w:val="left"/>
              <w:rPr>
                <w:rFonts w:ascii="Carlito"/>
                <w:sz w:val="16"/>
              </w:rPr>
            </w:pPr>
            <w:r>
              <w:rPr>
                <w:rFonts w:ascii="Carlito"/>
                <w:sz w:val="16"/>
              </w:rPr>
              <w:t>Curridabat</w:t>
            </w:r>
          </w:p>
        </w:tc>
        <w:tc>
          <w:tcPr>
            <w:tcW w:w="596" w:type="dxa"/>
            <w:shd w:val="clear" w:color="auto" w:fill="D9D9D9"/>
          </w:tcPr>
          <w:p>
            <w:pPr>
              <w:pStyle w:val="TableParagraph"/>
              <w:spacing w:before="92"/>
              <w:ind w:right="70"/>
              <w:rPr>
                <w:rFonts w:ascii="Carlito"/>
                <w:sz w:val="16"/>
              </w:rPr>
            </w:pPr>
            <w:r>
              <w:rPr>
                <w:rFonts w:ascii="Carlito"/>
                <w:sz w:val="16"/>
              </w:rPr>
              <w:t>0</w:t>
            </w:r>
          </w:p>
        </w:tc>
        <w:tc>
          <w:tcPr>
            <w:tcW w:w="1379" w:type="dxa"/>
            <w:shd w:val="clear" w:color="auto" w:fill="D9D9D9"/>
          </w:tcPr>
          <w:p>
            <w:pPr>
              <w:pStyle w:val="TableParagraph"/>
              <w:spacing w:before="92"/>
              <w:ind w:right="377"/>
              <w:rPr>
                <w:rFonts w:ascii="Carlito"/>
                <w:sz w:val="16"/>
              </w:rPr>
            </w:pPr>
            <w:r>
              <w:rPr>
                <w:rFonts w:ascii="Carlito"/>
                <w:sz w:val="16"/>
              </w:rPr>
              <w:t>$720,000.00</w:t>
            </w:r>
          </w:p>
        </w:tc>
        <w:tc>
          <w:tcPr>
            <w:tcW w:w="1041" w:type="dxa"/>
            <w:shd w:val="clear" w:color="auto" w:fill="D9D9D9"/>
          </w:tcPr>
          <w:p>
            <w:pPr>
              <w:pStyle w:val="TableParagraph"/>
              <w:spacing w:before="92"/>
              <w:ind w:right="343"/>
              <w:rPr>
                <w:rFonts w:ascii="Carlito"/>
                <w:sz w:val="16"/>
              </w:rPr>
            </w:pPr>
            <w:r>
              <w:rPr>
                <w:rFonts w:ascii="Carlito"/>
                <w:sz w:val="16"/>
              </w:rPr>
              <w:t>434</w:t>
            </w:r>
          </w:p>
        </w:tc>
        <w:tc>
          <w:tcPr>
            <w:tcW w:w="1127" w:type="dxa"/>
            <w:shd w:val="clear" w:color="auto" w:fill="D9D9D9"/>
          </w:tcPr>
          <w:p>
            <w:pPr>
              <w:pStyle w:val="TableParagraph"/>
              <w:spacing w:before="92"/>
              <w:ind w:left="313" w:right="440"/>
              <w:jc w:val="center"/>
              <w:rPr>
                <w:rFonts w:ascii="Carlito"/>
                <w:sz w:val="16"/>
              </w:rPr>
            </w:pPr>
            <w:r>
              <w:rPr>
                <w:rFonts w:ascii="Carlito"/>
                <w:sz w:val="16"/>
              </w:rPr>
              <w:t>2012</w:t>
            </w:r>
          </w:p>
        </w:tc>
        <w:tc>
          <w:tcPr>
            <w:tcW w:w="783" w:type="dxa"/>
            <w:shd w:val="clear" w:color="auto" w:fill="D9D9D9"/>
          </w:tcPr>
          <w:p>
            <w:pPr>
              <w:pStyle w:val="TableParagraph"/>
              <w:spacing w:before="92"/>
              <w:ind w:right="239"/>
              <w:rPr>
                <w:rFonts w:ascii="Carlito"/>
                <w:sz w:val="16"/>
              </w:rPr>
            </w:pPr>
            <w:r>
              <w:rPr>
                <w:rFonts w:ascii="Carlito"/>
                <w:sz w:val="16"/>
              </w:rPr>
              <w:t>4</w:t>
            </w:r>
          </w:p>
        </w:tc>
        <w:tc>
          <w:tcPr>
            <w:tcW w:w="745" w:type="dxa"/>
            <w:shd w:val="clear" w:color="auto" w:fill="D9D9D9"/>
          </w:tcPr>
          <w:p>
            <w:pPr>
              <w:pStyle w:val="TableParagraph"/>
              <w:spacing w:before="92"/>
              <w:ind w:right="308"/>
              <w:rPr>
                <w:rFonts w:ascii="Carlito"/>
                <w:sz w:val="16"/>
              </w:rPr>
            </w:pPr>
            <w:r>
              <w:rPr>
                <w:rFonts w:ascii="Carlito"/>
                <w:sz w:val="16"/>
              </w:rPr>
              <w:t>4.5</w:t>
            </w:r>
          </w:p>
        </w:tc>
        <w:tc>
          <w:tcPr>
            <w:tcW w:w="816" w:type="dxa"/>
            <w:shd w:val="clear" w:color="auto" w:fill="D9D9D9"/>
          </w:tcPr>
          <w:p>
            <w:pPr>
              <w:pStyle w:val="TableParagraph"/>
              <w:spacing w:before="92"/>
              <w:ind w:left="297"/>
              <w:jc w:val="left"/>
              <w:rPr>
                <w:rFonts w:ascii="Carlito"/>
                <w:sz w:val="16"/>
              </w:rPr>
            </w:pPr>
            <w:r>
              <w:rPr>
                <w:rFonts w:ascii="Carlito"/>
                <w:sz w:val="16"/>
              </w:rPr>
              <w:t>2</w:t>
            </w:r>
          </w:p>
        </w:tc>
        <w:tc>
          <w:tcPr>
            <w:tcW w:w="1290" w:type="dxa"/>
            <w:shd w:val="clear" w:color="auto" w:fill="D9D9D9"/>
          </w:tcPr>
          <w:p>
            <w:pPr>
              <w:pStyle w:val="TableParagraph"/>
              <w:spacing w:before="92"/>
              <w:ind w:right="577"/>
              <w:rPr>
                <w:rFonts w:ascii="Carlito"/>
                <w:sz w:val="16"/>
              </w:rPr>
            </w:pPr>
            <w:r>
              <w:rPr>
                <w:rFonts w:ascii="Carlito"/>
                <w:sz w:val="16"/>
              </w:rPr>
              <w:t>5.7</w:t>
            </w:r>
          </w:p>
        </w:tc>
        <w:tc>
          <w:tcPr>
            <w:tcW w:w="1140" w:type="dxa"/>
            <w:shd w:val="clear" w:color="auto" w:fill="D9D9D9"/>
          </w:tcPr>
          <w:p>
            <w:pPr>
              <w:pStyle w:val="TableParagraph"/>
              <w:spacing w:before="92"/>
              <w:ind w:right="369"/>
              <w:rPr>
                <w:rFonts w:ascii="Carlito"/>
                <w:sz w:val="16"/>
              </w:rPr>
            </w:pPr>
            <w:r>
              <w:rPr>
                <w:rFonts w:ascii="Carlito"/>
                <w:sz w:val="16"/>
              </w:rPr>
              <w:t>3.2</w:t>
            </w:r>
          </w:p>
        </w:tc>
        <w:tc>
          <w:tcPr>
            <w:tcW w:w="826" w:type="dxa"/>
            <w:shd w:val="clear" w:color="auto" w:fill="D9D9D9"/>
          </w:tcPr>
          <w:p>
            <w:pPr>
              <w:pStyle w:val="TableParagraph"/>
              <w:spacing w:before="92"/>
              <w:ind w:right="383"/>
              <w:rPr>
                <w:rFonts w:ascii="Carlito"/>
                <w:sz w:val="16"/>
              </w:rPr>
            </w:pPr>
            <w:r>
              <w:rPr>
                <w:rFonts w:ascii="Carlito"/>
                <w:sz w:val="16"/>
              </w:rPr>
              <w:t>0</w:t>
            </w:r>
          </w:p>
        </w:tc>
        <w:tc>
          <w:tcPr>
            <w:tcW w:w="530" w:type="dxa"/>
            <w:shd w:val="clear" w:color="auto" w:fill="D9D9D9"/>
          </w:tcPr>
          <w:p>
            <w:pPr>
              <w:pStyle w:val="TableParagraph"/>
              <w:spacing w:before="92"/>
              <w:ind w:right="69"/>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53</w:t>
            </w:r>
          </w:p>
        </w:tc>
        <w:tc>
          <w:tcPr>
            <w:tcW w:w="1938" w:type="dxa"/>
          </w:tcPr>
          <w:p>
            <w:pPr>
              <w:pStyle w:val="TableParagraph"/>
              <w:ind w:left="143"/>
              <w:jc w:val="left"/>
              <w:rPr>
                <w:rFonts w:ascii="Carlito" w:hAnsi="Carlito"/>
                <w:sz w:val="16"/>
              </w:rPr>
            </w:pPr>
            <w:r>
              <w:rPr>
                <w:rFonts w:ascii="Carlito" w:hAnsi="Carlito"/>
                <w:sz w:val="16"/>
              </w:rPr>
              <w:t>Sánchez</w:t>
            </w:r>
          </w:p>
        </w:tc>
        <w:tc>
          <w:tcPr>
            <w:tcW w:w="596" w:type="dxa"/>
          </w:tcPr>
          <w:p>
            <w:pPr>
              <w:pStyle w:val="TableParagraph"/>
              <w:ind w:right="70"/>
              <w:rPr>
                <w:rFonts w:ascii="Carlito"/>
                <w:sz w:val="16"/>
              </w:rPr>
            </w:pPr>
            <w:r>
              <w:rPr>
                <w:rFonts w:ascii="Carlito"/>
                <w:sz w:val="16"/>
              </w:rPr>
              <w:t>0</w:t>
            </w:r>
          </w:p>
        </w:tc>
        <w:tc>
          <w:tcPr>
            <w:tcW w:w="1379" w:type="dxa"/>
          </w:tcPr>
          <w:p>
            <w:pPr>
              <w:pStyle w:val="TableParagraph"/>
              <w:ind w:right="377"/>
              <w:rPr>
                <w:rFonts w:ascii="Carlito"/>
                <w:sz w:val="16"/>
              </w:rPr>
            </w:pPr>
            <w:r>
              <w:rPr>
                <w:rFonts w:ascii="Carlito"/>
                <w:sz w:val="16"/>
              </w:rPr>
              <w:t>$160,000.00</w:t>
            </w:r>
          </w:p>
        </w:tc>
        <w:tc>
          <w:tcPr>
            <w:tcW w:w="1041" w:type="dxa"/>
          </w:tcPr>
          <w:p>
            <w:pPr>
              <w:pStyle w:val="TableParagraph"/>
              <w:ind w:right="343"/>
              <w:rPr>
                <w:rFonts w:ascii="Carlito"/>
                <w:sz w:val="16"/>
              </w:rPr>
            </w:pPr>
            <w:r>
              <w:rPr>
                <w:rFonts w:ascii="Carlito"/>
                <w:sz w:val="16"/>
              </w:rPr>
              <w:t>150</w:t>
            </w:r>
          </w:p>
        </w:tc>
        <w:tc>
          <w:tcPr>
            <w:tcW w:w="1127" w:type="dxa"/>
          </w:tcPr>
          <w:p>
            <w:pPr>
              <w:pStyle w:val="TableParagraph"/>
              <w:ind w:left="313" w:right="440"/>
              <w:jc w:val="center"/>
              <w:rPr>
                <w:rFonts w:ascii="Carlito"/>
                <w:sz w:val="16"/>
              </w:rPr>
            </w:pPr>
            <w:r>
              <w:rPr>
                <w:rFonts w:ascii="Carlito"/>
                <w:sz w:val="16"/>
              </w:rPr>
              <w:t>2006</w:t>
            </w:r>
          </w:p>
        </w:tc>
        <w:tc>
          <w:tcPr>
            <w:tcW w:w="783" w:type="dxa"/>
          </w:tcPr>
          <w:p>
            <w:pPr>
              <w:pStyle w:val="TableParagraph"/>
              <w:ind w:right="239"/>
              <w:rPr>
                <w:rFonts w:ascii="Carlito"/>
                <w:sz w:val="16"/>
              </w:rPr>
            </w:pPr>
            <w:r>
              <w:rPr>
                <w:rFonts w:ascii="Carlito"/>
                <w:sz w:val="16"/>
              </w:rPr>
              <w:t>2</w:t>
            </w:r>
          </w:p>
        </w:tc>
        <w:tc>
          <w:tcPr>
            <w:tcW w:w="745" w:type="dxa"/>
          </w:tcPr>
          <w:p>
            <w:pPr>
              <w:pStyle w:val="TableParagraph"/>
              <w:ind w:right="303"/>
              <w:rPr>
                <w:rFonts w:ascii="Carlito"/>
                <w:sz w:val="16"/>
              </w:rPr>
            </w:pPr>
            <w:r>
              <w:rPr>
                <w:rFonts w:ascii="Carlito"/>
                <w:sz w:val="16"/>
              </w:rPr>
              <w:t>2</w:t>
            </w:r>
          </w:p>
        </w:tc>
        <w:tc>
          <w:tcPr>
            <w:tcW w:w="816" w:type="dxa"/>
          </w:tcPr>
          <w:p>
            <w:pPr>
              <w:pStyle w:val="TableParagraph"/>
              <w:ind w:left="297"/>
              <w:jc w:val="left"/>
              <w:rPr>
                <w:rFonts w:ascii="Carlito"/>
                <w:sz w:val="16"/>
              </w:rPr>
            </w:pPr>
            <w:r>
              <w:rPr>
                <w:rFonts w:ascii="Carlito"/>
                <w:sz w:val="16"/>
              </w:rPr>
              <w:t>1</w:t>
            </w:r>
          </w:p>
        </w:tc>
        <w:tc>
          <w:tcPr>
            <w:tcW w:w="1290" w:type="dxa"/>
          </w:tcPr>
          <w:p>
            <w:pPr>
              <w:pStyle w:val="TableParagraph"/>
              <w:ind w:right="577"/>
              <w:rPr>
                <w:rFonts w:ascii="Carlito"/>
                <w:sz w:val="16"/>
              </w:rPr>
            </w:pPr>
            <w:r>
              <w:rPr>
                <w:rFonts w:ascii="Carlito"/>
                <w:sz w:val="16"/>
              </w:rPr>
              <w:t>7.7</w:t>
            </w:r>
          </w:p>
        </w:tc>
        <w:tc>
          <w:tcPr>
            <w:tcW w:w="1140" w:type="dxa"/>
          </w:tcPr>
          <w:p>
            <w:pPr>
              <w:pStyle w:val="TableParagraph"/>
              <w:ind w:right="365"/>
              <w:rPr>
                <w:rFonts w:ascii="Carlito"/>
                <w:sz w:val="16"/>
              </w:rPr>
            </w:pPr>
            <w:r>
              <w:rPr>
                <w:rFonts w:ascii="Carlito"/>
                <w:sz w:val="16"/>
              </w:rPr>
              <w:t>3</w:t>
            </w:r>
          </w:p>
        </w:tc>
        <w:tc>
          <w:tcPr>
            <w:tcW w:w="826" w:type="dxa"/>
          </w:tcPr>
          <w:p>
            <w:pPr>
              <w:pStyle w:val="TableParagraph"/>
              <w:ind w:right="383"/>
              <w:rPr>
                <w:rFonts w:ascii="Carlito"/>
                <w:sz w:val="16"/>
              </w:rPr>
            </w:pPr>
            <w:r>
              <w:rPr>
                <w:rFonts w:ascii="Carlito"/>
                <w:sz w:val="16"/>
              </w:rPr>
              <w:t>1</w:t>
            </w:r>
          </w:p>
        </w:tc>
        <w:tc>
          <w:tcPr>
            <w:tcW w:w="530" w:type="dxa"/>
          </w:tcPr>
          <w:p>
            <w:pPr>
              <w:pStyle w:val="TableParagraph"/>
              <w:ind w:right="69"/>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54</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596" w:type="dxa"/>
            <w:shd w:val="clear" w:color="auto" w:fill="D9D9D9"/>
          </w:tcPr>
          <w:p>
            <w:pPr>
              <w:pStyle w:val="TableParagraph"/>
              <w:ind w:right="70"/>
              <w:rPr>
                <w:rFonts w:ascii="Carlito"/>
                <w:sz w:val="16"/>
              </w:rPr>
            </w:pPr>
            <w:r>
              <w:rPr>
                <w:rFonts w:ascii="Carlito"/>
                <w:sz w:val="16"/>
              </w:rPr>
              <w:t>0</w:t>
            </w:r>
          </w:p>
        </w:tc>
        <w:tc>
          <w:tcPr>
            <w:tcW w:w="1379" w:type="dxa"/>
            <w:shd w:val="clear" w:color="auto" w:fill="D9D9D9"/>
          </w:tcPr>
          <w:p>
            <w:pPr>
              <w:pStyle w:val="TableParagraph"/>
              <w:ind w:right="377"/>
              <w:rPr>
                <w:rFonts w:ascii="Carlito"/>
                <w:sz w:val="16"/>
              </w:rPr>
            </w:pPr>
            <w:r>
              <w:rPr>
                <w:rFonts w:ascii="Carlito"/>
                <w:sz w:val="16"/>
              </w:rPr>
              <w:t>$270,000.00</w:t>
            </w:r>
          </w:p>
        </w:tc>
        <w:tc>
          <w:tcPr>
            <w:tcW w:w="1041" w:type="dxa"/>
            <w:shd w:val="clear" w:color="auto" w:fill="D9D9D9"/>
          </w:tcPr>
          <w:p>
            <w:pPr>
              <w:pStyle w:val="TableParagraph"/>
              <w:ind w:right="343"/>
              <w:rPr>
                <w:rFonts w:ascii="Carlito"/>
                <w:sz w:val="16"/>
              </w:rPr>
            </w:pPr>
            <w:r>
              <w:rPr>
                <w:rFonts w:ascii="Carlito"/>
                <w:sz w:val="16"/>
              </w:rPr>
              <w:t>287</w:t>
            </w:r>
          </w:p>
        </w:tc>
        <w:tc>
          <w:tcPr>
            <w:tcW w:w="1127" w:type="dxa"/>
            <w:shd w:val="clear" w:color="auto" w:fill="D9D9D9"/>
          </w:tcPr>
          <w:p>
            <w:pPr>
              <w:pStyle w:val="TableParagraph"/>
              <w:ind w:left="313" w:right="440"/>
              <w:jc w:val="center"/>
              <w:rPr>
                <w:rFonts w:ascii="Carlito"/>
                <w:sz w:val="16"/>
              </w:rPr>
            </w:pPr>
            <w:r>
              <w:rPr>
                <w:rFonts w:ascii="Carlito"/>
                <w:sz w:val="16"/>
              </w:rPr>
              <w:t>2008</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8"/>
              <w:rPr>
                <w:rFonts w:ascii="Carlito"/>
                <w:sz w:val="16"/>
              </w:rPr>
            </w:pPr>
            <w:r>
              <w:rPr>
                <w:rFonts w:ascii="Carlito"/>
                <w:sz w:val="16"/>
              </w:rPr>
              <w:t>2.5</w:t>
            </w:r>
          </w:p>
        </w:tc>
        <w:tc>
          <w:tcPr>
            <w:tcW w:w="816" w:type="dxa"/>
            <w:shd w:val="clear" w:color="auto" w:fill="D9D9D9"/>
          </w:tcPr>
          <w:p>
            <w:pPr>
              <w:pStyle w:val="TableParagraph"/>
              <w:ind w:left="297"/>
              <w:jc w:val="left"/>
              <w:rPr>
                <w:rFonts w:ascii="Carlito"/>
                <w:sz w:val="16"/>
              </w:rPr>
            </w:pPr>
            <w:r>
              <w:rPr>
                <w:rFonts w:ascii="Carlito"/>
                <w:sz w:val="16"/>
              </w:rPr>
              <w:t>3</w:t>
            </w:r>
          </w:p>
        </w:tc>
        <w:tc>
          <w:tcPr>
            <w:tcW w:w="1290" w:type="dxa"/>
            <w:shd w:val="clear" w:color="auto" w:fill="D9D9D9"/>
          </w:tcPr>
          <w:p>
            <w:pPr>
              <w:pStyle w:val="TableParagraph"/>
              <w:ind w:right="577"/>
              <w:rPr>
                <w:rFonts w:ascii="Carlito"/>
                <w:sz w:val="16"/>
              </w:rPr>
            </w:pPr>
            <w:r>
              <w:rPr>
                <w:rFonts w:ascii="Carlito"/>
                <w:sz w:val="16"/>
              </w:rPr>
              <w:t>7.4</w:t>
            </w:r>
          </w:p>
        </w:tc>
        <w:tc>
          <w:tcPr>
            <w:tcW w:w="1140" w:type="dxa"/>
            <w:shd w:val="clear" w:color="auto" w:fill="D9D9D9"/>
          </w:tcPr>
          <w:p>
            <w:pPr>
              <w:pStyle w:val="TableParagraph"/>
              <w:ind w:right="365"/>
              <w:rPr>
                <w:rFonts w:ascii="Carlito"/>
                <w:sz w:val="16"/>
              </w:rPr>
            </w:pPr>
            <w:r>
              <w:rPr>
                <w:rFonts w:ascii="Carlito"/>
                <w:sz w:val="16"/>
              </w:rPr>
              <w:t>5</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55</w:t>
            </w:r>
          </w:p>
        </w:tc>
        <w:tc>
          <w:tcPr>
            <w:tcW w:w="1938" w:type="dxa"/>
          </w:tcPr>
          <w:p>
            <w:pPr>
              <w:pStyle w:val="TableParagraph"/>
              <w:ind w:left="143"/>
              <w:jc w:val="left"/>
              <w:rPr>
                <w:rFonts w:ascii="Carlito"/>
                <w:sz w:val="16"/>
              </w:rPr>
            </w:pPr>
            <w:r>
              <w:rPr>
                <w:rFonts w:ascii="Carlito"/>
                <w:sz w:val="16"/>
              </w:rPr>
              <w:t>Guayabos</w:t>
            </w:r>
          </w:p>
        </w:tc>
        <w:tc>
          <w:tcPr>
            <w:tcW w:w="596" w:type="dxa"/>
          </w:tcPr>
          <w:p>
            <w:pPr>
              <w:pStyle w:val="TableParagraph"/>
              <w:ind w:right="70"/>
              <w:rPr>
                <w:rFonts w:ascii="Carlito"/>
                <w:sz w:val="16"/>
              </w:rPr>
            </w:pPr>
            <w:r>
              <w:rPr>
                <w:rFonts w:ascii="Carlito"/>
                <w:sz w:val="16"/>
              </w:rPr>
              <w:t>0</w:t>
            </w:r>
          </w:p>
        </w:tc>
        <w:tc>
          <w:tcPr>
            <w:tcW w:w="1379" w:type="dxa"/>
          </w:tcPr>
          <w:p>
            <w:pPr>
              <w:pStyle w:val="TableParagraph"/>
              <w:ind w:right="377"/>
              <w:rPr>
                <w:rFonts w:ascii="Carlito"/>
                <w:sz w:val="16"/>
              </w:rPr>
            </w:pPr>
            <w:r>
              <w:rPr>
                <w:rFonts w:ascii="Carlito"/>
                <w:sz w:val="16"/>
              </w:rPr>
              <w:t>$230,000.00</w:t>
            </w:r>
          </w:p>
        </w:tc>
        <w:tc>
          <w:tcPr>
            <w:tcW w:w="1041" w:type="dxa"/>
          </w:tcPr>
          <w:p>
            <w:pPr>
              <w:pStyle w:val="TableParagraph"/>
              <w:ind w:right="343"/>
              <w:rPr>
                <w:rFonts w:ascii="Carlito"/>
                <w:sz w:val="16"/>
              </w:rPr>
            </w:pPr>
            <w:r>
              <w:rPr>
                <w:rFonts w:ascii="Carlito"/>
                <w:sz w:val="16"/>
              </w:rPr>
              <w:t>236</w:t>
            </w:r>
          </w:p>
        </w:tc>
        <w:tc>
          <w:tcPr>
            <w:tcW w:w="1127" w:type="dxa"/>
          </w:tcPr>
          <w:p>
            <w:pPr>
              <w:pStyle w:val="TableParagraph"/>
              <w:ind w:left="313" w:right="440"/>
              <w:jc w:val="center"/>
              <w:rPr>
                <w:rFonts w:ascii="Carlito"/>
                <w:sz w:val="16"/>
              </w:rPr>
            </w:pPr>
            <w:r>
              <w:rPr>
                <w:rFonts w:ascii="Carlito"/>
                <w:sz w:val="16"/>
              </w:rPr>
              <w:t>2006</w:t>
            </w:r>
          </w:p>
        </w:tc>
        <w:tc>
          <w:tcPr>
            <w:tcW w:w="783" w:type="dxa"/>
          </w:tcPr>
          <w:p>
            <w:pPr>
              <w:pStyle w:val="TableParagraph"/>
              <w:ind w:right="239"/>
              <w:rPr>
                <w:rFonts w:ascii="Carlito"/>
                <w:sz w:val="16"/>
              </w:rPr>
            </w:pPr>
            <w:r>
              <w:rPr>
                <w:rFonts w:ascii="Carlito"/>
                <w:sz w:val="16"/>
              </w:rPr>
              <w:t>3</w:t>
            </w:r>
          </w:p>
        </w:tc>
        <w:tc>
          <w:tcPr>
            <w:tcW w:w="745" w:type="dxa"/>
          </w:tcPr>
          <w:p>
            <w:pPr>
              <w:pStyle w:val="TableParagraph"/>
              <w:ind w:right="308"/>
              <w:rPr>
                <w:rFonts w:ascii="Carlito"/>
                <w:sz w:val="16"/>
              </w:rPr>
            </w:pPr>
            <w:r>
              <w:rPr>
                <w:rFonts w:ascii="Carlito"/>
                <w:sz w:val="16"/>
              </w:rPr>
              <w:t>2.5</w:t>
            </w:r>
          </w:p>
        </w:tc>
        <w:tc>
          <w:tcPr>
            <w:tcW w:w="816" w:type="dxa"/>
          </w:tcPr>
          <w:p>
            <w:pPr>
              <w:pStyle w:val="TableParagraph"/>
              <w:ind w:left="297"/>
              <w:jc w:val="left"/>
              <w:rPr>
                <w:rFonts w:ascii="Carlito"/>
                <w:sz w:val="16"/>
              </w:rPr>
            </w:pPr>
            <w:r>
              <w:rPr>
                <w:rFonts w:ascii="Carlito"/>
                <w:sz w:val="16"/>
              </w:rPr>
              <w:t>2</w:t>
            </w:r>
          </w:p>
        </w:tc>
        <w:tc>
          <w:tcPr>
            <w:tcW w:w="1290" w:type="dxa"/>
          </w:tcPr>
          <w:p>
            <w:pPr>
              <w:pStyle w:val="TableParagraph"/>
              <w:ind w:right="577"/>
              <w:rPr>
                <w:rFonts w:ascii="Carlito"/>
                <w:sz w:val="16"/>
              </w:rPr>
            </w:pPr>
            <w:r>
              <w:rPr>
                <w:rFonts w:ascii="Carlito"/>
                <w:sz w:val="16"/>
              </w:rPr>
              <w:t>7.4</w:t>
            </w:r>
          </w:p>
        </w:tc>
        <w:tc>
          <w:tcPr>
            <w:tcW w:w="1140" w:type="dxa"/>
          </w:tcPr>
          <w:p>
            <w:pPr>
              <w:pStyle w:val="TableParagraph"/>
              <w:ind w:right="365"/>
              <w:rPr>
                <w:rFonts w:ascii="Carlito"/>
                <w:sz w:val="16"/>
              </w:rPr>
            </w:pPr>
            <w:r>
              <w:rPr>
                <w:rFonts w:ascii="Carlito"/>
                <w:sz w:val="16"/>
              </w:rPr>
              <w:t>5</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56</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596" w:type="dxa"/>
            <w:shd w:val="clear" w:color="auto" w:fill="D9D9D9"/>
          </w:tcPr>
          <w:p>
            <w:pPr>
              <w:pStyle w:val="TableParagraph"/>
              <w:ind w:right="70"/>
              <w:rPr>
                <w:rFonts w:ascii="Carlito"/>
                <w:sz w:val="16"/>
              </w:rPr>
            </w:pPr>
            <w:r>
              <w:rPr>
                <w:rFonts w:ascii="Carlito"/>
                <w:sz w:val="16"/>
              </w:rPr>
              <w:t>1</w:t>
            </w:r>
          </w:p>
        </w:tc>
        <w:tc>
          <w:tcPr>
            <w:tcW w:w="1379" w:type="dxa"/>
            <w:shd w:val="clear" w:color="auto" w:fill="D9D9D9"/>
          </w:tcPr>
          <w:p>
            <w:pPr>
              <w:pStyle w:val="TableParagraph"/>
              <w:ind w:right="377"/>
              <w:rPr>
                <w:rFonts w:ascii="Carlito"/>
                <w:sz w:val="16"/>
              </w:rPr>
            </w:pPr>
            <w:r>
              <w:rPr>
                <w:rFonts w:ascii="Carlito"/>
                <w:sz w:val="16"/>
              </w:rPr>
              <w:t>$420,000.00</w:t>
            </w:r>
          </w:p>
        </w:tc>
        <w:tc>
          <w:tcPr>
            <w:tcW w:w="1041" w:type="dxa"/>
            <w:shd w:val="clear" w:color="auto" w:fill="D9D9D9"/>
          </w:tcPr>
          <w:p>
            <w:pPr>
              <w:pStyle w:val="TableParagraph"/>
              <w:ind w:right="343"/>
              <w:rPr>
                <w:rFonts w:ascii="Carlito"/>
                <w:sz w:val="16"/>
              </w:rPr>
            </w:pPr>
            <w:r>
              <w:rPr>
                <w:rFonts w:ascii="Carlito"/>
                <w:sz w:val="16"/>
              </w:rPr>
              <w:t>590</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6</w:t>
            </w:r>
          </w:p>
        </w:tc>
        <w:tc>
          <w:tcPr>
            <w:tcW w:w="745" w:type="dxa"/>
            <w:shd w:val="clear" w:color="auto" w:fill="D9D9D9"/>
          </w:tcPr>
          <w:p>
            <w:pPr>
              <w:pStyle w:val="TableParagraph"/>
              <w:ind w:right="303"/>
              <w:rPr>
                <w:rFonts w:ascii="Carlito"/>
                <w:sz w:val="16"/>
              </w:rPr>
            </w:pPr>
            <w:r>
              <w:rPr>
                <w:rFonts w:ascii="Carlito"/>
                <w:sz w:val="16"/>
              </w:rPr>
              <w:t>3</w:t>
            </w:r>
          </w:p>
        </w:tc>
        <w:tc>
          <w:tcPr>
            <w:tcW w:w="816" w:type="dxa"/>
            <w:shd w:val="clear" w:color="auto" w:fill="D9D9D9"/>
          </w:tcPr>
          <w:p>
            <w:pPr>
              <w:pStyle w:val="TableParagraph"/>
              <w:ind w:left="297"/>
              <w:jc w:val="left"/>
              <w:rPr>
                <w:rFonts w:ascii="Carlito"/>
                <w:sz w:val="16"/>
              </w:rPr>
            </w:pPr>
            <w:r>
              <w:rPr>
                <w:rFonts w:ascii="Carlito"/>
                <w:sz w:val="16"/>
              </w:rPr>
              <w:t>2</w:t>
            </w:r>
          </w:p>
        </w:tc>
        <w:tc>
          <w:tcPr>
            <w:tcW w:w="1290" w:type="dxa"/>
            <w:shd w:val="clear" w:color="auto" w:fill="D9D9D9"/>
          </w:tcPr>
          <w:p>
            <w:pPr>
              <w:pStyle w:val="TableParagraph"/>
              <w:ind w:right="577"/>
              <w:rPr>
                <w:rFonts w:ascii="Carlito"/>
                <w:sz w:val="16"/>
              </w:rPr>
            </w:pPr>
            <w:r>
              <w:rPr>
                <w:rFonts w:ascii="Carlito"/>
                <w:sz w:val="16"/>
              </w:rPr>
              <w:t>5.7</w:t>
            </w:r>
          </w:p>
        </w:tc>
        <w:tc>
          <w:tcPr>
            <w:tcW w:w="1140" w:type="dxa"/>
            <w:shd w:val="clear" w:color="auto" w:fill="D9D9D9"/>
          </w:tcPr>
          <w:p>
            <w:pPr>
              <w:pStyle w:val="TableParagraph"/>
              <w:ind w:right="369"/>
              <w:rPr>
                <w:rFonts w:ascii="Carlito"/>
                <w:sz w:val="16"/>
              </w:rPr>
            </w:pPr>
            <w:r>
              <w:rPr>
                <w:rFonts w:ascii="Carlito"/>
                <w:sz w:val="16"/>
              </w:rPr>
              <w:t>3.2</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0</w:t>
            </w:r>
          </w:p>
        </w:tc>
      </w:tr>
      <w:tr>
        <w:trPr>
          <w:trHeight w:val="288" w:hRule="atLeast"/>
        </w:trPr>
        <w:tc>
          <w:tcPr>
            <w:tcW w:w="756" w:type="dxa"/>
          </w:tcPr>
          <w:p>
            <w:pPr>
              <w:pStyle w:val="TableParagraph"/>
              <w:spacing w:line="177" w:lineRule="exact"/>
              <w:ind w:right="143"/>
              <w:rPr>
                <w:rFonts w:ascii="Carlito"/>
                <w:sz w:val="16"/>
              </w:rPr>
            </w:pPr>
            <w:r>
              <w:rPr>
                <w:rFonts w:ascii="Carlito"/>
                <w:sz w:val="16"/>
              </w:rPr>
              <w:t>57</w:t>
            </w:r>
          </w:p>
        </w:tc>
        <w:tc>
          <w:tcPr>
            <w:tcW w:w="1938" w:type="dxa"/>
          </w:tcPr>
          <w:p>
            <w:pPr>
              <w:pStyle w:val="TableParagraph"/>
              <w:spacing w:line="177" w:lineRule="exact"/>
              <w:ind w:left="143"/>
              <w:jc w:val="left"/>
              <w:rPr>
                <w:rFonts w:ascii="Carlito"/>
                <w:sz w:val="16"/>
              </w:rPr>
            </w:pPr>
            <w:r>
              <w:rPr>
                <w:rFonts w:ascii="Carlito"/>
                <w:sz w:val="16"/>
              </w:rPr>
              <w:t>Hacienda Vieja</w:t>
            </w:r>
          </w:p>
        </w:tc>
        <w:tc>
          <w:tcPr>
            <w:tcW w:w="596" w:type="dxa"/>
          </w:tcPr>
          <w:p>
            <w:pPr>
              <w:pStyle w:val="TableParagraph"/>
              <w:spacing w:line="177" w:lineRule="exact"/>
              <w:ind w:right="70"/>
              <w:rPr>
                <w:rFonts w:ascii="Carlito"/>
                <w:sz w:val="16"/>
              </w:rPr>
            </w:pPr>
            <w:r>
              <w:rPr>
                <w:rFonts w:ascii="Carlito"/>
                <w:sz w:val="16"/>
              </w:rPr>
              <w:t>1</w:t>
            </w:r>
          </w:p>
        </w:tc>
        <w:tc>
          <w:tcPr>
            <w:tcW w:w="1379" w:type="dxa"/>
          </w:tcPr>
          <w:p>
            <w:pPr>
              <w:pStyle w:val="TableParagraph"/>
              <w:spacing w:line="177" w:lineRule="exact"/>
              <w:ind w:right="377"/>
              <w:rPr>
                <w:rFonts w:ascii="Carlito"/>
                <w:sz w:val="16"/>
              </w:rPr>
            </w:pPr>
            <w:r>
              <w:rPr>
                <w:rFonts w:ascii="Carlito"/>
                <w:sz w:val="16"/>
              </w:rPr>
              <w:t>$196,000.00</w:t>
            </w:r>
          </w:p>
        </w:tc>
        <w:tc>
          <w:tcPr>
            <w:tcW w:w="1041" w:type="dxa"/>
          </w:tcPr>
          <w:p>
            <w:pPr>
              <w:pStyle w:val="TableParagraph"/>
              <w:spacing w:line="177" w:lineRule="exact"/>
              <w:ind w:right="343"/>
              <w:rPr>
                <w:rFonts w:ascii="Carlito"/>
                <w:sz w:val="16"/>
              </w:rPr>
            </w:pPr>
            <w:r>
              <w:rPr>
                <w:rFonts w:ascii="Carlito"/>
                <w:sz w:val="16"/>
              </w:rPr>
              <w:t>175</w:t>
            </w:r>
          </w:p>
        </w:tc>
        <w:tc>
          <w:tcPr>
            <w:tcW w:w="1127" w:type="dxa"/>
          </w:tcPr>
          <w:p>
            <w:pPr>
              <w:pStyle w:val="TableParagraph"/>
              <w:spacing w:line="177" w:lineRule="exact"/>
              <w:ind w:left="313" w:right="440"/>
              <w:jc w:val="center"/>
              <w:rPr>
                <w:rFonts w:ascii="Carlito"/>
                <w:sz w:val="16"/>
              </w:rPr>
            </w:pPr>
            <w:r>
              <w:rPr>
                <w:rFonts w:ascii="Carlito"/>
                <w:sz w:val="16"/>
              </w:rPr>
              <w:t>2010</w:t>
            </w:r>
          </w:p>
        </w:tc>
        <w:tc>
          <w:tcPr>
            <w:tcW w:w="783" w:type="dxa"/>
          </w:tcPr>
          <w:p>
            <w:pPr>
              <w:pStyle w:val="TableParagraph"/>
              <w:spacing w:line="177" w:lineRule="exact"/>
              <w:ind w:right="239"/>
              <w:rPr>
                <w:rFonts w:ascii="Carlito"/>
                <w:sz w:val="16"/>
              </w:rPr>
            </w:pPr>
            <w:r>
              <w:rPr>
                <w:rFonts w:ascii="Carlito"/>
                <w:sz w:val="16"/>
              </w:rPr>
              <w:t>4</w:t>
            </w:r>
          </w:p>
        </w:tc>
        <w:tc>
          <w:tcPr>
            <w:tcW w:w="745" w:type="dxa"/>
          </w:tcPr>
          <w:p>
            <w:pPr>
              <w:pStyle w:val="TableParagraph"/>
              <w:spacing w:line="177" w:lineRule="exact"/>
              <w:ind w:right="308"/>
              <w:rPr>
                <w:rFonts w:ascii="Carlito"/>
                <w:sz w:val="16"/>
              </w:rPr>
            </w:pPr>
            <w:r>
              <w:rPr>
                <w:rFonts w:ascii="Carlito"/>
                <w:sz w:val="16"/>
              </w:rPr>
              <w:t>3.5</w:t>
            </w:r>
          </w:p>
        </w:tc>
        <w:tc>
          <w:tcPr>
            <w:tcW w:w="816" w:type="dxa"/>
          </w:tcPr>
          <w:p>
            <w:pPr>
              <w:pStyle w:val="TableParagraph"/>
              <w:spacing w:line="177" w:lineRule="exact"/>
              <w:ind w:left="297"/>
              <w:jc w:val="left"/>
              <w:rPr>
                <w:rFonts w:ascii="Carlito"/>
                <w:sz w:val="16"/>
              </w:rPr>
            </w:pPr>
            <w:r>
              <w:rPr>
                <w:rFonts w:ascii="Carlito"/>
                <w:sz w:val="16"/>
              </w:rPr>
              <w:t>2</w:t>
            </w:r>
          </w:p>
        </w:tc>
        <w:tc>
          <w:tcPr>
            <w:tcW w:w="1290" w:type="dxa"/>
          </w:tcPr>
          <w:p>
            <w:pPr>
              <w:pStyle w:val="TableParagraph"/>
              <w:spacing w:line="177" w:lineRule="exact"/>
              <w:ind w:right="577"/>
              <w:rPr>
                <w:rFonts w:ascii="Carlito"/>
                <w:sz w:val="16"/>
              </w:rPr>
            </w:pPr>
            <w:r>
              <w:rPr>
                <w:rFonts w:ascii="Carlito"/>
                <w:sz w:val="16"/>
              </w:rPr>
              <w:t>6.6</w:t>
            </w:r>
          </w:p>
        </w:tc>
        <w:tc>
          <w:tcPr>
            <w:tcW w:w="1140" w:type="dxa"/>
          </w:tcPr>
          <w:p>
            <w:pPr>
              <w:pStyle w:val="TableParagraph"/>
              <w:spacing w:line="177" w:lineRule="exact"/>
              <w:ind w:right="369"/>
              <w:rPr>
                <w:rFonts w:ascii="Carlito"/>
                <w:sz w:val="16"/>
              </w:rPr>
            </w:pPr>
            <w:r>
              <w:rPr>
                <w:rFonts w:ascii="Carlito"/>
                <w:sz w:val="16"/>
              </w:rPr>
              <w:t>2.8</w:t>
            </w:r>
          </w:p>
        </w:tc>
        <w:tc>
          <w:tcPr>
            <w:tcW w:w="826" w:type="dxa"/>
          </w:tcPr>
          <w:p>
            <w:pPr>
              <w:pStyle w:val="TableParagraph"/>
              <w:spacing w:line="177" w:lineRule="exact"/>
              <w:ind w:right="383"/>
              <w:rPr>
                <w:rFonts w:ascii="Carlito"/>
                <w:sz w:val="16"/>
              </w:rPr>
            </w:pPr>
            <w:r>
              <w:rPr>
                <w:rFonts w:ascii="Carlito"/>
                <w:sz w:val="16"/>
              </w:rPr>
              <w:t>0</w:t>
            </w:r>
          </w:p>
        </w:tc>
        <w:tc>
          <w:tcPr>
            <w:tcW w:w="530" w:type="dxa"/>
          </w:tcPr>
          <w:p>
            <w:pPr>
              <w:pStyle w:val="TableParagraph"/>
              <w:spacing w:line="177" w:lineRule="exact"/>
              <w:ind w:right="69"/>
              <w:rPr>
                <w:rFonts w:ascii="Carlito"/>
                <w:sz w:val="16"/>
              </w:rPr>
            </w:pPr>
            <w:r>
              <w:rPr>
                <w:rFonts w:ascii="Carlito"/>
                <w:sz w:val="16"/>
              </w:rPr>
              <w:t>1</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58</w:t>
            </w:r>
          </w:p>
        </w:tc>
        <w:tc>
          <w:tcPr>
            <w:tcW w:w="1938" w:type="dxa"/>
            <w:shd w:val="clear" w:color="auto" w:fill="D9D9D9"/>
          </w:tcPr>
          <w:p>
            <w:pPr>
              <w:pStyle w:val="TableParagraph"/>
              <w:ind w:left="143"/>
              <w:jc w:val="left"/>
              <w:rPr>
                <w:rFonts w:ascii="Carlito"/>
                <w:sz w:val="16"/>
              </w:rPr>
            </w:pPr>
            <w:r>
              <w:rPr>
                <w:rFonts w:ascii="Carlito"/>
                <w:sz w:val="16"/>
              </w:rPr>
              <w:t>Lomas del Sol</w:t>
            </w:r>
          </w:p>
        </w:tc>
        <w:tc>
          <w:tcPr>
            <w:tcW w:w="596" w:type="dxa"/>
            <w:shd w:val="clear" w:color="auto" w:fill="D9D9D9"/>
          </w:tcPr>
          <w:p>
            <w:pPr>
              <w:pStyle w:val="TableParagraph"/>
              <w:ind w:right="70"/>
              <w:rPr>
                <w:rFonts w:ascii="Carlito"/>
                <w:sz w:val="16"/>
              </w:rPr>
            </w:pPr>
            <w:r>
              <w:rPr>
                <w:rFonts w:ascii="Carlito"/>
                <w:sz w:val="16"/>
              </w:rPr>
              <w:t>1</w:t>
            </w:r>
          </w:p>
        </w:tc>
        <w:tc>
          <w:tcPr>
            <w:tcW w:w="1379" w:type="dxa"/>
            <w:shd w:val="clear" w:color="auto" w:fill="D9D9D9"/>
          </w:tcPr>
          <w:p>
            <w:pPr>
              <w:pStyle w:val="TableParagraph"/>
              <w:ind w:right="377"/>
              <w:rPr>
                <w:rFonts w:ascii="Carlito"/>
                <w:sz w:val="16"/>
              </w:rPr>
            </w:pPr>
            <w:r>
              <w:rPr>
                <w:rFonts w:ascii="Carlito"/>
                <w:sz w:val="16"/>
              </w:rPr>
              <w:t>$140,000.00</w:t>
            </w:r>
          </w:p>
        </w:tc>
        <w:tc>
          <w:tcPr>
            <w:tcW w:w="1041" w:type="dxa"/>
            <w:shd w:val="clear" w:color="auto" w:fill="D9D9D9"/>
          </w:tcPr>
          <w:p>
            <w:pPr>
              <w:pStyle w:val="TableParagraph"/>
              <w:ind w:right="343"/>
              <w:rPr>
                <w:rFonts w:ascii="Carlito"/>
                <w:sz w:val="16"/>
              </w:rPr>
            </w:pPr>
            <w:r>
              <w:rPr>
                <w:rFonts w:ascii="Carlito"/>
                <w:sz w:val="16"/>
              </w:rPr>
              <w:t>130</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3"/>
              <w:rPr>
                <w:rFonts w:ascii="Carlito"/>
                <w:sz w:val="16"/>
              </w:rPr>
            </w:pPr>
            <w:r>
              <w:rPr>
                <w:rFonts w:ascii="Carlito"/>
                <w:sz w:val="16"/>
              </w:rPr>
              <w:t>3</w:t>
            </w:r>
          </w:p>
        </w:tc>
        <w:tc>
          <w:tcPr>
            <w:tcW w:w="816" w:type="dxa"/>
            <w:shd w:val="clear" w:color="auto" w:fill="D9D9D9"/>
          </w:tcPr>
          <w:p>
            <w:pPr>
              <w:pStyle w:val="TableParagraph"/>
              <w:ind w:left="297"/>
              <w:jc w:val="left"/>
              <w:rPr>
                <w:rFonts w:ascii="Carlito"/>
                <w:sz w:val="16"/>
              </w:rPr>
            </w:pPr>
            <w:r>
              <w:rPr>
                <w:rFonts w:ascii="Carlito"/>
                <w:sz w:val="16"/>
              </w:rPr>
              <w:t>2</w:t>
            </w:r>
          </w:p>
        </w:tc>
        <w:tc>
          <w:tcPr>
            <w:tcW w:w="1290" w:type="dxa"/>
            <w:shd w:val="clear" w:color="auto" w:fill="D9D9D9"/>
          </w:tcPr>
          <w:p>
            <w:pPr>
              <w:pStyle w:val="TableParagraph"/>
              <w:ind w:right="573"/>
              <w:rPr>
                <w:rFonts w:ascii="Carlito"/>
                <w:sz w:val="16"/>
              </w:rPr>
            </w:pPr>
            <w:r>
              <w:rPr>
                <w:rFonts w:ascii="Carlito"/>
                <w:sz w:val="16"/>
              </w:rPr>
              <w:t>7</w:t>
            </w:r>
          </w:p>
        </w:tc>
        <w:tc>
          <w:tcPr>
            <w:tcW w:w="1140" w:type="dxa"/>
            <w:shd w:val="clear" w:color="auto" w:fill="D9D9D9"/>
          </w:tcPr>
          <w:p>
            <w:pPr>
              <w:pStyle w:val="TableParagraph"/>
              <w:ind w:right="369"/>
              <w:rPr>
                <w:rFonts w:ascii="Carlito"/>
                <w:sz w:val="16"/>
              </w:rPr>
            </w:pPr>
            <w:r>
              <w:rPr>
                <w:rFonts w:ascii="Carlito"/>
                <w:sz w:val="16"/>
              </w:rPr>
              <w:t>3.3</w:t>
            </w:r>
          </w:p>
        </w:tc>
        <w:tc>
          <w:tcPr>
            <w:tcW w:w="826" w:type="dxa"/>
            <w:shd w:val="clear" w:color="auto" w:fill="D9D9D9"/>
          </w:tcPr>
          <w:p>
            <w:pPr>
              <w:pStyle w:val="TableParagraph"/>
              <w:ind w:right="383"/>
              <w:rPr>
                <w:rFonts w:ascii="Carlito"/>
                <w:sz w:val="16"/>
              </w:rPr>
            </w:pPr>
            <w:r>
              <w:rPr>
                <w:rFonts w:ascii="Carlito"/>
                <w:sz w:val="16"/>
              </w:rPr>
              <w:t>1</w:t>
            </w:r>
          </w:p>
        </w:tc>
        <w:tc>
          <w:tcPr>
            <w:tcW w:w="530" w:type="dxa"/>
            <w:shd w:val="clear" w:color="auto" w:fill="D9D9D9"/>
          </w:tcPr>
          <w:p>
            <w:pPr>
              <w:pStyle w:val="TableParagraph"/>
              <w:ind w:right="69"/>
              <w:rPr>
                <w:rFonts w:ascii="Carlito"/>
                <w:sz w:val="16"/>
              </w:rPr>
            </w:pPr>
            <w:r>
              <w:rPr>
                <w:rFonts w:ascii="Carlito"/>
                <w:sz w:val="16"/>
              </w:rPr>
              <w:t>0</w:t>
            </w:r>
          </w:p>
        </w:tc>
      </w:tr>
    </w:tbl>
    <w:p>
      <w:pPr>
        <w:spacing w:after="0"/>
        <w:rPr>
          <w:rFonts w:ascii="Carlito"/>
          <w:sz w:val="16"/>
        </w:rPr>
        <w:sectPr>
          <w:pgSz w:w="15840" w:h="12240" w:orient="landscape"/>
          <w:pgMar w:header="0" w:footer="982" w:top="1140" w:bottom="1180" w:left="1340" w:right="1320"/>
        </w:sectPr>
      </w:pPr>
    </w:p>
    <w:p>
      <w:pPr>
        <w:pStyle w:val="BodyText"/>
        <w:rPr>
          <w:b/>
          <w:sz w:val="20"/>
        </w:rPr>
      </w:pPr>
    </w:p>
    <w:p>
      <w:pPr>
        <w:pStyle w:val="BodyText"/>
        <w:spacing w:before="10"/>
        <w:rPr>
          <w:b/>
          <w:sz w:val="16"/>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56"/>
        <w:gridCol w:w="1920"/>
        <w:gridCol w:w="613"/>
        <w:gridCol w:w="1418"/>
        <w:gridCol w:w="1000"/>
        <w:gridCol w:w="1127"/>
        <w:gridCol w:w="782"/>
        <w:gridCol w:w="745"/>
        <w:gridCol w:w="816"/>
        <w:gridCol w:w="1290"/>
        <w:gridCol w:w="1140"/>
        <w:gridCol w:w="826"/>
        <w:gridCol w:w="530"/>
      </w:tblGrid>
      <w:tr>
        <w:trPr>
          <w:trHeight w:val="163" w:hRule="atLeast"/>
        </w:trPr>
        <w:tc>
          <w:tcPr>
            <w:tcW w:w="756" w:type="dxa"/>
          </w:tcPr>
          <w:p>
            <w:pPr>
              <w:pStyle w:val="TableParagraph"/>
              <w:spacing w:line="144" w:lineRule="exact" w:before="0"/>
              <w:ind w:right="143"/>
              <w:rPr>
                <w:rFonts w:ascii="Carlito"/>
                <w:sz w:val="16"/>
              </w:rPr>
            </w:pPr>
            <w:r>
              <w:rPr>
                <w:rFonts w:ascii="Carlito"/>
                <w:sz w:val="16"/>
              </w:rPr>
              <w:t>59</w:t>
            </w:r>
          </w:p>
        </w:tc>
        <w:tc>
          <w:tcPr>
            <w:tcW w:w="1920" w:type="dxa"/>
          </w:tcPr>
          <w:p>
            <w:pPr>
              <w:pStyle w:val="TableParagraph"/>
              <w:spacing w:line="144" w:lineRule="exact" w:before="0"/>
              <w:ind w:left="143"/>
              <w:jc w:val="left"/>
              <w:rPr>
                <w:rFonts w:ascii="Carlito"/>
                <w:sz w:val="16"/>
              </w:rPr>
            </w:pPr>
            <w:r>
              <w:rPr>
                <w:rFonts w:ascii="Carlito"/>
                <w:sz w:val="16"/>
              </w:rPr>
              <w:t>Lomas de Granadilla</w:t>
            </w:r>
          </w:p>
        </w:tc>
        <w:tc>
          <w:tcPr>
            <w:tcW w:w="613" w:type="dxa"/>
          </w:tcPr>
          <w:p>
            <w:pPr>
              <w:pStyle w:val="TableParagraph"/>
              <w:spacing w:line="144" w:lineRule="exact" w:before="0"/>
              <w:ind w:right="69"/>
              <w:rPr>
                <w:rFonts w:ascii="Carlito"/>
                <w:sz w:val="16"/>
              </w:rPr>
            </w:pPr>
            <w:r>
              <w:rPr>
                <w:rFonts w:ascii="Carlito"/>
                <w:sz w:val="16"/>
              </w:rPr>
              <w:t>1</w:t>
            </w:r>
          </w:p>
        </w:tc>
        <w:tc>
          <w:tcPr>
            <w:tcW w:w="1418" w:type="dxa"/>
          </w:tcPr>
          <w:p>
            <w:pPr>
              <w:pStyle w:val="TableParagraph"/>
              <w:spacing w:line="144" w:lineRule="exact" w:before="0"/>
              <w:ind w:right="415"/>
              <w:rPr>
                <w:rFonts w:ascii="Carlito"/>
                <w:sz w:val="16"/>
              </w:rPr>
            </w:pPr>
            <w:r>
              <w:rPr>
                <w:rFonts w:ascii="Carlito"/>
                <w:sz w:val="16"/>
              </w:rPr>
              <w:t>$355,000.00</w:t>
            </w:r>
          </w:p>
        </w:tc>
        <w:tc>
          <w:tcPr>
            <w:tcW w:w="1000" w:type="dxa"/>
          </w:tcPr>
          <w:p>
            <w:pPr>
              <w:pStyle w:val="TableParagraph"/>
              <w:spacing w:line="144" w:lineRule="exact" w:before="0"/>
              <w:ind w:right="340"/>
              <w:rPr>
                <w:rFonts w:ascii="Carlito"/>
                <w:sz w:val="16"/>
              </w:rPr>
            </w:pPr>
            <w:r>
              <w:rPr>
                <w:rFonts w:ascii="Carlito"/>
                <w:sz w:val="16"/>
              </w:rPr>
              <w:t>284</w:t>
            </w:r>
          </w:p>
        </w:tc>
        <w:tc>
          <w:tcPr>
            <w:tcW w:w="1127" w:type="dxa"/>
          </w:tcPr>
          <w:p>
            <w:pPr>
              <w:pStyle w:val="TableParagraph"/>
              <w:spacing w:line="144" w:lineRule="exact" w:before="0"/>
              <w:ind w:left="317" w:right="438"/>
              <w:jc w:val="center"/>
              <w:rPr>
                <w:rFonts w:ascii="Carlito"/>
                <w:sz w:val="16"/>
              </w:rPr>
            </w:pPr>
            <w:r>
              <w:rPr>
                <w:rFonts w:ascii="Carlito"/>
                <w:sz w:val="16"/>
              </w:rPr>
              <w:t>2006</w:t>
            </w:r>
          </w:p>
        </w:tc>
        <w:tc>
          <w:tcPr>
            <w:tcW w:w="782" w:type="dxa"/>
          </w:tcPr>
          <w:p>
            <w:pPr>
              <w:pStyle w:val="TableParagraph"/>
              <w:spacing w:line="144" w:lineRule="exact" w:before="0"/>
              <w:ind w:right="235"/>
              <w:rPr>
                <w:rFonts w:ascii="Carlito"/>
                <w:sz w:val="16"/>
              </w:rPr>
            </w:pPr>
            <w:r>
              <w:rPr>
                <w:rFonts w:ascii="Carlito"/>
                <w:sz w:val="16"/>
              </w:rPr>
              <w:t>4</w:t>
            </w:r>
          </w:p>
        </w:tc>
        <w:tc>
          <w:tcPr>
            <w:tcW w:w="745" w:type="dxa"/>
          </w:tcPr>
          <w:p>
            <w:pPr>
              <w:pStyle w:val="TableParagraph"/>
              <w:spacing w:line="144" w:lineRule="exact" w:before="0"/>
              <w:ind w:right="304"/>
              <w:rPr>
                <w:rFonts w:ascii="Carlito"/>
                <w:sz w:val="16"/>
              </w:rPr>
            </w:pPr>
            <w:r>
              <w:rPr>
                <w:rFonts w:ascii="Carlito"/>
                <w:sz w:val="16"/>
              </w:rPr>
              <w:t>3.5</w:t>
            </w:r>
          </w:p>
        </w:tc>
        <w:tc>
          <w:tcPr>
            <w:tcW w:w="816" w:type="dxa"/>
          </w:tcPr>
          <w:p>
            <w:pPr>
              <w:pStyle w:val="TableParagraph"/>
              <w:spacing w:line="144" w:lineRule="exact" w:before="0"/>
              <w:ind w:left="301"/>
              <w:jc w:val="left"/>
              <w:rPr>
                <w:rFonts w:ascii="Carlito"/>
                <w:sz w:val="16"/>
              </w:rPr>
            </w:pPr>
            <w:r>
              <w:rPr>
                <w:rFonts w:ascii="Carlito"/>
                <w:sz w:val="16"/>
              </w:rPr>
              <w:t>2</w:t>
            </w:r>
          </w:p>
        </w:tc>
        <w:tc>
          <w:tcPr>
            <w:tcW w:w="1290" w:type="dxa"/>
          </w:tcPr>
          <w:p>
            <w:pPr>
              <w:pStyle w:val="TableParagraph"/>
              <w:spacing w:line="144" w:lineRule="exact" w:before="0"/>
              <w:ind w:right="569"/>
              <w:rPr>
                <w:rFonts w:ascii="Carlito"/>
                <w:sz w:val="16"/>
              </w:rPr>
            </w:pPr>
            <w:r>
              <w:rPr>
                <w:rFonts w:ascii="Carlito"/>
                <w:sz w:val="16"/>
              </w:rPr>
              <w:t>8</w:t>
            </w:r>
          </w:p>
        </w:tc>
        <w:tc>
          <w:tcPr>
            <w:tcW w:w="1140" w:type="dxa"/>
          </w:tcPr>
          <w:p>
            <w:pPr>
              <w:pStyle w:val="TableParagraph"/>
              <w:spacing w:line="144" w:lineRule="exact" w:before="0"/>
              <w:ind w:right="365"/>
              <w:rPr>
                <w:rFonts w:ascii="Carlito"/>
                <w:sz w:val="16"/>
              </w:rPr>
            </w:pPr>
            <w:r>
              <w:rPr>
                <w:rFonts w:ascii="Carlito"/>
                <w:sz w:val="16"/>
              </w:rPr>
              <w:t>6.4</w:t>
            </w:r>
          </w:p>
        </w:tc>
        <w:tc>
          <w:tcPr>
            <w:tcW w:w="826" w:type="dxa"/>
          </w:tcPr>
          <w:p>
            <w:pPr>
              <w:pStyle w:val="TableParagraph"/>
              <w:spacing w:line="144" w:lineRule="exact" w:before="0"/>
              <w:ind w:right="379"/>
              <w:rPr>
                <w:rFonts w:ascii="Carlito"/>
                <w:sz w:val="16"/>
              </w:rPr>
            </w:pPr>
            <w:r>
              <w:rPr>
                <w:rFonts w:ascii="Carlito"/>
                <w:sz w:val="16"/>
              </w:rPr>
              <w:t>0</w:t>
            </w:r>
          </w:p>
        </w:tc>
        <w:tc>
          <w:tcPr>
            <w:tcW w:w="530" w:type="dxa"/>
          </w:tcPr>
          <w:p>
            <w:pPr>
              <w:pStyle w:val="TableParagraph"/>
              <w:spacing w:line="144" w:lineRule="exact" w:before="0"/>
              <w:ind w:right="65"/>
              <w:rPr>
                <w:rFonts w:ascii="Carlito"/>
                <w:sz w:val="16"/>
              </w:rPr>
            </w:pPr>
            <w:r>
              <w:rPr>
                <w:rFonts w:ascii="Carlito"/>
                <w:sz w:val="16"/>
              </w:rPr>
              <w:t>1</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60</w:t>
            </w:r>
          </w:p>
        </w:tc>
        <w:tc>
          <w:tcPr>
            <w:tcW w:w="1920" w:type="dxa"/>
            <w:shd w:val="clear" w:color="auto" w:fill="D9D9D9"/>
          </w:tcPr>
          <w:p>
            <w:pPr>
              <w:pStyle w:val="TableParagraph"/>
              <w:ind w:left="143"/>
              <w:jc w:val="left"/>
              <w:rPr>
                <w:rFonts w:ascii="Carlito"/>
                <w:sz w:val="16"/>
              </w:rPr>
            </w:pPr>
            <w:r>
              <w:rPr>
                <w:rFonts w:ascii="Carlito"/>
                <w:sz w:val="16"/>
              </w:rPr>
              <w:t>Lomas de Ayarco</w:t>
            </w:r>
          </w:p>
        </w:tc>
        <w:tc>
          <w:tcPr>
            <w:tcW w:w="613"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$150,000.00</w:t>
            </w:r>
          </w:p>
        </w:tc>
        <w:tc>
          <w:tcPr>
            <w:tcW w:w="1000" w:type="dxa"/>
            <w:shd w:val="clear" w:color="auto" w:fill="D9D9D9"/>
          </w:tcPr>
          <w:p>
            <w:pPr>
              <w:pStyle w:val="TableParagraph"/>
              <w:ind w:right="340"/>
              <w:rPr>
                <w:rFonts w:ascii="Carlito"/>
                <w:sz w:val="16"/>
              </w:rPr>
            </w:pPr>
            <w:r>
              <w:rPr>
                <w:rFonts w:ascii="Carlito"/>
                <w:sz w:val="16"/>
              </w:rPr>
              <w:t>120</w:t>
            </w:r>
          </w:p>
        </w:tc>
        <w:tc>
          <w:tcPr>
            <w:tcW w:w="1127" w:type="dxa"/>
            <w:shd w:val="clear" w:color="auto" w:fill="D9D9D9"/>
          </w:tcPr>
          <w:p>
            <w:pPr>
              <w:pStyle w:val="TableParagraph"/>
              <w:ind w:left="317" w:right="438"/>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3</w:t>
            </w:r>
          </w:p>
        </w:tc>
        <w:tc>
          <w:tcPr>
            <w:tcW w:w="745" w:type="dxa"/>
            <w:shd w:val="clear" w:color="auto" w:fill="D9D9D9"/>
          </w:tcPr>
          <w:p>
            <w:pPr>
              <w:pStyle w:val="TableParagraph"/>
              <w:ind w:right="299"/>
              <w:rPr>
                <w:rFonts w:ascii="Carlito"/>
                <w:sz w:val="16"/>
              </w:rPr>
            </w:pPr>
            <w:r>
              <w:rPr>
                <w:rFonts w:ascii="Carlito"/>
                <w:sz w:val="16"/>
              </w:rPr>
              <w:t>2</w:t>
            </w:r>
          </w:p>
        </w:tc>
        <w:tc>
          <w:tcPr>
            <w:tcW w:w="816" w:type="dxa"/>
            <w:shd w:val="clear" w:color="auto" w:fill="D9D9D9"/>
          </w:tcPr>
          <w:p>
            <w:pPr>
              <w:pStyle w:val="TableParagraph"/>
              <w:ind w:left="301"/>
              <w:jc w:val="left"/>
              <w:rPr>
                <w:rFonts w:ascii="Carlito"/>
                <w:sz w:val="16"/>
              </w:rPr>
            </w:pPr>
            <w:r>
              <w:rPr>
                <w:rFonts w:ascii="Carlito"/>
                <w:sz w:val="16"/>
              </w:rPr>
              <w:t>1</w:t>
            </w:r>
          </w:p>
        </w:tc>
        <w:tc>
          <w:tcPr>
            <w:tcW w:w="1290" w:type="dxa"/>
            <w:shd w:val="clear" w:color="auto" w:fill="D9D9D9"/>
          </w:tcPr>
          <w:p>
            <w:pPr>
              <w:pStyle w:val="TableParagraph"/>
              <w:ind w:right="573"/>
              <w:rPr>
                <w:rFonts w:ascii="Carlito"/>
                <w:sz w:val="16"/>
              </w:rPr>
            </w:pPr>
            <w:r>
              <w:rPr>
                <w:rFonts w:ascii="Carlito"/>
                <w:sz w:val="16"/>
              </w:rPr>
              <w:t>8.55</w:t>
            </w:r>
          </w:p>
        </w:tc>
        <w:tc>
          <w:tcPr>
            <w:tcW w:w="1140" w:type="dxa"/>
            <w:shd w:val="clear" w:color="auto" w:fill="D9D9D9"/>
          </w:tcPr>
          <w:p>
            <w:pPr>
              <w:pStyle w:val="TableParagraph"/>
              <w:ind w:right="365"/>
              <w:rPr>
                <w:rFonts w:ascii="Carlito"/>
                <w:sz w:val="16"/>
              </w:rPr>
            </w:pPr>
            <w:r>
              <w:rPr>
                <w:rFonts w:ascii="Carlito"/>
                <w:sz w:val="16"/>
              </w:rPr>
              <w:t>2.9</w:t>
            </w:r>
          </w:p>
        </w:tc>
        <w:tc>
          <w:tcPr>
            <w:tcW w:w="826" w:type="dxa"/>
            <w:shd w:val="clear" w:color="auto" w:fill="D9D9D9"/>
          </w:tcPr>
          <w:p>
            <w:pPr>
              <w:pStyle w:val="TableParagraph"/>
              <w:ind w:right="379"/>
              <w:rPr>
                <w:rFonts w:ascii="Carlito"/>
                <w:sz w:val="16"/>
              </w:rPr>
            </w:pPr>
            <w:r>
              <w:rPr>
                <w:rFonts w:ascii="Carlito"/>
                <w:sz w:val="16"/>
              </w:rPr>
              <w:t>0</w:t>
            </w:r>
          </w:p>
        </w:tc>
        <w:tc>
          <w:tcPr>
            <w:tcW w:w="530" w:type="dxa"/>
            <w:shd w:val="clear" w:color="auto" w:fill="D9D9D9"/>
          </w:tcPr>
          <w:p>
            <w:pPr>
              <w:pStyle w:val="TableParagraph"/>
              <w:ind w:right="65"/>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61</w:t>
            </w:r>
          </w:p>
        </w:tc>
        <w:tc>
          <w:tcPr>
            <w:tcW w:w="1920" w:type="dxa"/>
          </w:tcPr>
          <w:p>
            <w:pPr>
              <w:pStyle w:val="TableParagraph"/>
              <w:ind w:left="143"/>
              <w:jc w:val="left"/>
              <w:rPr>
                <w:rFonts w:ascii="Carlito"/>
                <w:sz w:val="16"/>
              </w:rPr>
            </w:pPr>
            <w:r>
              <w:rPr>
                <w:rFonts w:ascii="Carlito"/>
                <w:sz w:val="16"/>
              </w:rPr>
              <w:t>Guayabos</w:t>
            </w:r>
          </w:p>
        </w:tc>
        <w:tc>
          <w:tcPr>
            <w:tcW w:w="613" w:type="dxa"/>
          </w:tcPr>
          <w:p>
            <w:pPr>
              <w:pStyle w:val="TableParagraph"/>
              <w:ind w:right="69"/>
              <w:rPr>
                <w:rFonts w:ascii="Carlito"/>
                <w:sz w:val="16"/>
              </w:rPr>
            </w:pPr>
            <w:r>
              <w:rPr>
                <w:rFonts w:ascii="Carlito"/>
                <w:sz w:val="16"/>
              </w:rPr>
              <w:t>0</w:t>
            </w:r>
          </w:p>
        </w:tc>
        <w:tc>
          <w:tcPr>
            <w:tcW w:w="1418" w:type="dxa"/>
          </w:tcPr>
          <w:p>
            <w:pPr>
              <w:pStyle w:val="TableParagraph"/>
              <w:ind w:right="415"/>
              <w:rPr>
                <w:rFonts w:ascii="Carlito"/>
                <w:sz w:val="16"/>
              </w:rPr>
            </w:pPr>
            <w:r>
              <w:rPr>
                <w:rFonts w:ascii="Carlito"/>
                <w:sz w:val="16"/>
              </w:rPr>
              <w:t>$220,000.00</w:t>
            </w:r>
          </w:p>
        </w:tc>
        <w:tc>
          <w:tcPr>
            <w:tcW w:w="1000" w:type="dxa"/>
          </w:tcPr>
          <w:p>
            <w:pPr>
              <w:pStyle w:val="TableParagraph"/>
              <w:ind w:right="340"/>
              <w:rPr>
                <w:rFonts w:ascii="Carlito"/>
                <w:sz w:val="16"/>
              </w:rPr>
            </w:pPr>
            <w:r>
              <w:rPr>
                <w:rFonts w:ascii="Carlito"/>
                <w:sz w:val="16"/>
              </w:rPr>
              <w:t>210</w:t>
            </w:r>
          </w:p>
        </w:tc>
        <w:tc>
          <w:tcPr>
            <w:tcW w:w="1127" w:type="dxa"/>
          </w:tcPr>
          <w:p>
            <w:pPr>
              <w:pStyle w:val="TableParagraph"/>
              <w:ind w:left="317" w:right="438"/>
              <w:jc w:val="center"/>
              <w:rPr>
                <w:rFonts w:ascii="Carlito"/>
                <w:sz w:val="16"/>
              </w:rPr>
            </w:pPr>
            <w:r>
              <w:rPr>
                <w:rFonts w:ascii="Carlito"/>
                <w:sz w:val="16"/>
              </w:rPr>
              <w:t>2006</w:t>
            </w:r>
          </w:p>
        </w:tc>
        <w:tc>
          <w:tcPr>
            <w:tcW w:w="782" w:type="dxa"/>
          </w:tcPr>
          <w:p>
            <w:pPr>
              <w:pStyle w:val="TableParagraph"/>
              <w:ind w:right="235"/>
              <w:rPr>
                <w:rFonts w:ascii="Carlito"/>
                <w:sz w:val="16"/>
              </w:rPr>
            </w:pPr>
            <w:r>
              <w:rPr>
                <w:rFonts w:ascii="Carlito"/>
                <w:sz w:val="16"/>
              </w:rPr>
              <w:t>3</w:t>
            </w:r>
          </w:p>
        </w:tc>
        <w:tc>
          <w:tcPr>
            <w:tcW w:w="745" w:type="dxa"/>
          </w:tcPr>
          <w:p>
            <w:pPr>
              <w:pStyle w:val="TableParagraph"/>
              <w:ind w:right="304"/>
              <w:rPr>
                <w:rFonts w:ascii="Carlito"/>
                <w:sz w:val="16"/>
              </w:rPr>
            </w:pPr>
            <w:r>
              <w:rPr>
                <w:rFonts w:ascii="Carlito"/>
                <w:sz w:val="16"/>
              </w:rPr>
              <w:t>2.5</w:t>
            </w:r>
          </w:p>
        </w:tc>
        <w:tc>
          <w:tcPr>
            <w:tcW w:w="816" w:type="dxa"/>
          </w:tcPr>
          <w:p>
            <w:pPr>
              <w:pStyle w:val="TableParagraph"/>
              <w:ind w:left="301"/>
              <w:jc w:val="left"/>
              <w:rPr>
                <w:rFonts w:ascii="Carlito"/>
                <w:sz w:val="16"/>
              </w:rPr>
            </w:pPr>
            <w:r>
              <w:rPr>
                <w:rFonts w:ascii="Carlito"/>
                <w:sz w:val="16"/>
              </w:rPr>
              <w:t>2</w:t>
            </w:r>
          </w:p>
        </w:tc>
        <w:tc>
          <w:tcPr>
            <w:tcW w:w="1290" w:type="dxa"/>
          </w:tcPr>
          <w:p>
            <w:pPr>
              <w:pStyle w:val="TableParagraph"/>
              <w:ind w:right="573"/>
              <w:rPr>
                <w:rFonts w:ascii="Carlito"/>
                <w:sz w:val="16"/>
              </w:rPr>
            </w:pPr>
            <w:r>
              <w:rPr>
                <w:rFonts w:ascii="Carlito"/>
                <w:sz w:val="16"/>
              </w:rPr>
              <w:t>7.4</w:t>
            </w:r>
          </w:p>
        </w:tc>
        <w:tc>
          <w:tcPr>
            <w:tcW w:w="1140" w:type="dxa"/>
          </w:tcPr>
          <w:p>
            <w:pPr>
              <w:pStyle w:val="TableParagraph"/>
              <w:ind w:right="361"/>
              <w:rPr>
                <w:rFonts w:ascii="Carlito"/>
                <w:sz w:val="16"/>
              </w:rPr>
            </w:pPr>
            <w:r>
              <w:rPr>
                <w:rFonts w:ascii="Carlito"/>
                <w:sz w:val="16"/>
              </w:rPr>
              <w:t>5</w:t>
            </w:r>
          </w:p>
        </w:tc>
        <w:tc>
          <w:tcPr>
            <w:tcW w:w="826" w:type="dxa"/>
          </w:tcPr>
          <w:p>
            <w:pPr>
              <w:pStyle w:val="TableParagraph"/>
              <w:ind w:right="379"/>
              <w:rPr>
                <w:rFonts w:ascii="Carlito"/>
                <w:sz w:val="16"/>
              </w:rPr>
            </w:pPr>
            <w:r>
              <w:rPr>
                <w:rFonts w:ascii="Carlito"/>
                <w:sz w:val="16"/>
              </w:rPr>
              <w:t>0</w:t>
            </w:r>
          </w:p>
        </w:tc>
        <w:tc>
          <w:tcPr>
            <w:tcW w:w="530" w:type="dxa"/>
          </w:tcPr>
          <w:p>
            <w:pPr>
              <w:pStyle w:val="TableParagraph"/>
              <w:ind w:right="65"/>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62</w:t>
            </w:r>
          </w:p>
        </w:tc>
        <w:tc>
          <w:tcPr>
            <w:tcW w:w="1920" w:type="dxa"/>
            <w:shd w:val="clear" w:color="auto" w:fill="D9D9D9"/>
          </w:tcPr>
          <w:p>
            <w:pPr>
              <w:pStyle w:val="TableParagraph"/>
              <w:spacing w:before="92"/>
              <w:ind w:left="143"/>
              <w:jc w:val="left"/>
              <w:rPr>
                <w:rFonts w:ascii="Carlito"/>
                <w:sz w:val="16"/>
              </w:rPr>
            </w:pPr>
            <w:r>
              <w:rPr>
                <w:rFonts w:ascii="Carlito"/>
                <w:sz w:val="16"/>
              </w:rPr>
              <w:t>Pinares</w:t>
            </w:r>
          </w:p>
        </w:tc>
        <w:tc>
          <w:tcPr>
            <w:tcW w:w="613" w:type="dxa"/>
            <w:shd w:val="clear" w:color="auto" w:fill="D9D9D9"/>
          </w:tcPr>
          <w:p>
            <w:pPr>
              <w:pStyle w:val="TableParagraph"/>
              <w:spacing w:before="92"/>
              <w:ind w:right="69"/>
              <w:rPr>
                <w:rFonts w:ascii="Carlito"/>
                <w:sz w:val="16"/>
              </w:rPr>
            </w:pPr>
            <w:r>
              <w:rPr>
                <w:rFonts w:ascii="Carlito"/>
                <w:sz w:val="16"/>
              </w:rPr>
              <w:t>1</w:t>
            </w:r>
          </w:p>
        </w:tc>
        <w:tc>
          <w:tcPr>
            <w:tcW w:w="1418" w:type="dxa"/>
            <w:shd w:val="clear" w:color="auto" w:fill="D9D9D9"/>
          </w:tcPr>
          <w:p>
            <w:pPr>
              <w:pStyle w:val="TableParagraph"/>
              <w:spacing w:before="92"/>
              <w:ind w:right="415"/>
              <w:rPr>
                <w:rFonts w:ascii="Carlito"/>
                <w:sz w:val="16"/>
              </w:rPr>
            </w:pPr>
            <w:r>
              <w:rPr>
                <w:rFonts w:ascii="Carlito"/>
                <w:sz w:val="16"/>
              </w:rPr>
              <w:t>$330,000.00</w:t>
            </w:r>
          </w:p>
        </w:tc>
        <w:tc>
          <w:tcPr>
            <w:tcW w:w="1000" w:type="dxa"/>
            <w:shd w:val="clear" w:color="auto" w:fill="D9D9D9"/>
          </w:tcPr>
          <w:p>
            <w:pPr>
              <w:pStyle w:val="TableParagraph"/>
              <w:spacing w:before="92"/>
              <w:ind w:right="340"/>
              <w:rPr>
                <w:rFonts w:ascii="Carlito"/>
                <w:sz w:val="16"/>
              </w:rPr>
            </w:pPr>
            <w:r>
              <w:rPr>
                <w:rFonts w:ascii="Carlito"/>
                <w:sz w:val="16"/>
              </w:rPr>
              <w:t>360</w:t>
            </w:r>
          </w:p>
        </w:tc>
        <w:tc>
          <w:tcPr>
            <w:tcW w:w="1127" w:type="dxa"/>
            <w:shd w:val="clear" w:color="auto" w:fill="D9D9D9"/>
          </w:tcPr>
          <w:p>
            <w:pPr>
              <w:pStyle w:val="TableParagraph"/>
              <w:spacing w:before="92"/>
              <w:ind w:left="317" w:right="438"/>
              <w:jc w:val="center"/>
              <w:rPr>
                <w:rFonts w:ascii="Carlito"/>
                <w:sz w:val="16"/>
              </w:rPr>
            </w:pPr>
            <w:r>
              <w:rPr>
                <w:rFonts w:ascii="Carlito"/>
                <w:sz w:val="16"/>
              </w:rPr>
              <w:t>2012</w:t>
            </w:r>
          </w:p>
        </w:tc>
        <w:tc>
          <w:tcPr>
            <w:tcW w:w="782" w:type="dxa"/>
            <w:shd w:val="clear" w:color="auto" w:fill="D9D9D9"/>
          </w:tcPr>
          <w:p>
            <w:pPr>
              <w:pStyle w:val="TableParagraph"/>
              <w:spacing w:before="92"/>
              <w:ind w:right="235"/>
              <w:rPr>
                <w:rFonts w:ascii="Carlito"/>
                <w:sz w:val="16"/>
              </w:rPr>
            </w:pPr>
            <w:r>
              <w:rPr>
                <w:rFonts w:ascii="Carlito"/>
                <w:sz w:val="16"/>
              </w:rPr>
              <w:t>3</w:t>
            </w:r>
          </w:p>
        </w:tc>
        <w:tc>
          <w:tcPr>
            <w:tcW w:w="745" w:type="dxa"/>
            <w:shd w:val="clear" w:color="auto" w:fill="D9D9D9"/>
          </w:tcPr>
          <w:p>
            <w:pPr>
              <w:pStyle w:val="TableParagraph"/>
              <w:spacing w:before="92"/>
              <w:ind w:right="304"/>
              <w:rPr>
                <w:rFonts w:ascii="Carlito"/>
                <w:sz w:val="16"/>
              </w:rPr>
            </w:pPr>
            <w:r>
              <w:rPr>
                <w:rFonts w:ascii="Carlito"/>
                <w:sz w:val="16"/>
              </w:rPr>
              <w:t>2.5</w:t>
            </w:r>
          </w:p>
        </w:tc>
        <w:tc>
          <w:tcPr>
            <w:tcW w:w="816" w:type="dxa"/>
            <w:shd w:val="clear" w:color="auto" w:fill="D9D9D9"/>
          </w:tcPr>
          <w:p>
            <w:pPr>
              <w:pStyle w:val="TableParagraph"/>
              <w:spacing w:before="92"/>
              <w:ind w:left="301"/>
              <w:jc w:val="left"/>
              <w:rPr>
                <w:rFonts w:ascii="Carlito"/>
                <w:sz w:val="16"/>
              </w:rPr>
            </w:pPr>
            <w:r>
              <w:rPr>
                <w:rFonts w:ascii="Carlito"/>
                <w:sz w:val="16"/>
              </w:rPr>
              <w:t>2</w:t>
            </w:r>
          </w:p>
        </w:tc>
        <w:tc>
          <w:tcPr>
            <w:tcW w:w="1290" w:type="dxa"/>
            <w:shd w:val="clear" w:color="auto" w:fill="D9D9D9"/>
          </w:tcPr>
          <w:p>
            <w:pPr>
              <w:pStyle w:val="TableParagraph"/>
              <w:spacing w:before="92"/>
              <w:ind w:right="573"/>
              <w:rPr>
                <w:rFonts w:ascii="Carlito"/>
                <w:sz w:val="16"/>
              </w:rPr>
            </w:pPr>
            <w:r>
              <w:rPr>
                <w:rFonts w:ascii="Carlito"/>
                <w:sz w:val="16"/>
              </w:rPr>
              <w:t>7.4</w:t>
            </w:r>
          </w:p>
        </w:tc>
        <w:tc>
          <w:tcPr>
            <w:tcW w:w="1140" w:type="dxa"/>
            <w:shd w:val="clear" w:color="auto" w:fill="D9D9D9"/>
          </w:tcPr>
          <w:p>
            <w:pPr>
              <w:pStyle w:val="TableParagraph"/>
              <w:spacing w:before="92"/>
              <w:ind w:right="365"/>
              <w:rPr>
                <w:rFonts w:ascii="Carlito"/>
                <w:sz w:val="16"/>
              </w:rPr>
            </w:pPr>
            <w:r>
              <w:rPr>
                <w:rFonts w:ascii="Carlito"/>
                <w:sz w:val="16"/>
              </w:rPr>
              <w:t>3.6</w:t>
            </w:r>
          </w:p>
        </w:tc>
        <w:tc>
          <w:tcPr>
            <w:tcW w:w="826" w:type="dxa"/>
            <w:shd w:val="clear" w:color="auto" w:fill="D9D9D9"/>
          </w:tcPr>
          <w:p>
            <w:pPr>
              <w:pStyle w:val="TableParagraph"/>
              <w:spacing w:before="92"/>
              <w:ind w:right="379"/>
              <w:rPr>
                <w:rFonts w:ascii="Carlito"/>
                <w:sz w:val="16"/>
              </w:rPr>
            </w:pPr>
            <w:r>
              <w:rPr>
                <w:rFonts w:ascii="Carlito"/>
                <w:sz w:val="16"/>
              </w:rPr>
              <w:t>0</w:t>
            </w:r>
          </w:p>
        </w:tc>
        <w:tc>
          <w:tcPr>
            <w:tcW w:w="530" w:type="dxa"/>
            <w:shd w:val="clear" w:color="auto" w:fill="D9D9D9"/>
          </w:tcPr>
          <w:p>
            <w:pPr>
              <w:pStyle w:val="TableParagraph"/>
              <w:spacing w:before="92"/>
              <w:ind w:right="65"/>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63</w:t>
            </w:r>
          </w:p>
        </w:tc>
        <w:tc>
          <w:tcPr>
            <w:tcW w:w="1920" w:type="dxa"/>
          </w:tcPr>
          <w:p>
            <w:pPr>
              <w:pStyle w:val="TableParagraph"/>
              <w:ind w:left="143"/>
              <w:jc w:val="left"/>
              <w:rPr>
                <w:rFonts w:ascii="Carlito"/>
                <w:sz w:val="16"/>
              </w:rPr>
            </w:pPr>
            <w:r>
              <w:rPr>
                <w:rFonts w:ascii="Carlito"/>
                <w:sz w:val="16"/>
              </w:rPr>
              <w:t>Curridabat</w:t>
            </w:r>
          </w:p>
        </w:tc>
        <w:tc>
          <w:tcPr>
            <w:tcW w:w="613" w:type="dxa"/>
          </w:tcPr>
          <w:p>
            <w:pPr>
              <w:pStyle w:val="TableParagraph"/>
              <w:ind w:right="69"/>
              <w:rPr>
                <w:rFonts w:ascii="Carlito"/>
                <w:sz w:val="16"/>
              </w:rPr>
            </w:pPr>
            <w:r>
              <w:rPr>
                <w:rFonts w:ascii="Carlito"/>
                <w:sz w:val="16"/>
              </w:rPr>
              <w:t>1</w:t>
            </w:r>
          </w:p>
        </w:tc>
        <w:tc>
          <w:tcPr>
            <w:tcW w:w="1418" w:type="dxa"/>
          </w:tcPr>
          <w:p>
            <w:pPr>
              <w:pStyle w:val="TableParagraph"/>
              <w:ind w:right="415"/>
              <w:rPr>
                <w:rFonts w:ascii="Carlito"/>
                <w:sz w:val="16"/>
              </w:rPr>
            </w:pPr>
            <w:r>
              <w:rPr>
                <w:rFonts w:ascii="Carlito"/>
                <w:sz w:val="16"/>
              </w:rPr>
              <w:t>$280,000.00</w:t>
            </w:r>
          </w:p>
        </w:tc>
        <w:tc>
          <w:tcPr>
            <w:tcW w:w="1000" w:type="dxa"/>
          </w:tcPr>
          <w:p>
            <w:pPr>
              <w:pStyle w:val="TableParagraph"/>
              <w:ind w:right="340"/>
              <w:rPr>
                <w:rFonts w:ascii="Carlito"/>
                <w:sz w:val="16"/>
              </w:rPr>
            </w:pPr>
            <w:r>
              <w:rPr>
                <w:rFonts w:ascii="Carlito"/>
                <w:sz w:val="16"/>
              </w:rPr>
              <w:t>380</w:t>
            </w:r>
          </w:p>
        </w:tc>
        <w:tc>
          <w:tcPr>
            <w:tcW w:w="1127" w:type="dxa"/>
          </w:tcPr>
          <w:p>
            <w:pPr>
              <w:pStyle w:val="TableParagraph"/>
              <w:ind w:left="317" w:right="438"/>
              <w:jc w:val="center"/>
              <w:rPr>
                <w:rFonts w:ascii="Carlito"/>
                <w:sz w:val="16"/>
              </w:rPr>
            </w:pPr>
            <w:r>
              <w:rPr>
                <w:rFonts w:ascii="Carlito"/>
                <w:sz w:val="16"/>
              </w:rPr>
              <w:t>1984</w:t>
            </w:r>
          </w:p>
        </w:tc>
        <w:tc>
          <w:tcPr>
            <w:tcW w:w="782" w:type="dxa"/>
          </w:tcPr>
          <w:p>
            <w:pPr>
              <w:pStyle w:val="TableParagraph"/>
              <w:ind w:right="235"/>
              <w:rPr>
                <w:rFonts w:ascii="Carlito"/>
                <w:sz w:val="16"/>
              </w:rPr>
            </w:pPr>
            <w:r>
              <w:rPr>
                <w:rFonts w:ascii="Carlito"/>
                <w:sz w:val="16"/>
              </w:rPr>
              <w:t>3</w:t>
            </w:r>
          </w:p>
        </w:tc>
        <w:tc>
          <w:tcPr>
            <w:tcW w:w="745" w:type="dxa"/>
          </w:tcPr>
          <w:p>
            <w:pPr>
              <w:pStyle w:val="TableParagraph"/>
              <w:ind w:right="299"/>
              <w:rPr>
                <w:rFonts w:ascii="Carlito"/>
                <w:sz w:val="16"/>
              </w:rPr>
            </w:pPr>
            <w:r>
              <w:rPr>
                <w:rFonts w:ascii="Carlito"/>
                <w:sz w:val="16"/>
              </w:rPr>
              <w:t>3</w:t>
            </w:r>
          </w:p>
        </w:tc>
        <w:tc>
          <w:tcPr>
            <w:tcW w:w="816" w:type="dxa"/>
          </w:tcPr>
          <w:p>
            <w:pPr>
              <w:pStyle w:val="TableParagraph"/>
              <w:ind w:left="301"/>
              <w:jc w:val="left"/>
              <w:rPr>
                <w:rFonts w:ascii="Carlito"/>
                <w:sz w:val="16"/>
              </w:rPr>
            </w:pPr>
            <w:r>
              <w:rPr>
                <w:rFonts w:ascii="Carlito"/>
                <w:sz w:val="16"/>
              </w:rPr>
              <w:t>1</w:t>
            </w:r>
          </w:p>
        </w:tc>
        <w:tc>
          <w:tcPr>
            <w:tcW w:w="1290" w:type="dxa"/>
          </w:tcPr>
          <w:p>
            <w:pPr>
              <w:pStyle w:val="TableParagraph"/>
              <w:ind w:right="573"/>
              <w:rPr>
                <w:rFonts w:ascii="Carlito"/>
                <w:sz w:val="16"/>
              </w:rPr>
            </w:pPr>
            <w:r>
              <w:rPr>
                <w:rFonts w:ascii="Carlito"/>
                <w:sz w:val="16"/>
              </w:rPr>
              <w:t>5.7</w:t>
            </w:r>
          </w:p>
        </w:tc>
        <w:tc>
          <w:tcPr>
            <w:tcW w:w="1140" w:type="dxa"/>
          </w:tcPr>
          <w:p>
            <w:pPr>
              <w:pStyle w:val="TableParagraph"/>
              <w:ind w:right="365"/>
              <w:rPr>
                <w:rFonts w:ascii="Carlito"/>
                <w:sz w:val="16"/>
              </w:rPr>
            </w:pPr>
            <w:r>
              <w:rPr>
                <w:rFonts w:ascii="Carlito"/>
                <w:sz w:val="16"/>
              </w:rPr>
              <w:t>3.2</w:t>
            </w:r>
          </w:p>
        </w:tc>
        <w:tc>
          <w:tcPr>
            <w:tcW w:w="826" w:type="dxa"/>
          </w:tcPr>
          <w:p>
            <w:pPr>
              <w:pStyle w:val="TableParagraph"/>
              <w:ind w:right="379"/>
              <w:rPr>
                <w:rFonts w:ascii="Carlito"/>
                <w:sz w:val="16"/>
              </w:rPr>
            </w:pPr>
            <w:r>
              <w:rPr>
                <w:rFonts w:ascii="Carlito"/>
                <w:sz w:val="16"/>
              </w:rPr>
              <w:t>0</w:t>
            </w:r>
          </w:p>
        </w:tc>
        <w:tc>
          <w:tcPr>
            <w:tcW w:w="530" w:type="dxa"/>
          </w:tcPr>
          <w:p>
            <w:pPr>
              <w:pStyle w:val="TableParagraph"/>
              <w:ind w:right="65"/>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64</w:t>
            </w:r>
          </w:p>
        </w:tc>
        <w:tc>
          <w:tcPr>
            <w:tcW w:w="1920" w:type="dxa"/>
            <w:shd w:val="clear" w:color="auto" w:fill="D9D9D9"/>
          </w:tcPr>
          <w:p>
            <w:pPr>
              <w:pStyle w:val="TableParagraph"/>
              <w:ind w:left="143"/>
              <w:jc w:val="left"/>
              <w:rPr>
                <w:rFonts w:ascii="Carlito"/>
                <w:sz w:val="16"/>
              </w:rPr>
            </w:pPr>
            <w:r>
              <w:rPr>
                <w:rFonts w:ascii="Carlito"/>
                <w:sz w:val="16"/>
              </w:rPr>
              <w:t>Lomas de Ayarco</w:t>
            </w:r>
          </w:p>
        </w:tc>
        <w:tc>
          <w:tcPr>
            <w:tcW w:w="613"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$280,000.00</w:t>
            </w:r>
          </w:p>
        </w:tc>
        <w:tc>
          <w:tcPr>
            <w:tcW w:w="1000" w:type="dxa"/>
            <w:shd w:val="clear" w:color="auto" w:fill="D9D9D9"/>
          </w:tcPr>
          <w:p>
            <w:pPr>
              <w:pStyle w:val="TableParagraph"/>
              <w:ind w:right="340"/>
              <w:rPr>
                <w:rFonts w:ascii="Carlito"/>
                <w:sz w:val="16"/>
              </w:rPr>
            </w:pPr>
            <w:r>
              <w:rPr>
                <w:rFonts w:ascii="Carlito"/>
                <w:sz w:val="16"/>
              </w:rPr>
              <w:t>250</w:t>
            </w:r>
          </w:p>
        </w:tc>
        <w:tc>
          <w:tcPr>
            <w:tcW w:w="1127" w:type="dxa"/>
            <w:shd w:val="clear" w:color="auto" w:fill="D9D9D9"/>
          </w:tcPr>
          <w:p>
            <w:pPr>
              <w:pStyle w:val="TableParagraph"/>
              <w:ind w:left="317" w:right="438"/>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5</w:t>
            </w:r>
          </w:p>
        </w:tc>
        <w:tc>
          <w:tcPr>
            <w:tcW w:w="745" w:type="dxa"/>
            <w:shd w:val="clear" w:color="auto" w:fill="D9D9D9"/>
          </w:tcPr>
          <w:p>
            <w:pPr>
              <w:pStyle w:val="TableParagraph"/>
              <w:ind w:right="304"/>
              <w:rPr>
                <w:rFonts w:ascii="Carlito"/>
                <w:sz w:val="16"/>
              </w:rPr>
            </w:pPr>
            <w:r>
              <w:rPr>
                <w:rFonts w:ascii="Carlito"/>
                <w:sz w:val="16"/>
              </w:rPr>
              <w:t>3.5</w:t>
            </w:r>
          </w:p>
        </w:tc>
        <w:tc>
          <w:tcPr>
            <w:tcW w:w="816" w:type="dxa"/>
            <w:shd w:val="clear" w:color="auto" w:fill="D9D9D9"/>
          </w:tcPr>
          <w:p>
            <w:pPr>
              <w:pStyle w:val="TableParagraph"/>
              <w:ind w:left="301"/>
              <w:jc w:val="left"/>
              <w:rPr>
                <w:rFonts w:ascii="Carlito"/>
                <w:sz w:val="16"/>
              </w:rPr>
            </w:pPr>
            <w:r>
              <w:rPr>
                <w:rFonts w:ascii="Carlito"/>
                <w:sz w:val="16"/>
              </w:rPr>
              <w:t>2</w:t>
            </w:r>
          </w:p>
        </w:tc>
        <w:tc>
          <w:tcPr>
            <w:tcW w:w="1290" w:type="dxa"/>
            <w:shd w:val="clear" w:color="auto" w:fill="D9D9D9"/>
          </w:tcPr>
          <w:p>
            <w:pPr>
              <w:pStyle w:val="TableParagraph"/>
              <w:ind w:right="573"/>
              <w:rPr>
                <w:rFonts w:ascii="Carlito"/>
                <w:sz w:val="16"/>
              </w:rPr>
            </w:pPr>
            <w:r>
              <w:rPr>
                <w:rFonts w:ascii="Carlito"/>
                <w:sz w:val="16"/>
              </w:rPr>
              <w:t>8.55</w:t>
            </w:r>
          </w:p>
        </w:tc>
        <w:tc>
          <w:tcPr>
            <w:tcW w:w="1140" w:type="dxa"/>
            <w:shd w:val="clear" w:color="auto" w:fill="D9D9D9"/>
          </w:tcPr>
          <w:p>
            <w:pPr>
              <w:pStyle w:val="TableParagraph"/>
              <w:ind w:right="365"/>
              <w:rPr>
                <w:rFonts w:ascii="Carlito"/>
                <w:sz w:val="16"/>
              </w:rPr>
            </w:pPr>
            <w:r>
              <w:rPr>
                <w:rFonts w:ascii="Carlito"/>
                <w:sz w:val="16"/>
              </w:rPr>
              <w:t>2.9</w:t>
            </w:r>
          </w:p>
        </w:tc>
        <w:tc>
          <w:tcPr>
            <w:tcW w:w="826" w:type="dxa"/>
            <w:shd w:val="clear" w:color="auto" w:fill="D9D9D9"/>
          </w:tcPr>
          <w:p>
            <w:pPr>
              <w:pStyle w:val="TableParagraph"/>
              <w:ind w:right="379"/>
              <w:rPr>
                <w:rFonts w:ascii="Carlito"/>
                <w:sz w:val="16"/>
              </w:rPr>
            </w:pPr>
            <w:r>
              <w:rPr>
                <w:rFonts w:ascii="Carlito"/>
                <w:sz w:val="16"/>
              </w:rPr>
              <w:t>0</w:t>
            </w:r>
          </w:p>
        </w:tc>
        <w:tc>
          <w:tcPr>
            <w:tcW w:w="530" w:type="dxa"/>
            <w:shd w:val="clear" w:color="auto" w:fill="D9D9D9"/>
          </w:tcPr>
          <w:p>
            <w:pPr>
              <w:pStyle w:val="TableParagraph"/>
              <w:ind w:right="65"/>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65</w:t>
            </w:r>
          </w:p>
        </w:tc>
        <w:tc>
          <w:tcPr>
            <w:tcW w:w="1920" w:type="dxa"/>
          </w:tcPr>
          <w:p>
            <w:pPr>
              <w:pStyle w:val="TableParagraph"/>
              <w:ind w:left="143"/>
              <w:jc w:val="left"/>
              <w:rPr>
                <w:rFonts w:ascii="Carlito"/>
                <w:sz w:val="16"/>
              </w:rPr>
            </w:pPr>
            <w:r>
              <w:rPr>
                <w:rFonts w:ascii="Carlito"/>
                <w:sz w:val="16"/>
              </w:rPr>
              <w:t>Cipreses</w:t>
            </w:r>
          </w:p>
        </w:tc>
        <w:tc>
          <w:tcPr>
            <w:tcW w:w="613" w:type="dxa"/>
          </w:tcPr>
          <w:p>
            <w:pPr>
              <w:pStyle w:val="TableParagraph"/>
              <w:ind w:right="69"/>
              <w:rPr>
                <w:rFonts w:ascii="Carlito"/>
                <w:sz w:val="16"/>
              </w:rPr>
            </w:pPr>
            <w:r>
              <w:rPr>
                <w:rFonts w:ascii="Carlito"/>
                <w:sz w:val="16"/>
              </w:rPr>
              <w:t>0</w:t>
            </w:r>
          </w:p>
        </w:tc>
        <w:tc>
          <w:tcPr>
            <w:tcW w:w="1418" w:type="dxa"/>
          </w:tcPr>
          <w:p>
            <w:pPr>
              <w:pStyle w:val="TableParagraph"/>
              <w:ind w:right="415"/>
              <w:rPr>
                <w:rFonts w:ascii="Carlito"/>
                <w:sz w:val="16"/>
              </w:rPr>
            </w:pPr>
            <w:r>
              <w:rPr>
                <w:rFonts w:ascii="Carlito"/>
                <w:sz w:val="16"/>
              </w:rPr>
              <w:t>$225,000.00</w:t>
            </w:r>
          </w:p>
        </w:tc>
        <w:tc>
          <w:tcPr>
            <w:tcW w:w="1000" w:type="dxa"/>
          </w:tcPr>
          <w:p>
            <w:pPr>
              <w:pStyle w:val="TableParagraph"/>
              <w:ind w:right="340"/>
              <w:rPr>
                <w:rFonts w:ascii="Carlito"/>
                <w:sz w:val="16"/>
              </w:rPr>
            </w:pPr>
            <w:r>
              <w:rPr>
                <w:rFonts w:ascii="Carlito"/>
                <w:sz w:val="16"/>
              </w:rPr>
              <w:t>200</w:t>
            </w:r>
          </w:p>
        </w:tc>
        <w:tc>
          <w:tcPr>
            <w:tcW w:w="1127" w:type="dxa"/>
          </w:tcPr>
          <w:p>
            <w:pPr>
              <w:pStyle w:val="TableParagraph"/>
              <w:ind w:left="317" w:right="438"/>
              <w:jc w:val="center"/>
              <w:rPr>
                <w:rFonts w:ascii="Carlito"/>
                <w:sz w:val="16"/>
              </w:rPr>
            </w:pPr>
            <w:r>
              <w:rPr>
                <w:rFonts w:ascii="Carlito"/>
                <w:sz w:val="16"/>
              </w:rPr>
              <w:t>2006</w:t>
            </w:r>
          </w:p>
        </w:tc>
        <w:tc>
          <w:tcPr>
            <w:tcW w:w="782" w:type="dxa"/>
          </w:tcPr>
          <w:p>
            <w:pPr>
              <w:pStyle w:val="TableParagraph"/>
              <w:ind w:right="235"/>
              <w:rPr>
                <w:rFonts w:ascii="Carlito"/>
                <w:sz w:val="16"/>
              </w:rPr>
            </w:pPr>
            <w:r>
              <w:rPr>
                <w:rFonts w:ascii="Carlito"/>
                <w:sz w:val="16"/>
              </w:rPr>
              <w:t>3</w:t>
            </w:r>
          </w:p>
        </w:tc>
        <w:tc>
          <w:tcPr>
            <w:tcW w:w="745" w:type="dxa"/>
          </w:tcPr>
          <w:p>
            <w:pPr>
              <w:pStyle w:val="TableParagraph"/>
              <w:ind w:right="304"/>
              <w:rPr>
                <w:rFonts w:ascii="Carlito"/>
                <w:sz w:val="16"/>
              </w:rPr>
            </w:pPr>
            <w:r>
              <w:rPr>
                <w:rFonts w:ascii="Carlito"/>
                <w:sz w:val="16"/>
              </w:rPr>
              <w:t>2.5</w:t>
            </w:r>
          </w:p>
        </w:tc>
        <w:tc>
          <w:tcPr>
            <w:tcW w:w="816" w:type="dxa"/>
          </w:tcPr>
          <w:p>
            <w:pPr>
              <w:pStyle w:val="TableParagraph"/>
              <w:ind w:left="301"/>
              <w:jc w:val="left"/>
              <w:rPr>
                <w:rFonts w:ascii="Carlito"/>
                <w:sz w:val="16"/>
              </w:rPr>
            </w:pPr>
            <w:r>
              <w:rPr>
                <w:rFonts w:ascii="Carlito"/>
                <w:sz w:val="16"/>
              </w:rPr>
              <w:t>2</w:t>
            </w:r>
          </w:p>
        </w:tc>
        <w:tc>
          <w:tcPr>
            <w:tcW w:w="1290" w:type="dxa"/>
          </w:tcPr>
          <w:p>
            <w:pPr>
              <w:pStyle w:val="TableParagraph"/>
              <w:ind w:right="569"/>
              <w:rPr>
                <w:rFonts w:ascii="Carlito"/>
                <w:sz w:val="16"/>
              </w:rPr>
            </w:pPr>
            <w:r>
              <w:rPr>
                <w:rFonts w:ascii="Carlito"/>
                <w:sz w:val="16"/>
              </w:rPr>
              <w:t>7</w:t>
            </w:r>
          </w:p>
        </w:tc>
        <w:tc>
          <w:tcPr>
            <w:tcW w:w="1140" w:type="dxa"/>
          </w:tcPr>
          <w:p>
            <w:pPr>
              <w:pStyle w:val="TableParagraph"/>
              <w:ind w:right="365"/>
              <w:rPr>
                <w:rFonts w:ascii="Carlito"/>
                <w:sz w:val="16"/>
              </w:rPr>
            </w:pPr>
            <w:r>
              <w:rPr>
                <w:rFonts w:ascii="Carlito"/>
                <w:sz w:val="16"/>
              </w:rPr>
              <w:t>4.3</w:t>
            </w:r>
          </w:p>
        </w:tc>
        <w:tc>
          <w:tcPr>
            <w:tcW w:w="826" w:type="dxa"/>
          </w:tcPr>
          <w:p>
            <w:pPr>
              <w:pStyle w:val="TableParagraph"/>
              <w:ind w:right="379"/>
              <w:rPr>
                <w:rFonts w:ascii="Carlito"/>
                <w:sz w:val="16"/>
              </w:rPr>
            </w:pPr>
            <w:r>
              <w:rPr>
                <w:rFonts w:ascii="Carlito"/>
                <w:sz w:val="16"/>
              </w:rPr>
              <w:t>0</w:t>
            </w:r>
          </w:p>
        </w:tc>
        <w:tc>
          <w:tcPr>
            <w:tcW w:w="530" w:type="dxa"/>
          </w:tcPr>
          <w:p>
            <w:pPr>
              <w:pStyle w:val="TableParagraph"/>
              <w:ind w:right="65"/>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66</w:t>
            </w:r>
          </w:p>
        </w:tc>
        <w:tc>
          <w:tcPr>
            <w:tcW w:w="1920" w:type="dxa"/>
            <w:shd w:val="clear" w:color="auto" w:fill="D9D9D9"/>
          </w:tcPr>
          <w:p>
            <w:pPr>
              <w:pStyle w:val="TableParagraph"/>
              <w:ind w:left="143"/>
              <w:jc w:val="left"/>
              <w:rPr>
                <w:rFonts w:ascii="Carlito"/>
                <w:sz w:val="16"/>
              </w:rPr>
            </w:pPr>
            <w:r>
              <w:rPr>
                <w:rFonts w:ascii="Carlito"/>
                <w:sz w:val="16"/>
              </w:rPr>
              <w:t>Granadilla</w:t>
            </w:r>
          </w:p>
        </w:tc>
        <w:tc>
          <w:tcPr>
            <w:tcW w:w="613" w:type="dxa"/>
            <w:shd w:val="clear" w:color="auto" w:fill="D9D9D9"/>
          </w:tcPr>
          <w:p>
            <w:pPr>
              <w:pStyle w:val="TableParagraph"/>
              <w:ind w:right="69"/>
              <w:rPr>
                <w:rFonts w:ascii="Carlito"/>
                <w:sz w:val="16"/>
              </w:rPr>
            </w:pPr>
            <w:r>
              <w:rPr>
                <w:rFonts w:ascii="Carlito"/>
                <w:sz w:val="16"/>
              </w:rPr>
              <w:t>0</w:t>
            </w:r>
          </w:p>
        </w:tc>
        <w:tc>
          <w:tcPr>
            <w:tcW w:w="1418" w:type="dxa"/>
            <w:shd w:val="clear" w:color="auto" w:fill="D9D9D9"/>
          </w:tcPr>
          <w:p>
            <w:pPr>
              <w:pStyle w:val="TableParagraph"/>
              <w:ind w:right="415"/>
              <w:rPr>
                <w:rFonts w:ascii="Carlito"/>
                <w:sz w:val="16"/>
              </w:rPr>
            </w:pPr>
            <w:r>
              <w:rPr>
                <w:rFonts w:ascii="Carlito"/>
                <w:sz w:val="16"/>
              </w:rPr>
              <w:t>$200,000.00</w:t>
            </w:r>
          </w:p>
        </w:tc>
        <w:tc>
          <w:tcPr>
            <w:tcW w:w="1000" w:type="dxa"/>
            <w:shd w:val="clear" w:color="auto" w:fill="D9D9D9"/>
          </w:tcPr>
          <w:p>
            <w:pPr>
              <w:pStyle w:val="TableParagraph"/>
              <w:ind w:right="340"/>
              <w:rPr>
                <w:rFonts w:ascii="Carlito"/>
                <w:sz w:val="16"/>
              </w:rPr>
            </w:pPr>
            <w:r>
              <w:rPr>
                <w:rFonts w:ascii="Carlito"/>
                <w:sz w:val="16"/>
              </w:rPr>
              <w:t>144</w:t>
            </w:r>
          </w:p>
        </w:tc>
        <w:tc>
          <w:tcPr>
            <w:tcW w:w="1127" w:type="dxa"/>
            <w:shd w:val="clear" w:color="auto" w:fill="D9D9D9"/>
          </w:tcPr>
          <w:p>
            <w:pPr>
              <w:pStyle w:val="TableParagraph"/>
              <w:ind w:left="317" w:right="438"/>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3</w:t>
            </w:r>
          </w:p>
        </w:tc>
        <w:tc>
          <w:tcPr>
            <w:tcW w:w="745" w:type="dxa"/>
            <w:shd w:val="clear" w:color="auto" w:fill="D9D9D9"/>
          </w:tcPr>
          <w:p>
            <w:pPr>
              <w:pStyle w:val="TableParagraph"/>
              <w:ind w:right="304"/>
              <w:rPr>
                <w:rFonts w:ascii="Carlito"/>
                <w:sz w:val="16"/>
              </w:rPr>
            </w:pPr>
            <w:r>
              <w:rPr>
                <w:rFonts w:ascii="Carlito"/>
                <w:sz w:val="16"/>
              </w:rPr>
              <w:t>2.5</w:t>
            </w:r>
          </w:p>
        </w:tc>
        <w:tc>
          <w:tcPr>
            <w:tcW w:w="816" w:type="dxa"/>
            <w:shd w:val="clear" w:color="auto" w:fill="D9D9D9"/>
          </w:tcPr>
          <w:p>
            <w:pPr>
              <w:pStyle w:val="TableParagraph"/>
              <w:ind w:left="301"/>
              <w:jc w:val="left"/>
              <w:rPr>
                <w:rFonts w:ascii="Carlito"/>
                <w:sz w:val="16"/>
              </w:rPr>
            </w:pPr>
            <w:r>
              <w:rPr>
                <w:rFonts w:ascii="Carlito"/>
                <w:sz w:val="16"/>
              </w:rPr>
              <w:t>2</w:t>
            </w:r>
          </w:p>
        </w:tc>
        <w:tc>
          <w:tcPr>
            <w:tcW w:w="1290" w:type="dxa"/>
            <w:shd w:val="clear" w:color="auto" w:fill="D9D9D9"/>
          </w:tcPr>
          <w:p>
            <w:pPr>
              <w:pStyle w:val="TableParagraph"/>
              <w:ind w:right="573"/>
              <w:rPr>
                <w:rFonts w:ascii="Carlito"/>
                <w:sz w:val="16"/>
              </w:rPr>
            </w:pPr>
            <w:r>
              <w:rPr>
                <w:rFonts w:ascii="Carlito"/>
                <w:sz w:val="16"/>
              </w:rPr>
              <w:t>5.2</w:t>
            </w:r>
          </w:p>
        </w:tc>
        <w:tc>
          <w:tcPr>
            <w:tcW w:w="1140" w:type="dxa"/>
            <w:shd w:val="clear" w:color="auto" w:fill="D9D9D9"/>
          </w:tcPr>
          <w:p>
            <w:pPr>
              <w:pStyle w:val="TableParagraph"/>
              <w:ind w:right="365"/>
              <w:rPr>
                <w:rFonts w:ascii="Carlito"/>
                <w:sz w:val="16"/>
              </w:rPr>
            </w:pPr>
            <w:r>
              <w:rPr>
                <w:rFonts w:ascii="Carlito"/>
                <w:sz w:val="16"/>
              </w:rPr>
              <w:t>5.2</w:t>
            </w:r>
          </w:p>
        </w:tc>
        <w:tc>
          <w:tcPr>
            <w:tcW w:w="826" w:type="dxa"/>
            <w:shd w:val="clear" w:color="auto" w:fill="D9D9D9"/>
          </w:tcPr>
          <w:p>
            <w:pPr>
              <w:pStyle w:val="TableParagraph"/>
              <w:ind w:right="379"/>
              <w:rPr>
                <w:rFonts w:ascii="Carlito"/>
                <w:sz w:val="16"/>
              </w:rPr>
            </w:pPr>
            <w:r>
              <w:rPr>
                <w:rFonts w:ascii="Carlito"/>
                <w:sz w:val="16"/>
              </w:rPr>
              <w:t>0</w:t>
            </w:r>
          </w:p>
        </w:tc>
        <w:tc>
          <w:tcPr>
            <w:tcW w:w="530" w:type="dxa"/>
            <w:shd w:val="clear" w:color="auto" w:fill="D9D9D9"/>
          </w:tcPr>
          <w:p>
            <w:pPr>
              <w:pStyle w:val="TableParagraph"/>
              <w:ind w:right="65"/>
              <w:rPr>
                <w:rFonts w:ascii="Carlito"/>
                <w:sz w:val="16"/>
              </w:rPr>
            </w:pPr>
            <w:r>
              <w:rPr>
                <w:rFonts w:ascii="Carlito"/>
                <w:sz w:val="16"/>
              </w:rPr>
              <w:t>1</w:t>
            </w:r>
          </w:p>
        </w:tc>
      </w:tr>
      <w:tr>
        <w:trPr>
          <w:trHeight w:val="288" w:hRule="atLeast"/>
        </w:trPr>
        <w:tc>
          <w:tcPr>
            <w:tcW w:w="756" w:type="dxa"/>
          </w:tcPr>
          <w:p>
            <w:pPr>
              <w:pStyle w:val="TableParagraph"/>
              <w:spacing w:before="92"/>
              <w:ind w:right="143"/>
              <w:rPr>
                <w:rFonts w:ascii="Carlito"/>
                <w:sz w:val="16"/>
              </w:rPr>
            </w:pPr>
            <w:r>
              <w:rPr>
                <w:rFonts w:ascii="Carlito"/>
                <w:sz w:val="16"/>
              </w:rPr>
              <w:t>67</w:t>
            </w:r>
          </w:p>
        </w:tc>
        <w:tc>
          <w:tcPr>
            <w:tcW w:w="1920" w:type="dxa"/>
          </w:tcPr>
          <w:p>
            <w:pPr>
              <w:pStyle w:val="TableParagraph"/>
              <w:spacing w:before="92"/>
              <w:ind w:left="143"/>
              <w:jc w:val="left"/>
              <w:rPr>
                <w:rFonts w:ascii="Carlito"/>
                <w:sz w:val="16"/>
              </w:rPr>
            </w:pPr>
            <w:r>
              <w:rPr>
                <w:rFonts w:ascii="Carlito"/>
                <w:sz w:val="16"/>
              </w:rPr>
              <w:t>Guayabos</w:t>
            </w:r>
          </w:p>
        </w:tc>
        <w:tc>
          <w:tcPr>
            <w:tcW w:w="613" w:type="dxa"/>
          </w:tcPr>
          <w:p>
            <w:pPr>
              <w:pStyle w:val="TableParagraph"/>
              <w:spacing w:before="92"/>
              <w:ind w:right="69"/>
              <w:rPr>
                <w:rFonts w:ascii="Carlito"/>
                <w:sz w:val="16"/>
              </w:rPr>
            </w:pPr>
            <w:r>
              <w:rPr>
                <w:rFonts w:ascii="Carlito"/>
                <w:sz w:val="16"/>
              </w:rPr>
              <w:t>0</w:t>
            </w:r>
          </w:p>
        </w:tc>
        <w:tc>
          <w:tcPr>
            <w:tcW w:w="1418" w:type="dxa"/>
          </w:tcPr>
          <w:p>
            <w:pPr>
              <w:pStyle w:val="TableParagraph"/>
              <w:spacing w:before="92"/>
              <w:ind w:right="415"/>
              <w:rPr>
                <w:rFonts w:ascii="Carlito"/>
                <w:sz w:val="16"/>
              </w:rPr>
            </w:pPr>
            <w:r>
              <w:rPr>
                <w:rFonts w:ascii="Carlito"/>
                <w:sz w:val="16"/>
              </w:rPr>
              <w:t>$230,000.00</w:t>
            </w:r>
          </w:p>
        </w:tc>
        <w:tc>
          <w:tcPr>
            <w:tcW w:w="1000" w:type="dxa"/>
          </w:tcPr>
          <w:p>
            <w:pPr>
              <w:pStyle w:val="TableParagraph"/>
              <w:spacing w:before="92"/>
              <w:ind w:right="340"/>
              <w:rPr>
                <w:rFonts w:ascii="Carlito"/>
                <w:sz w:val="16"/>
              </w:rPr>
            </w:pPr>
            <w:r>
              <w:rPr>
                <w:rFonts w:ascii="Carlito"/>
                <w:sz w:val="16"/>
              </w:rPr>
              <w:t>236</w:t>
            </w:r>
          </w:p>
        </w:tc>
        <w:tc>
          <w:tcPr>
            <w:tcW w:w="1127" w:type="dxa"/>
          </w:tcPr>
          <w:p>
            <w:pPr>
              <w:pStyle w:val="TableParagraph"/>
              <w:spacing w:before="92"/>
              <w:ind w:left="317" w:right="438"/>
              <w:jc w:val="center"/>
              <w:rPr>
                <w:rFonts w:ascii="Carlito"/>
                <w:sz w:val="16"/>
              </w:rPr>
            </w:pPr>
            <w:r>
              <w:rPr>
                <w:rFonts w:ascii="Carlito"/>
                <w:sz w:val="16"/>
              </w:rPr>
              <w:t>2006</w:t>
            </w:r>
          </w:p>
        </w:tc>
        <w:tc>
          <w:tcPr>
            <w:tcW w:w="782" w:type="dxa"/>
          </w:tcPr>
          <w:p>
            <w:pPr>
              <w:pStyle w:val="TableParagraph"/>
              <w:spacing w:before="92"/>
              <w:ind w:right="235"/>
              <w:rPr>
                <w:rFonts w:ascii="Carlito"/>
                <w:sz w:val="16"/>
              </w:rPr>
            </w:pPr>
            <w:r>
              <w:rPr>
                <w:rFonts w:ascii="Carlito"/>
                <w:sz w:val="16"/>
              </w:rPr>
              <w:t>3</w:t>
            </w:r>
          </w:p>
        </w:tc>
        <w:tc>
          <w:tcPr>
            <w:tcW w:w="745" w:type="dxa"/>
          </w:tcPr>
          <w:p>
            <w:pPr>
              <w:pStyle w:val="TableParagraph"/>
              <w:spacing w:before="92"/>
              <w:ind w:right="304"/>
              <w:rPr>
                <w:rFonts w:ascii="Carlito"/>
                <w:sz w:val="16"/>
              </w:rPr>
            </w:pPr>
            <w:r>
              <w:rPr>
                <w:rFonts w:ascii="Carlito"/>
                <w:sz w:val="16"/>
              </w:rPr>
              <w:t>2.5</w:t>
            </w:r>
          </w:p>
        </w:tc>
        <w:tc>
          <w:tcPr>
            <w:tcW w:w="816" w:type="dxa"/>
          </w:tcPr>
          <w:p>
            <w:pPr>
              <w:pStyle w:val="TableParagraph"/>
              <w:spacing w:before="92"/>
              <w:ind w:left="301"/>
              <w:jc w:val="left"/>
              <w:rPr>
                <w:rFonts w:ascii="Carlito"/>
                <w:sz w:val="16"/>
              </w:rPr>
            </w:pPr>
            <w:r>
              <w:rPr>
                <w:rFonts w:ascii="Carlito"/>
                <w:sz w:val="16"/>
              </w:rPr>
              <w:t>2</w:t>
            </w:r>
          </w:p>
        </w:tc>
        <w:tc>
          <w:tcPr>
            <w:tcW w:w="1290" w:type="dxa"/>
          </w:tcPr>
          <w:p>
            <w:pPr>
              <w:pStyle w:val="TableParagraph"/>
              <w:spacing w:before="92"/>
              <w:ind w:right="573"/>
              <w:rPr>
                <w:rFonts w:ascii="Carlito"/>
                <w:sz w:val="16"/>
              </w:rPr>
            </w:pPr>
            <w:r>
              <w:rPr>
                <w:rFonts w:ascii="Carlito"/>
                <w:sz w:val="16"/>
              </w:rPr>
              <w:t>7.4</w:t>
            </w:r>
          </w:p>
        </w:tc>
        <w:tc>
          <w:tcPr>
            <w:tcW w:w="1140" w:type="dxa"/>
          </w:tcPr>
          <w:p>
            <w:pPr>
              <w:pStyle w:val="TableParagraph"/>
              <w:spacing w:before="92"/>
              <w:ind w:right="361"/>
              <w:rPr>
                <w:rFonts w:ascii="Carlito"/>
                <w:sz w:val="16"/>
              </w:rPr>
            </w:pPr>
            <w:r>
              <w:rPr>
                <w:rFonts w:ascii="Carlito"/>
                <w:sz w:val="16"/>
              </w:rPr>
              <w:t>5</w:t>
            </w:r>
          </w:p>
        </w:tc>
        <w:tc>
          <w:tcPr>
            <w:tcW w:w="826" w:type="dxa"/>
          </w:tcPr>
          <w:p>
            <w:pPr>
              <w:pStyle w:val="TableParagraph"/>
              <w:spacing w:before="92"/>
              <w:ind w:right="379"/>
              <w:rPr>
                <w:rFonts w:ascii="Carlito"/>
                <w:sz w:val="16"/>
              </w:rPr>
            </w:pPr>
            <w:r>
              <w:rPr>
                <w:rFonts w:ascii="Carlito"/>
                <w:sz w:val="16"/>
              </w:rPr>
              <w:t>0</w:t>
            </w:r>
          </w:p>
        </w:tc>
        <w:tc>
          <w:tcPr>
            <w:tcW w:w="530" w:type="dxa"/>
          </w:tcPr>
          <w:p>
            <w:pPr>
              <w:pStyle w:val="TableParagraph"/>
              <w:spacing w:before="92"/>
              <w:ind w:right="65"/>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68</w:t>
            </w:r>
          </w:p>
        </w:tc>
        <w:tc>
          <w:tcPr>
            <w:tcW w:w="1920" w:type="dxa"/>
            <w:shd w:val="clear" w:color="auto" w:fill="D9D9D9"/>
          </w:tcPr>
          <w:p>
            <w:pPr>
              <w:pStyle w:val="TableParagraph"/>
              <w:ind w:left="143"/>
              <w:jc w:val="left"/>
              <w:rPr>
                <w:rFonts w:ascii="Carlito"/>
                <w:sz w:val="16"/>
              </w:rPr>
            </w:pPr>
            <w:r>
              <w:rPr>
                <w:rFonts w:ascii="Carlito"/>
                <w:sz w:val="16"/>
              </w:rPr>
              <w:t>Curridabat</w:t>
            </w:r>
          </w:p>
        </w:tc>
        <w:tc>
          <w:tcPr>
            <w:tcW w:w="613"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$225,000.00</w:t>
            </w:r>
          </w:p>
        </w:tc>
        <w:tc>
          <w:tcPr>
            <w:tcW w:w="1000" w:type="dxa"/>
            <w:shd w:val="clear" w:color="auto" w:fill="D9D9D9"/>
          </w:tcPr>
          <w:p>
            <w:pPr>
              <w:pStyle w:val="TableParagraph"/>
              <w:ind w:right="340"/>
              <w:rPr>
                <w:rFonts w:ascii="Carlito"/>
                <w:sz w:val="16"/>
              </w:rPr>
            </w:pPr>
            <w:r>
              <w:rPr>
                <w:rFonts w:ascii="Carlito"/>
                <w:sz w:val="16"/>
              </w:rPr>
              <w:t>374</w:t>
            </w:r>
          </w:p>
        </w:tc>
        <w:tc>
          <w:tcPr>
            <w:tcW w:w="1127" w:type="dxa"/>
            <w:shd w:val="clear" w:color="auto" w:fill="D9D9D9"/>
          </w:tcPr>
          <w:p>
            <w:pPr>
              <w:pStyle w:val="TableParagraph"/>
              <w:ind w:left="317" w:right="438"/>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4</w:t>
            </w:r>
          </w:p>
        </w:tc>
        <w:tc>
          <w:tcPr>
            <w:tcW w:w="745" w:type="dxa"/>
            <w:shd w:val="clear" w:color="auto" w:fill="D9D9D9"/>
          </w:tcPr>
          <w:p>
            <w:pPr>
              <w:pStyle w:val="TableParagraph"/>
              <w:ind w:right="299"/>
              <w:rPr>
                <w:rFonts w:ascii="Carlito"/>
                <w:sz w:val="16"/>
              </w:rPr>
            </w:pPr>
            <w:r>
              <w:rPr>
                <w:rFonts w:ascii="Carlito"/>
                <w:sz w:val="16"/>
              </w:rPr>
              <w:t>3</w:t>
            </w:r>
          </w:p>
        </w:tc>
        <w:tc>
          <w:tcPr>
            <w:tcW w:w="816" w:type="dxa"/>
            <w:shd w:val="clear" w:color="auto" w:fill="D9D9D9"/>
          </w:tcPr>
          <w:p>
            <w:pPr>
              <w:pStyle w:val="TableParagraph"/>
              <w:ind w:left="301"/>
              <w:jc w:val="left"/>
              <w:rPr>
                <w:rFonts w:ascii="Carlito"/>
                <w:sz w:val="16"/>
              </w:rPr>
            </w:pPr>
            <w:r>
              <w:rPr>
                <w:rFonts w:ascii="Carlito"/>
                <w:sz w:val="16"/>
              </w:rPr>
              <w:t>1</w:t>
            </w:r>
          </w:p>
        </w:tc>
        <w:tc>
          <w:tcPr>
            <w:tcW w:w="1290" w:type="dxa"/>
            <w:shd w:val="clear" w:color="auto" w:fill="D9D9D9"/>
          </w:tcPr>
          <w:p>
            <w:pPr>
              <w:pStyle w:val="TableParagraph"/>
              <w:ind w:right="569"/>
              <w:rPr>
                <w:rFonts w:ascii="Carlito"/>
                <w:sz w:val="16"/>
              </w:rPr>
            </w:pPr>
            <w:r>
              <w:rPr>
                <w:rFonts w:ascii="Carlito"/>
                <w:sz w:val="16"/>
              </w:rPr>
              <w:t>5</w:t>
            </w:r>
          </w:p>
        </w:tc>
        <w:tc>
          <w:tcPr>
            <w:tcW w:w="1140" w:type="dxa"/>
            <w:shd w:val="clear" w:color="auto" w:fill="D9D9D9"/>
          </w:tcPr>
          <w:p>
            <w:pPr>
              <w:pStyle w:val="TableParagraph"/>
              <w:ind w:right="365"/>
              <w:rPr>
                <w:rFonts w:ascii="Carlito"/>
                <w:sz w:val="16"/>
              </w:rPr>
            </w:pPr>
            <w:r>
              <w:rPr>
                <w:rFonts w:ascii="Carlito"/>
                <w:sz w:val="16"/>
              </w:rPr>
              <w:t>4.4</w:t>
            </w:r>
          </w:p>
        </w:tc>
        <w:tc>
          <w:tcPr>
            <w:tcW w:w="826" w:type="dxa"/>
            <w:shd w:val="clear" w:color="auto" w:fill="D9D9D9"/>
          </w:tcPr>
          <w:p>
            <w:pPr>
              <w:pStyle w:val="TableParagraph"/>
              <w:ind w:right="379"/>
              <w:rPr>
                <w:rFonts w:ascii="Carlito"/>
                <w:sz w:val="16"/>
              </w:rPr>
            </w:pPr>
            <w:r>
              <w:rPr>
                <w:rFonts w:ascii="Carlito"/>
                <w:sz w:val="16"/>
              </w:rPr>
              <w:t>0</w:t>
            </w:r>
          </w:p>
        </w:tc>
        <w:tc>
          <w:tcPr>
            <w:tcW w:w="530" w:type="dxa"/>
            <w:shd w:val="clear" w:color="auto" w:fill="D9D9D9"/>
          </w:tcPr>
          <w:p>
            <w:pPr>
              <w:pStyle w:val="TableParagraph"/>
              <w:ind w:right="65"/>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69</w:t>
            </w:r>
          </w:p>
        </w:tc>
        <w:tc>
          <w:tcPr>
            <w:tcW w:w="1920" w:type="dxa"/>
          </w:tcPr>
          <w:p>
            <w:pPr>
              <w:pStyle w:val="TableParagraph"/>
              <w:spacing w:before="92"/>
              <w:ind w:left="143"/>
              <w:jc w:val="left"/>
              <w:rPr>
                <w:rFonts w:ascii="Carlito"/>
                <w:sz w:val="16"/>
              </w:rPr>
            </w:pPr>
            <w:r>
              <w:rPr>
                <w:rFonts w:ascii="Carlito"/>
                <w:sz w:val="16"/>
              </w:rPr>
              <w:t>Curridabat</w:t>
            </w:r>
          </w:p>
        </w:tc>
        <w:tc>
          <w:tcPr>
            <w:tcW w:w="613" w:type="dxa"/>
          </w:tcPr>
          <w:p>
            <w:pPr>
              <w:pStyle w:val="TableParagraph"/>
              <w:spacing w:before="92"/>
              <w:ind w:right="69"/>
              <w:rPr>
                <w:rFonts w:ascii="Carlito"/>
                <w:sz w:val="16"/>
              </w:rPr>
            </w:pPr>
            <w:r>
              <w:rPr>
                <w:rFonts w:ascii="Carlito"/>
                <w:sz w:val="16"/>
              </w:rPr>
              <w:t>0</w:t>
            </w:r>
          </w:p>
        </w:tc>
        <w:tc>
          <w:tcPr>
            <w:tcW w:w="1418" w:type="dxa"/>
          </w:tcPr>
          <w:p>
            <w:pPr>
              <w:pStyle w:val="TableParagraph"/>
              <w:spacing w:before="92"/>
              <w:ind w:right="415"/>
              <w:rPr>
                <w:rFonts w:ascii="Carlito"/>
                <w:sz w:val="16"/>
              </w:rPr>
            </w:pPr>
            <w:r>
              <w:rPr>
                <w:rFonts w:ascii="Carlito"/>
                <w:sz w:val="16"/>
              </w:rPr>
              <w:t>$227,000.00</w:t>
            </w:r>
          </w:p>
        </w:tc>
        <w:tc>
          <w:tcPr>
            <w:tcW w:w="1000" w:type="dxa"/>
          </w:tcPr>
          <w:p>
            <w:pPr>
              <w:pStyle w:val="TableParagraph"/>
              <w:spacing w:before="92"/>
              <w:ind w:right="340"/>
              <w:rPr>
                <w:rFonts w:ascii="Carlito"/>
                <w:sz w:val="16"/>
              </w:rPr>
            </w:pPr>
            <w:r>
              <w:rPr>
                <w:rFonts w:ascii="Carlito"/>
                <w:sz w:val="16"/>
              </w:rPr>
              <w:t>150</w:t>
            </w:r>
          </w:p>
        </w:tc>
        <w:tc>
          <w:tcPr>
            <w:tcW w:w="1127" w:type="dxa"/>
          </w:tcPr>
          <w:p>
            <w:pPr>
              <w:pStyle w:val="TableParagraph"/>
              <w:spacing w:before="92"/>
              <w:ind w:left="317" w:right="438"/>
              <w:jc w:val="center"/>
              <w:rPr>
                <w:rFonts w:ascii="Carlito"/>
                <w:sz w:val="16"/>
              </w:rPr>
            </w:pPr>
            <w:r>
              <w:rPr>
                <w:rFonts w:ascii="Carlito"/>
                <w:sz w:val="16"/>
              </w:rPr>
              <w:t>2006</w:t>
            </w:r>
          </w:p>
        </w:tc>
        <w:tc>
          <w:tcPr>
            <w:tcW w:w="782" w:type="dxa"/>
          </w:tcPr>
          <w:p>
            <w:pPr>
              <w:pStyle w:val="TableParagraph"/>
              <w:spacing w:before="92"/>
              <w:ind w:right="235"/>
              <w:rPr>
                <w:rFonts w:ascii="Carlito"/>
                <w:sz w:val="16"/>
              </w:rPr>
            </w:pPr>
            <w:r>
              <w:rPr>
                <w:rFonts w:ascii="Carlito"/>
                <w:sz w:val="16"/>
              </w:rPr>
              <w:t>2</w:t>
            </w:r>
          </w:p>
        </w:tc>
        <w:tc>
          <w:tcPr>
            <w:tcW w:w="745" w:type="dxa"/>
          </w:tcPr>
          <w:p>
            <w:pPr>
              <w:pStyle w:val="TableParagraph"/>
              <w:spacing w:before="92"/>
              <w:ind w:right="304"/>
              <w:rPr>
                <w:rFonts w:ascii="Carlito"/>
                <w:sz w:val="16"/>
              </w:rPr>
            </w:pPr>
            <w:r>
              <w:rPr>
                <w:rFonts w:ascii="Carlito"/>
                <w:sz w:val="16"/>
              </w:rPr>
              <w:t>1.5</w:t>
            </w:r>
          </w:p>
        </w:tc>
        <w:tc>
          <w:tcPr>
            <w:tcW w:w="816" w:type="dxa"/>
          </w:tcPr>
          <w:p>
            <w:pPr>
              <w:pStyle w:val="TableParagraph"/>
              <w:spacing w:before="92"/>
              <w:ind w:left="301"/>
              <w:jc w:val="left"/>
              <w:rPr>
                <w:rFonts w:ascii="Carlito"/>
                <w:sz w:val="16"/>
              </w:rPr>
            </w:pPr>
            <w:r>
              <w:rPr>
                <w:rFonts w:ascii="Carlito"/>
                <w:sz w:val="16"/>
              </w:rPr>
              <w:t>2</w:t>
            </w:r>
          </w:p>
        </w:tc>
        <w:tc>
          <w:tcPr>
            <w:tcW w:w="1290" w:type="dxa"/>
          </w:tcPr>
          <w:p>
            <w:pPr>
              <w:pStyle w:val="TableParagraph"/>
              <w:spacing w:before="92"/>
              <w:ind w:right="573"/>
              <w:rPr>
                <w:rFonts w:ascii="Carlito"/>
                <w:sz w:val="16"/>
              </w:rPr>
            </w:pPr>
            <w:r>
              <w:rPr>
                <w:rFonts w:ascii="Carlito"/>
                <w:sz w:val="16"/>
              </w:rPr>
              <w:t>5.7</w:t>
            </w:r>
          </w:p>
        </w:tc>
        <w:tc>
          <w:tcPr>
            <w:tcW w:w="1140" w:type="dxa"/>
          </w:tcPr>
          <w:p>
            <w:pPr>
              <w:pStyle w:val="TableParagraph"/>
              <w:spacing w:before="92"/>
              <w:ind w:right="365"/>
              <w:rPr>
                <w:rFonts w:ascii="Carlito"/>
                <w:sz w:val="16"/>
              </w:rPr>
            </w:pPr>
            <w:r>
              <w:rPr>
                <w:rFonts w:ascii="Carlito"/>
                <w:sz w:val="16"/>
              </w:rPr>
              <w:t>3.2</w:t>
            </w:r>
          </w:p>
        </w:tc>
        <w:tc>
          <w:tcPr>
            <w:tcW w:w="826" w:type="dxa"/>
          </w:tcPr>
          <w:p>
            <w:pPr>
              <w:pStyle w:val="TableParagraph"/>
              <w:spacing w:before="92"/>
              <w:ind w:right="379"/>
              <w:rPr>
                <w:rFonts w:ascii="Carlito"/>
                <w:sz w:val="16"/>
              </w:rPr>
            </w:pPr>
            <w:r>
              <w:rPr>
                <w:rFonts w:ascii="Carlito"/>
                <w:sz w:val="16"/>
              </w:rPr>
              <w:t>0</w:t>
            </w:r>
          </w:p>
        </w:tc>
        <w:tc>
          <w:tcPr>
            <w:tcW w:w="530" w:type="dxa"/>
          </w:tcPr>
          <w:p>
            <w:pPr>
              <w:pStyle w:val="TableParagraph"/>
              <w:spacing w:before="92"/>
              <w:ind w:right="65"/>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70</w:t>
            </w:r>
          </w:p>
        </w:tc>
        <w:tc>
          <w:tcPr>
            <w:tcW w:w="1920" w:type="dxa"/>
            <w:shd w:val="clear" w:color="auto" w:fill="D9D9D9"/>
          </w:tcPr>
          <w:p>
            <w:pPr>
              <w:pStyle w:val="TableParagraph"/>
              <w:ind w:left="143"/>
              <w:jc w:val="left"/>
              <w:rPr>
                <w:rFonts w:ascii="Carlito"/>
                <w:sz w:val="16"/>
              </w:rPr>
            </w:pPr>
            <w:r>
              <w:rPr>
                <w:rFonts w:ascii="Carlito"/>
                <w:sz w:val="16"/>
              </w:rPr>
              <w:t>Granadilla</w:t>
            </w:r>
          </w:p>
        </w:tc>
        <w:tc>
          <w:tcPr>
            <w:tcW w:w="613"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$390,000.00</w:t>
            </w:r>
          </w:p>
        </w:tc>
        <w:tc>
          <w:tcPr>
            <w:tcW w:w="1000" w:type="dxa"/>
            <w:shd w:val="clear" w:color="auto" w:fill="D9D9D9"/>
          </w:tcPr>
          <w:p>
            <w:pPr>
              <w:pStyle w:val="TableParagraph"/>
              <w:ind w:right="340"/>
              <w:rPr>
                <w:rFonts w:ascii="Carlito"/>
                <w:sz w:val="16"/>
              </w:rPr>
            </w:pPr>
            <w:r>
              <w:rPr>
                <w:rFonts w:ascii="Carlito"/>
                <w:sz w:val="16"/>
              </w:rPr>
              <w:t>430</w:t>
            </w:r>
          </w:p>
        </w:tc>
        <w:tc>
          <w:tcPr>
            <w:tcW w:w="1127" w:type="dxa"/>
            <w:shd w:val="clear" w:color="auto" w:fill="D9D9D9"/>
          </w:tcPr>
          <w:p>
            <w:pPr>
              <w:pStyle w:val="TableParagraph"/>
              <w:ind w:left="317" w:right="438"/>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4</w:t>
            </w:r>
          </w:p>
        </w:tc>
        <w:tc>
          <w:tcPr>
            <w:tcW w:w="745" w:type="dxa"/>
            <w:shd w:val="clear" w:color="auto" w:fill="D9D9D9"/>
          </w:tcPr>
          <w:p>
            <w:pPr>
              <w:pStyle w:val="TableParagraph"/>
              <w:ind w:right="299"/>
              <w:rPr>
                <w:rFonts w:ascii="Carlito"/>
                <w:sz w:val="16"/>
              </w:rPr>
            </w:pPr>
            <w:r>
              <w:rPr>
                <w:rFonts w:ascii="Carlito"/>
                <w:sz w:val="16"/>
              </w:rPr>
              <w:t>5</w:t>
            </w:r>
          </w:p>
        </w:tc>
        <w:tc>
          <w:tcPr>
            <w:tcW w:w="816" w:type="dxa"/>
            <w:shd w:val="clear" w:color="auto" w:fill="D9D9D9"/>
          </w:tcPr>
          <w:p>
            <w:pPr>
              <w:pStyle w:val="TableParagraph"/>
              <w:ind w:left="301"/>
              <w:jc w:val="left"/>
              <w:rPr>
                <w:rFonts w:ascii="Carlito"/>
                <w:sz w:val="16"/>
              </w:rPr>
            </w:pPr>
            <w:r>
              <w:rPr>
                <w:rFonts w:ascii="Carlito"/>
                <w:sz w:val="16"/>
              </w:rPr>
              <w:t>2</w:t>
            </w:r>
          </w:p>
        </w:tc>
        <w:tc>
          <w:tcPr>
            <w:tcW w:w="1290" w:type="dxa"/>
            <w:shd w:val="clear" w:color="auto" w:fill="D9D9D9"/>
          </w:tcPr>
          <w:p>
            <w:pPr>
              <w:pStyle w:val="TableParagraph"/>
              <w:ind w:right="573"/>
              <w:rPr>
                <w:rFonts w:ascii="Carlito"/>
                <w:sz w:val="16"/>
              </w:rPr>
            </w:pPr>
            <w:r>
              <w:rPr>
                <w:rFonts w:ascii="Carlito"/>
                <w:sz w:val="16"/>
              </w:rPr>
              <w:t>7.2</w:t>
            </w:r>
          </w:p>
        </w:tc>
        <w:tc>
          <w:tcPr>
            <w:tcW w:w="1140" w:type="dxa"/>
            <w:shd w:val="clear" w:color="auto" w:fill="D9D9D9"/>
          </w:tcPr>
          <w:p>
            <w:pPr>
              <w:pStyle w:val="TableParagraph"/>
              <w:ind w:right="365"/>
              <w:rPr>
                <w:rFonts w:ascii="Carlito"/>
                <w:sz w:val="16"/>
              </w:rPr>
            </w:pPr>
            <w:r>
              <w:rPr>
                <w:rFonts w:ascii="Carlito"/>
                <w:sz w:val="16"/>
              </w:rPr>
              <w:t>5.6</w:t>
            </w:r>
          </w:p>
        </w:tc>
        <w:tc>
          <w:tcPr>
            <w:tcW w:w="826" w:type="dxa"/>
            <w:shd w:val="clear" w:color="auto" w:fill="D9D9D9"/>
          </w:tcPr>
          <w:p>
            <w:pPr>
              <w:pStyle w:val="TableParagraph"/>
              <w:ind w:right="379"/>
              <w:rPr>
                <w:rFonts w:ascii="Carlito"/>
                <w:sz w:val="16"/>
              </w:rPr>
            </w:pPr>
            <w:r>
              <w:rPr>
                <w:rFonts w:ascii="Carlito"/>
                <w:sz w:val="16"/>
              </w:rPr>
              <w:t>1</w:t>
            </w:r>
          </w:p>
        </w:tc>
        <w:tc>
          <w:tcPr>
            <w:tcW w:w="530" w:type="dxa"/>
            <w:shd w:val="clear" w:color="auto" w:fill="D9D9D9"/>
          </w:tcPr>
          <w:p>
            <w:pPr>
              <w:pStyle w:val="TableParagraph"/>
              <w:ind w:right="65"/>
              <w:rPr>
                <w:rFonts w:ascii="Carlito"/>
                <w:sz w:val="16"/>
              </w:rPr>
            </w:pPr>
            <w:r>
              <w:rPr>
                <w:rFonts w:ascii="Carlito"/>
                <w:sz w:val="16"/>
              </w:rPr>
              <w:t>1</w:t>
            </w:r>
          </w:p>
        </w:tc>
      </w:tr>
      <w:tr>
        <w:trPr>
          <w:trHeight w:val="288" w:hRule="atLeast"/>
        </w:trPr>
        <w:tc>
          <w:tcPr>
            <w:tcW w:w="756" w:type="dxa"/>
          </w:tcPr>
          <w:p>
            <w:pPr>
              <w:pStyle w:val="TableParagraph"/>
              <w:spacing w:before="92"/>
              <w:ind w:right="143"/>
              <w:rPr>
                <w:rFonts w:ascii="Carlito"/>
                <w:sz w:val="16"/>
              </w:rPr>
            </w:pPr>
            <w:r>
              <w:rPr>
                <w:rFonts w:ascii="Carlito"/>
                <w:sz w:val="16"/>
              </w:rPr>
              <w:t>71</w:t>
            </w:r>
          </w:p>
        </w:tc>
        <w:tc>
          <w:tcPr>
            <w:tcW w:w="1920" w:type="dxa"/>
          </w:tcPr>
          <w:p>
            <w:pPr>
              <w:pStyle w:val="TableParagraph"/>
              <w:spacing w:before="92"/>
              <w:ind w:left="143"/>
              <w:jc w:val="left"/>
              <w:rPr>
                <w:rFonts w:ascii="Carlito"/>
                <w:sz w:val="16"/>
              </w:rPr>
            </w:pPr>
            <w:r>
              <w:rPr>
                <w:rFonts w:ascii="Carlito"/>
                <w:sz w:val="16"/>
              </w:rPr>
              <w:t>Curridabat</w:t>
            </w:r>
          </w:p>
        </w:tc>
        <w:tc>
          <w:tcPr>
            <w:tcW w:w="613" w:type="dxa"/>
          </w:tcPr>
          <w:p>
            <w:pPr>
              <w:pStyle w:val="TableParagraph"/>
              <w:spacing w:before="92"/>
              <w:ind w:right="69"/>
              <w:rPr>
                <w:rFonts w:ascii="Carlito"/>
                <w:sz w:val="16"/>
              </w:rPr>
            </w:pPr>
            <w:r>
              <w:rPr>
                <w:rFonts w:ascii="Carlito"/>
                <w:sz w:val="16"/>
              </w:rPr>
              <w:t>1</w:t>
            </w:r>
          </w:p>
        </w:tc>
        <w:tc>
          <w:tcPr>
            <w:tcW w:w="1418" w:type="dxa"/>
          </w:tcPr>
          <w:p>
            <w:pPr>
              <w:pStyle w:val="TableParagraph"/>
              <w:spacing w:before="92"/>
              <w:ind w:right="415"/>
              <w:rPr>
                <w:rFonts w:ascii="Carlito"/>
                <w:sz w:val="16"/>
              </w:rPr>
            </w:pPr>
            <w:r>
              <w:rPr>
                <w:rFonts w:ascii="Carlito"/>
                <w:sz w:val="16"/>
              </w:rPr>
              <w:t>$300,000.00</w:t>
            </w:r>
          </w:p>
        </w:tc>
        <w:tc>
          <w:tcPr>
            <w:tcW w:w="1000" w:type="dxa"/>
          </w:tcPr>
          <w:p>
            <w:pPr>
              <w:pStyle w:val="TableParagraph"/>
              <w:spacing w:before="92"/>
              <w:ind w:right="340"/>
              <w:rPr>
                <w:rFonts w:ascii="Carlito"/>
                <w:sz w:val="16"/>
              </w:rPr>
            </w:pPr>
            <w:r>
              <w:rPr>
                <w:rFonts w:ascii="Carlito"/>
                <w:sz w:val="16"/>
              </w:rPr>
              <w:t>260</w:t>
            </w:r>
          </w:p>
        </w:tc>
        <w:tc>
          <w:tcPr>
            <w:tcW w:w="1127" w:type="dxa"/>
          </w:tcPr>
          <w:p>
            <w:pPr>
              <w:pStyle w:val="TableParagraph"/>
              <w:spacing w:before="92"/>
              <w:ind w:left="317" w:right="438"/>
              <w:jc w:val="center"/>
              <w:rPr>
                <w:rFonts w:ascii="Carlito"/>
                <w:sz w:val="16"/>
              </w:rPr>
            </w:pPr>
            <w:r>
              <w:rPr>
                <w:rFonts w:ascii="Carlito"/>
                <w:sz w:val="16"/>
              </w:rPr>
              <w:t>1996</w:t>
            </w:r>
          </w:p>
        </w:tc>
        <w:tc>
          <w:tcPr>
            <w:tcW w:w="782" w:type="dxa"/>
          </w:tcPr>
          <w:p>
            <w:pPr>
              <w:pStyle w:val="TableParagraph"/>
              <w:spacing w:before="92"/>
              <w:ind w:right="235"/>
              <w:rPr>
                <w:rFonts w:ascii="Carlito"/>
                <w:sz w:val="16"/>
              </w:rPr>
            </w:pPr>
            <w:r>
              <w:rPr>
                <w:rFonts w:ascii="Carlito"/>
                <w:sz w:val="16"/>
              </w:rPr>
              <w:t>4</w:t>
            </w:r>
          </w:p>
        </w:tc>
        <w:tc>
          <w:tcPr>
            <w:tcW w:w="745" w:type="dxa"/>
          </w:tcPr>
          <w:p>
            <w:pPr>
              <w:pStyle w:val="TableParagraph"/>
              <w:spacing w:before="92"/>
              <w:ind w:right="304"/>
              <w:rPr>
                <w:rFonts w:ascii="Carlito"/>
                <w:sz w:val="16"/>
              </w:rPr>
            </w:pPr>
            <w:r>
              <w:rPr>
                <w:rFonts w:ascii="Carlito"/>
                <w:sz w:val="16"/>
              </w:rPr>
              <w:t>2.5</w:t>
            </w:r>
          </w:p>
        </w:tc>
        <w:tc>
          <w:tcPr>
            <w:tcW w:w="816" w:type="dxa"/>
          </w:tcPr>
          <w:p>
            <w:pPr>
              <w:pStyle w:val="TableParagraph"/>
              <w:spacing w:before="92"/>
              <w:ind w:left="301"/>
              <w:jc w:val="left"/>
              <w:rPr>
                <w:rFonts w:ascii="Carlito"/>
                <w:sz w:val="16"/>
              </w:rPr>
            </w:pPr>
            <w:r>
              <w:rPr>
                <w:rFonts w:ascii="Carlito"/>
                <w:sz w:val="16"/>
              </w:rPr>
              <w:t>2</w:t>
            </w:r>
          </w:p>
        </w:tc>
        <w:tc>
          <w:tcPr>
            <w:tcW w:w="1290" w:type="dxa"/>
          </w:tcPr>
          <w:p>
            <w:pPr>
              <w:pStyle w:val="TableParagraph"/>
              <w:spacing w:before="92"/>
              <w:ind w:right="573"/>
              <w:rPr>
                <w:rFonts w:ascii="Carlito"/>
                <w:sz w:val="16"/>
              </w:rPr>
            </w:pPr>
            <w:r>
              <w:rPr>
                <w:rFonts w:ascii="Carlito"/>
                <w:sz w:val="16"/>
              </w:rPr>
              <w:t>5.7</w:t>
            </w:r>
          </w:p>
        </w:tc>
        <w:tc>
          <w:tcPr>
            <w:tcW w:w="1140" w:type="dxa"/>
          </w:tcPr>
          <w:p>
            <w:pPr>
              <w:pStyle w:val="TableParagraph"/>
              <w:spacing w:before="92"/>
              <w:ind w:right="365"/>
              <w:rPr>
                <w:rFonts w:ascii="Carlito"/>
                <w:sz w:val="16"/>
              </w:rPr>
            </w:pPr>
            <w:r>
              <w:rPr>
                <w:rFonts w:ascii="Carlito"/>
                <w:sz w:val="16"/>
              </w:rPr>
              <w:t>3.2</w:t>
            </w:r>
          </w:p>
        </w:tc>
        <w:tc>
          <w:tcPr>
            <w:tcW w:w="826" w:type="dxa"/>
          </w:tcPr>
          <w:p>
            <w:pPr>
              <w:pStyle w:val="TableParagraph"/>
              <w:spacing w:before="92"/>
              <w:ind w:right="379"/>
              <w:rPr>
                <w:rFonts w:ascii="Carlito"/>
                <w:sz w:val="16"/>
              </w:rPr>
            </w:pPr>
            <w:r>
              <w:rPr>
                <w:rFonts w:ascii="Carlito"/>
                <w:sz w:val="16"/>
              </w:rPr>
              <w:t>0</w:t>
            </w:r>
          </w:p>
        </w:tc>
        <w:tc>
          <w:tcPr>
            <w:tcW w:w="530" w:type="dxa"/>
          </w:tcPr>
          <w:p>
            <w:pPr>
              <w:pStyle w:val="TableParagraph"/>
              <w:spacing w:before="92"/>
              <w:ind w:right="65"/>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72</w:t>
            </w:r>
          </w:p>
        </w:tc>
        <w:tc>
          <w:tcPr>
            <w:tcW w:w="1920" w:type="dxa"/>
            <w:shd w:val="clear" w:color="auto" w:fill="D9D9D9"/>
          </w:tcPr>
          <w:p>
            <w:pPr>
              <w:pStyle w:val="TableParagraph"/>
              <w:ind w:left="143"/>
              <w:jc w:val="left"/>
              <w:rPr>
                <w:rFonts w:ascii="Carlito"/>
                <w:sz w:val="16"/>
              </w:rPr>
            </w:pPr>
            <w:r>
              <w:rPr>
                <w:rFonts w:ascii="Carlito"/>
                <w:sz w:val="16"/>
              </w:rPr>
              <w:t>Curridabat</w:t>
            </w:r>
          </w:p>
        </w:tc>
        <w:tc>
          <w:tcPr>
            <w:tcW w:w="613"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$380,000.00</w:t>
            </w:r>
          </w:p>
        </w:tc>
        <w:tc>
          <w:tcPr>
            <w:tcW w:w="1000" w:type="dxa"/>
            <w:shd w:val="clear" w:color="auto" w:fill="D9D9D9"/>
          </w:tcPr>
          <w:p>
            <w:pPr>
              <w:pStyle w:val="TableParagraph"/>
              <w:ind w:right="340"/>
              <w:rPr>
                <w:rFonts w:ascii="Carlito"/>
                <w:sz w:val="16"/>
              </w:rPr>
            </w:pPr>
            <w:r>
              <w:rPr>
                <w:rFonts w:ascii="Carlito"/>
                <w:sz w:val="16"/>
              </w:rPr>
              <w:t>350</w:t>
            </w:r>
          </w:p>
        </w:tc>
        <w:tc>
          <w:tcPr>
            <w:tcW w:w="1127" w:type="dxa"/>
            <w:shd w:val="clear" w:color="auto" w:fill="D9D9D9"/>
          </w:tcPr>
          <w:p>
            <w:pPr>
              <w:pStyle w:val="TableParagraph"/>
              <w:ind w:left="317" w:right="438"/>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4</w:t>
            </w:r>
          </w:p>
        </w:tc>
        <w:tc>
          <w:tcPr>
            <w:tcW w:w="745" w:type="dxa"/>
            <w:shd w:val="clear" w:color="auto" w:fill="D9D9D9"/>
          </w:tcPr>
          <w:p>
            <w:pPr>
              <w:pStyle w:val="TableParagraph"/>
              <w:ind w:right="304"/>
              <w:rPr>
                <w:rFonts w:ascii="Carlito"/>
                <w:sz w:val="16"/>
              </w:rPr>
            </w:pPr>
            <w:r>
              <w:rPr>
                <w:rFonts w:ascii="Carlito"/>
                <w:sz w:val="16"/>
              </w:rPr>
              <w:t>3.5</w:t>
            </w:r>
          </w:p>
        </w:tc>
        <w:tc>
          <w:tcPr>
            <w:tcW w:w="816" w:type="dxa"/>
            <w:shd w:val="clear" w:color="auto" w:fill="D9D9D9"/>
          </w:tcPr>
          <w:p>
            <w:pPr>
              <w:pStyle w:val="TableParagraph"/>
              <w:ind w:left="301"/>
              <w:jc w:val="left"/>
              <w:rPr>
                <w:rFonts w:ascii="Carlito"/>
                <w:sz w:val="16"/>
              </w:rPr>
            </w:pPr>
            <w:r>
              <w:rPr>
                <w:rFonts w:ascii="Carlito"/>
                <w:sz w:val="16"/>
              </w:rPr>
              <w:t>2</w:t>
            </w:r>
          </w:p>
        </w:tc>
        <w:tc>
          <w:tcPr>
            <w:tcW w:w="1290" w:type="dxa"/>
            <w:shd w:val="clear" w:color="auto" w:fill="D9D9D9"/>
          </w:tcPr>
          <w:p>
            <w:pPr>
              <w:pStyle w:val="TableParagraph"/>
              <w:ind w:right="573"/>
              <w:rPr>
                <w:rFonts w:ascii="Carlito"/>
                <w:sz w:val="16"/>
              </w:rPr>
            </w:pPr>
            <w:r>
              <w:rPr>
                <w:rFonts w:ascii="Carlito"/>
                <w:sz w:val="16"/>
              </w:rPr>
              <w:t>5.7</w:t>
            </w:r>
          </w:p>
        </w:tc>
        <w:tc>
          <w:tcPr>
            <w:tcW w:w="1140" w:type="dxa"/>
            <w:shd w:val="clear" w:color="auto" w:fill="D9D9D9"/>
          </w:tcPr>
          <w:p>
            <w:pPr>
              <w:pStyle w:val="TableParagraph"/>
              <w:ind w:right="365"/>
              <w:rPr>
                <w:rFonts w:ascii="Carlito"/>
                <w:sz w:val="16"/>
              </w:rPr>
            </w:pPr>
            <w:r>
              <w:rPr>
                <w:rFonts w:ascii="Carlito"/>
                <w:sz w:val="16"/>
              </w:rPr>
              <w:t>3.2</w:t>
            </w:r>
          </w:p>
        </w:tc>
        <w:tc>
          <w:tcPr>
            <w:tcW w:w="826" w:type="dxa"/>
            <w:shd w:val="clear" w:color="auto" w:fill="D9D9D9"/>
          </w:tcPr>
          <w:p>
            <w:pPr>
              <w:pStyle w:val="TableParagraph"/>
              <w:ind w:right="379"/>
              <w:rPr>
                <w:rFonts w:ascii="Carlito"/>
                <w:sz w:val="16"/>
              </w:rPr>
            </w:pPr>
            <w:r>
              <w:rPr>
                <w:rFonts w:ascii="Carlito"/>
                <w:sz w:val="16"/>
              </w:rPr>
              <w:t>0</w:t>
            </w:r>
          </w:p>
        </w:tc>
        <w:tc>
          <w:tcPr>
            <w:tcW w:w="530" w:type="dxa"/>
            <w:shd w:val="clear" w:color="auto" w:fill="D9D9D9"/>
          </w:tcPr>
          <w:p>
            <w:pPr>
              <w:pStyle w:val="TableParagraph"/>
              <w:ind w:right="65"/>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73</w:t>
            </w:r>
          </w:p>
        </w:tc>
        <w:tc>
          <w:tcPr>
            <w:tcW w:w="1920" w:type="dxa"/>
          </w:tcPr>
          <w:p>
            <w:pPr>
              <w:pStyle w:val="TableParagraph"/>
              <w:spacing w:before="92"/>
              <w:ind w:left="143"/>
              <w:jc w:val="left"/>
              <w:rPr>
                <w:rFonts w:ascii="Carlito"/>
                <w:sz w:val="16"/>
              </w:rPr>
            </w:pPr>
            <w:r>
              <w:rPr>
                <w:rFonts w:ascii="Carlito"/>
                <w:sz w:val="16"/>
              </w:rPr>
              <w:t>Curridabat</w:t>
            </w:r>
          </w:p>
        </w:tc>
        <w:tc>
          <w:tcPr>
            <w:tcW w:w="613" w:type="dxa"/>
          </w:tcPr>
          <w:p>
            <w:pPr>
              <w:pStyle w:val="TableParagraph"/>
              <w:spacing w:before="92"/>
              <w:ind w:right="69"/>
              <w:rPr>
                <w:rFonts w:ascii="Carlito"/>
                <w:sz w:val="16"/>
              </w:rPr>
            </w:pPr>
            <w:r>
              <w:rPr>
                <w:rFonts w:ascii="Carlito"/>
                <w:sz w:val="16"/>
              </w:rPr>
              <w:t>1</w:t>
            </w:r>
          </w:p>
        </w:tc>
        <w:tc>
          <w:tcPr>
            <w:tcW w:w="1418" w:type="dxa"/>
          </w:tcPr>
          <w:p>
            <w:pPr>
              <w:pStyle w:val="TableParagraph"/>
              <w:spacing w:before="92"/>
              <w:ind w:right="415"/>
              <w:rPr>
                <w:rFonts w:ascii="Carlito"/>
                <w:sz w:val="16"/>
              </w:rPr>
            </w:pPr>
            <w:r>
              <w:rPr>
                <w:rFonts w:ascii="Carlito"/>
                <w:sz w:val="16"/>
              </w:rPr>
              <w:t>$675,000.00</w:t>
            </w:r>
          </w:p>
        </w:tc>
        <w:tc>
          <w:tcPr>
            <w:tcW w:w="1000" w:type="dxa"/>
          </w:tcPr>
          <w:p>
            <w:pPr>
              <w:pStyle w:val="TableParagraph"/>
              <w:spacing w:before="92"/>
              <w:ind w:right="340"/>
              <w:rPr>
                <w:rFonts w:ascii="Carlito"/>
                <w:sz w:val="16"/>
              </w:rPr>
            </w:pPr>
            <w:r>
              <w:rPr>
                <w:rFonts w:ascii="Carlito"/>
                <w:sz w:val="16"/>
              </w:rPr>
              <w:t>605</w:t>
            </w:r>
          </w:p>
        </w:tc>
        <w:tc>
          <w:tcPr>
            <w:tcW w:w="1127" w:type="dxa"/>
          </w:tcPr>
          <w:p>
            <w:pPr>
              <w:pStyle w:val="TableParagraph"/>
              <w:spacing w:before="92"/>
              <w:ind w:left="317" w:right="438"/>
              <w:jc w:val="center"/>
              <w:rPr>
                <w:rFonts w:ascii="Carlito"/>
                <w:sz w:val="16"/>
              </w:rPr>
            </w:pPr>
            <w:r>
              <w:rPr>
                <w:rFonts w:ascii="Carlito"/>
                <w:sz w:val="16"/>
              </w:rPr>
              <w:t>1995</w:t>
            </w:r>
          </w:p>
        </w:tc>
        <w:tc>
          <w:tcPr>
            <w:tcW w:w="782" w:type="dxa"/>
          </w:tcPr>
          <w:p>
            <w:pPr>
              <w:pStyle w:val="TableParagraph"/>
              <w:spacing w:before="92"/>
              <w:ind w:right="235"/>
              <w:rPr>
                <w:rFonts w:ascii="Carlito"/>
                <w:sz w:val="16"/>
              </w:rPr>
            </w:pPr>
            <w:r>
              <w:rPr>
                <w:rFonts w:ascii="Carlito"/>
                <w:sz w:val="16"/>
              </w:rPr>
              <w:t>5</w:t>
            </w:r>
          </w:p>
        </w:tc>
        <w:tc>
          <w:tcPr>
            <w:tcW w:w="745" w:type="dxa"/>
          </w:tcPr>
          <w:p>
            <w:pPr>
              <w:pStyle w:val="TableParagraph"/>
              <w:spacing w:before="92"/>
              <w:ind w:right="299"/>
              <w:rPr>
                <w:rFonts w:ascii="Carlito"/>
                <w:sz w:val="16"/>
              </w:rPr>
            </w:pPr>
            <w:r>
              <w:rPr>
                <w:rFonts w:ascii="Carlito"/>
                <w:sz w:val="16"/>
              </w:rPr>
              <w:t>5</w:t>
            </w:r>
          </w:p>
        </w:tc>
        <w:tc>
          <w:tcPr>
            <w:tcW w:w="816" w:type="dxa"/>
          </w:tcPr>
          <w:p>
            <w:pPr>
              <w:pStyle w:val="TableParagraph"/>
              <w:spacing w:before="92"/>
              <w:ind w:left="301"/>
              <w:jc w:val="left"/>
              <w:rPr>
                <w:rFonts w:ascii="Carlito"/>
                <w:sz w:val="16"/>
              </w:rPr>
            </w:pPr>
            <w:r>
              <w:rPr>
                <w:rFonts w:ascii="Carlito"/>
                <w:sz w:val="16"/>
              </w:rPr>
              <w:t>2</w:t>
            </w:r>
          </w:p>
        </w:tc>
        <w:tc>
          <w:tcPr>
            <w:tcW w:w="1290" w:type="dxa"/>
          </w:tcPr>
          <w:p>
            <w:pPr>
              <w:pStyle w:val="TableParagraph"/>
              <w:spacing w:before="92"/>
              <w:ind w:right="573"/>
              <w:rPr>
                <w:rFonts w:ascii="Carlito"/>
                <w:sz w:val="16"/>
              </w:rPr>
            </w:pPr>
            <w:r>
              <w:rPr>
                <w:rFonts w:ascii="Carlito"/>
                <w:sz w:val="16"/>
              </w:rPr>
              <w:t>5.7</w:t>
            </w:r>
          </w:p>
        </w:tc>
        <w:tc>
          <w:tcPr>
            <w:tcW w:w="1140" w:type="dxa"/>
          </w:tcPr>
          <w:p>
            <w:pPr>
              <w:pStyle w:val="TableParagraph"/>
              <w:spacing w:before="92"/>
              <w:ind w:right="365"/>
              <w:rPr>
                <w:rFonts w:ascii="Carlito"/>
                <w:sz w:val="16"/>
              </w:rPr>
            </w:pPr>
            <w:r>
              <w:rPr>
                <w:rFonts w:ascii="Carlito"/>
                <w:sz w:val="16"/>
              </w:rPr>
              <w:t>3.2</w:t>
            </w:r>
          </w:p>
        </w:tc>
        <w:tc>
          <w:tcPr>
            <w:tcW w:w="826" w:type="dxa"/>
          </w:tcPr>
          <w:p>
            <w:pPr>
              <w:pStyle w:val="TableParagraph"/>
              <w:spacing w:before="92"/>
              <w:ind w:right="379"/>
              <w:rPr>
                <w:rFonts w:ascii="Carlito"/>
                <w:sz w:val="16"/>
              </w:rPr>
            </w:pPr>
            <w:r>
              <w:rPr>
                <w:rFonts w:ascii="Carlito"/>
                <w:sz w:val="16"/>
              </w:rPr>
              <w:t>0</w:t>
            </w:r>
          </w:p>
        </w:tc>
        <w:tc>
          <w:tcPr>
            <w:tcW w:w="530" w:type="dxa"/>
          </w:tcPr>
          <w:p>
            <w:pPr>
              <w:pStyle w:val="TableParagraph"/>
              <w:spacing w:before="92"/>
              <w:ind w:right="65"/>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74</w:t>
            </w:r>
          </w:p>
        </w:tc>
        <w:tc>
          <w:tcPr>
            <w:tcW w:w="1920" w:type="dxa"/>
            <w:shd w:val="clear" w:color="auto" w:fill="D9D9D9"/>
          </w:tcPr>
          <w:p>
            <w:pPr>
              <w:pStyle w:val="TableParagraph"/>
              <w:ind w:left="143"/>
              <w:jc w:val="left"/>
              <w:rPr>
                <w:rFonts w:ascii="Carlito"/>
                <w:sz w:val="16"/>
              </w:rPr>
            </w:pPr>
            <w:r>
              <w:rPr>
                <w:rFonts w:ascii="Carlito"/>
                <w:sz w:val="16"/>
              </w:rPr>
              <w:t>Curridabat</w:t>
            </w:r>
          </w:p>
        </w:tc>
        <w:tc>
          <w:tcPr>
            <w:tcW w:w="613" w:type="dxa"/>
            <w:shd w:val="clear" w:color="auto" w:fill="D9D9D9"/>
          </w:tcPr>
          <w:p>
            <w:pPr>
              <w:pStyle w:val="TableParagraph"/>
              <w:ind w:right="69"/>
              <w:rPr>
                <w:rFonts w:ascii="Carlito"/>
                <w:sz w:val="16"/>
              </w:rPr>
            </w:pPr>
            <w:r>
              <w:rPr>
                <w:rFonts w:ascii="Carlito"/>
                <w:sz w:val="16"/>
              </w:rPr>
              <w:t>0</w:t>
            </w:r>
          </w:p>
        </w:tc>
        <w:tc>
          <w:tcPr>
            <w:tcW w:w="1418" w:type="dxa"/>
            <w:shd w:val="clear" w:color="auto" w:fill="D9D9D9"/>
          </w:tcPr>
          <w:p>
            <w:pPr>
              <w:pStyle w:val="TableParagraph"/>
              <w:ind w:right="415"/>
              <w:rPr>
                <w:rFonts w:ascii="Carlito"/>
                <w:sz w:val="16"/>
              </w:rPr>
            </w:pPr>
            <w:r>
              <w:rPr>
                <w:rFonts w:ascii="Carlito"/>
                <w:sz w:val="16"/>
              </w:rPr>
              <w:t>$230,000.00</w:t>
            </w:r>
          </w:p>
        </w:tc>
        <w:tc>
          <w:tcPr>
            <w:tcW w:w="1000" w:type="dxa"/>
            <w:shd w:val="clear" w:color="auto" w:fill="D9D9D9"/>
          </w:tcPr>
          <w:p>
            <w:pPr>
              <w:pStyle w:val="TableParagraph"/>
              <w:ind w:right="340"/>
              <w:rPr>
                <w:rFonts w:ascii="Carlito"/>
                <w:sz w:val="16"/>
              </w:rPr>
            </w:pPr>
            <w:r>
              <w:rPr>
                <w:rFonts w:ascii="Carlito"/>
                <w:sz w:val="16"/>
              </w:rPr>
              <w:t>200</w:t>
            </w:r>
          </w:p>
        </w:tc>
        <w:tc>
          <w:tcPr>
            <w:tcW w:w="1127" w:type="dxa"/>
            <w:shd w:val="clear" w:color="auto" w:fill="D9D9D9"/>
          </w:tcPr>
          <w:p>
            <w:pPr>
              <w:pStyle w:val="TableParagraph"/>
              <w:ind w:left="317" w:right="438"/>
              <w:jc w:val="center"/>
              <w:rPr>
                <w:rFonts w:ascii="Carlito"/>
                <w:sz w:val="16"/>
              </w:rPr>
            </w:pPr>
            <w:r>
              <w:rPr>
                <w:rFonts w:ascii="Carlito"/>
                <w:sz w:val="16"/>
              </w:rPr>
              <w:t>2001</w:t>
            </w:r>
          </w:p>
        </w:tc>
        <w:tc>
          <w:tcPr>
            <w:tcW w:w="782" w:type="dxa"/>
            <w:shd w:val="clear" w:color="auto" w:fill="D9D9D9"/>
          </w:tcPr>
          <w:p>
            <w:pPr>
              <w:pStyle w:val="TableParagraph"/>
              <w:ind w:right="235"/>
              <w:rPr>
                <w:rFonts w:ascii="Carlito"/>
                <w:sz w:val="16"/>
              </w:rPr>
            </w:pPr>
            <w:r>
              <w:rPr>
                <w:rFonts w:ascii="Carlito"/>
                <w:sz w:val="16"/>
              </w:rPr>
              <w:t>3</w:t>
            </w:r>
          </w:p>
        </w:tc>
        <w:tc>
          <w:tcPr>
            <w:tcW w:w="745" w:type="dxa"/>
            <w:shd w:val="clear" w:color="auto" w:fill="D9D9D9"/>
          </w:tcPr>
          <w:p>
            <w:pPr>
              <w:pStyle w:val="TableParagraph"/>
              <w:ind w:right="304"/>
              <w:rPr>
                <w:rFonts w:ascii="Carlito"/>
                <w:sz w:val="16"/>
              </w:rPr>
            </w:pPr>
            <w:r>
              <w:rPr>
                <w:rFonts w:ascii="Carlito"/>
                <w:sz w:val="16"/>
              </w:rPr>
              <w:t>2.5</w:t>
            </w:r>
          </w:p>
        </w:tc>
        <w:tc>
          <w:tcPr>
            <w:tcW w:w="816" w:type="dxa"/>
            <w:shd w:val="clear" w:color="auto" w:fill="D9D9D9"/>
          </w:tcPr>
          <w:p>
            <w:pPr>
              <w:pStyle w:val="TableParagraph"/>
              <w:ind w:left="301"/>
              <w:jc w:val="left"/>
              <w:rPr>
                <w:rFonts w:ascii="Carlito"/>
                <w:sz w:val="16"/>
              </w:rPr>
            </w:pPr>
            <w:r>
              <w:rPr>
                <w:rFonts w:ascii="Carlito"/>
                <w:sz w:val="16"/>
              </w:rPr>
              <w:t>2</w:t>
            </w:r>
          </w:p>
        </w:tc>
        <w:tc>
          <w:tcPr>
            <w:tcW w:w="1290" w:type="dxa"/>
            <w:shd w:val="clear" w:color="auto" w:fill="D9D9D9"/>
          </w:tcPr>
          <w:p>
            <w:pPr>
              <w:pStyle w:val="TableParagraph"/>
              <w:ind w:right="573"/>
              <w:rPr>
                <w:rFonts w:ascii="Carlito"/>
                <w:sz w:val="16"/>
              </w:rPr>
            </w:pPr>
            <w:r>
              <w:rPr>
                <w:rFonts w:ascii="Carlito"/>
                <w:sz w:val="16"/>
              </w:rPr>
              <w:t>5.7</w:t>
            </w:r>
          </w:p>
        </w:tc>
        <w:tc>
          <w:tcPr>
            <w:tcW w:w="1140" w:type="dxa"/>
            <w:shd w:val="clear" w:color="auto" w:fill="D9D9D9"/>
          </w:tcPr>
          <w:p>
            <w:pPr>
              <w:pStyle w:val="TableParagraph"/>
              <w:ind w:right="365"/>
              <w:rPr>
                <w:rFonts w:ascii="Carlito"/>
                <w:sz w:val="16"/>
              </w:rPr>
            </w:pPr>
            <w:r>
              <w:rPr>
                <w:rFonts w:ascii="Carlito"/>
                <w:sz w:val="16"/>
              </w:rPr>
              <w:t>3.2</w:t>
            </w:r>
          </w:p>
        </w:tc>
        <w:tc>
          <w:tcPr>
            <w:tcW w:w="826" w:type="dxa"/>
            <w:shd w:val="clear" w:color="auto" w:fill="D9D9D9"/>
          </w:tcPr>
          <w:p>
            <w:pPr>
              <w:pStyle w:val="TableParagraph"/>
              <w:ind w:right="379"/>
              <w:rPr>
                <w:rFonts w:ascii="Carlito"/>
                <w:sz w:val="16"/>
              </w:rPr>
            </w:pPr>
            <w:r>
              <w:rPr>
                <w:rFonts w:ascii="Carlito"/>
                <w:sz w:val="16"/>
              </w:rPr>
              <w:t>0</w:t>
            </w:r>
          </w:p>
        </w:tc>
        <w:tc>
          <w:tcPr>
            <w:tcW w:w="530" w:type="dxa"/>
            <w:shd w:val="clear" w:color="auto" w:fill="D9D9D9"/>
          </w:tcPr>
          <w:p>
            <w:pPr>
              <w:pStyle w:val="TableParagraph"/>
              <w:ind w:right="65"/>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75</w:t>
            </w:r>
          </w:p>
        </w:tc>
        <w:tc>
          <w:tcPr>
            <w:tcW w:w="1920" w:type="dxa"/>
          </w:tcPr>
          <w:p>
            <w:pPr>
              <w:pStyle w:val="TableParagraph"/>
              <w:ind w:left="143"/>
              <w:jc w:val="left"/>
              <w:rPr>
                <w:rFonts w:ascii="Carlito"/>
                <w:sz w:val="16"/>
              </w:rPr>
            </w:pPr>
            <w:r>
              <w:rPr>
                <w:rFonts w:ascii="Carlito"/>
                <w:sz w:val="16"/>
              </w:rPr>
              <w:t>Lomas de Ayarco</w:t>
            </w:r>
          </w:p>
        </w:tc>
        <w:tc>
          <w:tcPr>
            <w:tcW w:w="613" w:type="dxa"/>
          </w:tcPr>
          <w:p>
            <w:pPr>
              <w:pStyle w:val="TableParagraph"/>
              <w:ind w:right="69"/>
              <w:rPr>
                <w:rFonts w:ascii="Carlito"/>
                <w:sz w:val="16"/>
              </w:rPr>
            </w:pPr>
            <w:r>
              <w:rPr>
                <w:rFonts w:ascii="Carlito"/>
                <w:sz w:val="16"/>
              </w:rPr>
              <w:t>1</w:t>
            </w:r>
          </w:p>
        </w:tc>
        <w:tc>
          <w:tcPr>
            <w:tcW w:w="1418" w:type="dxa"/>
          </w:tcPr>
          <w:p>
            <w:pPr>
              <w:pStyle w:val="TableParagraph"/>
              <w:ind w:right="415"/>
              <w:rPr>
                <w:rFonts w:ascii="Carlito"/>
                <w:sz w:val="16"/>
              </w:rPr>
            </w:pPr>
            <w:r>
              <w:rPr>
                <w:rFonts w:ascii="Carlito"/>
                <w:sz w:val="16"/>
              </w:rPr>
              <w:t>$515,000.00</w:t>
            </w:r>
          </w:p>
        </w:tc>
        <w:tc>
          <w:tcPr>
            <w:tcW w:w="1000" w:type="dxa"/>
          </w:tcPr>
          <w:p>
            <w:pPr>
              <w:pStyle w:val="TableParagraph"/>
              <w:ind w:right="340"/>
              <w:rPr>
                <w:rFonts w:ascii="Carlito"/>
                <w:sz w:val="16"/>
              </w:rPr>
            </w:pPr>
            <w:r>
              <w:rPr>
                <w:rFonts w:ascii="Carlito"/>
                <w:sz w:val="16"/>
              </w:rPr>
              <w:t>430</w:t>
            </w:r>
          </w:p>
        </w:tc>
        <w:tc>
          <w:tcPr>
            <w:tcW w:w="1127" w:type="dxa"/>
          </w:tcPr>
          <w:p>
            <w:pPr>
              <w:pStyle w:val="TableParagraph"/>
              <w:ind w:left="317" w:right="438"/>
              <w:jc w:val="center"/>
              <w:rPr>
                <w:rFonts w:ascii="Carlito"/>
                <w:sz w:val="16"/>
              </w:rPr>
            </w:pPr>
            <w:r>
              <w:rPr>
                <w:rFonts w:ascii="Carlito"/>
                <w:sz w:val="16"/>
              </w:rPr>
              <w:t>2006</w:t>
            </w:r>
          </w:p>
        </w:tc>
        <w:tc>
          <w:tcPr>
            <w:tcW w:w="782" w:type="dxa"/>
          </w:tcPr>
          <w:p>
            <w:pPr>
              <w:pStyle w:val="TableParagraph"/>
              <w:ind w:right="235"/>
              <w:rPr>
                <w:rFonts w:ascii="Carlito"/>
                <w:sz w:val="16"/>
              </w:rPr>
            </w:pPr>
            <w:r>
              <w:rPr>
                <w:rFonts w:ascii="Carlito"/>
                <w:sz w:val="16"/>
              </w:rPr>
              <w:t>5</w:t>
            </w:r>
          </w:p>
        </w:tc>
        <w:tc>
          <w:tcPr>
            <w:tcW w:w="745" w:type="dxa"/>
          </w:tcPr>
          <w:p>
            <w:pPr>
              <w:pStyle w:val="TableParagraph"/>
              <w:ind w:right="299"/>
              <w:rPr>
                <w:rFonts w:ascii="Carlito"/>
                <w:sz w:val="16"/>
              </w:rPr>
            </w:pPr>
            <w:r>
              <w:rPr>
                <w:rFonts w:ascii="Carlito"/>
                <w:sz w:val="16"/>
              </w:rPr>
              <w:t>5</w:t>
            </w:r>
          </w:p>
        </w:tc>
        <w:tc>
          <w:tcPr>
            <w:tcW w:w="816" w:type="dxa"/>
          </w:tcPr>
          <w:p>
            <w:pPr>
              <w:pStyle w:val="TableParagraph"/>
              <w:ind w:left="301"/>
              <w:jc w:val="left"/>
              <w:rPr>
                <w:rFonts w:ascii="Carlito"/>
                <w:sz w:val="16"/>
              </w:rPr>
            </w:pPr>
            <w:r>
              <w:rPr>
                <w:rFonts w:ascii="Carlito"/>
                <w:sz w:val="16"/>
              </w:rPr>
              <w:t>2</w:t>
            </w:r>
          </w:p>
        </w:tc>
        <w:tc>
          <w:tcPr>
            <w:tcW w:w="1290" w:type="dxa"/>
          </w:tcPr>
          <w:p>
            <w:pPr>
              <w:pStyle w:val="TableParagraph"/>
              <w:ind w:right="573"/>
              <w:rPr>
                <w:rFonts w:ascii="Carlito"/>
                <w:sz w:val="16"/>
              </w:rPr>
            </w:pPr>
            <w:r>
              <w:rPr>
                <w:rFonts w:ascii="Carlito"/>
                <w:sz w:val="16"/>
              </w:rPr>
              <w:t>8.55</w:t>
            </w:r>
          </w:p>
        </w:tc>
        <w:tc>
          <w:tcPr>
            <w:tcW w:w="1140" w:type="dxa"/>
          </w:tcPr>
          <w:p>
            <w:pPr>
              <w:pStyle w:val="TableParagraph"/>
              <w:ind w:right="365"/>
              <w:rPr>
                <w:rFonts w:ascii="Carlito"/>
                <w:sz w:val="16"/>
              </w:rPr>
            </w:pPr>
            <w:r>
              <w:rPr>
                <w:rFonts w:ascii="Carlito"/>
                <w:sz w:val="16"/>
              </w:rPr>
              <w:t>2.9</w:t>
            </w:r>
          </w:p>
        </w:tc>
        <w:tc>
          <w:tcPr>
            <w:tcW w:w="826" w:type="dxa"/>
          </w:tcPr>
          <w:p>
            <w:pPr>
              <w:pStyle w:val="TableParagraph"/>
              <w:ind w:right="379"/>
              <w:rPr>
                <w:rFonts w:ascii="Carlito"/>
                <w:sz w:val="16"/>
              </w:rPr>
            </w:pPr>
            <w:r>
              <w:rPr>
                <w:rFonts w:ascii="Carlito"/>
                <w:sz w:val="16"/>
              </w:rPr>
              <w:t>0</w:t>
            </w:r>
          </w:p>
        </w:tc>
        <w:tc>
          <w:tcPr>
            <w:tcW w:w="530" w:type="dxa"/>
          </w:tcPr>
          <w:p>
            <w:pPr>
              <w:pStyle w:val="TableParagraph"/>
              <w:ind w:right="65"/>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76</w:t>
            </w:r>
          </w:p>
        </w:tc>
        <w:tc>
          <w:tcPr>
            <w:tcW w:w="1920" w:type="dxa"/>
            <w:shd w:val="clear" w:color="auto" w:fill="D9D9D9"/>
          </w:tcPr>
          <w:p>
            <w:pPr>
              <w:pStyle w:val="TableParagraph"/>
              <w:ind w:left="143"/>
              <w:jc w:val="left"/>
              <w:rPr>
                <w:rFonts w:ascii="Carlito"/>
                <w:sz w:val="16"/>
              </w:rPr>
            </w:pPr>
            <w:r>
              <w:rPr>
                <w:rFonts w:ascii="Carlito"/>
                <w:sz w:val="16"/>
              </w:rPr>
              <w:t>Guayabos</w:t>
            </w:r>
          </w:p>
        </w:tc>
        <w:tc>
          <w:tcPr>
            <w:tcW w:w="613"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$375,000.00</w:t>
            </w:r>
          </w:p>
        </w:tc>
        <w:tc>
          <w:tcPr>
            <w:tcW w:w="1000" w:type="dxa"/>
            <w:shd w:val="clear" w:color="auto" w:fill="D9D9D9"/>
          </w:tcPr>
          <w:p>
            <w:pPr>
              <w:pStyle w:val="TableParagraph"/>
              <w:ind w:right="340"/>
              <w:rPr>
                <w:rFonts w:ascii="Carlito"/>
                <w:sz w:val="16"/>
              </w:rPr>
            </w:pPr>
            <w:r>
              <w:rPr>
                <w:rFonts w:ascii="Carlito"/>
                <w:sz w:val="16"/>
              </w:rPr>
              <w:t>402</w:t>
            </w:r>
          </w:p>
        </w:tc>
        <w:tc>
          <w:tcPr>
            <w:tcW w:w="1127" w:type="dxa"/>
            <w:shd w:val="clear" w:color="auto" w:fill="D9D9D9"/>
          </w:tcPr>
          <w:p>
            <w:pPr>
              <w:pStyle w:val="TableParagraph"/>
              <w:ind w:left="317" w:right="438"/>
              <w:jc w:val="center"/>
              <w:rPr>
                <w:rFonts w:ascii="Carlito"/>
                <w:sz w:val="16"/>
              </w:rPr>
            </w:pPr>
            <w:r>
              <w:rPr>
                <w:rFonts w:ascii="Carlito"/>
                <w:sz w:val="16"/>
              </w:rPr>
              <w:t>2013</w:t>
            </w:r>
          </w:p>
        </w:tc>
        <w:tc>
          <w:tcPr>
            <w:tcW w:w="782" w:type="dxa"/>
            <w:shd w:val="clear" w:color="auto" w:fill="D9D9D9"/>
          </w:tcPr>
          <w:p>
            <w:pPr>
              <w:pStyle w:val="TableParagraph"/>
              <w:ind w:right="235"/>
              <w:rPr>
                <w:rFonts w:ascii="Carlito"/>
                <w:sz w:val="16"/>
              </w:rPr>
            </w:pPr>
            <w:r>
              <w:rPr>
                <w:rFonts w:ascii="Carlito"/>
                <w:sz w:val="16"/>
              </w:rPr>
              <w:t>4</w:t>
            </w:r>
          </w:p>
        </w:tc>
        <w:tc>
          <w:tcPr>
            <w:tcW w:w="745" w:type="dxa"/>
            <w:shd w:val="clear" w:color="auto" w:fill="D9D9D9"/>
          </w:tcPr>
          <w:p>
            <w:pPr>
              <w:pStyle w:val="TableParagraph"/>
              <w:ind w:right="304"/>
              <w:rPr>
                <w:rFonts w:ascii="Carlito"/>
                <w:sz w:val="16"/>
              </w:rPr>
            </w:pPr>
            <w:r>
              <w:rPr>
                <w:rFonts w:ascii="Carlito"/>
                <w:sz w:val="16"/>
              </w:rPr>
              <w:t>4.5</w:t>
            </w:r>
          </w:p>
        </w:tc>
        <w:tc>
          <w:tcPr>
            <w:tcW w:w="816" w:type="dxa"/>
            <w:shd w:val="clear" w:color="auto" w:fill="D9D9D9"/>
          </w:tcPr>
          <w:p>
            <w:pPr>
              <w:pStyle w:val="TableParagraph"/>
              <w:ind w:left="301"/>
              <w:jc w:val="left"/>
              <w:rPr>
                <w:rFonts w:ascii="Carlito"/>
                <w:sz w:val="16"/>
              </w:rPr>
            </w:pPr>
            <w:r>
              <w:rPr>
                <w:rFonts w:ascii="Carlito"/>
                <w:sz w:val="16"/>
              </w:rPr>
              <w:t>2</w:t>
            </w:r>
          </w:p>
        </w:tc>
        <w:tc>
          <w:tcPr>
            <w:tcW w:w="1290" w:type="dxa"/>
            <w:shd w:val="clear" w:color="auto" w:fill="D9D9D9"/>
          </w:tcPr>
          <w:p>
            <w:pPr>
              <w:pStyle w:val="TableParagraph"/>
              <w:ind w:right="573"/>
              <w:rPr>
                <w:rFonts w:ascii="Carlito"/>
                <w:sz w:val="16"/>
              </w:rPr>
            </w:pPr>
            <w:r>
              <w:rPr>
                <w:rFonts w:ascii="Carlito"/>
                <w:sz w:val="16"/>
              </w:rPr>
              <w:t>7.4</w:t>
            </w:r>
          </w:p>
        </w:tc>
        <w:tc>
          <w:tcPr>
            <w:tcW w:w="1140" w:type="dxa"/>
            <w:shd w:val="clear" w:color="auto" w:fill="D9D9D9"/>
          </w:tcPr>
          <w:p>
            <w:pPr>
              <w:pStyle w:val="TableParagraph"/>
              <w:ind w:right="361"/>
              <w:rPr>
                <w:rFonts w:ascii="Carlito"/>
                <w:sz w:val="16"/>
              </w:rPr>
            </w:pPr>
            <w:r>
              <w:rPr>
                <w:rFonts w:ascii="Carlito"/>
                <w:sz w:val="16"/>
              </w:rPr>
              <w:t>5</w:t>
            </w:r>
          </w:p>
        </w:tc>
        <w:tc>
          <w:tcPr>
            <w:tcW w:w="826" w:type="dxa"/>
            <w:shd w:val="clear" w:color="auto" w:fill="D9D9D9"/>
          </w:tcPr>
          <w:p>
            <w:pPr>
              <w:pStyle w:val="TableParagraph"/>
              <w:ind w:right="379"/>
              <w:rPr>
                <w:rFonts w:ascii="Carlito"/>
                <w:sz w:val="16"/>
              </w:rPr>
            </w:pPr>
            <w:r>
              <w:rPr>
                <w:rFonts w:ascii="Carlito"/>
                <w:sz w:val="16"/>
              </w:rPr>
              <w:t>0</w:t>
            </w:r>
          </w:p>
        </w:tc>
        <w:tc>
          <w:tcPr>
            <w:tcW w:w="530" w:type="dxa"/>
            <w:shd w:val="clear" w:color="auto" w:fill="D9D9D9"/>
          </w:tcPr>
          <w:p>
            <w:pPr>
              <w:pStyle w:val="TableParagraph"/>
              <w:ind w:right="65"/>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77</w:t>
            </w:r>
          </w:p>
        </w:tc>
        <w:tc>
          <w:tcPr>
            <w:tcW w:w="1920" w:type="dxa"/>
          </w:tcPr>
          <w:p>
            <w:pPr>
              <w:pStyle w:val="TableParagraph"/>
              <w:ind w:left="143"/>
              <w:jc w:val="left"/>
              <w:rPr>
                <w:rFonts w:ascii="Carlito"/>
                <w:sz w:val="16"/>
              </w:rPr>
            </w:pPr>
            <w:r>
              <w:rPr>
                <w:rFonts w:ascii="Carlito"/>
                <w:sz w:val="16"/>
              </w:rPr>
              <w:t>Curridabat</w:t>
            </w:r>
          </w:p>
        </w:tc>
        <w:tc>
          <w:tcPr>
            <w:tcW w:w="613" w:type="dxa"/>
          </w:tcPr>
          <w:p>
            <w:pPr>
              <w:pStyle w:val="TableParagraph"/>
              <w:ind w:right="69"/>
              <w:rPr>
                <w:rFonts w:ascii="Carlito"/>
                <w:sz w:val="16"/>
              </w:rPr>
            </w:pPr>
            <w:r>
              <w:rPr>
                <w:rFonts w:ascii="Carlito"/>
                <w:sz w:val="16"/>
              </w:rPr>
              <w:t>0</w:t>
            </w:r>
          </w:p>
        </w:tc>
        <w:tc>
          <w:tcPr>
            <w:tcW w:w="1418" w:type="dxa"/>
          </w:tcPr>
          <w:p>
            <w:pPr>
              <w:pStyle w:val="TableParagraph"/>
              <w:ind w:right="415"/>
              <w:rPr>
                <w:rFonts w:ascii="Carlito"/>
                <w:sz w:val="16"/>
              </w:rPr>
            </w:pPr>
            <w:r>
              <w:rPr>
                <w:rFonts w:ascii="Carlito"/>
                <w:sz w:val="16"/>
              </w:rPr>
              <w:t>$171,000.00</w:t>
            </w:r>
          </w:p>
        </w:tc>
        <w:tc>
          <w:tcPr>
            <w:tcW w:w="1000" w:type="dxa"/>
          </w:tcPr>
          <w:p>
            <w:pPr>
              <w:pStyle w:val="TableParagraph"/>
              <w:ind w:right="340"/>
              <w:rPr>
                <w:rFonts w:ascii="Carlito"/>
                <w:sz w:val="16"/>
              </w:rPr>
            </w:pPr>
            <w:r>
              <w:rPr>
                <w:rFonts w:ascii="Carlito"/>
                <w:sz w:val="16"/>
              </w:rPr>
              <w:t>126</w:t>
            </w:r>
          </w:p>
        </w:tc>
        <w:tc>
          <w:tcPr>
            <w:tcW w:w="1127" w:type="dxa"/>
          </w:tcPr>
          <w:p>
            <w:pPr>
              <w:pStyle w:val="TableParagraph"/>
              <w:ind w:left="317" w:right="438"/>
              <w:jc w:val="center"/>
              <w:rPr>
                <w:rFonts w:ascii="Carlito"/>
                <w:sz w:val="16"/>
              </w:rPr>
            </w:pPr>
            <w:r>
              <w:rPr>
                <w:rFonts w:ascii="Carlito"/>
                <w:sz w:val="16"/>
              </w:rPr>
              <w:t>2008</w:t>
            </w:r>
          </w:p>
        </w:tc>
        <w:tc>
          <w:tcPr>
            <w:tcW w:w="782" w:type="dxa"/>
          </w:tcPr>
          <w:p>
            <w:pPr>
              <w:pStyle w:val="TableParagraph"/>
              <w:ind w:right="235"/>
              <w:rPr>
                <w:rFonts w:ascii="Carlito"/>
                <w:sz w:val="16"/>
              </w:rPr>
            </w:pPr>
            <w:r>
              <w:rPr>
                <w:rFonts w:ascii="Carlito"/>
                <w:sz w:val="16"/>
              </w:rPr>
              <w:t>3</w:t>
            </w:r>
          </w:p>
        </w:tc>
        <w:tc>
          <w:tcPr>
            <w:tcW w:w="745" w:type="dxa"/>
          </w:tcPr>
          <w:p>
            <w:pPr>
              <w:pStyle w:val="TableParagraph"/>
              <w:ind w:right="304"/>
              <w:rPr>
                <w:rFonts w:ascii="Carlito"/>
                <w:sz w:val="16"/>
              </w:rPr>
            </w:pPr>
            <w:r>
              <w:rPr>
                <w:rFonts w:ascii="Carlito"/>
                <w:sz w:val="16"/>
              </w:rPr>
              <w:t>2.5</w:t>
            </w:r>
          </w:p>
        </w:tc>
        <w:tc>
          <w:tcPr>
            <w:tcW w:w="816" w:type="dxa"/>
          </w:tcPr>
          <w:p>
            <w:pPr>
              <w:pStyle w:val="TableParagraph"/>
              <w:ind w:left="301"/>
              <w:jc w:val="left"/>
              <w:rPr>
                <w:rFonts w:ascii="Carlito"/>
                <w:sz w:val="16"/>
              </w:rPr>
            </w:pPr>
            <w:r>
              <w:rPr>
                <w:rFonts w:ascii="Carlito"/>
                <w:sz w:val="16"/>
              </w:rPr>
              <w:t>2</w:t>
            </w:r>
          </w:p>
        </w:tc>
        <w:tc>
          <w:tcPr>
            <w:tcW w:w="1290" w:type="dxa"/>
          </w:tcPr>
          <w:p>
            <w:pPr>
              <w:pStyle w:val="TableParagraph"/>
              <w:ind w:right="573"/>
              <w:rPr>
                <w:rFonts w:ascii="Carlito"/>
                <w:sz w:val="16"/>
              </w:rPr>
            </w:pPr>
            <w:r>
              <w:rPr>
                <w:rFonts w:ascii="Carlito"/>
                <w:sz w:val="16"/>
              </w:rPr>
              <w:t>5.7</w:t>
            </w:r>
          </w:p>
        </w:tc>
        <w:tc>
          <w:tcPr>
            <w:tcW w:w="1140" w:type="dxa"/>
          </w:tcPr>
          <w:p>
            <w:pPr>
              <w:pStyle w:val="TableParagraph"/>
              <w:ind w:right="365"/>
              <w:rPr>
                <w:rFonts w:ascii="Carlito"/>
                <w:sz w:val="16"/>
              </w:rPr>
            </w:pPr>
            <w:r>
              <w:rPr>
                <w:rFonts w:ascii="Carlito"/>
                <w:sz w:val="16"/>
              </w:rPr>
              <w:t>3.2</w:t>
            </w:r>
          </w:p>
        </w:tc>
        <w:tc>
          <w:tcPr>
            <w:tcW w:w="826" w:type="dxa"/>
          </w:tcPr>
          <w:p>
            <w:pPr>
              <w:pStyle w:val="TableParagraph"/>
              <w:ind w:right="379"/>
              <w:rPr>
                <w:rFonts w:ascii="Carlito"/>
                <w:sz w:val="16"/>
              </w:rPr>
            </w:pPr>
            <w:r>
              <w:rPr>
                <w:rFonts w:ascii="Carlito"/>
                <w:sz w:val="16"/>
              </w:rPr>
              <w:t>0</w:t>
            </w:r>
          </w:p>
        </w:tc>
        <w:tc>
          <w:tcPr>
            <w:tcW w:w="530" w:type="dxa"/>
          </w:tcPr>
          <w:p>
            <w:pPr>
              <w:pStyle w:val="TableParagraph"/>
              <w:ind w:right="65"/>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78</w:t>
            </w:r>
          </w:p>
        </w:tc>
        <w:tc>
          <w:tcPr>
            <w:tcW w:w="1920" w:type="dxa"/>
            <w:shd w:val="clear" w:color="auto" w:fill="D9D9D9"/>
          </w:tcPr>
          <w:p>
            <w:pPr>
              <w:pStyle w:val="TableParagraph"/>
              <w:spacing w:before="92"/>
              <w:ind w:left="143"/>
              <w:jc w:val="left"/>
              <w:rPr>
                <w:rFonts w:ascii="Carlito"/>
                <w:sz w:val="16"/>
              </w:rPr>
            </w:pPr>
            <w:r>
              <w:rPr>
                <w:rFonts w:ascii="Carlito"/>
                <w:sz w:val="16"/>
              </w:rPr>
              <w:t>Curridabat</w:t>
            </w:r>
          </w:p>
        </w:tc>
        <w:tc>
          <w:tcPr>
            <w:tcW w:w="613" w:type="dxa"/>
            <w:shd w:val="clear" w:color="auto" w:fill="D9D9D9"/>
          </w:tcPr>
          <w:p>
            <w:pPr>
              <w:pStyle w:val="TableParagraph"/>
              <w:spacing w:before="92"/>
              <w:ind w:right="69"/>
              <w:rPr>
                <w:rFonts w:ascii="Carlito"/>
                <w:sz w:val="16"/>
              </w:rPr>
            </w:pPr>
            <w:r>
              <w:rPr>
                <w:rFonts w:ascii="Carlito"/>
                <w:sz w:val="16"/>
              </w:rPr>
              <w:t>1</w:t>
            </w:r>
          </w:p>
        </w:tc>
        <w:tc>
          <w:tcPr>
            <w:tcW w:w="1418" w:type="dxa"/>
            <w:shd w:val="clear" w:color="auto" w:fill="D9D9D9"/>
          </w:tcPr>
          <w:p>
            <w:pPr>
              <w:pStyle w:val="TableParagraph"/>
              <w:spacing w:before="92"/>
              <w:ind w:right="415"/>
              <w:rPr>
                <w:rFonts w:ascii="Carlito"/>
                <w:sz w:val="16"/>
              </w:rPr>
            </w:pPr>
            <w:r>
              <w:rPr>
                <w:rFonts w:ascii="Carlito"/>
                <w:sz w:val="16"/>
              </w:rPr>
              <w:t>$285,000.00</w:t>
            </w:r>
          </w:p>
        </w:tc>
        <w:tc>
          <w:tcPr>
            <w:tcW w:w="1000" w:type="dxa"/>
            <w:shd w:val="clear" w:color="auto" w:fill="D9D9D9"/>
          </w:tcPr>
          <w:p>
            <w:pPr>
              <w:pStyle w:val="TableParagraph"/>
              <w:spacing w:before="92"/>
              <w:ind w:right="340"/>
              <w:rPr>
                <w:rFonts w:ascii="Carlito"/>
                <w:sz w:val="16"/>
              </w:rPr>
            </w:pPr>
            <w:r>
              <w:rPr>
                <w:rFonts w:ascii="Carlito"/>
                <w:sz w:val="16"/>
              </w:rPr>
              <w:t>300</w:t>
            </w:r>
          </w:p>
        </w:tc>
        <w:tc>
          <w:tcPr>
            <w:tcW w:w="1127" w:type="dxa"/>
            <w:shd w:val="clear" w:color="auto" w:fill="D9D9D9"/>
          </w:tcPr>
          <w:p>
            <w:pPr>
              <w:pStyle w:val="TableParagraph"/>
              <w:spacing w:before="92"/>
              <w:ind w:left="317" w:right="438"/>
              <w:jc w:val="center"/>
              <w:rPr>
                <w:rFonts w:ascii="Carlito"/>
                <w:sz w:val="16"/>
              </w:rPr>
            </w:pPr>
            <w:r>
              <w:rPr>
                <w:rFonts w:ascii="Carlito"/>
                <w:sz w:val="16"/>
              </w:rPr>
              <w:t>2006</w:t>
            </w:r>
          </w:p>
        </w:tc>
        <w:tc>
          <w:tcPr>
            <w:tcW w:w="782" w:type="dxa"/>
            <w:shd w:val="clear" w:color="auto" w:fill="D9D9D9"/>
          </w:tcPr>
          <w:p>
            <w:pPr>
              <w:pStyle w:val="TableParagraph"/>
              <w:spacing w:before="92"/>
              <w:ind w:right="235"/>
              <w:rPr>
                <w:rFonts w:ascii="Carlito"/>
                <w:sz w:val="16"/>
              </w:rPr>
            </w:pPr>
            <w:r>
              <w:rPr>
                <w:rFonts w:ascii="Carlito"/>
                <w:sz w:val="16"/>
              </w:rPr>
              <w:t>3</w:t>
            </w:r>
          </w:p>
        </w:tc>
        <w:tc>
          <w:tcPr>
            <w:tcW w:w="745" w:type="dxa"/>
            <w:shd w:val="clear" w:color="auto" w:fill="D9D9D9"/>
          </w:tcPr>
          <w:p>
            <w:pPr>
              <w:pStyle w:val="TableParagraph"/>
              <w:spacing w:before="92"/>
              <w:ind w:right="304"/>
              <w:rPr>
                <w:rFonts w:ascii="Carlito"/>
                <w:sz w:val="16"/>
              </w:rPr>
            </w:pPr>
            <w:r>
              <w:rPr>
                <w:rFonts w:ascii="Carlito"/>
                <w:sz w:val="16"/>
              </w:rPr>
              <w:t>2.5</w:t>
            </w:r>
          </w:p>
        </w:tc>
        <w:tc>
          <w:tcPr>
            <w:tcW w:w="816" w:type="dxa"/>
            <w:shd w:val="clear" w:color="auto" w:fill="D9D9D9"/>
          </w:tcPr>
          <w:p>
            <w:pPr>
              <w:pStyle w:val="TableParagraph"/>
              <w:spacing w:before="92"/>
              <w:ind w:left="301"/>
              <w:jc w:val="left"/>
              <w:rPr>
                <w:rFonts w:ascii="Carlito"/>
                <w:sz w:val="16"/>
              </w:rPr>
            </w:pPr>
            <w:r>
              <w:rPr>
                <w:rFonts w:ascii="Carlito"/>
                <w:sz w:val="16"/>
              </w:rPr>
              <w:t>2</w:t>
            </w:r>
          </w:p>
        </w:tc>
        <w:tc>
          <w:tcPr>
            <w:tcW w:w="1290" w:type="dxa"/>
            <w:shd w:val="clear" w:color="auto" w:fill="D9D9D9"/>
          </w:tcPr>
          <w:p>
            <w:pPr>
              <w:pStyle w:val="TableParagraph"/>
              <w:spacing w:before="92"/>
              <w:ind w:right="573"/>
              <w:rPr>
                <w:rFonts w:ascii="Carlito"/>
                <w:sz w:val="16"/>
              </w:rPr>
            </w:pPr>
            <w:r>
              <w:rPr>
                <w:rFonts w:ascii="Carlito"/>
                <w:sz w:val="16"/>
              </w:rPr>
              <w:t>5.7</w:t>
            </w:r>
          </w:p>
        </w:tc>
        <w:tc>
          <w:tcPr>
            <w:tcW w:w="1140" w:type="dxa"/>
            <w:shd w:val="clear" w:color="auto" w:fill="D9D9D9"/>
          </w:tcPr>
          <w:p>
            <w:pPr>
              <w:pStyle w:val="TableParagraph"/>
              <w:spacing w:before="92"/>
              <w:ind w:right="365"/>
              <w:rPr>
                <w:rFonts w:ascii="Carlito"/>
                <w:sz w:val="16"/>
              </w:rPr>
            </w:pPr>
            <w:r>
              <w:rPr>
                <w:rFonts w:ascii="Carlito"/>
                <w:sz w:val="16"/>
              </w:rPr>
              <w:t>3.2</w:t>
            </w:r>
          </w:p>
        </w:tc>
        <w:tc>
          <w:tcPr>
            <w:tcW w:w="826" w:type="dxa"/>
            <w:shd w:val="clear" w:color="auto" w:fill="D9D9D9"/>
          </w:tcPr>
          <w:p>
            <w:pPr>
              <w:pStyle w:val="TableParagraph"/>
              <w:spacing w:before="92"/>
              <w:ind w:right="379"/>
              <w:rPr>
                <w:rFonts w:ascii="Carlito"/>
                <w:sz w:val="16"/>
              </w:rPr>
            </w:pPr>
            <w:r>
              <w:rPr>
                <w:rFonts w:ascii="Carlito"/>
                <w:sz w:val="16"/>
              </w:rPr>
              <w:t>0</w:t>
            </w:r>
          </w:p>
        </w:tc>
        <w:tc>
          <w:tcPr>
            <w:tcW w:w="530" w:type="dxa"/>
            <w:shd w:val="clear" w:color="auto" w:fill="D9D9D9"/>
          </w:tcPr>
          <w:p>
            <w:pPr>
              <w:pStyle w:val="TableParagraph"/>
              <w:spacing w:before="92"/>
              <w:ind w:right="65"/>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79</w:t>
            </w:r>
          </w:p>
        </w:tc>
        <w:tc>
          <w:tcPr>
            <w:tcW w:w="1920" w:type="dxa"/>
          </w:tcPr>
          <w:p>
            <w:pPr>
              <w:pStyle w:val="TableParagraph"/>
              <w:spacing w:before="92"/>
              <w:ind w:left="143"/>
              <w:jc w:val="left"/>
              <w:rPr>
                <w:rFonts w:ascii="Carlito"/>
                <w:sz w:val="16"/>
              </w:rPr>
            </w:pPr>
            <w:r>
              <w:rPr>
                <w:rFonts w:ascii="Carlito"/>
                <w:sz w:val="16"/>
              </w:rPr>
              <w:t>Curridabat</w:t>
            </w:r>
          </w:p>
        </w:tc>
        <w:tc>
          <w:tcPr>
            <w:tcW w:w="613" w:type="dxa"/>
          </w:tcPr>
          <w:p>
            <w:pPr>
              <w:pStyle w:val="TableParagraph"/>
              <w:spacing w:before="92"/>
              <w:ind w:right="69"/>
              <w:rPr>
                <w:rFonts w:ascii="Carlito"/>
                <w:sz w:val="16"/>
              </w:rPr>
            </w:pPr>
            <w:r>
              <w:rPr>
                <w:rFonts w:ascii="Carlito"/>
                <w:sz w:val="16"/>
              </w:rPr>
              <w:t>1</w:t>
            </w:r>
          </w:p>
        </w:tc>
        <w:tc>
          <w:tcPr>
            <w:tcW w:w="1418" w:type="dxa"/>
          </w:tcPr>
          <w:p>
            <w:pPr>
              <w:pStyle w:val="TableParagraph"/>
              <w:spacing w:before="92"/>
              <w:ind w:right="415"/>
              <w:rPr>
                <w:rFonts w:ascii="Carlito"/>
                <w:sz w:val="16"/>
              </w:rPr>
            </w:pPr>
            <w:r>
              <w:rPr>
                <w:rFonts w:ascii="Carlito"/>
                <w:sz w:val="16"/>
              </w:rPr>
              <w:t>$1,100,000.00</w:t>
            </w:r>
          </w:p>
        </w:tc>
        <w:tc>
          <w:tcPr>
            <w:tcW w:w="1000" w:type="dxa"/>
          </w:tcPr>
          <w:p>
            <w:pPr>
              <w:pStyle w:val="TableParagraph"/>
              <w:spacing w:before="92"/>
              <w:ind w:right="340"/>
              <w:rPr>
                <w:rFonts w:ascii="Carlito"/>
                <w:sz w:val="16"/>
              </w:rPr>
            </w:pPr>
            <w:r>
              <w:rPr>
                <w:rFonts w:ascii="Carlito"/>
                <w:sz w:val="16"/>
              </w:rPr>
              <w:t>750</w:t>
            </w:r>
          </w:p>
        </w:tc>
        <w:tc>
          <w:tcPr>
            <w:tcW w:w="1127" w:type="dxa"/>
          </w:tcPr>
          <w:p>
            <w:pPr>
              <w:pStyle w:val="TableParagraph"/>
              <w:spacing w:before="92"/>
              <w:ind w:left="317" w:right="438"/>
              <w:jc w:val="center"/>
              <w:rPr>
                <w:rFonts w:ascii="Carlito"/>
                <w:sz w:val="16"/>
              </w:rPr>
            </w:pPr>
            <w:r>
              <w:rPr>
                <w:rFonts w:ascii="Carlito"/>
                <w:sz w:val="16"/>
              </w:rPr>
              <w:t>1987</w:t>
            </w:r>
          </w:p>
        </w:tc>
        <w:tc>
          <w:tcPr>
            <w:tcW w:w="782" w:type="dxa"/>
          </w:tcPr>
          <w:p>
            <w:pPr>
              <w:pStyle w:val="TableParagraph"/>
              <w:spacing w:before="92"/>
              <w:ind w:right="235"/>
              <w:rPr>
                <w:rFonts w:ascii="Carlito"/>
                <w:sz w:val="16"/>
              </w:rPr>
            </w:pPr>
            <w:r>
              <w:rPr>
                <w:rFonts w:ascii="Carlito"/>
                <w:sz w:val="16"/>
              </w:rPr>
              <w:t>5</w:t>
            </w:r>
          </w:p>
        </w:tc>
        <w:tc>
          <w:tcPr>
            <w:tcW w:w="745" w:type="dxa"/>
          </w:tcPr>
          <w:p>
            <w:pPr>
              <w:pStyle w:val="TableParagraph"/>
              <w:spacing w:before="92"/>
              <w:ind w:right="304"/>
              <w:rPr>
                <w:rFonts w:ascii="Carlito"/>
                <w:sz w:val="16"/>
              </w:rPr>
            </w:pPr>
            <w:r>
              <w:rPr>
                <w:rFonts w:ascii="Carlito"/>
                <w:sz w:val="16"/>
              </w:rPr>
              <w:t>3.5</w:t>
            </w:r>
          </w:p>
        </w:tc>
        <w:tc>
          <w:tcPr>
            <w:tcW w:w="816" w:type="dxa"/>
          </w:tcPr>
          <w:p>
            <w:pPr>
              <w:pStyle w:val="TableParagraph"/>
              <w:spacing w:before="92"/>
              <w:ind w:left="301"/>
              <w:jc w:val="left"/>
              <w:rPr>
                <w:rFonts w:ascii="Carlito"/>
                <w:sz w:val="16"/>
              </w:rPr>
            </w:pPr>
            <w:r>
              <w:rPr>
                <w:rFonts w:ascii="Carlito"/>
                <w:sz w:val="16"/>
              </w:rPr>
              <w:t>2</w:t>
            </w:r>
          </w:p>
        </w:tc>
        <w:tc>
          <w:tcPr>
            <w:tcW w:w="1290" w:type="dxa"/>
          </w:tcPr>
          <w:p>
            <w:pPr>
              <w:pStyle w:val="TableParagraph"/>
              <w:spacing w:before="92"/>
              <w:ind w:right="573"/>
              <w:rPr>
                <w:rFonts w:ascii="Carlito"/>
                <w:sz w:val="16"/>
              </w:rPr>
            </w:pPr>
            <w:r>
              <w:rPr>
                <w:rFonts w:ascii="Carlito"/>
                <w:sz w:val="16"/>
              </w:rPr>
              <w:t>4.5</w:t>
            </w:r>
          </w:p>
        </w:tc>
        <w:tc>
          <w:tcPr>
            <w:tcW w:w="1140" w:type="dxa"/>
          </w:tcPr>
          <w:p>
            <w:pPr>
              <w:pStyle w:val="TableParagraph"/>
              <w:spacing w:before="92"/>
              <w:ind w:right="365"/>
              <w:rPr>
                <w:rFonts w:ascii="Carlito"/>
                <w:sz w:val="16"/>
              </w:rPr>
            </w:pPr>
            <w:r>
              <w:rPr>
                <w:rFonts w:ascii="Carlito"/>
                <w:sz w:val="16"/>
              </w:rPr>
              <w:t>5.1</w:t>
            </w:r>
          </w:p>
        </w:tc>
        <w:tc>
          <w:tcPr>
            <w:tcW w:w="826" w:type="dxa"/>
          </w:tcPr>
          <w:p>
            <w:pPr>
              <w:pStyle w:val="TableParagraph"/>
              <w:spacing w:before="92"/>
              <w:ind w:right="379"/>
              <w:rPr>
                <w:rFonts w:ascii="Carlito"/>
                <w:sz w:val="16"/>
              </w:rPr>
            </w:pPr>
            <w:r>
              <w:rPr>
                <w:rFonts w:ascii="Carlito"/>
                <w:sz w:val="16"/>
              </w:rPr>
              <w:t>0</w:t>
            </w:r>
          </w:p>
        </w:tc>
        <w:tc>
          <w:tcPr>
            <w:tcW w:w="530" w:type="dxa"/>
          </w:tcPr>
          <w:p>
            <w:pPr>
              <w:pStyle w:val="TableParagraph"/>
              <w:spacing w:before="92"/>
              <w:ind w:right="65"/>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80</w:t>
            </w:r>
          </w:p>
        </w:tc>
        <w:tc>
          <w:tcPr>
            <w:tcW w:w="1920" w:type="dxa"/>
            <w:shd w:val="clear" w:color="auto" w:fill="D9D9D9"/>
          </w:tcPr>
          <w:p>
            <w:pPr>
              <w:pStyle w:val="TableParagraph"/>
              <w:ind w:left="143"/>
              <w:jc w:val="left"/>
              <w:rPr>
                <w:rFonts w:ascii="Carlito"/>
                <w:sz w:val="16"/>
              </w:rPr>
            </w:pPr>
            <w:r>
              <w:rPr>
                <w:rFonts w:ascii="Carlito"/>
                <w:sz w:val="16"/>
              </w:rPr>
              <w:t>Freses</w:t>
            </w:r>
          </w:p>
        </w:tc>
        <w:tc>
          <w:tcPr>
            <w:tcW w:w="613" w:type="dxa"/>
            <w:shd w:val="clear" w:color="auto" w:fill="D9D9D9"/>
          </w:tcPr>
          <w:p>
            <w:pPr>
              <w:pStyle w:val="TableParagraph"/>
              <w:ind w:right="69"/>
              <w:rPr>
                <w:rFonts w:ascii="Carlito"/>
                <w:sz w:val="16"/>
              </w:rPr>
            </w:pPr>
            <w:r>
              <w:rPr>
                <w:rFonts w:ascii="Carlito"/>
                <w:sz w:val="16"/>
              </w:rPr>
              <w:t>0</w:t>
            </w:r>
          </w:p>
        </w:tc>
        <w:tc>
          <w:tcPr>
            <w:tcW w:w="1418" w:type="dxa"/>
            <w:shd w:val="clear" w:color="auto" w:fill="D9D9D9"/>
          </w:tcPr>
          <w:p>
            <w:pPr>
              <w:pStyle w:val="TableParagraph"/>
              <w:ind w:right="415"/>
              <w:rPr>
                <w:rFonts w:ascii="Carlito"/>
                <w:sz w:val="16"/>
              </w:rPr>
            </w:pPr>
            <w:r>
              <w:rPr>
                <w:rFonts w:ascii="Carlito"/>
                <w:sz w:val="16"/>
              </w:rPr>
              <w:t>$285,000.00</w:t>
            </w:r>
          </w:p>
        </w:tc>
        <w:tc>
          <w:tcPr>
            <w:tcW w:w="1000" w:type="dxa"/>
            <w:shd w:val="clear" w:color="auto" w:fill="D9D9D9"/>
          </w:tcPr>
          <w:p>
            <w:pPr>
              <w:pStyle w:val="TableParagraph"/>
              <w:ind w:right="340"/>
              <w:rPr>
                <w:rFonts w:ascii="Carlito"/>
                <w:sz w:val="16"/>
              </w:rPr>
            </w:pPr>
            <w:r>
              <w:rPr>
                <w:rFonts w:ascii="Carlito"/>
                <w:sz w:val="16"/>
              </w:rPr>
              <w:t>330</w:t>
            </w:r>
          </w:p>
        </w:tc>
        <w:tc>
          <w:tcPr>
            <w:tcW w:w="1127" w:type="dxa"/>
            <w:shd w:val="clear" w:color="auto" w:fill="D9D9D9"/>
          </w:tcPr>
          <w:p>
            <w:pPr>
              <w:pStyle w:val="TableParagraph"/>
              <w:ind w:left="317" w:right="438"/>
              <w:jc w:val="center"/>
              <w:rPr>
                <w:rFonts w:ascii="Carlito"/>
                <w:sz w:val="16"/>
              </w:rPr>
            </w:pPr>
            <w:r>
              <w:rPr>
                <w:rFonts w:ascii="Carlito"/>
                <w:sz w:val="16"/>
              </w:rPr>
              <w:t>2009</w:t>
            </w:r>
          </w:p>
        </w:tc>
        <w:tc>
          <w:tcPr>
            <w:tcW w:w="782" w:type="dxa"/>
            <w:shd w:val="clear" w:color="auto" w:fill="D9D9D9"/>
          </w:tcPr>
          <w:p>
            <w:pPr>
              <w:pStyle w:val="TableParagraph"/>
              <w:ind w:right="235"/>
              <w:rPr>
                <w:rFonts w:ascii="Carlito"/>
                <w:sz w:val="16"/>
              </w:rPr>
            </w:pPr>
            <w:r>
              <w:rPr>
                <w:rFonts w:ascii="Carlito"/>
                <w:sz w:val="16"/>
              </w:rPr>
              <w:t>3</w:t>
            </w:r>
          </w:p>
        </w:tc>
        <w:tc>
          <w:tcPr>
            <w:tcW w:w="745" w:type="dxa"/>
            <w:shd w:val="clear" w:color="auto" w:fill="D9D9D9"/>
          </w:tcPr>
          <w:p>
            <w:pPr>
              <w:pStyle w:val="TableParagraph"/>
              <w:ind w:right="304"/>
              <w:rPr>
                <w:rFonts w:ascii="Carlito"/>
                <w:sz w:val="16"/>
              </w:rPr>
            </w:pPr>
            <w:r>
              <w:rPr>
                <w:rFonts w:ascii="Carlito"/>
                <w:sz w:val="16"/>
              </w:rPr>
              <w:t>3.5</w:t>
            </w:r>
          </w:p>
        </w:tc>
        <w:tc>
          <w:tcPr>
            <w:tcW w:w="816" w:type="dxa"/>
            <w:shd w:val="clear" w:color="auto" w:fill="D9D9D9"/>
          </w:tcPr>
          <w:p>
            <w:pPr>
              <w:pStyle w:val="TableParagraph"/>
              <w:ind w:left="301"/>
              <w:jc w:val="left"/>
              <w:rPr>
                <w:rFonts w:ascii="Carlito"/>
                <w:sz w:val="16"/>
              </w:rPr>
            </w:pPr>
            <w:r>
              <w:rPr>
                <w:rFonts w:ascii="Carlito"/>
                <w:sz w:val="16"/>
              </w:rPr>
              <w:t>2</w:t>
            </w:r>
          </w:p>
        </w:tc>
        <w:tc>
          <w:tcPr>
            <w:tcW w:w="1290" w:type="dxa"/>
            <w:shd w:val="clear" w:color="auto" w:fill="D9D9D9"/>
          </w:tcPr>
          <w:p>
            <w:pPr>
              <w:pStyle w:val="TableParagraph"/>
              <w:ind w:right="573"/>
              <w:rPr>
                <w:rFonts w:ascii="Carlito"/>
                <w:sz w:val="16"/>
              </w:rPr>
            </w:pPr>
            <w:r>
              <w:rPr>
                <w:rFonts w:ascii="Carlito"/>
                <w:sz w:val="16"/>
              </w:rPr>
              <w:t>5.2</w:t>
            </w:r>
          </w:p>
        </w:tc>
        <w:tc>
          <w:tcPr>
            <w:tcW w:w="1140" w:type="dxa"/>
            <w:shd w:val="clear" w:color="auto" w:fill="D9D9D9"/>
          </w:tcPr>
          <w:p>
            <w:pPr>
              <w:pStyle w:val="TableParagraph"/>
              <w:ind w:right="365"/>
              <w:rPr>
                <w:rFonts w:ascii="Carlito"/>
                <w:sz w:val="16"/>
              </w:rPr>
            </w:pPr>
            <w:r>
              <w:rPr>
                <w:rFonts w:ascii="Carlito"/>
                <w:sz w:val="16"/>
              </w:rPr>
              <w:t>5.2</w:t>
            </w:r>
          </w:p>
        </w:tc>
        <w:tc>
          <w:tcPr>
            <w:tcW w:w="826" w:type="dxa"/>
            <w:shd w:val="clear" w:color="auto" w:fill="D9D9D9"/>
          </w:tcPr>
          <w:p>
            <w:pPr>
              <w:pStyle w:val="TableParagraph"/>
              <w:ind w:right="379"/>
              <w:rPr>
                <w:rFonts w:ascii="Carlito"/>
                <w:sz w:val="16"/>
              </w:rPr>
            </w:pPr>
            <w:r>
              <w:rPr>
                <w:rFonts w:ascii="Carlito"/>
                <w:sz w:val="16"/>
              </w:rPr>
              <w:t>0</w:t>
            </w:r>
          </w:p>
        </w:tc>
        <w:tc>
          <w:tcPr>
            <w:tcW w:w="530" w:type="dxa"/>
            <w:shd w:val="clear" w:color="auto" w:fill="D9D9D9"/>
          </w:tcPr>
          <w:p>
            <w:pPr>
              <w:pStyle w:val="TableParagraph"/>
              <w:ind w:right="65"/>
              <w:rPr>
                <w:rFonts w:ascii="Carlito"/>
                <w:sz w:val="16"/>
              </w:rPr>
            </w:pPr>
            <w:r>
              <w:rPr>
                <w:rFonts w:ascii="Carlito"/>
                <w:sz w:val="16"/>
              </w:rPr>
              <w:t>1</w:t>
            </w:r>
          </w:p>
        </w:tc>
      </w:tr>
      <w:tr>
        <w:trPr>
          <w:trHeight w:val="287" w:hRule="atLeast"/>
        </w:trPr>
        <w:tc>
          <w:tcPr>
            <w:tcW w:w="756" w:type="dxa"/>
          </w:tcPr>
          <w:p>
            <w:pPr>
              <w:pStyle w:val="TableParagraph"/>
              <w:spacing w:line="177" w:lineRule="exact"/>
              <w:ind w:right="143"/>
              <w:rPr>
                <w:rFonts w:ascii="Carlito"/>
                <w:sz w:val="16"/>
              </w:rPr>
            </w:pPr>
            <w:r>
              <w:rPr>
                <w:rFonts w:ascii="Carlito"/>
                <w:sz w:val="16"/>
              </w:rPr>
              <w:t>81</w:t>
            </w:r>
          </w:p>
        </w:tc>
        <w:tc>
          <w:tcPr>
            <w:tcW w:w="1920" w:type="dxa"/>
          </w:tcPr>
          <w:p>
            <w:pPr>
              <w:pStyle w:val="TableParagraph"/>
              <w:spacing w:line="177" w:lineRule="exact"/>
              <w:ind w:left="143"/>
              <w:jc w:val="left"/>
              <w:rPr>
                <w:rFonts w:ascii="Carlito"/>
                <w:sz w:val="16"/>
              </w:rPr>
            </w:pPr>
            <w:r>
              <w:rPr>
                <w:rFonts w:ascii="Carlito"/>
                <w:sz w:val="16"/>
              </w:rPr>
              <w:t>Lomas de Ayarco</w:t>
            </w:r>
          </w:p>
        </w:tc>
        <w:tc>
          <w:tcPr>
            <w:tcW w:w="613" w:type="dxa"/>
          </w:tcPr>
          <w:p>
            <w:pPr>
              <w:pStyle w:val="TableParagraph"/>
              <w:spacing w:line="177" w:lineRule="exact"/>
              <w:ind w:right="69"/>
              <w:rPr>
                <w:rFonts w:ascii="Carlito"/>
                <w:sz w:val="16"/>
              </w:rPr>
            </w:pPr>
            <w:r>
              <w:rPr>
                <w:rFonts w:ascii="Carlito"/>
                <w:sz w:val="16"/>
              </w:rPr>
              <w:t>1</w:t>
            </w:r>
          </w:p>
        </w:tc>
        <w:tc>
          <w:tcPr>
            <w:tcW w:w="1418" w:type="dxa"/>
          </w:tcPr>
          <w:p>
            <w:pPr>
              <w:pStyle w:val="TableParagraph"/>
              <w:spacing w:line="177" w:lineRule="exact"/>
              <w:ind w:right="415"/>
              <w:rPr>
                <w:rFonts w:ascii="Carlito"/>
                <w:sz w:val="16"/>
              </w:rPr>
            </w:pPr>
            <w:r>
              <w:rPr>
                <w:rFonts w:ascii="Carlito"/>
                <w:sz w:val="16"/>
              </w:rPr>
              <w:t>$250,000.00</w:t>
            </w:r>
          </w:p>
        </w:tc>
        <w:tc>
          <w:tcPr>
            <w:tcW w:w="1000" w:type="dxa"/>
          </w:tcPr>
          <w:p>
            <w:pPr>
              <w:pStyle w:val="TableParagraph"/>
              <w:spacing w:line="177" w:lineRule="exact"/>
              <w:ind w:right="340"/>
              <w:rPr>
                <w:rFonts w:ascii="Carlito"/>
                <w:sz w:val="16"/>
              </w:rPr>
            </w:pPr>
            <w:r>
              <w:rPr>
                <w:rFonts w:ascii="Carlito"/>
                <w:sz w:val="16"/>
              </w:rPr>
              <w:t>250</w:t>
            </w:r>
          </w:p>
        </w:tc>
        <w:tc>
          <w:tcPr>
            <w:tcW w:w="1127" w:type="dxa"/>
          </w:tcPr>
          <w:p>
            <w:pPr>
              <w:pStyle w:val="TableParagraph"/>
              <w:spacing w:line="177" w:lineRule="exact"/>
              <w:ind w:left="317" w:right="435"/>
              <w:jc w:val="center"/>
              <w:rPr>
                <w:rFonts w:ascii="Carlito"/>
                <w:sz w:val="16"/>
              </w:rPr>
            </w:pPr>
            <w:r>
              <w:rPr>
                <w:rFonts w:ascii="Carlito"/>
                <w:sz w:val="16"/>
              </w:rPr>
              <w:t>2002</w:t>
            </w:r>
          </w:p>
        </w:tc>
        <w:tc>
          <w:tcPr>
            <w:tcW w:w="782" w:type="dxa"/>
          </w:tcPr>
          <w:p>
            <w:pPr>
              <w:pStyle w:val="TableParagraph"/>
              <w:spacing w:line="177" w:lineRule="exact"/>
              <w:ind w:right="235"/>
              <w:rPr>
                <w:rFonts w:ascii="Carlito"/>
                <w:sz w:val="16"/>
              </w:rPr>
            </w:pPr>
            <w:r>
              <w:rPr>
                <w:rFonts w:ascii="Carlito"/>
                <w:sz w:val="16"/>
              </w:rPr>
              <w:t>4</w:t>
            </w:r>
          </w:p>
        </w:tc>
        <w:tc>
          <w:tcPr>
            <w:tcW w:w="745" w:type="dxa"/>
          </w:tcPr>
          <w:p>
            <w:pPr>
              <w:pStyle w:val="TableParagraph"/>
              <w:spacing w:line="177" w:lineRule="exact"/>
              <w:ind w:right="304"/>
              <w:rPr>
                <w:rFonts w:ascii="Carlito"/>
                <w:sz w:val="16"/>
              </w:rPr>
            </w:pPr>
            <w:r>
              <w:rPr>
                <w:rFonts w:ascii="Carlito"/>
                <w:sz w:val="16"/>
              </w:rPr>
              <w:t>3.5</w:t>
            </w:r>
          </w:p>
        </w:tc>
        <w:tc>
          <w:tcPr>
            <w:tcW w:w="816" w:type="dxa"/>
          </w:tcPr>
          <w:p>
            <w:pPr>
              <w:pStyle w:val="TableParagraph"/>
              <w:spacing w:line="177" w:lineRule="exact"/>
              <w:ind w:left="301"/>
              <w:jc w:val="left"/>
              <w:rPr>
                <w:rFonts w:ascii="Carlito"/>
                <w:sz w:val="16"/>
              </w:rPr>
            </w:pPr>
            <w:r>
              <w:rPr>
                <w:rFonts w:ascii="Carlito"/>
                <w:sz w:val="16"/>
              </w:rPr>
              <w:t>2</w:t>
            </w:r>
          </w:p>
        </w:tc>
        <w:tc>
          <w:tcPr>
            <w:tcW w:w="1290" w:type="dxa"/>
          </w:tcPr>
          <w:p>
            <w:pPr>
              <w:pStyle w:val="TableParagraph"/>
              <w:spacing w:line="177" w:lineRule="exact"/>
              <w:ind w:right="573"/>
              <w:rPr>
                <w:rFonts w:ascii="Carlito"/>
                <w:sz w:val="16"/>
              </w:rPr>
            </w:pPr>
            <w:r>
              <w:rPr>
                <w:rFonts w:ascii="Carlito"/>
                <w:sz w:val="16"/>
              </w:rPr>
              <w:t>8.55</w:t>
            </w:r>
          </w:p>
        </w:tc>
        <w:tc>
          <w:tcPr>
            <w:tcW w:w="1140" w:type="dxa"/>
          </w:tcPr>
          <w:p>
            <w:pPr>
              <w:pStyle w:val="TableParagraph"/>
              <w:spacing w:line="177" w:lineRule="exact"/>
              <w:ind w:right="365"/>
              <w:rPr>
                <w:rFonts w:ascii="Carlito"/>
                <w:sz w:val="16"/>
              </w:rPr>
            </w:pPr>
            <w:r>
              <w:rPr>
                <w:rFonts w:ascii="Carlito"/>
                <w:sz w:val="16"/>
              </w:rPr>
              <w:t>2.9</w:t>
            </w:r>
          </w:p>
        </w:tc>
        <w:tc>
          <w:tcPr>
            <w:tcW w:w="826" w:type="dxa"/>
          </w:tcPr>
          <w:p>
            <w:pPr>
              <w:pStyle w:val="TableParagraph"/>
              <w:spacing w:line="177" w:lineRule="exact"/>
              <w:ind w:right="379"/>
              <w:rPr>
                <w:rFonts w:ascii="Carlito"/>
                <w:sz w:val="16"/>
              </w:rPr>
            </w:pPr>
            <w:r>
              <w:rPr>
                <w:rFonts w:ascii="Carlito"/>
                <w:sz w:val="16"/>
              </w:rPr>
              <w:t>0</w:t>
            </w:r>
          </w:p>
        </w:tc>
        <w:tc>
          <w:tcPr>
            <w:tcW w:w="530" w:type="dxa"/>
          </w:tcPr>
          <w:p>
            <w:pPr>
              <w:pStyle w:val="TableParagraph"/>
              <w:spacing w:line="177" w:lineRule="exact"/>
              <w:ind w:right="65"/>
              <w:rPr>
                <w:rFonts w:ascii="Carlito"/>
                <w:sz w:val="16"/>
              </w:rPr>
            </w:pPr>
            <w:r>
              <w:rPr>
                <w:rFonts w:ascii="Carlito"/>
                <w:sz w:val="16"/>
              </w:rPr>
              <w:t>0</w:t>
            </w:r>
          </w:p>
        </w:tc>
      </w:tr>
      <w:tr>
        <w:trPr>
          <w:trHeight w:val="287" w:hRule="atLeast"/>
        </w:trPr>
        <w:tc>
          <w:tcPr>
            <w:tcW w:w="756" w:type="dxa"/>
            <w:shd w:val="clear" w:color="auto" w:fill="D9D9D9"/>
          </w:tcPr>
          <w:p>
            <w:pPr>
              <w:pStyle w:val="TableParagraph"/>
              <w:spacing w:line="177" w:lineRule="exact"/>
              <w:ind w:right="143"/>
              <w:rPr>
                <w:rFonts w:ascii="Carlito"/>
                <w:sz w:val="16"/>
              </w:rPr>
            </w:pPr>
            <w:r>
              <w:rPr>
                <w:rFonts w:ascii="Carlito"/>
                <w:sz w:val="16"/>
              </w:rPr>
              <w:t>82</w:t>
            </w:r>
          </w:p>
        </w:tc>
        <w:tc>
          <w:tcPr>
            <w:tcW w:w="1920" w:type="dxa"/>
            <w:shd w:val="clear" w:color="auto" w:fill="D9D9D9"/>
          </w:tcPr>
          <w:p>
            <w:pPr>
              <w:pStyle w:val="TableParagraph"/>
              <w:spacing w:line="177" w:lineRule="exact"/>
              <w:ind w:left="143"/>
              <w:jc w:val="left"/>
              <w:rPr>
                <w:rFonts w:ascii="Carlito"/>
                <w:sz w:val="16"/>
              </w:rPr>
            </w:pPr>
            <w:r>
              <w:rPr>
                <w:rFonts w:ascii="Carlito"/>
                <w:sz w:val="16"/>
              </w:rPr>
              <w:t>Curridabat</w:t>
            </w:r>
          </w:p>
        </w:tc>
        <w:tc>
          <w:tcPr>
            <w:tcW w:w="613" w:type="dxa"/>
            <w:shd w:val="clear" w:color="auto" w:fill="D9D9D9"/>
          </w:tcPr>
          <w:p>
            <w:pPr>
              <w:pStyle w:val="TableParagraph"/>
              <w:spacing w:line="177" w:lineRule="exact"/>
              <w:ind w:right="69"/>
              <w:rPr>
                <w:rFonts w:ascii="Carlito"/>
                <w:sz w:val="16"/>
              </w:rPr>
            </w:pPr>
            <w:r>
              <w:rPr>
                <w:rFonts w:ascii="Carlito"/>
                <w:sz w:val="16"/>
              </w:rPr>
              <w:t>0</w:t>
            </w:r>
          </w:p>
        </w:tc>
        <w:tc>
          <w:tcPr>
            <w:tcW w:w="1418" w:type="dxa"/>
            <w:shd w:val="clear" w:color="auto" w:fill="D9D9D9"/>
          </w:tcPr>
          <w:p>
            <w:pPr>
              <w:pStyle w:val="TableParagraph"/>
              <w:spacing w:line="177" w:lineRule="exact"/>
              <w:ind w:right="415"/>
              <w:rPr>
                <w:rFonts w:ascii="Carlito"/>
                <w:sz w:val="16"/>
              </w:rPr>
            </w:pPr>
            <w:r>
              <w:rPr>
                <w:rFonts w:ascii="Carlito"/>
                <w:sz w:val="16"/>
              </w:rPr>
              <w:t>$225,000.00</w:t>
            </w:r>
          </w:p>
        </w:tc>
        <w:tc>
          <w:tcPr>
            <w:tcW w:w="1000" w:type="dxa"/>
            <w:shd w:val="clear" w:color="auto" w:fill="D9D9D9"/>
          </w:tcPr>
          <w:p>
            <w:pPr>
              <w:pStyle w:val="TableParagraph"/>
              <w:spacing w:line="177" w:lineRule="exact"/>
              <w:ind w:right="340"/>
              <w:rPr>
                <w:rFonts w:ascii="Carlito"/>
                <w:sz w:val="16"/>
              </w:rPr>
            </w:pPr>
            <w:r>
              <w:rPr>
                <w:rFonts w:ascii="Carlito"/>
                <w:sz w:val="16"/>
              </w:rPr>
              <w:t>191</w:t>
            </w:r>
          </w:p>
        </w:tc>
        <w:tc>
          <w:tcPr>
            <w:tcW w:w="1127" w:type="dxa"/>
            <w:shd w:val="clear" w:color="auto" w:fill="D9D9D9"/>
          </w:tcPr>
          <w:p>
            <w:pPr>
              <w:pStyle w:val="TableParagraph"/>
              <w:spacing w:line="177" w:lineRule="exact"/>
              <w:ind w:left="317" w:right="438"/>
              <w:jc w:val="center"/>
              <w:rPr>
                <w:rFonts w:ascii="Carlito"/>
                <w:sz w:val="16"/>
              </w:rPr>
            </w:pPr>
            <w:r>
              <w:rPr>
                <w:rFonts w:ascii="Carlito"/>
                <w:sz w:val="16"/>
              </w:rPr>
              <w:t>2006</w:t>
            </w:r>
          </w:p>
        </w:tc>
        <w:tc>
          <w:tcPr>
            <w:tcW w:w="782" w:type="dxa"/>
            <w:shd w:val="clear" w:color="auto" w:fill="D9D9D9"/>
          </w:tcPr>
          <w:p>
            <w:pPr>
              <w:pStyle w:val="TableParagraph"/>
              <w:spacing w:line="177" w:lineRule="exact"/>
              <w:ind w:right="235"/>
              <w:rPr>
                <w:rFonts w:ascii="Carlito"/>
                <w:sz w:val="16"/>
              </w:rPr>
            </w:pPr>
            <w:r>
              <w:rPr>
                <w:rFonts w:ascii="Carlito"/>
                <w:sz w:val="16"/>
              </w:rPr>
              <w:t>3</w:t>
            </w:r>
          </w:p>
        </w:tc>
        <w:tc>
          <w:tcPr>
            <w:tcW w:w="745" w:type="dxa"/>
            <w:shd w:val="clear" w:color="auto" w:fill="D9D9D9"/>
          </w:tcPr>
          <w:p>
            <w:pPr>
              <w:pStyle w:val="TableParagraph"/>
              <w:spacing w:line="177" w:lineRule="exact"/>
              <w:ind w:right="299"/>
              <w:rPr>
                <w:rFonts w:ascii="Carlito"/>
                <w:sz w:val="16"/>
              </w:rPr>
            </w:pPr>
            <w:r>
              <w:rPr>
                <w:rFonts w:ascii="Carlito"/>
                <w:sz w:val="16"/>
              </w:rPr>
              <w:t>3</w:t>
            </w:r>
          </w:p>
        </w:tc>
        <w:tc>
          <w:tcPr>
            <w:tcW w:w="816" w:type="dxa"/>
            <w:shd w:val="clear" w:color="auto" w:fill="D9D9D9"/>
          </w:tcPr>
          <w:p>
            <w:pPr>
              <w:pStyle w:val="TableParagraph"/>
              <w:spacing w:line="177" w:lineRule="exact"/>
              <w:ind w:left="301"/>
              <w:jc w:val="left"/>
              <w:rPr>
                <w:rFonts w:ascii="Carlito"/>
                <w:sz w:val="16"/>
              </w:rPr>
            </w:pPr>
            <w:r>
              <w:rPr>
                <w:rFonts w:ascii="Carlito"/>
                <w:sz w:val="16"/>
              </w:rPr>
              <w:t>2</w:t>
            </w:r>
          </w:p>
        </w:tc>
        <w:tc>
          <w:tcPr>
            <w:tcW w:w="1290" w:type="dxa"/>
            <w:shd w:val="clear" w:color="auto" w:fill="D9D9D9"/>
          </w:tcPr>
          <w:p>
            <w:pPr>
              <w:pStyle w:val="TableParagraph"/>
              <w:spacing w:line="177" w:lineRule="exact"/>
              <w:ind w:right="573"/>
              <w:rPr>
                <w:rFonts w:ascii="Carlito"/>
                <w:sz w:val="16"/>
              </w:rPr>
            </w:pPr>
            <w:r>
              <w:rPr>
                <w:rFonts w:ascii="Carlito"/>
                <w:sz w:val="16"/>
              </w:rPr>
              <w:t>5.7</w:t>
            </w:r>
          </w:p>
        </w:tc>
        <w:tc>
          <w:tcPr>
            <w:tcW w:w="1140" w:type="dxa"/>
            <w:shd w:val="clear" w:color="auto" w:fill="D9D9D9"/>
          </w:tcPr>
          <w:p>
            <w:pPr>
              <w:pStyle w:val="TableParagraph"/>
              <w:spacing w:line="177" w:lineRule="exact"/>
              <w:ind w:right="365"/>
              <w:rPr>
                <w:rFonts w:ascii="Carlito"/>
                <w:sz w:val="16"/>
              </w:rPr>
            </w:pPr>
            <w:r>
              <w:rPr>
                <w:rFonts w:ascii="Carlito"/>
                <w:sz w:val="16"/>
              </w:rPr>
              <w:t>3.2</w:t>
            </w:r>
          </w:p>
        </w:tc>
        <w:tc>
          <w:tcPr>
            <w:tcW w:w="826" w:type="dxa"/>
            <w:shd w:val="clear" w:color="auto" w:fill="D9D9D9"/>
          </w:tcPr>
          <w:p>
            <w:pPr>
              <w:pStyle w:val="TableParagraph"/>
              <w:spacing w:line="177" w:lineRule="exact"/>
              <w:ind w:right="379"/>
              <w:rPr>
                <w:rFonts w:ascii="Carlito"/>
                <w:sz w:val="16"/>
              </w:rPr>
            </w:pPr>
            <w:r>
              <w:rPr>
                <w:rFonts w:ascii="Carlito"/>
                <w:sz w:val="16"/>
              </w:rPr>
              <w:t>0</w:t>
            </w:r>
          </w:p>
        </w:tc>
        <w:tc>
          <w:tcPr>
            <w:tcW w:w="530" w:type="dxa"/>
            <w:shd w:val="clear" w:color="auto" w:fill="D9D9D9"/>
          </w:tcPr>
          <w:p>
            <w:pPr>
              <w:pStyle w:val="TableParagraph"/>
              <w:spacing w:line="177" w:lineRule="exact"/>
              <w:ind w:right="65"/>
              <w:rPr>
                <w:rFonts w:ascii="Carlito"/>
                <w:sz w:val="16"/>
              </w:rPr>
            </w:pPr>
            <w:r>
              <w:rPr>
                <w:rFonts w:ascii="Carlito"/>
                <w:sz w:val="16"/>
              </w:rPr>
              <w:t>1</w:t>
            </w:r>
          </w:p>
        </w:tc>
      </w:tr>
      <w:tr>
        <w:trPr>
          <w:trHeight w:val="287" w:hRule="atLeast"/>
        </w:trPr>
        <w:tc>
          <w:tcPr>
            <w:tcW w:w="756" w:type="dxa"/>
          </w:tcPr>
          <w:p>
            <w:pPr>
              <w:pStyle w:val="TableParagraph"/>
              <w:ind w:right="143"/>
              <w:rPr>
                <w:rFonts w:ascii="Carlito"/>
                <w:sz w:val="16"/>
              </w:rPr>
            </w:pPr>
            <w:r>
              <w:rPr>
                <w:rFonts w:ascii="Carlito"/>
                <w:sz w:val="16"/>
              </w:rPr>
              <w:t>83</w:t>
            </w:r>
          </w:p>
        </w:tc>
        <w:tc>
          <w:tcPr>
            <w:tcW w:w="1920" w:type="dxa"/>
          </w:tcPr>
          <w:p>
            <w:pPr>
              <w:pStyle w:val="TableParagraph"/>
              <w:ind w:left="143"/>
              <w:jc w:val="left"/>
              <w:rPr>
                <w:rFonts w:ascii="Carlito"/>
                <w:sz w:val="16"/>
              </w:rPr>
            </w:pPr>
            <w:r>
              <w:rPr>
                <w:rFonts w:ascii="Carlito"/>
                <w:sz w:val="16"/>
              </w:rPr>
              <w:t>Guayabos</w:t>
            </w:r>
          </w:p>
        </w:tc>
        <w:tc>
          <w:tcPr>
            <w:tcW w:w="613" w:type="dxa"/>
          </w:tcPr>
          <w:p>
            <w:pPr>
              <w:pStyle w:val="TableParagraph"/>
              <w:ind w:right="69"/>
              <w:rPr>
                <w:rFonts w:ascii="Carlito"/>
                <w:sz w:val="16"/>
              </w:rPr>
            </w:pPr>
            <w:r>
              <w:rPr>
                <w:rFonts w:ascii="Carlito"/>
                <w:sz w:val="16"/>
              </w:rPr>
              <w:t>0</w:t>
            </w:r>
          </w:p>
        </w:tc>
        <w:tc>
          <w:tcPr>
            <w:tcW w:w="1418" w:type="dxa"/>
          </w:tcPr>
          <w:p>
            <w:pPr>
              <w:pStyle w:val="TableParagraph"/>
              <w:ind w:right="415"/>
              <w:rPr>
                <w:rFonts w:ascii="Carlito"/>
                <w:sz w:val="16"/>
              </w:rPr>
            </w:pPr>
            <w:r>
              <w:rPr>
                <w:rFonts w:ascii="Carlito"/>
                <w:sz w:val="16"/>
              </w:rPr>
              <w:t>$290,000.00</w:t>
            </w:r>
          </w:p>
        </w:tc>
        <w:tc>
          <w:tcPr>
            <w:tcW w:w="1000" w:type="dxa"/>
          </w:tcPr>
          <w:p>
            <w:pPr>
              <w:pStyle w:val="TableParagraph"/>
              <w:ind w:right="340"/>
              <w:rPr>
                <w:rFonts w:ascii="Carlito"/>
                <w:sz w:val="16"/>
              </w:rPr>
            </w:pPr>
            <w:r>
              <w:rPr>
                <w:rFonts w:ascii="Carlito"/>
                <w:sz w:val="16"/>
              </w:rPr>
              <w:t>220</w:t>
            </w:r>
          </w:p>
        </w:tc>
        <w:tc>
          <w:tcPr>
            <w:tcW w:w="1127" w:type="dxa"/>
          </w:tcPr>
          <w:p>
            <w:pPr>
              <w:pStyle w:val="TableParagraph"/>
              <w:ind w:left="317" w:right="438"/>
              <w:jc w:val="center"/>
              <w:rPr>
                <w:rFonts w:ascii="Carlito"/>
                <w:sz w:val="16"/>
              </w:rPr>
            </w:pPr>
            <w:r>
              <w:rPr>
                <w:rFonts w:ascii="Carlito"/>
                <w:sz w:val="16"/>
              </w:rPr>
              <w:t>2005</w:t>
            </w:r>
          </w:p>
        </w:tc>
        <w:tc>
          <w:tcPr>
            <w:tcW w:w="782" w:type="dxa"/>
          </w:tcPr>
          <w:p>
            <w:pPr>
              <w:pStyle w:val="TableParagraph"/>
              <w:ind w:right="235"/>
              <w:rPr>
                <w:rFonts w:ascii="Carlito"/>
                <w:sz w:val="16"/>
              </w:rPr>
            </w:pPr>
            <w:r>
              <w:rPr>
                <w:rFonts w:ascii="Carlito"/>
                <w:sz w:val="16"/>
              </w:rPr>
              <w:t>3</w:t>
            </w:r>
          </w:p>
        </w:tc>
        <w:tc>
          <w:tcPr>
            <w:tcW w:w="745" w:type="dxa"/>
          </w:tcPr>
          <w:p>
            <w:pPr>
              <w:pStyle w:val="TableParagraph"/>
              <w:ind w:right="304"/>
              <w:rPr>
                <w:rFonts w:ascii="Carlito"/>
                <w:sz w:val="16"/>
              </w:rPr>
            </w:pPr>
            <w:r>
              <w:rPr>
                <w:rFonts w:ascii="Carlito"/>
                <w:sz w:val="16"/>
              </w:rPr>
              <w:t>2.5</w:t>
            </w:r>
          </w:p>
        </w:tc>
        <w:tc>
          <w:tcPr>
            <w:tcW w:w="816" w:type="dxa"/>
          </w:tcPr>
          <w:p>
            <w:pPr>
              <w:pStyle w:val="TableParagraph"/>
              <w:ind w:left="301"/>
              <w:jc w:val="left"/>
              <w:rPr>
                <w:rFonts w:ascii="Carlito"/>
                <w:sz w:val="16"/>
              </w:rPr>
            </w:pPr>
            <w:r>
              <w:rPr>
                <w:rFonts w:ascii="Carlito"/>
                <w:sz w:val="16"/>
              </w:rPr>
              <w:t>2</w:t>
            </w:r>
          </w:p>
        </w:tc>
        <w:tc>
          <w:tcPr>
            <w:tcW w:w="1290" w:type="dxa"/>
          </w:tcPr>
          <w:p>
            <w:pPr>
              <w:pStyle w:val="TableParagraph"/>
              <w:ind w:right="573"/>
              <w:rPr>
                <w:rFonts w:ascii="Carlito"/>
                <w:sz w:val="16"/>
              </w:rPr>
            </w:pPr>
            <w:r>
              <w:rPr>
                <w:rFonts w:ascii="Carlito"/>
                <w:sz w:val="16"/>
              </w:rPr>
              <w:t>7.4</w:t>
            </w:r>
          </w:p>
        </w:tc>
        <w:tc>
          <w:tcPr>
            <w:tcW w:w="1140" w:type="dxa"/>
          </w:tcPr>
          <w:p>
            <w:pPr>
              <w:pStyle w:val="TableParagraph"/>
              <w:ind w:right="361"/>
              <w:rPr>
                <w:rFonts w:ascii="Carlito"/>
                <w:sz w:val="16"/>
              </w:rPr>
            </w:pPr>
            <w:r>
              <w:rPr>
                <w:rFonts w:ascii="Carlito"/>
                <w:sz w:val="16"/>
              </w:rPr>
              <w:t>5</w:t>
            </w:r>
          </w:p>
        </w:tc>
        <w:tc>
          <w:tcPr>
            <w:tcW w:w="826" w:type="dxa"/>
          </w:tcPr>
          <w:p>
            <w:pPr>
              <w:pStyle w:val="TableParagraph"/>
              <w:ind w:right="379"/>
              <w:rPr>
                <w:rFonts w:ascii="Carlito"/>
                <w:sz w:val="16"/>
              </w:rPr>
            </w:pPr>
            <w:r>
              <w:rPr>
                <w:rFonts w:ascii="Carlito"/>
                <w:sz w:val="16"/>
              </w:rPr>
              <w:t>0</w:t>
            </w:r>
          </w:p>
        </w:tc>
        <w:tc>
          <w:tcPr>
            <w:tcW w:w="530" w:type="dxa"/>
          </w:tcPr>
          <w:p>
            <w:pPr>
              <w:pStyle w:val="TableParagraph"/>
              <w:ind w:right="65"/>
              <w:rPr>
                <w:rFonts w:ascii="Carlito"/>
                <w:sz w:val="16"/>
              </w:rPr>
            </w:pPr>
            <w:r>
              <w:rPr>
                <w:rFonts w:ascii="Carlito"/>
                <w:sz w:val="16"/>
              </w:rPr>
              <w:t>1</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84</w:t>
            </w:r>
          </w:p>
        </w:tc>
        <w:tc>
          <w:tcPr>
            <w:tcW w:w="1920" w:type="dxa"/>
            <w:shd w:val="clear" w:color="auto" w:fill="D9D9D9"/>
          </w:tcPr>
          <w:p>
            <w:pPr>
              <w:pStyle w:val="TableParagraph"/>
              <w:spacing w:before="92"/>
              <w:ind w:left="143"/>
              <w:jc w:val="left"/>
              <w:rPr>
                <w:rFonts w:ascii="Carlito"/>
                <w:sz w:val="16"/>
              </w:rPr>
            </w:pPr>
            <w:r>
              <w:rPr>
                <w:rFonts w:ascii="Carlito"/>
                <w:sz w:val="16"/>
              </w:rPr>
              <w:t>Curridabat</w:t>
            </w:r>
          </w:p>
        </w:tc>
        <w:tc>
          <w:tcPr>
            <w:tcW w:w="613" w:type="dxa"/>
            <w:shd w:val="clear" w:color="auto" w:fill="D9D9D9"/>
          </w:tcPr>
          <w:p>
            <w:pPr>
              <w:pStyle w:val="TableParagraph"/>
              <w:spacing w:before="92"/>
              <w:ind w:right="69"/>
              <w:rPr>
                <w:rFonts w:ascii="Carlito"/>
                <w:sz w:val="16"/>
              </w:rPr>
            </w:pPr>
            <w:r>
              <w:rPr>
                <w:rFonts w:ascii="Carlito"/>
                <w:sz w:val="16"/>
              </w:rPr>
              <w:t>1</w:t>
            </w:r>
          </w:p>
        </w:tc>
        <w:tc>
          <w:tcPr>
            <w:tcW w:w="1418" w:type="dxa"/>
            <w:shd w:val="clear" w:color="auto" w:fill="D9D9D9"/>
          </w:tcPr>
          <w:p>
            <w:pPr>
              <w:pStyle w:val="TableParagraph"/>
              <w:spacing w:before="92"/>
              <w:ind w:right="415"/>
              <w:rPr>
                <w:rFonts w:ascii="Carlito"/>
                <w:sz w:val="16"/>
              </w:rPr>
            </w:pPr>
            <w:r>
              <w:rPr>
                <w:rFonts w:ascii="Carlito"/>
                <w:sz w:val="16"/>
              </w:rPr>
              <w:t>$200,000.00</w:t>
            </w:r>
          </w:p>
        </w:tc>
        <w:tc>
          <w:tcPr>
            <w:tcW w:w="1000" w:type="dxa"/>
            <w:shd w:val="clear" w:color="auto" w:fill="D9D9D9"/>
          </w:tcPr>
          <w:p>
            <w:pPr>
              <w:pStyle w:val="TableParagraph"/>
              <w:spacing w:before="92"/>
              <w:ind w:right="340"/>
              <w:rPr>
                <w:rFonts w:ascii="Carlito"/>
                <w:sz w:val="16"/>
              </w:rPr>
            </w:pPr>
            <w:r>
              <w:rPr>
                <w:rFonts w:ascii="Carlito"/>
                <w:sz w:val="16"/>
              </w:rPr>
              <w:t>290</w:t>
            </w:r>
          </w:p>
        </w:tc>
        <w:tc>
          <w:tcPr>
            <w:tcW w:w="1127" w:type="dxa"/>
            <w:shd w:val="clear" w:color="auto" w:fill="D9D9D9"/>
          </w:tcPr>
          <w:p>
            <w:pPr>
              <w:pStyle w:val="TableParagraph"/>
              <w:spacing w:before="92"/>
              <w:ind w:left="317" w:right="438"/>
              <w:jc w:val="center"/>
              <w:rPr>
                <w:rFonts w:ascii="Carlito"/>
                <w:sz w:val="16"/>
              </w:rPr>
            </w:pPr>
            <w:r>
              <w:rPr>
                <w:rFonts w:ascii="Carlito"/>
                <w:sz w:val="16"/>
              </w:rPr>
              <w:t>2006</w:t>
            </w:r>
          </w:p>
        </w:tc>
        <w:tc>
          <w:tcPr>
            <w:tcW w:w="782" w:type="dxa"/>
            <w:shd w:val="clear" w:color="auto" w:fill="D9D9D9"/>
          </w:tcPr>
          <w:p>
            <w:pPr>
              <w:pStyle w:val="TableParagraph"/>
              <w:spacing w:before="92"/>
              <w:ind w:right="235"/>
              <w:rPr>
                <w:rFonts w:ascii="Carlito"/>
                <w:sz w:val="16"/>
              </w:rPr>
            </w:pPr>
            <w:r>
              <w:rPr>
                <w:rFonts w:ascii="Carlito"/>
                <w:sz w:val="16"/>
              </w:rPr>
              <w:t>4</w:t>
            </w:r>
          </w:p>
        </w:tc>
        <w:tc>
          <w:tcPr>
            <w:tcW w:w="745" w:type="dxa"/>
            <w:shd w:val="clear" w:color="auto" w:fill="D9D9D9"/>
          </w:tcPr>
          <w:p>
            <w:pPr>
              <w:pStyle w:val="TableParagraph"/>
              <w:spacing w:before="92"/>
              <w:ind w:right="299"/>
              <w:rPr>
                <w:rFonts w:ascii="Carlito"/>
                <w:sz w:val="16"/>
              </w:rPr>
            </w:pPr>
            <w:r>
              <w:rPr>
                <w:rFonts w:ascii="Carlito"/>
                <w:sz w:val="16"/>
              </w:rPr>
              <w:t>4</w:t>
            </w:r>
          </w:p>
        </w:tc>
        <w:tc>
          <w:tcPr>
            <w:tcW w:w="816" w:type="dxa"/>
            <w:shd w:val="clear" w:color="auto" w:fill="D9D9D9"/>
          </w:tcPr>
          <w:p>
            <w:pPr>
              <w:pStyle w:val="TableParagraph"/>
              <w:spacing w:before="92"/>
              <w:ind w:left="301"/>
              <w:jc w:val="left"/>
              <w:rPr>
                <w:rFonts w:ascii="Carlito"/>
                <w:sz w:val="16"/>
              </w:rPr>
            </w:pPr>
            <w:r>
              <w:rPr>
                <w:rFonts w:ascii="Carlito"/>
                <w:sz w:val="16"/>
              </w:rPr>
              <w:t>1</w:t>
            </w:r>
          </w:p>
        </w:tc>
        <w:tc>
          <w:tcPr>
            <w:tcW w:w="1290" w:type="dxa"/>
            <w:shd w:val="clear" w:color="auto" w:fill="D9D9D9"/>
          </w:tcPr>
          <w:p>
            <w:pPr>
              <w:pStyle w:val="TableParagraph"/>
              <w:spacing w:before="92"/>
              <w:ind w:right="573"/>
              <w:rPr>
                <w:rFonts w:ascii="Carlito"/>
                <w:sz w:val="16"/>
              </w:rPr>
            </w:pPr>
            <w:r>
              <w:rPr>
                <w:rFonts w:ascii="Carlito"/>
                <w:sz w:val="16"/>
              </w:rPr>
              <w:t>4.2</w:t>
            </w:r>
          </w:p>
        </w:tc>
        <w:tc>
          <w:tcPr>
            <w:tcW w:w="1140" w:type="dxa"/>
            <w:shd w:val="clear" w:color="auto" w:fill="D9D9D9"/>
          </w:tcPr>
          <w:p>
            <w:pPr>
              <w:pStyle w:val="TableParagraph"/>
              <w:spacing w:before="92"/>
              <w:ind w:right="365"/>
              <w:rPr>
                <w:rFonts w:ascii="Carlito"/>
                <w:sz w:val="16"/>
              </w:rPr>
            </w:pPr>
            <w:r>
              <w:rPr>
                <w:rFonts w:ascii="Carlito"/>
                <w:sz w:val="16"/>
              </w:rPr>
              <w:t>4.8</w:t>
            </w:r>
          </w:p>
        </w:tc>
        <w:tc>
          <w:tcPr>
            <w:tcW w:w="826" w:type="dxa"/>
            <w:shd w:val="clear" w:color="auto" w:fill="D9D9D9"/>
          </w:tcPr>
          <w:p>
            <w:pPr>
              <w:pStyle w:val="TableParagraph"/>
              <w:spacing w:before="92"/>
              <w:ind w:right="379"/>
              <w:rPr>
                <w:rFonts w:ascii="Carlito"/>
                <w:sz w:val="16"/>
              </w:rPr>
            </w:pPr>
            <w:r>
              <w:rPr>
                <w:rFonts w:ascii="Carlito"/>
                <w:sz w:val="16"/>
              </w:rPr>
              <w:t>0</w:t>
            </w:r>
          </w:p>
        </w:tc>
        <w:tc>
          <w:tcPr>
            <w:tcW w:w="530" w:type="dxa"/>
            <w:shd w:val="clear" w:color="auto" w:fill="D9D9D9"/>
          </w:tcPr>
          <w:p>
            <w:pPr>
              <w:pStyle w:val="TableParagraph"/>
              <w:spacing w:before="92"/>
              <w:ind w:right="65"/>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85</w:t>
            </w:r>
          </w:p>
        </w:tc>
        <w:tc>
          <w:tcPr>
            <w:tcW w:w="1920" w:type="dxa"/>
          </w:tcPr>
          <w:p>
            <w:pPr>
              <w:pStyle w:val="TableParagraph"/>
              <w:ind w:left="143"/>
              <w:jc w:val="left"/>
              <w:rPr>
                <w:rFonts w:ascii="Carlito"/>
                <w:sz w:val="16"/>
              </w:rPr>
            </w:pPr>
            <w:r>
              <w:rPr>
                <w:rFonts w:ascii="Carlito"/>
                <w:sz w:val="16"/>
              </w:rPr>
              <w:t>Guayabos</w:t>
            </w:r>
          </w:p>
        </w:tc>
        <w:tc>
          <w:tcPr>
            <w:tcW w:w="613" w:type="dxa"/>
          </w:tcPr>
          <w:p>
            <w:pPr>
              <w:pStyle w:val="TableParagraph"/>
              <w:ind w:right="69"/>
              <w:rPr>
                <w:rFonts w:ascii="Carlito"/>
                <w:sz w:val="16"/>
              </w:rPr>
            </w:pPr>
            <w:r>
              <w:rPr>
                <w:rFonts w:ascii="Carlito"/>
                <w:sz w:val="16"/>
              </w:rPr>
              <w:t>1</w:t>
            </w:r>
          </w:p>
        </w:tc>
        <w:tc>
          <w:tcPr>
            <w:tcW w:w="1418" w:type="dxa"/>
          </w:tcPr>
          <w:p>
            <w:pPr>
              <w:pStyle w:val="TableParagraph"/>
              <w:ind w:right="415"/>
              <w:rPr>
                <w:rFonts w:ascii="Carlito"/>
                <w:sz w:val="16"/>
              </w:rPr>
            </w:pPr>
            <w:r>
              <w:rPr>
                <w:rFonts w:ascii="Carlito"/>
                <w:sz w:val="16"/>
              </w:rPr>
              <w:t>$395,000.00</w:t>
            </w:r>
          </w:p>
        </w:tc>
        <w:tc>
          <w:tcPr>
            <w:tcW w:w="1000" w:type="dxa"/>
          </w:tcPr>
          <w:p>
            <w:pPr>
              <w:pStyle w:val="TableParagraph"/>
              <w:ind w:right="340"/>
              <w:rPr>
                <w:rFonts w:ascii="Carlito"/>
                <w:sz w:val="16"/>
              </w:rPr>
            </w:pPr>
            <w:r>
              <w:rPr>
                <w:rFonts w:ascii="Carlito"/>
                <w:sz w:val="16"/>
              </w:rPr>
              <w:t>330</w:t>
            </w:r>
          </w:p>
        </w:tc>
        <w:tc>
          <w:tcPr>
            <w:tcW w:w="1127" w:type="dxa"/>
          </w:tcPr>
          <w:p>
            <w:pPr>
              <w:pStyle w:val="TableParagraph"/>
              <w:ind w:left="317" w:right="438"/>
              <w:jc w:val="center"/>
              <w:rPr>
                <w:rFonts w:ascii="Carlito"/>
                <w:sz w:val="16"/>
              </w:rPr>
            </w:pPr>
            <w:r>
              <w:rPr>
                <w:rFonts w:ascii="Carlito"/>
                <w:sz w:val="16"/>
              </w:rPr>
              <w:t>1999</w:t>
            </w:r>
          </w:p>
        </w:tc>
        <w:tc>
          <w:tcPr>
            <w:tcW w:w="782" w:type="dxa"/>
          </w:tcPr>
          <w:p>
            <w:pPr>
              <w:pStyle w:val="TableParagraph"/>
              <w:ind w:right="235"/>
              <w:rPr>
                <w:rFonts w:ascii="Carlito"/>
                <w:sz w:val="16"/>
              </w:rPr>
            </w:pPr>
            <w:r>
              <w:rPr>
                <w:rFonts w:ascii="Carlito"/>
                <w:sz w:val="16"/>
              </w:rPr>
              <w:t>3</w:t>
            </w:r>
          </w:p>
        </w:tc>
        <w:tc>
          <w:tcPr>
            <w:tcW w:w="745" w:type="dxa"/>
          </w:tcPr>
          <w:p>
            <w:pPr>
              <w:pStyle w:val="TableParagraph"/>
              <w:ind w:right="304"/>
              <w:rPr>
                <w:rFonts w:ascii="Carlito"/>
                <w:sz w:val="16"/>
              </w:rPr>
            </w:pPr>
            <w:r>
              <w:rPr>
                <w:rFonts w:ascii="Carlito"/>
                <w:sz w:val="16"/>
              </w:rPr>
              <w:t>3.5</w:t>
            </w:r>
          </w:p>
        </w:tc>
        <w:tc>
          <w:tcPr>
            <w:tcW w:w="816" w:type="dxa"/>
          </w:tcPr>
          <w:p>
            <w:pPr>
              <w:pStyle w:val="TableParagraph"/>
              <w:ind w:left="301"/>
              <w:jc w:val="left"/>
              <w:rPr>
                <w:rFonts w:ascii="Carlito"/>
                <w:sz w:val="16"/>
              </w:rPr>
            </w:pPr>
            <w:r>
              <w:rPr>
                <w:rFonts w:ascii="Carlito"/>
                <w:sz w:val="16"/>
              </w:rPr>
              <w:t>1</w:t>
            </w:r>
          </w:p>
        </w:tc>
        <w:tc>
          <w:tcPr>
            <w:tcW w:w="1290" w:type="dxa"/>
          </w:tcPr>
          <w:p>
            <w:pPr>
              <w:pStyle w:val="TableParagraph"/>
              <w:ind w:right="573"/>
              <w:rPr>
                <w:rFonts w:ascii="Carlito"/>
                <w:sz w:val="16"/>
              </w:rPr>
            </w:pPr>
            <w:r>
              <w:rPr>
                <w:rFonts w:ascii="Carlito"/>
                <w:sz w:val="16"/>
              </w:rPr>
              <w:t>7.4</w:t>
            </w:r>
          </w:p>
        </w:tc>
        <w:tc>
          <w:tcPr>
            <w:tcW w:w="1140" w:type="dxa"/>
          </w:tcPr>
          <w:p>
            <w:pPr>
              <w:pStyle w:val="TableParagraph"/>
              <w:ind w:right="361"/>
              <w:rPr>
                <w:rFonts w:ascii="Carlito"/>
                <w:sz w:val="16"/>
              </w:rPr>
            </w:pPr>
            <w:r>
              <w:rPr>
                <w:rFonts w:ascii="Carlito"/>
                <w:sz w:val="16"/>
              </w:rPr>
              <w:t>5</w:t>
            </w:r>
          </w:p>
        </w:tc>
        <w:tc>
          <w:tcPr>
            <w:tcW w:w="826" w:type="dxa"/>
          </w:tcPr>
          <w:p>
            <w:pPr>
              <w:pStyle w:val="TableParagraph"/>
              <w:ind w:right="379"/>
              <w:rPr>
                <w:rFonts w:ascii="Carlito"/>
                <w:sz w:val="16"/>
              </w:rPr>
            </w:pPr>
            <w:r>
              <w:rPr>
                <w:rFonts w:ascii="Carlito"/>
                <w:sz w:val="16"/>
              </w:rPr>
              <w:t>0</w:t>
            </w:r>
          </w:p>
        </w:tc>
        <w:tc>
          <w:tcPr>
            <w:tcW w:w="530" w:type="dxa"/>
          </w:tcPr>
          <w:p>
            <w:pPr>
              <w:pStyle w:val="TableParagraph"/>
              <w:ind w:right="65"/>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86</w:t>
            </w:r>
          </w:p>
        </w:tc>
        <w:tc>
          <w:tcPr>
            <w:tcW w:w="1920" w:type="dxa"/>
            <w:shd w:val="clear" w:color="auto" w:fill="D9D9D9"/>
          </w:tcPr>
          <w:p>
            <w:pPr>
              <w:pStyle w:val="TableParagraph"/>
              <w:ind w:left="143"/>
              <w:jc w:val="left"/>
              <w:rPr>
                <w:rFonts w:ascii="Carlito"/>
                <w:sz w:val="16"/>
              </w:rPr>
            </w:pPr>
            <w:r>
              <w:rPr>
                <w:rFonts w:ascii="Carlito"/>
                <w:sz w:val="16"/>
              </w:rPr>
              <w:t>Curridabat</w:t>
            </w:r>
          </w:p>
        </w:tc>
        <w:tc>
          <w:tcPr>
            <w:tcW w:w="613"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$400,000.00</w:t>
            </w:r>
          </w:p>
        </w:tc>
        <w:tc>
          <w:tcPr>
            <w:tcW w:w="1000" w:type="dxa"/>
            <w:shd w:val="clear" w:color="auto" w:fill="D9D9D9"/>
          </w:tcPr>
          <w:p>
            <w:pPr>
              <w:pStyle w:val="TableParagraph"/>
              <w:ind w:right="340"/>
              <w:rPr>
                <w:rFonts w:ascii="Carlito"/>
                <w:sz w:val="16"/>
              </w:rPr>
            </w:pPr>
            <w:r>
              <w:rPr>
                <w:rFonts w:ascii="Carlito"/>
                <w:sz w:val="16"/>
              </w:rPr>
              <w:t>220</w:t>
            </w:r>
          </w:p>
        </w:tc>
        <w:tc>
          <w:tcPr>
            <w:tcW w:w="1127" w:type="dxa"/>
            <w:shd w:val="clear" w:color="auto" w:fill="D9D9D9"/>
          </w:tcPr>
          <w:p>
            <w:pPr>
              <w:pStyle w:val="TableParagraph"/>
              <w:ind w:left="317" w:right="438"/>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4</w:t>
            </w:r>
          </w:p>
        </w:tc>
        <w:tc>
          <w:tcPr>
            <w:tcW w:w="745" w:type="dxa"/>
            <w:shd w:val="clear" w:color="auto" w:fill="D9D9D9"/>
          </w:tcPr>
          <w:p>
            <w:pPr>
              <w:pStyle w:val="TableParagraph"/>
              <w:ind w:right="304"/>
              <w:rPr>
                <w:rFonts w:ascii="Carlito"/>
                <w:sz w:val="16"/>
              </w:rPr>
            </w:pPr>
            <w:r>
              <w:rPr>
                <w:rFonts w:ascii="Carlito"/>
                <w:sz w:val="16"/>
              </w:rPr>
              <w:t>3.5</w:t>
            </w:r>
          </w:p>
        </w:tc>
        <w:tc>
          <w:tcPr>
            <w:tcW w:w="816" w:type="dxa"/>
            <w:shd w:val="clear" w:color="auto" w:fill="D9D9D9"/>
          </w:tcPr>
          <w:p>
            <w:pPr>
              <w:pStyle w:val="TableParagraph"/>
              <w:ind w:left="301"/>
              <w:jc w:val="left"/>
              <w:rPr>
                <w:rFonts w:ascii="Carlito"/>
                <w:sz w:val="16"/>
              </w:rPr>
            </w:pPr>
            <w:r>
              <w:rPr>
                <w:rFonts w:ascii="Carlito"/>
                <w:sz w:val="16"/>
              </w:rPr>
              <w:t>2</w:t>
            </w:r>
          </w:p>
        </w:tc>
        <w:tc>
          <w:tcPr>
            <w:tcW w:w="1290" w:type="dxa"/>
            <w:shd w:val="clear" w:color="auto" w:fill="D9D9D9"/>
          </w:tcPr>
          <w:p>
            <w:pPr>
              <w:pStyle w:val="TableParagraph"/>
              <w:ind w:right="573"/>
              <w:rPr>
                <w:rFonts w:ascii="Carlito"/>
                <w:sz w:val="16"/>
              </w:rPr>
            </w:pPr>
            <w:r>
              <w:rPr>
                <w:rFonts w:ascii="Carlito"/>
                <w:sz w:val="16"/>
              </w:rPr>
              <w:t>5.7</w:t>
            </w:r>
          </w:p>
        </w:tc>
        <w:tc>
          <w:tcPr>
            <w:tcW w:w="1140" w:type="dxa"/>
            <w:shd w:val="clear" w:color="auto" w:fill="D9D9D9"/>
          </w:tcPr>
          <w:p>
            <w:pPr>
              <w:pStyle w:val="TableParagraph"/>
              <w:ind w:right="365"/>
              <w:rPr>
                <w:rFonts w:ascii="Carlito"/>
                <w:sz w:val="16"/>
              </w:rPr>
            </w:pPr>
            <w:r>
              <w:rPr>
                <w:rFonts w:ascii="Carlito"/>
                <w:sz w:val="16"/>
              </w:rPr>
              <w:t>3.2</w:t>
            </w:r>
          </w:p>
        </w:tc>
        <w:tc>
          <w:tcPr>
            <w:tcW w:w="826" w:type="dxa"/>
            <w:shd w:val="clear" w:color="auto" w:fill="D9D9D9"/>
          </w:tcPr>
          <w:p>
            <w:pPr>
              <w:pStyle w:val="TableParagraph"/>
              <w:ind w:right="379"/>
              <w:rPr>
                <w:rFonts w:ascii="Carlito"/>
                <w:sz w:val="16"/>
              </w:rPr>
            </w:pPr>
            <w:r>
              <w:rPr>
                <w:rFonts w:ascii="Carlito"/>
                <w:sz w:val="16"/>
              </w:rPr>
              <w:t>0</w:t>
            </w:r>
          </w:p>
        </w:tc>
        <w:tc>
          <w:tcPr>
            <w:tcW w:w="530" w:type="dxa"/>
            <w:shd w:val="clear" w:color="auto" w:fill="D9D9D9"/>
          </w:tcPr>
          <w:p>
            <w:pPr>
              <w:pStyle w:val="TableParagraph"/>
              <w:ind w:right="65"/>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87</w:t>
            </w:r>
          </w:p>
        </w:tc>
        <w:tc>
          <w:tcPr>
            <w:tcW w:w="1920" w:type="dxa"/>
          </w:tcPr>
          <w:p>
            <w:pPr>
              <w:pStyle w:val="TableParagraph"/>
              <w:ind w:left="143"/>
              <w:jc w:val="left"/>
              <w:rPr>
                <w:rFonts w:ascii="Carlito"/>
                <w:sz w:val="16"/>
              </w:rPr>
            </w:pPr>
            <w:r>
              <w:rPr>
                <w:rFonts w:ascii="Carlito"/>
                <w:sz w:val="16"/>
              </w:rPr>
              <w:t>Curridabat</w:t>
            </w:r>
          </w:p>
        </w:tc>
        <w:tc>
          <w:tcPr>
            <w:tcW w:w="613" w:type="dxa"/>
          </w:tcPr>
          <w:p>
            <w:pPr>
              <w:pStyle w:val="TableParagraph"/>
              <w:ind w:right="69"/>
              <w:rPr>
                <w:rFonts w:ascii="Carlito"/>
                <w:sz w:val="16"/>
              </w:rPr>
            </w:pPr>
            <w:r>
              <w:rPr>
                <w:rFonts w:ascii="Carlito"/>
                <w:sz w:val="16"/>
              </w:rPr>
              <w:t>1</w:t>
            </w:r>
          </w:p>
        </w:tc>
        <w:tc>
          <w:tcPr>
            <w:tcW w:w="1418" w:type="dxa"/>
          </w:tcPr>
          <w:p>
            <w:pPr>
              <w:pStyle w:val="TableParagraph"/>
              <w:ind w:right="415"/>
              <w:rPr>
                <w:rFonts w:ascii="Carlito"/>
                <w:sz w:val="16"/>
              </w:rPr>
            </w:pPr>
            <w:r>
              <w:rPr>
                <w:rFonts w:ascii="Carlito"/>
                <w:sz w:val="16"/>
              </w:rPr>
              <w:t>$350,000.00</w:t>
            </w:r>
          </w:p>
        </w:tc>
        <w:tc>
          <w:tcPr>
            <w:tcW w:w="1000" w:type="dxa"/>
          </w:tcPr>
          <w:p>
            <w:pPr>
              <w:pStyle w:val="TableParagraph"/>
              <w:ind w:right="340"/>
              <w:rPr>
                <w:rFonts w:ascii="Carlito"/>
                <w:sz w:val="16"/>
              </w:rPr>
            </w:pPr>
            <w:r>
              <w:rPr>
                <w:rFonts w:ascii="Carlito"/>
                <w:sz w:val="16"/>
              </w:rPr>
              <w:t>350</w:t>
            </w:r>
          </w:p>
        </w:tc>
        <w:tc>
          <w:tcPr>
            <w:tcW w:w="1127" w:type="dxa"/>
          </w:tcPr>
          <w:p>
            <w:pPr>
              <w:pStyle w:val="TableParagraph"/>
              <w:ind w:left="317" w:right="438"/>
              <w:jc w:val="center"/>
              <w:rPr>
                <w:rFonts w:ascii="Carlito"/>
                <w:sz w:val="16"/>
              </w:rPr>
            </w:pPr>
            <w:r>
              <w:rPr>
                <w:rFonts w:ascii="Carlito"/>
                <w:sz w:val="16"/>
              </w:rPr>
              <w:t>2001</w:t>
            </w:r>
          </w:p>
        </w:tc>
        <w:tc>
          <w:tcPr>
            <w:tcW w:w="782" w:type="dxa"/>
          </w:tcPr>
          <w:p>
            <w:pPr>
              <w:pStyle w:val="TableParagraph"/>
              <w:ind w:right="235"/>
              <w:rPr>
                <w:rFonts w:ascii="Carlito"/>
                <w:sz w:val="16"/>
              </w:rPr>
            </w:pPr>
            <w:r>
              <w:rPr>
                <w:rFonts w:ascii="Carlito"/>
                <w:sz w:val="16"/>
              </w:rPr>
              <w:t>4</w:t>
            </w:r>
          </w:p>
        </w:tc>
        <w:tc>
          <w:tcPr>
            <w:tcW w:w="745" w:type="dxa"/>
          </w:tcPr>
          <w:p>
            <w:pPr>
              <w:pStyle w:val="TableParagraph"/>
              <w:ind w:right="304"/>
              <w:rPr>
                <w:rFonts w:ascii="Carlito"/>
                <w:sz w:val="16"/>
              </w:rPr>
            </w:pPr>
            <w:r>
              <w:rPr>
                <w:rFonts w:ascii="Carlito"/>
                <w:sz w:val="16"/>
              </w:rPr>
              <w:t>3.5</w:t>
            </w:r>
          </w:p>
        </w:tc>
        <w:tc>
          <w:tcPr>
            <w:tcW w:w="816" w:type="dxa"/>
          </w:tcPr>
          <w:p>
            <w:pPr>
              <w:pStyle w:val="TableParagraph"/>
              <w:ind w:left="301"/>
              <w:jc w:val="left"/>
              <w:rPr>
                <w:rFonts w:ascii="Carlito"/>
                <w:sz w:val="16"/>
              </w:rPr>
            </w:pPr>
            <w:r>
              <w:rPr>
                <w:rFonts w:ascii="Carlito"/>
                <w:sz w:val="16"/>
              </w:rPr>
              <w:t>2</w:t>
            </w:r>
          </w:p>
        </w:tc>
        <w:tc>
          <w:tcPr>
            <w:tcW w:w="1290" w:type="dxa"/>
          </w:tcPr>
          <w:p>
            <w:pPr>
              <w:pStyle w:val="TableParagraph"/>
              <w:ind w:right="573"/>
              <w:rPr>
                <w:rFonts w:ascii="Carlito"/>
                <w:sz w:val="16"/>
              </w:rPr>
            </w:pPr>
            <w:r>
              <w:rPr>
                <w:rFonts w:ascii="Carlito"/>
                <w:sz w:val="16"/>
              </w:rPr>
              <w:t>5.7</w:t>
            </w:r>
          </w:p>
        </w:tc>
        <w:tc>
          <w:tcPr>
            <w:tcW w:w="1140" w:type="dxa"/>
          </w:tcPr>
          <w:p>
            <w:pPr>
              <w:pStyle w:val="TableParagraph"/>
              <w:ind w:right="365"/>
              <w:rPr>
                <w:rFonts w:ascii="Carlito"/>
                <w:sz w:val="16"/>
              </w:rPr>
            </w:pPr>
            <w:r>
              <w:rPr>
                <w:rFonts w:ascii="Carlito"/>
                <w:sz w:val="16"/>
              </w:rPr>
              <w:t>3.2</w:t>
            </w:r>
          </w:p>
        </w:tc>
        <w:tc>
          <w:tcPr>
            <w:tcW w:w="826" w:type="dxa"/>
          </w:tcPr>
          <w:p>
            <w:pPr>
              <w:pStyle w:val="TableParagraph"/>
              <w:ind w:right="379"/>
              <w:rPr>
                <w:rFonts w:ascii="Carlito"/>
                <w:sz w:val="16"/>
              </w:rPr>
            </w:pPr>
            <w:r>
              <w:rPr>
                <w:rFonts w:ascii="Carlito"/>
                <w:sz w:val="16"/>
              </w:rPr>
              <w:t>0</w:t>
            </w:r>
          </w:p>
        </w:tc>
        <w:tc>
          <w:tcPr>
            <w:tcW w:w="530" w:type="dxa"/>
          </w:tcPr>
          <w:p>
            <w:pPr>
              <w:pStyle w:val="TableParagraph"/>
              <w:ind w:right="65"/>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88</w:t>
            </w:r>
          </w:p>
        </w:tc>
        <w:tc>
          <w:tcPr>
            <w:tcW w:w="1920" w:type="dxa"/>
            <w:shd w:val="clear" w:color="auto" w:fill="D9D9D9"/>
          </w:tcPr>
          <w:p>
            <w:pPr>
              <w:pStyle w:val="TableParagraph"/>
              <w:ind w:left="143"/>
              <w:jc w:val="left"/>
              <w:rPr>
                <w:rFonts w:ascii="Carlito"/>
                <w:sz w:val="16"/>
              </w:rPr>
            </w:pPr>
            <w:r>
              <w:rPr>
                <w:rFonts w:ascii="Carlito"/>
                <w:sz w:val="16"/>
              </w:rPr>
              <w:t>Curridabat</w:t>
            </w:r>
          </w:p>
        </w:tc>
        <w:tc>
          <w:tcPr>
            <w:tcW w:w="613"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$450,000.00</w:t>
            </w:r>
          </w:p>
        </w:tc>
        <w:tc>
          <w:tcPr>
            <w:tcW w:w="1000" w:type="dxa"/>
            <w:shd w:val="clear" w:color="auto" w:fill="D9D9D9"/>
          </w:tcPr>
          <w:p>
            <w:pPr>
              <w:pStyle w:val="TableParagraph"/>
              <w:ind w:right="340"/>
              <w:rPr>
                <w:rFonts w:ascii="Carlito"/>
                <w:sz w:val="16"/>
              </w:rPr>
            </w:pPr>
            <w:r>
              <w:rPr>
                <w:rFonts w:ascii="Carlito"/>
                <w:sz w:val="16"/>
              </w:rPr>
              <w:t>420</w:t>
            </w:r>
          </w:p>
        </w:tc>
        <w:tc>
          <w:tcPr>
            <w:tcW w:w="1127" w:type="dxa"/>
            <w:shd w:val="clear" w:color="auto" w:fill="D9D9D9"/>
          </w:tcPr>
          <w:p>
            <w:pPr>
              <w:pStyle w:val="TableParagraph"/>
              <w:ind w:left="317" w:right="438"/>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7</w:t>
            </w:r>
          </w:p>
        </w:tc>
        <w:tc>
          <w:tcPr>
            <w:tcW w:w="745" w:type="dxa"/>
            <w:shd w:val="clear" w:color="auto" w:fill="D9D9D9"/>
          </w:tcPr>
          <w:p>
            <w:pPr>
              <w:pStyle w:val="TableParagraph"/>
              <w:ind w:right="299"/>
              <w:rPr>
                <w:rFonts w:ascii="Carlito"/>
                <w:sz w:val="16"/>
              </w:rPr>
            </w:pPr>
            <w:r>
              <w:rPr>
                <w:rFonts w:ascii="Carlito"/>
                <w:sz w:val="16"/>
              </w:rPr>
              <w:t>4</w:t>
            </w:r>
          </w:p>
        </w:tc>
        <w:tc>
          <w:tcPr>
            <w:tcW w:w="816" w:type="dxa"/>
            <w:shd w:val="clear" w:color="auto" w:fill="D9D9D9"/>
          </w:tcPr>
          <w:p>
            <w:pPr>
              <w:pStyle w:val="TableParagraph"/>
              <w:ind w:left="301"/>
              <w:jc w:val="left"/>
              <w:rPr>
                <w:rFonts w:ascii="Carlito"/>
                <w:sz w:val="16"/>
              </w:rPr>
            </w:pPr>
            <w:r>
              <w:rPr>
                <w:rFonts w:ascii="Carlito"/>
                <w:sz w:val="16"/>
              </w:rPr>
              <w:t>2</w:t>
            </w:r>
          </w:p>
        </w:tc>
        <w:tc>
          <w:tcPr>
            <w:tcW w:w="1290" w:type="dxa"/>
            <w:shd w:val="clear" w:color="auto" w:fill="D9D9D9"/>
          </w:tcPr>
          <w:p>
            <w:pPr>
              <w:pStyle w:val="TableParagraph"/>
              <w:ind w:right="573"/>
              <w:rPr>
                <w:rFonts w:ascii="Carlito"/>
                <w:sz w:val="16"/>
              </w:rPr>
            </w:pPr>
            <w:r>
              <w:rPr>
                <w:rFonts w:ascii="Carlito"/>
                <w:sz w:val="16"/>
              </w:rPr>
              <w:t>5.7</w:t>
            </w:r>
          </w:p>
        </w:tc>
        <w:tc>
          <w:tcPr>
            <w:tcW w:w="1140" w:type="dxa"/>
            <w:shd w:val="clear" w:color="auto" w:fill="D9D9D9"/>
          </w:tcPr>
          <w:p>
            <w:pPr>
              <w:pStyle w:val="TableParagraph"/>
              <w:ind w:right="365"/>
              <w:rPr>
                <w:rFonts w:ascii="Carlito"/>
                <w:sz w:val="16"/>
              </w:rPr>
            </w:pPr>
            <w:r>
              <w:rPr>
                <w:rFonts w:ascii="Carlito"/>
                <w:sz w:val="16"/>
              </w:rPr>
              <w:t>3.2</w:t>
            </w:r>
          </w:p>
        </w:tc>
        <w:tc>
          <w:tcPr>
            <w:tcW w:w="826" w:type="dxa"/>
            <w:shd w:val="clear" w:color="auto" w:fill="D9D9D9"/>
          </w:tcPr>
          <w:p>
            <w:pPr>
              <w:pStyle w:val="TableParagraph"/>
              <w:ind w:right="379"/>
              <w:rPr>
                <w:rFonts w:ascii="Carlito"/>
                <w:sz w:val="16"/>
              </w:rPr>
            </w:pPr>
            <w:r>
              <w:rPr>
                <w:rFonts w:ascii="Carlito"/>
                <w:sz w:val="16"/>
              </w:rPr>
              <w:t>0</w:t>
            </w:r>
          </w:p>
        </w:tc>
        <w:tc>
          <w:tcPr>
            <w:tcW w:w="530" w:type="dxa"/>
            <w:shd w:val="clear" w:color="auto" w:fill="D9D9D9"/>
          </w:tcPr>
          <w:p>
            <w:pPr>
              <w:pStyle w:val="TableParagraph"/>
              <w:ind w:right="65"/>
              <w:rPr>
                <w:rFonts w:ascii="Carlito"/>
                <w:sz w:val="16"/>
              </w:rPr>
            </w:pPr>
            <w:r>
              <w:rPr>
                <w:rFonts w:ascii="Carlito"/>
                <w:sz w:val="16"/>
              </w:rPr>
              <w:t>0</w:t>
            </w:r>
          </w:p>
        </w:tc>
      </w:tr>
      <w:tr>
        <w:trPr>
          <w:trHeight w:val="288" w:hRule="atLeast"/>
        </w:trPr>
        <w:tc>
          <w:tcPr>
            <w:tcW w:w="756" w:type="dxa"/>
          </w:tcPr>
          <w:p>
            <w:pPr>
              <w:pStyle w:val="TableParagraph"/>
              <w:spacing w:line="177" w:lineRule="exact"/>
              <w:ind w:right="143"/>
              <w:rPr>
                <w:rFonts w:ascii="Carlito"/>
                <w:sz w:val="16"/>
              </w:rPr>
            </w:pPr>
            <w:r>
              <w:rPr>
                <w:rFonts w:ascii="Carlito"/>
                <w:sz w:val="16"/>
              </w:rPr>
              <w:t>89</w:t>
            </w:r>
          </w:p>
        </w:tc>
        <w:tc>
          <w:tcPr>
            <w:tcW w:w="1920" w:type="dxa"/>
          </w:tcPr>
          <w:p>
            <w:pPr>
              <w:pStyle w:val="TableParagraph"/>
              <w:spacing w:line="177" w:lineRule="exact"/>
              <w:ind w:left="143"/>
              <w:jc w:val="left"/>
              <w:rPr>
                <w:rFonts w:ascii="Carlito"/>
                <w:sz w:val="16"/>
              </w:rPr>
            </w:pPr>
            <w:r>
              <w:rPr>
                <w:rFonts w:ascii="Carlito"/>
                <w:sz w:val="16"/>
              </w:rPr>
              <w:t>Freses</w:t>
            </w:r>
          </w:p>
        </w:tc>
        <w:tc>
          <w:tcPr>
            <w:tcW w:w="613" w:type="dxa"/>
          </w:tcPr>
          <w:p>
            <w:pPr>
              <w:pStyle w:val="TableParagraph"/>
              <w:spacing w:line="177" w:lineRule="exact"/>
              <w:ind w:right="69"/>
              <w:rPr>
                <w:rFonts w:ascii="Carlito"/>
                <w:sz w:val="16"/>
              </w:rPr>
            </w:pPr>
            <w:r>
              <w:rPr>
                <w:rFonts w:ascii="Carlito"/>
                <w:sz w:val="16"/>
              </w:rPr>
              <w:t>1</w:t>
            </w:r>
          </w:p>
        </w:tc>
        <w:tc>
          <w:tcPr>
            <w:tcW w:w="1418" w:type="dxa"/>
          </w:tcPr>
          <w:p>
            <w:pPr>
              <w:pStyle w:val="TableParagraph"/>
              <w:spacing w:line="177" w:lineRule="exact"/>
              <w:ind w:right="415"/>
              <w:rPr>
                <w:rFonts w:ascii="Carlito"/>
                <w:sz w:val="16"/>
              </w:rPr>
            </w:pPr>
            <w:r>
              <w:rPr>
                <w:rFonts w:ascii="Carlito"/>
                <w:sz w:val="16"/>
              </w:rPr>
              <w:t>$230,000.00</w:t>
            </w:r>
          </w:p>
        </w:tc>
        <w:tc>
          <w:tcPr>
            <w:tcW w:w="1000" w:type="dxa"/>
          </w:tcPr>
          <w:p>
            <w:pPr>
              <w:pStyle w:val="TableParagraph"/>
              <w:spacing w:line="177" w:lineRule="exact"/>
              <w:ind w:right="340"/>
              <w:rPr>
                <w:rFonts w:ascii="Carlito"/>
                <w:sz w:val="16"/>
              </w:rPr>
            </w:pPr>
            <w:r>
              <w:rPr>
                <w:rFonts w:ascii="Carlito"/>
                <w:sz w:val="16"/>
              </w:rPr>
              <w:t>490</w:t>
            </w:r>
          </w:p>
        </w:tc>
        <w:tc>
          <w:tcPr>
            <w:tcW w:w="1127" w:type="dxa"/>
          </w:tcPr>
          <w:p>
            <w:pPr>
              <w:pStyle w:val="TableParagraph"/>
              <w:spacing w:line="177" w:lineRule="exact"/>
              <w:ind w:left="317" w:right="438"/>
              <w:jc w:val="center"/>
              <w:rPr>
                <w:rFonts w:ascii="Carlito"/>
                <w:sz w:val="16"/>
              </w:rPr>
            </w:pPr>
            <w:r>
              <w:rPr>
                <w:rFonts w:ascii="Carlito"/>
                <w:sz w:val="16"/>
              </w:rPr>
              <w:t>2006</w:t>
            </w:r>
          </w:p>
        </w:tc>
        <w:tc>
          <w:tcPr>
            <w:tcW w:w="782" w:type="dxa"/>
          </w:tcPr>
          <w:p>
            <w:pPr>
              <w:pStyle w:val="TableParagraph"/>
              <w:spacing w:line="177" w:lineRule="exact"/>
              <w:ind w:right="235"/>
              <w:rPr>
                <w:rFonts w:ascii="Carlito"/>
                <w:sz w:val="16"/>
              </w:rPr>
            </w:pPr>
            <w:r>
              <w:rPr>
                <w:rFonts w:ascii="Carlito"/>
                <w:sz w:val="16"/>
              </w:rPr>
              <w:t>7</w:t>
            </w:r>
          </w:p>
        </w:tc>
        <w:tc>
          <w:tcPr>
            <w:tcW w:w="745" w:type="dxa"/>
          </w:tcPr>
          <w:p>
            <w:pPr>
              <w:pStyle w:val="TableParagraph"/>
              <w:spacing w:line="177" w:lineRule="exact"/>
              <w:ind w:right="299"/>
              <w:rPr>
                <w:rFonts w:ascii="Carlito"/>
                <w:sz w:val="16"/>
              </w:rPr>
            </w:pPr>
            <w:r>
              <w:rPr>
                <w:rFonts w:ascii="Carlito"/>
                <w:sz w:val="16"/>
              </w:rPr>
              <w:t>6</w:t>
            </w:r>
          </w:p>
        </w:tc>
        <w:tc>
          <w:tcPr>
            <w:tcW w:w="816" w:type="dxa"/>
          </w:tcPr>
          <w:p>
            <w:pPr>
              <w:pStyle w:val="TableParagraph"/>
              <w:spacing w:line="177" w:lineRule="exact"/>
              <w:ind w:left="301"/>
              <w:jc w:val="left"/>
              <w:rPr>
                <w:rFonts w:ascii="Carlito"/>
                <w:sz w:val="16"/>
              </w:rPr>
            </w:pPr>
            <w:r>
              <w:rPr>
                <w:rFonts w:ascii="Carlito"/>
                <w:sz w:val="16"/>
              </w:rPr>
              <w:t>2</w:t>
            </w:r>
          </w:p>
        </w:tc>
        <w:tc>
          <w:tcPr>
            <w:tcW w:w="1290" w:type="dxa"/>
          </w:tcPr>
          <w:p>
            <w:pPr>
              <w:pStyle w:val="TableParagraph"/>
              <w:spacing w:line="177" w:lineRule="exact"/>
              <w:ind w:right="573"/>
              <w:rPr>
                <w:rFonts w:ascii="Carlito"/>
                <w:sz w:val="16"/>
              </w:rPr>
            </w:pPr>
            <w:r>
              <w:rPr>
                <w:rFonts w:ascii="Carlito"/>
                <w:sz w:val="16"/>
              </w:rPr>
              <w:t>5.2</w:t>
            </w:r>
          </w:p>
        </w:tc>
        <w:tc>
          <w:tcPr>
            <w:tcW w:w="1140" w:type="dxa"/>
          </w:tcPr>
          <w:p>
            <w:pPr>
              <w:pStyle w:val="TableParagraph"/>
              <w:spacing w:line="177" w:lineRule="exact"/>
              <w:ind w:right="365"/>
              <w:rPr>
                <w:rFonts w:ascii="Carlito"/>
                <w:sz w:val="16"/>
              </w:rPr>
            </w:pPr>
            <w:r>
              <w:rPr>
                <w:rFonts w:ascii="Carlito"/>
                <w:sz w:val="16"/>
              </w:rPr>
              <w:t>5.2</w:t>
            </w:r>
          </w:p>
        </w:tc>
        <w:tc>
          <w:tcPr>
            <w:tcW w:w="826" w:type="dxa"/>
          </w:tcPr>
          <w:p>
            <w:pPr>
              <w:pStyle w:val="TableParagraph"/>
              <w:spacing w:line="177" w:lineRule="exact"/>
              <w:ind w:right="379"/>
              <w:rPr>
                <w:rFonts w:ascii="Carlito"/>
                <w:sz w:val="16"/>
              </w:rPr>
            </w:pPr>
            <w:r>
              <w:rPr>
                <w:rFonts w:ascii="Carlito"/>
                <w:sz w:val="16"/>
              </w:rPr>
              <w:t>0</w:t>
            </w:r>
          </w:p>
        </w:tc>
        <w:tc>
          <w:tcPr>
            <w:tcW w:w="530" w:type="dxa"/>
          </w:tcPr>
          <w:p>
            <w:pPr>
              <w:pStyle w:val="TableParagraph"/>
              <w:spacing w:line="177" w:lineRule="exact"/>
              <w:ind w:right="65"/>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90</w:t>
            </w:r>
          </w:p>
        </w:tc>
        <w:tc>
          <w:tcPr>
            <w:tcW w:w="1920" w:type="dxa"/>
            <w:shd w:val="clear" w:color="auto" w:fill="D9D9D9"/>
          </w:tcPr>
          <w:p>
            <w:pPr>
              <w:pStyle w:val="TableParagraph"/>
              <w:ind w:left="143"/>
              <w:jc w:val="left"/>
              <w:rPr>
                <w:rFonts w:ascii="Carlito"/>
                <w:sz w:val="16"/>
              </w:rPr>
            </w:pPr>
            <w:r>
              <w:rPr>
                <w:rFonts w:ascii="Carlito"/>
                <w:sz w:val="16"/>
              </w:rPr>
              <w:t>Granadilla</w:t>
            </w:r>
          </w:p>
        </w:tc>
        <w:tc>
          <w:tcPr>
            <w:tcW w:w="613"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$220,000.00</w:t>
            </w:r>
          </w:p>
        </w:tc>
        <w:tc>
          <w:tcPr>
            <w:tcW w:w="1000" w:type="dxa"/>
            <w:shd w:val="clear" w:color="auto" w:fill="D9D9D9"/>
          </w:tcPr>
          <w:p>
            <w:pPr>
              <w:pStyle w:val="TableParagraph"/>
              <w:ind w:right="340"/>
              <w:rPr>
                <w:rFonts w:ascii="Carlito"/>
                <w:sz w:val="16"/>
              </w:rPr>
            </w:pPr>
            <w:r>
              <w:rPr>
                <w:rFonts w:ascii="Carlito"/>
                <w:sz w:val="16"/>
              </w:rPr>
              <w:t>247</w:t>
            </w:r>
          </w:p>
        </w:tc>
        <w:tc>
          <w:tcPr>
            <w:tcW w:w="1127" w:type="dxa"/>
            <w:shd w:val="clear" w:color="auto" w:fill="D9D9D9"/>
          </w:tcPr>
          <w:p>
            <w:pPr>
              <w:pStyle w:val="TableParagraph"/>
              <w:ind w:left="317" w:right="435"/>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3</w:t>
            </w:r>
          </w:p>
        </w:tc>
        <w:tc>
          <w:tcPr>
            <w:tcW w:w="745" w:type="dxa"/>
            <w:shd w:val="clear" w:color="auto" w:fill="D9D9D9"/>
          </w:tcPr>
          <w:p>
            <w:pPr>
              <w:pStyle w:val="TableParagraph"/>
              <w:ind w:right="304"/>
              <w:rPr>
                <w:rFonts w:ascii="Carlito"/>
                <w:sz w:val="16"/>
              </w:rPr>
            </w:pPr>
            <w:r>
              <w:rPr>
                <w:rFonts w:ascii="Carlito"/>
                <w:sz w:val="16"/>
              </w:rPr>
              <w:t>2.5</w:t>
            </w:r>
          </w:p>
        </w:tc>
        <w:tc>
          <w:tcPr>
            <w:tcW w:w="816" w:type="dxa"/>
            <w:shd w:val="clear" w:color="auto" w:fill="D9D9D9"/>
          </w:tcPr>
          <w:p>
            <w:pPr>
              <w:pStyle w:val="TableParagraph"/>
              <w:ind w:left="301"/>
              <w:jc w:val="left"/>
              <w:rPr>
                <w:rFonts w:ascii="Carlito"/>
                <w:sz w:val="16"/>
              </w:rPr>
            </w:pPr>
            <w:r>
              <w:rPr>
                <w:rFonts w:ascii="Carlito"/>
                <w:sz w:val="16"/>
              </w:rPr>
              <w:t>2</w:t>
            </w:r>
          </w:p>
        </w:tc>
        <w:tc>
          <w:tcPr>
            <w:tcW w:w="1290" w:type="dxa"/>
            <w:shd w:val="clear" w:color="auto" w:fill="D9D9D9"/>
          </w:tcPr>
          <w:p>
            <w:pPr>
              <w:pStyle w:val="TableParagraph"/>
              <w:ind w:right="573"/>
              <w:rPr>
                <w:rFonts w:ascii="Carlito"/>
                <w:sz w:val="16"/>
              </w:rPr>
            </w:pPr>
            <w:r>
              <w:rPr>
                <w:rFonts w:ascii="Carlito"/>
                <w:sz w:val="16"/>
              </w:rPr>
              <w:t>7.2</w:t>
            </w:r>
          </w:p>
        </w:tc>
        <w:tc>
          <w:tcPr>
            <w:tcW w:w="1140" w:type="dxa"/>
            <w:shd w:val="clear" w:color="auto" w:fill="D9D9D9"/>
          </w:tcPr>
          <w:p>
            <w:pPr>
              <w:pStyle w:val="TableParagraph"/>
              <w:ind w:right="365"/>
              <w:rPr>
                <w:rFonts w:ascii="Carlito"/>
                <w:sz w:val="16"/>
              </w:rPr>
            </w:pPr>
            <w:r>
              <w:rPr>
                <w:rFonts w:ascii="Carlito"/>
                <w:sz w:val="16"/>
              </w:rPr>
              <w:t>5.6</w:t>
            </w:r>
          </w:p>
        </w:tc>
        <w:tc>
          <w:tcPr>
            <w:tcW w:w="826" w:type="dxa"/>
            <w:shd w:val="clear" w:color="auto" w:fill="D9D9D9"/>
          </w:tcPr>
          <w:p>
            <w:pPr>
              <w:pStyle w:val="TableParagraph"/>
              <w:ind w:right="379"/>
              <w:rPr>
                <w:rFonts w:ascii="Carlito"/>
                <w:sz w:val="16"/>
              </w:rPr>
            </w:pPr>
            <w:r>
              <w:rPr>
                <w:rFonts w:ascii="Carlito"/>
                <w:sz w:val="16"/>
              </w:rPr>
              <w:t>1</w:t>
            </w:r>
          </w:p>
        </w:tc>
        <w:tc>
          <w:tcPr>
            <w:tcW w:w="530" w:type="dxa"/>
            <w:shd w:val="clear" w:color="auto" w:fill="D9D9D9"/>
          </w:tcPr>
          <w:p>
            <w:pPr>
              <w:pStyle w:val="TableParagraph"/>
              <w:ind w:right="65"/>
              <w:rPr>
                <w:rFonts w:ascii="Carlito"/>
                <w:sz w:val="16"/>
              </w:rPr>
            </w:pPr>
            <w:r>
              <w:rPr>
                <w:rFonts w:ascii="Carlito"/>
                <w:sz w:val="16"/>
              </w:rPr>
              <w:t>0</w:t>
            </w:r>
          </w:p>
        </w:tc>
      </w:tr>
    </w:tbl>
    <w:p>
      <w:pPr>
        <w:spacing w:after="0"/>
        <w:rPr>
          <w:rFonts w:ascii="Carlito"/>
          <w:sz w:val="16"/>
        </w:rPr>
        <w:sectPr>
          <w:pgSz w:w="15840" w:h="12240" w:orient="landscape"/>
          <w:pgMar w:header="0" w:footer="982" w:top="1140" w:bottom="1180" w:left="1340" w:right="1320"/>
        </w:sectPr>
      </w:pPr>
    </w:p>
    <w:p>
      <w:pPr>
        <w:pStyle w:val="BodyText"/>
        <w:rPr>
          <w:b/>
          <w:sz w:val="20"/>
        </w:rPr>
      </w:pPr>
    </w:p>
    <w:p>
      <w:pPr>
        <w:pStyle w:val="BodyText"/>
        <w:spacing w:before="10"/>
        <w:rPr>
          <w:b/>
          <w:sz w:val="16"/>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56"/>
        <w:gridCol w:w="1938"/>
        <w:gridCol w:w="595"/>
        <w:gridCol w:w="1418"/>
        <w:gridCol w:w="1000"/>
        <w:gridCol w:w="1126"/>
        <w:gridCol w:w="782"/>
        <w:gridCol w:w="744"/>
        <w:gridCol w:w="815"/>
        <w:gridCol w:w="1287"/>
        <w:gridCol w:w="1141"/>
        <w:gridCol w:w="825"/>
        <w:gridCol w:w="529"/>
      </w:tblGrid>
      <w:tr>
        <w:trPr>
          <w:trHeight w:val="163" w:hRule="atLeast"/>
        </w:trPr>
        <w:tc>
          <w:tcPr>
            <w:tcW w:w="756" w:type="dxa"/>
          </w:tcPr>
          <w:p>
            <w:pPr>
              <w:pStyle w:val="TableParagraph"/>
              <w:spacing w:line="144" w:lineRule="exact" w:before="0"/>
              <w:ind w:right="143"/>
              <w:rPr>
                <w:rFonts w:ascii="Carlito"/>
                <w:sz w:val="16"/>
              </w:rPr>
            </w:pPr>
            <w:r>
              <w:rPr>
                <w:rFonts w:ascii="Carlito"/>
                <w:sz w:val="16"/>
              </w:rPr>
              <w:t>91</w:t>
            </w:r>
          </w:p>
        </w:tc>
        <w:tc>
          <w:tcPr>
            <w:tcW w:w="1938" w:type="dxa"/>
          </w:tcPr>
          <w:p>
            <w:pPr>
              <w:pStyle w:val="TableParagraph"/>
              <w:spacing w:line="144" w:lineRule="exact" w:before="0"/>
              <w:ind w:left="143"/>
              <w:jc w:val="left"/>
              <w:rPr>
                <w:rFonts w:ascii="Carlito"/>
                <w:sz w:val="16"/>
              </w:rPr>
            </w:pPr>
            <w:r>
              <w:rPr>
                <w:rFonts w:ascii="Carlito"/>
                <w:sz w:val="16"/>
              </w:rPr>
              <w:t>Guayabos</w:t>
            </w:r>
          </w:p>
        </w:tc>
        <w:tc>
          <w:tcPr>
            <w:tcW w:w="595" w:type="dxa"/>
          </w:tcPr>
          <w:p>
            <w:pPr>
              <w:pStyle w:val="TableParagraph"/>
              <w:spacing w:line="144" w:lineRule="exact" w:before="0"/>
              <w:ind w:right="69"/>
              <w:rPr>
                <w:rFonts w:ascii="Carlito"/>
                <w:sz w:val="16"/>
              </w:rPr>
            </w:pPr>
            <w:r>
              <w:rPr>
                <w:rFonts w:ascii="Carlito"/>
                <w:sz w:val="16"/>
              </w:rPr>
              <w:t>1</w:t>
            </w:r>
          </w:p>
        </w:tc>
        <w:tc>
          <w:tcPr>
            <w:tcW w:w="1418" w:type="dxa"/>
          </w:tcPr>
          <w:p>
            <w:pPr>
              <w:pStyle w:val="TableParagraph"/>
              <w:spacing w:line="144" w:lineRule="exact" w:before="0"/>
              <w:ind w:right="415"/>
              <w:rPr>
                <w:rFonts w:ascii="Carlito"/>
                <w:sz w:val="16"/>
              </w:rPr>
            </w:pPr>
            <w:r>
              <w:rPr>
                <w:rFonts w:ascii="Carlito"/>
                <w:sz w:val="16"/>
              </w:rPr>
              <w:t>$1,300,000.00</w:t>
            </w:r>
          </w:p>
        </w:tc>
        <w:tc>
          <w:tcPr>
            <w:tcW w:w="1000" w:type="dxa"/>
          </w:tcPr>
          <w:p>
            <w:pPr>
              <w:pStyle w:val="TableParagraph"/>
              <w:spacing w:line="144" w:lineRule="exact" w:before="0"/>
              <w:ind w:right="340"/>
              <w:rPr>
                <w:rFonts w:ascii="Carlito"/>
                <w:sz w:val="16"/>
              </w:rPr>
            </w:pPr>
            <w:r>
              <w:rPr>
                <w:rFonts w:ascii="Carlito"/>
                <w:sz w:val="16"/>
              </w:rPr>
              <w:t>954</w:t>
            </w:r>
          </w:p>
        </w:tc>
        <w:tc>
          <w:tcPr>
            <w:tcW w:w="1126" w:type="dxa"/>
          </w:tcPr>
          <w:p>
            <w:pPr>
              <w:pStyle w:val="TableParagraph"/>
              <w:spacing w:line="144" w:lineRule="exact" w:before="0"/>
              <w:ind w:left="319" w:right="439"/>
              <w:jc w:val="center"/>
              <w:rPr>
                <w:rFonts w:ascii="Carlito"/>
                <w:sz w:val="16"/>
              </w:rPr>
            </w:pPr>
            <w:r>
              <w:rPr>
                <w:rFonts w:ascii="Carlito"/>
                <w:sz w:val="16"/>
              </w:rPr>
              <w:t>2006</w:t>
            </w:r>
          </w:p>
        </w:tc>
        <w:tc>
          <w:tcPr>
            <w:tcW w:w="782" w:type="dxa"/>
          </w:tcPr>
          <w:p>
            <w:pPr>
              <w:pStyle w:val="TableParagraph"/>
              <w:spacing w:line="144" w:lineRule="exact" w:before="0"/>
              <w:ind w:right="234"/>
              <w:rPr>
                <w:rFonts w:ascii="Carlito"/>
                <w:sz w:val="16"/>
              </w:rPr>
            </w:pPr>
            <w:r>
              <w:rPr>
                <w:rFonts w:ascii="Carlito"/>
                <w:sz w:val="16"/>
              </w:rPr>
              <w:t>5</w:t>
            </w:r>
          </w:p>
        </w:tc>
        <w:tc>
          <w:tcPr>
            <w:tcW w:w="744" w:type="dxa"/>
          </w:tcPr>
          <w:p>
            <w:pPr>
              <w:pStyle w:val="TableParagraph"/>
              <w:spacing w:line="144" w:lineRule="exact" w:before="0"/>
              <w:ind w:right="302"/>
              <w:rPr>
                <w:rFonts w:ascii="Carlito"/>
                <w:sz w:val="16"/>
              </w:rPr>
            </w:pPr>
            <w:r>
              <w:rPr>
                <w:rFonts w:ascii="Carlito"/>
                <w:sz w:val="16"/>
              </w:rPr>
              <w:t>3.5</w:t>
            </w:r>
          </w:p>
        </w:tc>
        <w:tc>
          <w:tcPr>
            <w:tcW w:w="815" w:type="dxa"/>
          </w:tcPr>
          <w:p>
            <w:pPr>
              <w:pStyle w:val="TableParagraph"/>
              <w:spacing w:line="144" w:lineRule="exact" w:before="0"/>
              <w:ind w:left="303"/>
              <w:jc w:val="left"/>
              <w:rPr>
                <w:rFonts w:ascii="Carlito"/>
                <w:sz w:val="16"/>
              </w:rPr>
            </w:pPr>
            <w:r>
              <w:rPr>
                <w:rFonts w:ascii="Carlito"/>
                <w:sz w:val="16"/>
              </w:rPr>
              <w:t>2</w:t>
            </w:r>
          </w:p>
        </w:tc>
        <w:tc>
          <w:tcPr>
            <w:tcW w:w="1287" w:type="dxa"/>
          </w:tcPr>
          <w:p>
            <w:pPr>
              <w:pStyle w:val="TableParagraph"/>
              <w:spacing w:line="144" w:lineRule="exact" w:before="0"/>
              <w:ind w:right="567"/>
              <w:rPr>
                <w:rFonts w:ascii="Carlito"/>
                <w:sz w:val="16"/>
              </w:rPr>
            </w:pPr>
            <w:r>
              <w:rPr>
                <w:rFonts w:ascii="Carlito"/>
                <w:sz w:val="16"/>
              </w:rPr>
              <w:t>7.4</w:t>
            </w:r>
          </w:p>
        </w:tc>
        <w:tc>
          <w:tcPr>
            <w:tcW w:w="1141" w:type="dxa"/>
          </w:tcPr>
          <w:p>
            <w:pPr>
              <w:pStyle w:val="TableParagraph"/>
              <w:spacing w:line="144" w:lineRule="exact" w:before="0"/>
              <w:ind w:right="356"/>
              <w:rPr>
                <w:rFonts w:ascii="Carlito"/>
                <w:sz w:val="16"/>
              </w:rPr>
            </w:pPr>
            <w:r>
              <w:rPr>
                <w:rFonts w:ascii="Carlito"/>
                <w:sz w:val="16"/>
              </w:rPr>
              <w:t>5</w:t>
            </w:r>
          </w:p>
        </w:tc>
        <w:tc>
          <w:tcPr>
            <w:tcW w:w="825" w:type="dxa"/>
          </w:tcPr>
          <w:p>
            <w:pPr>
              <w:pStyle w:val="TableParagraph"/>
              <w:spacing w:line="144" w:lineRule="exact" w:before="0"/>
              <w:ind w:right="373"/>
              <w:rPr>
                <w:rFonts w:ascii="Carlito"/>
                <w:sz w:val="16"/>
              </w:rPr>
            </w:pPr>
            <w:r>
              <w:rPr>
                <w:rFonts w:ascii="Carlito"/>
                <w:sz w:val="16"/>
              </w:rPr>
              <w:t>0</w:t>
            </w:r>
          </w:p>
        </w:tc>
        <w:tc>
          <w:tcPr>
            <w:tcW w:w="529" w:type="dxa"/>
          </w:tcPr>
          <w:p>
            <w:pPr>
              <w:pStyle w:val="TableParagraph"/>
              <w:spacing w:line="144" w:lineRule="exact" w:before="0"/>
              <w:ind w:right="58"/>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92</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595" w:type="dxa"/>
            <w:shd w:val="clear" w:color="auto" w:fill="D9D9D9"/>
          </w:tcPr>
          <w:p>
            <w:pPr>
              <w:pStyle w:val="TableParagraph"/>
              <w:ind w:right="69"/>
              <w:rPr>
                <w:rFonts w:ascii="Carlito"/>
                <w:sz w:val="16"/>
              </w:rPr>
            </w:pPr>
            <w:r>
              <w:rPr>
                <w:rFonts w:ascii="Carlito"/>
                <w:sz w:val="16"/>
              </w:rPr>
              <w:t>0</w:t>
            </w:r>
          </w:p>
        </w:tc>
        <w:tc>
          <w:tcPr>
            <w:tcW w:w="1418" w:type="dxa"/>
            <w:shd w:val="clear" w:color="auto" w:fill="D9D9D9"/>
          </w:tcPr>
          <w:p>
            <w:pPr>
              <w:pStyle w:val="TableParagraph"/>
              <w:ind w:right="415"/>
              <w:rPr>
                <w:rFonts w:ascii="Carlito"/>
                <w:sz w:val="16"/>
              </w:rPr>
            </w:pPr>
            <w:r>
              <w:rPr>
                <w:rFonts w:ascii="Carlito"/>
                <w:sz w:val="16"/>
              </w:rPr>
              <w:t>$295,000.00</w:t>
            </w:r>
          </w:p>
        </w:tc>
        <w:tc>
          <w:tcPr>
            <w:tcW w:w="1000" w:type="dxa"/>
            <w:shd w:val="clear" w:color="auto" w:fill="D9D9D9"/>
          </w:tcPr>
          <w:p>
            <w:pPr>
              <w:pStyle w:val="TableParagraph"/>
              <w:ind w:right="340"/>
              <w:rPr>
                <w:rFonts w:ascii="Carlito"/>
                <w:sz w:val="16"/>
              </w:rPr>
            </w:pPr>
            <w:r>
              <w:rPr>
                <w:rFonts w:ascii="Carlito"/>
                <w:sz w:val="16"/>
              </w:rPr>
              <w:t>214</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302"/>
              <w:rPr>
                <w:rFonts w:ascii="Carlito"/>
                <w:sz w:val="16"/>
              </w:rPr>
            </w:pPr>
            <w:r>
              <w:rPr>
                <w:rFonts w:ascii="Carlito"/>
                <w:sz w:val="16"/>
              </w:rPr>
              <w:t>2.5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7.4</w:t>
            </w:r>
          </w:p>
        </w:tc>
        <w:tc>
          <w:tcPr>
            <w:tcW w:w="1141" w:type="dxa"/>
            <w:shd w:val="clear" w:color="auto" w:fill="D9D9D9"/>
          </w:tcPr>
          <w:p>
            <w:pPr>
              <w:pStyle w:val="TableParagraph"/>
              <w:ind w:right="356"/>
              <w:rPr>
                <w:rFonts w:ascii="Carlito"/>
                <w:sz w:val="16"/>
              </w:rPr>
            </w:pPr>
            <w:r>
              <w:rPr>
                <w:rFonts w:ascii="Carlito"/>
                <w:sz w:val="16"/>
              </w:rPr>
              <w:t>5</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93</w:t>
            </w:r>
          </w:p>
        </w:tc>
        <w:tc>
          <w:tcPr>
            <w:tcW w:w="1938" w:type="dxa"/>
          </w:tcPr>
          <w:p>
            <w:pPr>
              <w:pStyle w:val="TableParagraph"/>
              <w:ind w:left="143"/>
              <w:jc w:val="left"/>
              <w:rPr>
                <w:rFonts w:ascii="Carlito"/>
                <w:sz w:val="16"/>
              </w:rPr>
            </w:pPr>
            <w:r>
              <w:rPr>
                <w:rFonts w:ascii="Carlito"/>
                <w:sz w:val="16"/>
              </w:rPr>
              <w:t>Guayabos</w:t>
            </w:r>
          </w:p>
        </w:tc>
        <w:tc>
          <w:tcPr>
            <w:tcW w:w="595" w:type="dxa"/>
          </w:tcPr>
          <w:p>
            <w:pPr>
              <w:pStyle w:val="TableParagraph"/>
              <w:ind w:right="69"/>
              <w:rPr>
                <w:rFonts w:ascii="Carlito"/>
                <w:sz w:val="16"/>
              </w:rPr>
            </w:pPr>
            <w:r>
              <w:rPr>
                <w:rFonts w:ascii="Carlito"/>
                <w:sz w:val="16"/>
              </w:rPr>
              <w:t>1</w:t>
            </w:r>
          </w:p>
        </w:tc>
        <w:tc>
          <w:tcPr>
            <w:tcW w:w="1418" w:type="dxa"/>
          </w:tcPr>
          <w:p>
            <w:pPr>
              <w:pStyle w:val="TableParagraph"/>
              <w:ind w:right="415"/>
              <w:rPr>
                <w:rFonts w:ascii="Carlito"/>
                <w:sz w:val="16"/>
              </w:rPr>
            </w:pPr>
            <w:r>
              <w:rPr>
                <w:rFonts w:ascii="Carlito"/>
                <w:sz w:val="16"/>
              </w:rPr>
              <w:t>$380,000.00</w:t>
            </w:r>
          </w:p>
        </w:tc>
        <w:tc>
          <w:tcPr>
            <w:tcW w:w="1000" w:type="dxa"/>
          </w:tcPr>
          <w:p>
            <w:pPr>
              <w:pStyle w:val="TableParagraph"/>
              <w:ind w:right="340"/>
              <w:rPr>
                <w:rFonts w:ascii="Carlito"/>
                <w:sz w:val="16"/>
              </w:rPr>
            </w:pPr>
            <w:r>
              <w:rPr>
                <w:rFonts w:ascii="Carlito"/>
                <w:sz w:val="16"/>
              </w:rPr>
              <w:t>300</w:t>
            </w:r>
          </w:p>
        </w:tc>
        <w:tc>
          <w:tcPr>
            <w:tcW w:w="1126" w:type="dxa"/>
          </w:tcPr>
          <w:p>
            <w:pPr>
              <w:pStyle w:val="TableParagraph"/>
              <w:ind w:left="319" w:right="439"/>
              <w:jc w:val="center"/>
              <w:rPr>
                <w:rFonts w:ascii="Carlito"/>
                <w:sz w:val="16"/>
              </w:rPr>
            </w:pPr>
            <w:r>
              <w:rPr>
                <w:rFonts w:ascii="Carlito"/>
                <w:sz w:val="16"/>
              </w:rPr>
              <w:t>2008</w:t>
            </w:r>
          </w:p>
        </w:tc>
        <w:tc>
          <w:tcPr>
            <w:tcW w:w="782" w:type="dxa"/>
          </w:tcPr>
          <w:p>
            <w:pPr>
              <w:pStyle w:val="TableParagraph"/>
              <w:ind w:right="234"/>
              <w:rPr>
                <w:rFonts w:ascii="Carlito"/>
                <w:sz w:val="16"/>
              </w:rPr>
            </w:pPr>
            <w:r>
              <w:rPr>
                <w:rFonts w:ascii="Carlito"/>
                <w:sz w:val="16"/>
              </w:rPr>
              <w:t>3</w:t>
            </w:r>
          </w:p>
        </w:tc>
        <w:tc>
          <w:tcPr>
            <w:tcW w:w="744" w:type="dxa"/>
          </w:tcPr>
          <w:p>
            <w:pPr>
              <w:pStyle w:val="TableParagraph"/>
              <w:ind w:right="302"/>
              <w:rPr>
                <w:rFonts w:ascii="Carlito"/>
                <w:sz w:val="16"/>
              </w:rPr>
            </w:pPr>
            <w:r>
              <w:rPr>
                <w:rFonts w:ascii="Carlito"/>
                <w:sz w:val="16"/>
              </w:rPr>
              <w:t>2.5</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7.4</w:t>
            </w:r>
          </w:p>
        </w:tc>
        <w:tc>
          <w:tcPr>
            <w:tcW w:w="1141" w:type="dxa"/>
          </w:tcPr>
          <w:p>
            <w:pPr>
              <w:pStyle w:val="TableParagraph"/>
              <w:ind w:right="356"/>
              <w:rPr>
                <w:rFonts w:ascii="Carlito"/>
                <w:sz w:val="16"/>
              </w:rPr>
            </w:pPr>
            <w:r>
              <w:rPr>
                <w:rFonts w:ascii="Carlito"/>
                <w:sz w:val="16"/>
              </w:rPr>
              <w:t>5</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1</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94</w:t>
            </w:r>
          </w:p>
        </w:tc>
        <w:tc>
          <w:tcPr>
            <w:tcW w:w="1938" w:type="dxa"/>
            <w:shd w:val="clear" w:color="auto" w:fill="D9D9D9"/>
          </w:tcPr>
          <w:p>
            <w:pPr>
              <w:pStyle w:val="TableParagraph"/>
              <w:spacing w:before="92"/>
              <w:ind w:left="143"/>
              <w:jc w:val="left"/>
              <w:rPr>
                <w:rFonts w:ascii="Carlito"/>
                <w:sz w:val="16"/>
              </w:rPr>
            </w:pPr>
            <w:r>
              <w:rPr>
                <w:rFonts w:ascii="Carlito"/>
                <w:sz w:val="16"/>
              </w:rPr>
              <w:t>Granadilla</w:t>
            </w:r>
          </w:p>
        </w:tc>
        <w:tc>
          <w:tcPr>
            <w:tcW w:w="595" w:type="dxa"/>
            <w:shd w:val="clear" w:color="auto" w:fill="D9D9D9"/>
          </w:tcPr>
          <w:p>
            <w:pPr>
              <w:pStyle w:val="TableParagraph"/>
              <w:spacing w:before="92"/>
              <w:ind w:right="69"/>
              <w:rPr>
                <w:rFonts w:ascii="Carlito"/>
                <w:sz w:val="16"/>
              </w:rPr>
            </w:pPr>
            <w:r>
              <w:rPr>
                <w:rFonts w:ascii="Carlito"/>
                <w:sz w:val="16"/>
              </w:rPr>
              <w:t>1</w:t>
            </w:r>
          </w:p>
        </w:tc>
        <w:tc>
          <w:tcPr>
            <w:tcW w:w="1418" w:type="dxa"/>
            <w:shd w:val="clear" w:color="auto" w:fill="D9D9D9"/>
          </w:tcPr>
          <w:p>
            <w:pPr>
              <w:pStyle w:val="TableParagraph"/>
              <w:spacing w:before="92"/>
              <w:ind w:right="415"/>
              <w:rPr>
                <w:rFonts w:ascii="Carlito"/>
                <w:sz w:val="16"/>
              </w:rPr>
            </w:pPr>
            <w:r>
              <w:rPr>
                <w:rFonts w:ascii="Carlito"/>
                <w:sz w:val="16"/>
              </w:rPr>
              <w:t>$290,000.00</w:t>
            </w:r>
          </w:p>
        </w:tc>
        <w:tc>
          <w:tcPr>
            <w:tcW w:w="1000" w:type="dxa"/>
            <w:shd w:val="clear" w:color="auto" w:fill="D9D9D9"/>
          </w:tcPr>
          <w:p>
            <w:pPr>
              <w:pStyle w:val="TableParagraph"/>
              <w:spacing w:before="92"/>
              <w:ind w:right="340"/>
              <w:rPr>
                <w:rFonts w:ascii="Carlito"/>
                <w:sz w:val="16"/>
              </w:rPr>
            </w:pPr>
            <w:r>
              <w:rPr>
                <w:rFonts w:ascii="Carlito"/>
                <w:sz w:val="16"/>
              </w:rPr>
              <w:t>250</w:t>
            </w:r>
          </w:p>
        </w:tc>
        <w:tc>
          <w:tcPr>
            <w:tcW w:w="1126" w:type="dxa"/>
            <w:shd w:val="clear" w:color="auto" w:fill="D9D9D9"/>
          </w:tcPr>
          <w:p>
            <w:pPr>
              <w:pStyle w:val="TableParagraph"/>
              <w:spacing w:before="92"/>
              <w:ind w:left="319" w:right="439"/>
              <w:jc w:val="center"/>
              <w:rPr>
                <w:rFonts w:ascii="Carlito"/>
                <w:sz w:val="16"/>
              </w:rPr>
            </w:pPr>
            <w:r>
              <w:rPr>
                <w:rFonts w:ascii="Carlito"/>
                <w:sz w:val="16"/>
              </w:rPr>
              <w:t>2016</w:t>
            </w:r>
          </w:p>
        </w:tc>
        <w:tc>
          <w:tcPr>
            <w:tcW w:w="782" w:type="dxa"/>
            <w:shd w:val="clear" w:color="auto" w:fill="D9D9D9"/>
          </w:tcPr>
          <w:p>
            <w:pPr>
              <w:pStyle w:val="TableParagraph"/>
              <w:spacing w:before="92"/>
              <w:ind w:right="234"/>
              <w:rPr>
                <w:rFonts w:ascii="Carlito"/>
                <w:sz w:val="16"/>
              </w:rPr>
            </w:pPr>
            <w:r>
              <w:rPr>
                <w:rFonts w:ascii="Carlito"/>
                <w:sz w:val="16"/>
              </w:rPr>
              <w:t>3</w:t>
            </w:r>
          </w:p>
        </w:tc>
        <w:tc>
          <w:tcPr>
            <w:tcW w:w="744" w:type="dxa"/>
            <w:shd w:val="clear" w:color="auto" w:fill="D9D9D9"/>
          </w:tcPr>
          <w:p>
            <w:pPr>
              <w:pStyle w:val="TableParagraph"/>
              <w:spacing w:before="92"/>
              <w:ind w:right="302"/>
              <w:rPr>
                <w:rFonts w:ascii="Carlito"/>
                <w:sz w:val="16"/>
              </w:rPr>
            </w:pPr>
            <w:r>
              <w:rPr>
                <w:rFonts w:ascii="Carlito"/>
                <w:sz w:val="16"/>
              </w:rPr>
              <w:t>2.5</w:t>
            </w:r>
          </w:p>
        </w:tc>
        <w:tc>
          <w:tcPr>
            <w:tcW w:w="815" w:type="dxa"/>
            <w:shd w:val="clear" w:color="auto" w:fill="D9D9D9"/>
          </w:tcPr>
          <w:p>
            <w:pPr>
              <w:pStyle w:val="TableParagraph"/>
              <w:spacing w:before="92"/>
              <w:ind w:left="303"/>
              <w:jc w:val="left"/>
              <w:rPr>
                <w:rFonts w:ascii="Carlito"/>
                <w:sz w:val="16"/>
              </w:rPr>
            </w:pPr>
            <w:r>
              <w:rPr>
                <w:rFonts w:ascii="Carlito"/>
                <w:sz w:val="16"/>
              </w:rPr>
              <w:t>2</w:t>
            </w:r>
          </w:p>
        </w:tc>
        <w:tc>
          <w:tcPr>
            <w:tcW w:w="1287" w:type="dxa"/>
            <w:shd w:val="clear" w:color="auto" w:fill="D9D9D9"/>
          </w:tcPr>
          <w:p>
            <w:pPr>
              <w:pStyle w:val="TableParagraph"/>
              <w:spacing w:before="92"/>
              <w:ind w:right="567"/>
              <w:rPr>
                <w:rFonts w:ascii="Carlito"/>
                <w:sz w:val="16"/>
              </w:rPr>
            </w:pPr>
            <w:r>
              <w:rPr>
                <w:rFonts w:ascii="Carlito"/>
                <w:sz w:val="16"/>
              </w:rPr>
              <w:t>7.2</w:t>
            </w:r>
          </w:p>
        </w:tc>
        <w:tc>
          <w:tcPr>
            <w:tcW w:w="1141" w:type="dxa"/>
            <w:shd w:val="clear" w:color="auto" w:fill="D9D9D9"/>
          </w:tcPr>
          <w:p>
            <w:pPr>
              <w:pStyle w:val="TableParagraph"/>
              <w:spacing w:before="92"/>
              <w:ind w:right="360"/>
              <w:rPr>
                <w:rFonts w:ascii="Carlito"/>
                <w:sz w:val="16"/>
              </w:rPr>
            </w:pPr>
            <w:r>
              <w:rPr>
                <w:rFonts w:ascii="Carlito"/>
                <w:sz w:val="16"/>
              </w:rPr>
              <w:t>5.6</w:t>
            </w:r>
          </w:p>
        </w:tc>
        <w:tc>
          <w:tcPr>
            <w:tcW w:w="825" w:type="dxa"/>
            <w:shd w:val="clear" w:color="auto" w:fill="D9D9D9"/>
          </w:tcPr>
          <w:p>
            <w:pPr>
              <w:pStyle w:val="TableParagraph"/>
              <w:spacing w:before="92"/>
              <w:ind w:right="373"/>
              <w:rPr>
                <w:rFonts w:ascii="Carlito"/>
                <w:sz w:val="16"/>
              </w:rPr>
            </w:pPr>
            <w:r>
              <w:rPr>
                <w:rFonts w:ascii="Carlito"/>
                <w:sz w:val="16"/>
              </w:rPr>
              <w:t>1</w:t>
            </w:r>
          </w:p>
        </w:tc>
        <w:tc>
          <w:tcPr>
            <w:tcW w:w="529" w:type="dxa"/>
            <w:shd w:val="clear" w:color="auto" w:fill="D9D9D9"/>
          </w:tcPr>
          <w:p>
            <w:pPr>
              <w:pStyle w:val="TableParagraph"/>
              <w:spacing w:before="92"/>
              <w:ind w:right="58"/>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95</w:t>
            </w:r>
          </w:p>
        </w:tc>
        <w:tc>
          <w:tcPr>
            <w:tcW w:w="1938" w:type="dxa"/>
          </w:tcPr>
          <w:p>
            <w:pPr>
              <w:pStyle w:val="TableParagraph"/>
              <w:ind w:left="143"/>
              <w:jc w:val="left"/>
              <w:rPr>
                <w:rFonts w:ascii="Carlito"/>
                <w:sz w:val="16"/>
              </w:rPr>
            </w:pPr>
            <w:r>
              <w:rPr>
                <w:rFonts w:ascii="Carlito"/>
                <w:sz w:val="16"/>
              </w:rPr>
              <w:t>Lomas de Ayarco Sur</w:t>
            </w:r>
          </w:p>
        </w:tc>
        <w:tc>
          <w:tcPr>
            <w:tcW w:w="595" w:type="dxa"/>
          </w:tcPr>
          <w:p>
            <w:pPr>
              <w:pStyle w:val="TableParagraph"/>
              <w:ind w:right="69"/>
              <w:rPr>
                <w:rFonts w:ascii="Carlito"/>
                <w:sz w:val="16"/>
              </w:rPr>
            </w:pPr>
            <w:r>
              <w:rPr>
                <w:rFonts w:ascii="Carlito"/>
                <w:sz w:val="16"/>
              </w:rPr>
              <w:t>1</w:t>
            </w:r>
          </w:p>
        </w:tc>
        <w:tc>
          <w:tcPr>
            <w:tcW w:w="1418" w:type="dxa"/>
          </w:tcPr>
          <w:p>
            <w:pPr>
              <w:pStyle w:val="TableParagraph"/>
              <w:ind w:right="415"/>
              <w:rPr>
                <w:rFonts w:ascii="Carlito"/>
                <w:sz w:val="16"/>
              </w:rPr>
            </w:pPr>
            <w:r>
              <w:rPr>
                <w:rFonts w:ascii="Carlito"/>
                <w:sz w:val="16"/>
              </w:rPr>
              <w:t>$265,000.00</w:t>
            </w:r>
          </w:p>
        </w:tc>
        <w:tc>
          <w:tcPr>
            <w:tcW w:w="1000" w:type="dxa"/>
          </w:tcPr>
          <w:p>
            <w:pPr>
              <w:pStyle w:val="TableParagraph"/>
              <w:ind w:right="340"/>
              <w:rPr>
                <w:rFonts w:ascii="Carlito"/>
                <w:sz w:val="16"/>
              </w:rPr>
            </w:pPr>
            <w:r>
              <w:rPr>
                <w:rFonts w:ascii="Carlito"/>
                <w:sz w:val="16"/>
              </w:rPr>
              <w:t>240</w:t>
            </w:r>
          </w:p>
        </w:tc>
        <w:tc>
          <w:tcPr>
            <w:tcW w:w="1126" w:type="dxa"/>
          </w:tcPr>
          <w:p>
            <w:pPr>
              <w:pStyle w:val="TableParagraph"/>
              <w:ind w:left="319" w:right="439"/>
              <w:jc w:val="center"/>
              <w:rPr>
                <w:rFonts w:ascii="Carlito"/>
                <w:sz w:val="16"/>
              </w:rPr>
            </w:pPr>
            <w:r>
              <w:rPr>
                <w:rFonts w:ascii="Carlito"/>
                <w:sz w:val="16"/>
              </w:rPr>
              <w:t>2004</w:t>
            </w:r>
          </w:p>
        </w:tc>
        <w:tc>
          <w:tcPr>
            <w:tcW w:w="782" w:type="dxa"/>
          </w:tcPr>
          <w:p>
            <w:pPr>
              <w:pStyle w:val="TableParagraph"/>
              <w:ind w:right="234"/>
              <w:rPr>
                <w:rFonts w:ascii="Carlito"/>
                <w:sz w:val="16"/>
              </w:rPr>
            </w:pPr>
            <w:r>
              <w:rPr>
                <w:rFonts w:ascii="Carlito"/>
                <w:sz w:val="16"/>
              </w:rPr>
              <w:t>3</w:t>
            </w:r>
          </w:p>
        </w:tc>
        <w:tc>
          <w:tcPr>
            <w:tcW w:w="744" w:type="dxa"/>
          </w:tcPr>
          <w:p>
            <w:pPr>
              <w:pStyle w:val="TableParagraph"/>
              <w:ind w:right="302"/>
              <w:rPr>
                <w:rFonts w:ascii="Carlito"/>
                <w:sz w:val="16"/>
              </w:rPr>
            </w:pPr>
            <w:r>
              <w:rPr>
                <w:rFonts w:ascii="Carlito"/>
                <w:sz w:val="16"/>
              </w:rPr>
              <w:t>2.5</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8.1</w:t>
            </w:r>
          </w:p>
        </w:tc>
        <w:tc>
          <w:tcPr>
            <w:tcW w:w="1141" w:type="dxa"/>
          </w:tcPr>
          <w:p>
            <w:pPr>
              <w:pStyle w:val="TableParagraph"/>
              <w:ind w:right="356"/>
              <w:rPr>
                <w:rFonts w:ascii="Carlito"/>
                <w:sz w:val="16"/>
              </w:rPr>
            </w:pPr>
            <w:r>
              <w:rPr>
                <w:rFonts w:ascii="Carlito"/>
                <w:sz w:val="16"/>
              </w:rPr>
              <w:t>3</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96</w:t>
            </w:r>
          </w:p>
        </w:tc>
        <w:tc>
          <w:tcPr>
            <w:tcW w:w="1938" w:type="dxa"/>
            <w:shd w:val="clear" w:color="auto" w:fill="D9D9D9"/>
          </w:tcPr>
          <w:p>
            <w:pPr>
              <w:pStyle w:val="TableParagraph"/>
              <w:ind w:left="143"/>
              <w:jc w:val="left"/>
              <w:rPr>
                <w:rFonts w:ascii="Carlito"/>
                <w:sz w:val="16"/>
              </w:rPr>
            </w:pPr>
            <w:r>
              <w:rPr>
                <w:rFonts w:ascii="Carlito"/>
                <w:sz w:val="16"/>
              </w:rPr>
              <w:t>Lomas de Ayarco Sur</w:t>
            </w:r>
          </w:p>
        </w:tc>
        <w:tc>
          <w:tcPr>
            <w:tcW w:w="595"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$315,000.00</w:t>
            </w:r>
          </w:p>
        </w:tc>
        <w:tc>
          <w:tcPr>
            <w:tcW w:w="1000" w:type="dxa"/>
            <w:shd w:val="clear" w:color="auto" w:fill="D9D9D9"/>
          </w:tcPr>
          <w:p>
            <w:pPr>
              <w:pStyle w:val="TableParagraph"/>
              <w:ind w:right="340"/>
              <w:rPr>
                <w:rFonts w:ascii="Carlito"/>
                <w:sz w:val="16"/>
              </w:rPr>
            </w:pPr>
            <w:r>
              <w:rPr>
                <w:rFonts w:ascii="Carlito"/>
                <w:sz w:val="16"/>
              </w:rPr>
              <w:t>285</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302"/>
              <w:rPr>
                <w:rFonts w:ascii="Carlito"/>
                <w:sz w:val="16"/>
              </w:rPr>
            </w:pPr>
            <w:r>
              <w:rPr>
                <w:rFonts w:ascii="Carlito"/>
                <w:sz w:val="16"/>
              </w:rPr>
              <w:t>2.5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8.8</w:t>
            </w:r>
          </w:p>
        </w:tc>
        <w:tc>
          <w:tcPr>
            <w:tcW w:w="1141" w:type="dxa"/>
            <w:shd w:val="clear" w:color="auto" w:fill="D9D9D9"/>
          </w:tcPr>
          <w:p>
            <w:pPr>
              <w:pStyle w:val="TableParagraph"/>
              <w:ind w:right="360"/>
              <w:rPr>
                <w:rFonts w:ascii="Carlito"/>
                <w:sz w:val="16"/>
              </w:rPr>
            </w:pPr>
            <w:r>
              <w:rPr>
                <w:rFonts w:ascii="Carlito"/>
                <w:sz w:val="16"/>
              </w:rPr>
              <w:t>2.8</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97</w:t>
            </w:r>
          </w:p>
        </w:tc>
        <w:tc>
          <w:tcPr>
            <w:tcW w:w="1938" w:type="dxa"/>
          </w:tcPr>
          <w:p>
            <w:pPr>
              <w:pStyle w:val="TableParagraph"/>
              <w:ind w:left="143"/>
              <w:jc w:val="left"/>
              <w:rPr>
                <w:rFonts w:ascii="Carlito"/>
                <w:sz w:val="16"/>
              </w:rPr>
            </w:pPr>
            <w:r>
              <w:rPr>
                <w:rFonts w:ascii="Carlito"/>
                <w:sz w:val="16"/>
              </w:rPr>
              <w:t>Curridabat</w:t>
            </w:r>
          </w:p>
        </w:tc>
        <w:tc>
          <w:tcPr>
            <w:tcW w:w="595" w:type="dxa"/>
          </w:tcPr>
          <w:p>
            <w:pPr>
              <w:pStyle w:val="TableParagraph"/>
              <w:ind w:right="69"/>
              <w:rPr>
                <w:rFonts w:ascii="Carlito"/>
                <w:sz w:val="16"/>
              </w:rPr>
            </w:pPr>
            <w:r>
              <w:rPr>
                <w:rFonts w:ascii="Carlito"/>
                <w:sz w:val="16"/>
              </w:rPr>
              <w:t>1</w:t>
            </w:r>
          </w:p>
        </w:tc>
        <w:tc>
          <w:tcPr>
            <w:tcW w:w="1418" w:type="dxa"/>
          </w:tcPr>
          <w:p>
            <w:pPr>
              <w:pStyle w:val="TableParagraph"/>
              <w:ind w:right="415"/>
              <w:rPr>
                <w:rFonts w:ascii="Carlito"/>
                <w:sz w:val="16"/>
              </w:rPr>
            </w:pPr>
            <w:r>
              <w:rPr>
                <w:rFonts w:ascii="Carlito"/>
                <w:sz w:val="16"/>
              </w:rPr>
              <w:t>$240,000.00</w:t>
            </w:r>
          </w:p>
        </w:tc>
        <w:tc>
          <w:tcPr>
            <w:tcW w:w="1000" w:type="dxa"/>
          </w:tcPr>
          <w:p>
            <w:pPr>
              <w:pStyle w:val="TableParagraph"/>
              <w:ind w:right="340"/>
              <w:rPr>
                <w:rFonts w:ascii="Carlito"/>
                <w:sz w:val="16"/>
              </w:rPr>
            </w:pPr>
            <w:r>
              <w:rPr>
                <w:rFonts w:ascii="Carlito"/>
                <w:sz w:val="16"/>
              </w:rPr>
              <w:t>300</w:t>
            </w:r>
          </w:p>
        </w:tc>
        <w:tc>
          <w:tcPr>
            <w:tcW w:w="1126" w:type="dxa"/>
          </w:tcPr>
          <w:p>
            <w:pPr>
              <w:pStyle w:val="TableParagraph"/>
              <w:ind w:left="319" w:right="439"/>
              <w:jc w:val="center"/>
              <w:rPr>
                <w:rFonts w:ascii="Carlito"/>
                <w:sz w:val="16"/>
              </w:rPr>
            </w:pPr>
            <w:r>
              <w:rPr>
                <w:rFonts w:ascii="Carlito"/>
                <w:sz w:val="16"/>
              </w:rPr>
              <w:t>2006</w:t>
            </w:r>
          </w:p>
        </w:tc>
        <w:tc>
          <w:tcPr>
            <w:tcW w:w="782" w:type="dxa"/>
          </w:tcPr>
          <w:p>
            <w:pPr>
              <w:pStyle w:val="TableParagraph"/>
              <w:ind w:right="234"/>
              <w:rPr>
                <w:rFonts w:ascii="Carlito"/>
                <w:sz w:val="16"/>
              </w:rPr>
            </w:pPr>
            <w:r>
              <w:rPr>
                <w:rFonts w:ascii="Carlito"/>
                <w:sz w:val="16"/>
              </w:rPr>
              <w:t>4</w:t>
            </w:r>
          </w:p>
        </w:tc>
        <w:tc>
          <w:tcPr>
            <w:tcW w:w="744" w:type="dxa"/>
          </w:tcPr>
          <w:p>
            <w:pPr>
              <w:pStyle w:val="TableParagraph"/>
              <w:ind w:right="297"/>
              <w:rPr>
                <w:rFonts w:ascii="Carlito"/>
                <w:sz w:val="16"/>
              </w:rPr>
            </w:pPr>
            <w:r>
              <w:rPr>
                <w:rFonts w:ascii="Carlito"/>
                <w:sz w:val="16"/>
              </w:rPr>
              <w:t>3</w:t>
            </w:r>
          </w:p>
        </w:tc>
        <w:tc>
          <w:tcPr>
            <w:tcW w:w="815" w:type="dxa"/>
          </w:tcPr>
          <w:p>
            <w:pPr>
              <w:pStyle w:val="TableParagraph"/>
              <w:ind w:left="303"/>
              <w:jc w:val="left"/>
              <w:rPr>
                <w:rFonts w:ascii="Carlito"/>
                <w:sz w:val="16"/>
              </w:rPr>
            </w:pPr>
            <w:r>
              <w:rPr>
                <w:rFonts w:ascii="Carlito"/>
                <w:sz w:val="16"/>
              </w:rPr>
              <w:t>1</w:t>
            </w:r>
          </w:p>
        </w:tc>
        <w:tc>
          <w:tcPr>
            <w:tcW w:w="1287" w:type="dxa"/>
          </w:tcPr>
          <w:p>
            <w:pPr>
              <w:pStyle w:val="TableParagraph"/>
              <w:ind w:right="567"/>
              <w:rPr>
                <w:rFonts w:ascii="Carlito"/>
                <w:sz w:val="16"/>
              </w:rPr>
            </w:pPr>
            <w:r>
              <w:rPr>
                <w:rFonts w:ascii="Carlito"/>
                <w:sz w:val="16"/>
              </w:rPr>
              <w:t>4.7</w:t>
            </w:r>
          </w:p>
        </w:tc>
        <w:tc>
          <w:tcPr>
            <w:tcW w:w="1141" w:type="dxa"/>
          </w:tcPr>
          <w:p>
            <w:pPr>
              <w:pStyle w:val="TableParagraph"/>
              <w:ind w:right="360"/>
              <w:rPr>
                <w:rFonts w:ascii="Carlito"/>
                <w:sz w:val="16"/>
              </w:rPr>
            </w:pPr>
            <w:r>
              <w:rPr>
                <w:rFonts w:ascii="Carlito"/>
                <w:sz w:val="16"/>
              </w:rPr>
              <w:t>4.9</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98</w:t>
            </w:r>
          </w:p>
        </w:tc>
        <w:tc>
          <w:tcPr>
            <w:tcW w:w="1938" w:type="dxa"/>
            <w:shd w:val="clear" w:color="auto" w:fill="D9D9D9"/>
          </w:tcPr>
          <w:p>
            <w:pPr>
              <w:pStyle w:val="TableParagraph"/>
              <w:ind w:left="143"/>
              <w:jc w:val="left"/>
              <w:rPr>
                <w:rFonts w:ascii="Carlito"/>
                <w:sz w:val="16"/>
              </w:rPr>
            </w:pPr>
            <w:r>
              <w:rPr>
                <w:rFonts w:ascii="Carlito"/>
                <w:sz w:val="16"/>
              </w:rPr>
              <w:t>Lomas de Ayarco Sur</w:t>
            </w:r>
          </w:p>
        </w:tc>
        <w:tc>
          <w:tcPr>
            <w:tcW w:w="595"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$390,000.00</w:t>
            </w:r>
          </w:p>
        </w:tc>
        <w:tc>
          <w:tcPr>
            <w:tcW w:w="1000" w:type="dxa"/>
            <w:shd w:val="clear" w:color="auto" w:fill="D9D9D9"/>
          </w:tcPr>
          <w:p>
            <w:pPr>
              <w:pStyle w:val="TableParagraph"/>
              <w:ind w:right="340"/>
              <w:rPr>
                <w:rFonts w:ascii="Carlito"/>
                <w:sz w:val="16"/>
              </w:rPr>
            </w:pPr>
            <w:r>
              <w:rPr>
                <w:rFonts w:ascii="Carlito"/>
                <w:sz w:val="16"/>
              </w:rPr>
              <w:t>318</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297"/>
              <w:rPr>
                <w:rFonts w:ascii="Carlito"/>
                <w:sz w:val="16"/>
              </w:rPr>
            </w:pPr>
            <w:r>
              <w:rPr>
                <w:rFonts w:ascii="Carlito"/>
                <w:sz w:val="16"/>
              </w:rPr>
              <w:t>2</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8.8</w:t>
            </w:r>
          </w:p>
        </w:tc>
        <w:tc>
          <w:tcPr>
            <w:tcW w:w="1141" w:type="dxa"/>
            <w:shd w:val="clear" w:color="auto" w:fill="D9D9D9"/>
          </w:tcPr>
          <w:p>
            <w:pPr>
              <w:pStyle w:val="TableParagraph"/>
              <w:ind w:right="360"/>
              <w:rPr>
                <w:rFonts w:ascii="Carlito"/>
                <w:sz w:val="16"/>
              </w:rPr>
            </w:pPr>
            <w:r>
              <w:rPr>
                <w:rFonts w:ascii="Carlito"/>
                <w:sz w:val="16"/>
              </w:rPr>
              <w:t>2.8</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99</w:t>
            </w:r>
          </w:p>
        </w:tc>
        <w:tc>
          <w:tcPr>
            <w:tcW w:w="1938" w:type="dxa"/>
          </w:tcPr>
          <w:p>
            <w:pPr>
              <w:pStyle w:val="TableParagraph"/>
              <w:spacing w:before="92"/>
              <w:ind w:left="143"/>
              <w:jc w:val="left"/>
              <w:rPr>
                <w:rFonts w:ascii="Carlito" w:hAnsi="Carlito"/>
                <w:sz w:val="16"/>
              </w:rPr>
            </w:pPr>
            <w:r>
              <w:rPr>
                <w:rFonts w:ascii="Carlito" w:hAnsi="Carlito"/>
                <w:sz w:val="16"/>
              </w:rPr>
              <w:t>Sánchez</w:t>
            </w:r>
          </w:p>
        </w:tc>
        <w:tc>
          <w:tcPr>
            <w:tcW w:w="595" w:type="dxa"/>
          </w:tcPr>
          <w:p>
            <w:pPr>
              <w:pStyle w:val="TableParagraph"/>
              <w:spacing w:before="92"/>
              <w:ind w:right="69"/>
              <w:rPr>
                <w:rFonts w:ascii="Carlito"/>
                <w:sz w:val="16"/>
              </w:rPr>
            </w:pPr>
            <w:r>
              <w:rPr>
                <w:rFonts w:ascii="Carlito"/>
                <w:sz w:val="16"/>
              </w:rPr>
              <w:t>1</w:t>
            </w:r>
          </w:p>
        </w:tc>
        <w:tc>
          <w:tcPr>
            <w:tcW w:w="1418" w:type="dxa"/>
          </w:tcPr>
          <w:p>
            <w:pPr>
              <w:pStyle w:val="TableParagraph"/>
              <w:spacing w:before="92"/>
              <w:ind w:right="415"/>
              <w:rPr>
                <w:rFonts w:ascii="Carlito"/>
                <w:sz w:val="16"/>
              </w:rPr>
            </w:pPr>
            <w:r>
              <w:rPr>
                <w:rFonts w:ascii="Carlito"/>
                <w:sz w:val="16"/>
              </w:rPr>
              <w:t>$280,000.00</w:t>
            </w:r>
          </w:p>
        </w:tc>
        <w:tc>
          <w:tcPr>
            <w:tcW w:w="1000" w:type="dxa"/>
          </w:tcPr>
          <w:p>
            <w:pPr>
              <w:pStyle w:val="TableParagraph"/>
              <w:spacing w:before="92"/>
              <w:ind w:right="340"/>
              <w:rPr>
                <w:rFonts w:ascii="Carlito"/>
                <w:sz w:val="16"/>
              </w:rPr>
            </w:pPr>
            <w:r>
              <w:rPr>
                <w:rFonts w:ascii="Carlito"/>
                <w:sz w:val="16"/>
              </w:rPr>
              <w:t>250</w:t>
            </w:r>
          </w:p>
        </w:tc>
        <w:tc>
          <w:tcPr>
            <w:tcW w:w="1126" w:type="dxa"/>
          </w:tcPr>
          <w:p>
            <w:pPr>
              <w:pStyle w:val="TableParagraph"/>
              <w:spacing w:before="92"/>
              <w:ind w:left="319" w:right="439"/>
              <w:jc w:val="center"/>
              <w:rPr>
                <w:rFonts w:ascii="Carlito"/>
                <w:sz w:val="16"/>
              </w:rPr>
            </w:pPr>
            <w:r>
              <w:rPr>
                <w:rFonts w:ascii="Carlito"/>
                <w:sz w:val="16"/>
              </w:rPr>
              <w:t>2006</w:t>
            </w:r>
          </w:p>
        </w:tc>
        <w:tc>
          <w:tcPr>
            <w:tcW w:w="782" w:type="dxa"/>
          </w:tcPr>
          <w:p>
            <w:pPr>
              <w:pStyle w:val="TableParagraph"/>
              <w:spacing w:before="92"/>
              <w:ind w:right="234"/>
              <w:rPr>
                <w:rFonts w:ascii="Carlito"/>
                <w:sz w:val="16"/>
              </w:rPr>
            </w:pPr>
            <w:r>
              <w:rPr>
                <w:rFonts w:ascii="Carlito"/>
                <w:sz w:val="16"/>
              </w:rPr>
              <w:t>3</w:t>
            </w:r>
          </w:p>
        </w:tc>
        <w:tc>
          <w:tcPr>
            <w:tcW w:w="744" w:type="dxa"/>
          </w:tcPr>
          <w:p>
            <w:pPr>
              <w:pStyle w:val="TableParagraph"/>
              <w:spacing w:before="92"/>
              <w:ind w:right="297"/>
              <w:rPr>
                <w:rFonts w:ascii="Carlito"/>
                <w:sz w:val="16"/>
              </w:rPr>
            </w:pPr>
            <w:r>
              <w:rPr>
                <w:rFonts w:ascii="Carlito"/>
                <w:sz w:val="16"/>
              </w:rPr>
              <w:t>3</w:t>
            </w:r>
          </w:p>
        </w:tc>
        <w:tc>
          <w:tcPr>
            <w:tcW w:w="815" w:type="dxa"/>
          </w:tcPr>
          <w:p>
            <w:pPr>
              <w:pStyle w:val="TableParagraph"/>
              <w:spacing w:before="92"/>
              <w:ind w:left="303"/>
              <w:jc w:val="left"/>
              <w:rPr>
                <w:rFonts w:ascii="Carlito"/>
                <w:sz w:val="16"/>
              </w:rPr>
            </w:pPr>
            <w:r>
              <w:rPr>
                <w:rFonts w:ascii="Carlito"/>
                <w:sz w:val="16"/>
              </w:rPr>
              <w:t>2</w:t>
            </w:r>
          </w:p>
        </w:tc>
        <w:tc>
          <w:tcPr>
            <w:tcW w:w="1287" w:type="dxa"/>
          </w:tcPr>
          <w:p>
            <w:pPr>
              <w:pStyle w:val="TableParagraph"/>
              <w:spacing w:before="92"/>
              <w:ind w:right="567"/>
              <w:rPr>
                <w:rFonts w:ascii="Carlito"/>
                <w:sz w:val="16"/>
              </w:rPr>
            </w:pPr>
            <w:r>
              <w:rPr>
                <w:rFonts w:ascii="Carlito"/>
                <w:sz w:val="16"/>
              </w:rPr>
              <w:t>8.9</w:t>
            </w:r>
          </w:p>
        </w:tc>
        <w:tc>
          <w:tcPr>
            <w:tcW w:w="1141" w:type="dxa"/>
          </w:tcPr>
          <w:p>
            <w:pPr>
              <w:pStyle w:val="TableParagraph"/>
              <w:spacing w:before="92"/>
              <w:ind w:right="360"/>
              <w:rPr>
                <w:rFonts w:ascii="Carlito"/>
                <w:sz w:val="16"/>
              </w:rPr>
            </w:pPr>
            <w:r>
              <w:rPr>
                <w:rFonts w:ascii="Carlito"/>
                <w:sz w:val="16"/>
              </w:rPr>
              <w:t>2.4</w:t>
            </w:r>
          </w:p>
        </w:tc>
        <w:tc>
          <w:tcPr>
            <w:tcW w:w="825" w:type="dxa"/>
          </w:tcPr>
          <w:p>
            <w:pPr>
              <w:pStyle w:val="TableParagraph"/>
              <w:spacing w:before="92"/>
              <w:ind w:right="373"/>
              <w:rPr>
                <w:rFonts w:ascii="Carlito"/>
                <w:sz w:val="16"/>
              </w:rPr>
            </w:pPr>
            <w:r>
              <w:rPr>
                <w:rFonts w:ascii="Carlito"/>
                <w:sz w:val="16"/>
              </w:rPr>
              <w:t>0</w:t>
            </w:r>
          </w:p>
        </w:tc>
        <w:tc>
          <w:tcPr>
            <w:tcW w:w="529" w:type="dxa"/>
          </w:tcPr>
          <w:p>
            <w:pPr>
              <w:pStyle w:val="TableParagraph"/>
              <w:spacing w:before="92"/>
              <w:ind w:right="58"/>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100</w:t>
            </w:r>
          </w:p>
        </w:tc>
        <w:tc>
          <w:tcPr>
            <w:tcW w:w="1938" w:type="dxa"/>
            <w:shd w:val="clear" w:color="auto" w:fill="D9D9D9"/>
          </w:tcPr>
          <w:p>
            <w:pPr>
              <w:pStyle w:val="TableParagraph"/>
              <w:ind w:left="143"/>
              <w:jc w:val="left"/>
              <w:rPr>
                <w:rFonts w:ascii="Carlito"/>
                <w:sz w:val="16"/>
              </w:rPr>
            </w:pPr>
            <w:r>
              <w:rPr>
                <w:rFonts w:ascii="Carlito"/>
                <w:sz w:val="16"/>
              </w:rPr>
              <w:t>Granadilla</w:t>
            </w:r>
          </w:p>
        </w:tc>
        <w:tc>
          <w:tcPr>
            <w:tcW w:w="595" w:type="dxa"/>
            <w:shd w:val="clear" w:color="auto" w:fill="D9D9D9"/>
          </w:tcPr>
          <w:p>
            <w:pPr>
              <w:pStyle w:val="TableParagraph"/>
              <w:ind w:right="69"/>
              <w:rPr>
                <w:rFonts w:ascii="Carlito"/>
                <w:sz w:val="16"/>
              </w:rPr>
            </w:pPr>
            <w:r>
              <w:rPr>
                <w:rFonts w:ascii="Carlito"/>
                <w:sz w:val="16"/>
              </w:rPr>
              <w:t>0</w:t>
            </w:r>
          </w:p>
        </w:tc>
        <w:tc>
          <w:tcPr>
            <w:tcW w:w="1418" w:type="dxa"/>
            <w:shd w:val="clear" w:color="auto" w:fill="D9D9D9"/>
          </w:tcPr>
          <w:p>
            <w:pPr>
              <w:pStyle w:val="TableParagraph"/>
              <w:ind w:right="415"/>
              <w:rPr>
                <w:rFonts w:ascii="Carlito"/>
                <w:sz w:val="16"/>
              </w:rPr>
            </w:pPr>
            <w:r>
              <w:rPr>
                <w:rFonts w:ascii="Carlito"/>
                <w:sz w:val="16"/>
              </w:rPr>
              <w:t>$310,000.00</w:t>
            </w:r>
          </w:p>
        </w:tc>
        <w:tc>
          <w:tcPr>
            <w:tcW w:w="1000" w:type="dxa"/>
            <w:shd w:val="clear" w:color="auto" w:fill="D9D9D9"/>
          </w:tcPr>
          <w:p>
            <w:pPr>
              <w:pStyle w:val="TableParagraph"/>
              <w:ind w:right="340"/>
              <w:rPr>
                <w:rFonts w:ascii="Carlito"/>
                <w:sz w:val="16"/>
              </w:rPr>
            </w:pPr>
            <w:r>
              <w:rPr>
                <w:rFonts w:ascii="Carlito"/>
                <w:sz w:val="16"/>
              </w:rPr>
              <w:t>250</w:t>
            </w:r>
          </w:p>
        </w:tc>
        <w:tc>
          <w:tcPr>
            <w:tcW w:w="1126" w:type="dxa"/>
            <w:shd w:val="clear" w:color="auto" w:fill="D9D9D9"/>
          </w:tcPr>
          <w:p>
            <w:pPr>
              <w:pStyle w:val="TableParagraph"/>
              <w:ind w:left="319" w:right="439"/>
              <w:jc w:val="center"/>
              <w:rPr>
                <w:rFonts w:ascii="Carlito"/>
                <w:sz w:val="16"/>
              </w:rPr>
            </w:pPr>
            <w:r>
              <w:rPr>
                <w:rFonts w:ascii="Carlito"/>
                <w:sz w:val="16"/>
              </w:rPr>
              <w:t>2008</w:t>
            </w:r>
          </w:p>
        </w:tc>
        <w:tc>
          <w:tcPr>
            <w:tcW w:w="782" w:type="dxa"/>
            <w:shd w:val="clear" w:color="auto" w:fill="D9D9D9"/>
          </w:tcPr>
          <w:p>
            <w:pPr>
              <w:pStyle w:val="TableParagraph"/>
              <w:ind w:right="234"/>
              <w:rPr>
                <w:rFonts w:ascii="Carlito"/>
                <w:sz w:val="16"/>
              </w:rPr>
            </w:pPr>
            <w:r>
              <w:rPr>
                <w:rFonts w:ascii="Carlito"/>
                <w:sz w:val="16"/>
              </w:rPr>
              <w:t>4</w:t>
            </w:r>
          </w:p>
        </w:tc>
        <w:tc>
          <w:tcPr>
            <w:tcW w:w="744" w:type="dxa"/>
            <w:shd w:val="clear" w:color="auto" w:fill="D9D9D9"/>
          </w:tcPr>
          <w:p>
            <w:pPr>
              <w:pStyle w:val="TableParagraph"/>
              <w:ind w:right="302"/>
              <w:rPr>
                <w:rFonts w:ascii="Carlito"/>
                <w:sz w:val="16"/>
              </w:rPr>
            </w:pPr>
            <w:r>
              <w:rPr>
                <w:rFonts w:ascii="Carlito"/>
                <w:sz w:val="16"/>
              </w:rPr>
              <w:t>2.5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7.2</w:t>
            </w:r>
          </w:p>
        </w:tc>
        <w:tc>
          <w:tcPr>
            <w:tcW w:w="1141" w:type="dxa"/>
            <w:shd w:val="clear" w:color="auto" w:fill="D9D9D9"/>
          </w:tcPr>
          <w:p>
            <w:pPr>
              <w:pStyle w:val="TableParagraph"/>
              <w:ind w:right="360"/>
              <w:rPr>
                <w:rFonts w:ascii="Carlito"/>
                <w:sz w:val="16"/>
              </w:rPr>
            </w:pPr>
            <w:r>
              <w:rPr>
                <w:rFonts w:ascii="Carlito"/>
                <w:sz w:val="16"/>
              </w:rPr>
              <w:t>5.6</w:t>
            </w:r>
          </w:p>
        </w:tc>
        <w:tc>
          <w:tcPr>
            <w:tcW w:w="825" w:type="dxa"/>
            <w:shd w:val="clear" w:color="auto" w:fill="D9D9D9"/>
          </w:tcPr>
          <w:p>
            <w:pPr>
              <w:pStyle w:val="TableParagraph"/>
              <w:ind w:right="373"/>
              <w:rPr>
                <w:rFonts w:ascii="Carlito"/>
                <w:sz w:val="16"/>
              </w:rPr>
            </w:pPr>
            <w:r>
              <w:rPr>
                <w:rFonts w:ascii="Carlito"/>
                <w:sz w:val="16"/>
              </w:rPr>
              <w:t>1</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101</w:t>
            </w:r>
          </w:p>
        </w:tc>
        <w:tc>
          <w:tcPr>
            <w:tcW w:w="1938" w:type="dxa"/>
          </w:tcPr>
          <w:p>
            <w:pPr>
              <w:pStyle w:val="TableParagraph"/>
              <w:spacing w:before="92"/>
              <w:ind w:left="143"/>
              <w:jc w:val="left"/>
              <w:rPr>
                <w:rFonts w:ascii="Carlito"/>
                <w:sz w:val="16"/>
              </w:rPr>
            </w:pPr>
            <w:r>
              <w:rPr>
                <w:rFonts w:ascii="Carlito"/>
                <w:sz w:val="16"/>
              </w:rPr>
              <w:t>Curridabat</w:t>
            </w:r>
          </w:p>
        </w:tc>
        <w:tc>
          <w:tcPr>
            <w:tcW w:w="595" w:type="dxa"/>
          </w:tcPr>
          <w:p>
            <w:pPr>
              <w:pStyle w:val="TableParagraph"/>
              <w:spacing w:before="92"/>
              <w:ind w:right="69"/>
              <w:rPr>
                <w:rFonts w:ascii="Carlito"/>
                <w:sz w:val="16"/>
              </w:rPr>
            </w:pPr>
            <w:r>
              <w:rPr>
                <w:rFonts w:ascii="Carlito"/>
                <w:sz w:val="16"/>
              </w:rPr>
              <w:t>0</w:t>
            </w:r>
          </w:p>
        </w:tc>
        <w:tc>
          <w:tcPr>
            <w:tcW w:w="1418" w:type="dxa"/>
          </w:tcPr>
          <w:p>
            <w:pPr>
              <w:pStyle w:val="TableParagraph"/>
              <w:spacing w:before="92"/>
              <w:ind w:right="415"/>
              <w:rPr>
                <w:rFonts w:ascii="Carlito"/>
                <w:sz w:val="16"/>
              </w:rPr>
            </w:pPr>
            <w:r>
              <w:rPr>
                <w:rFonts w:ascii="Carlito"/>
                <w:sz w:val="16"/>
              </w:rPr>
              <w:t>$185,000.00</w:t>
            </w:r>
          </w:p>
        </w:tc>
        <w:tc>
          <w:tcPr>
            <w:tcW w:w="1000" w:type="dxa"/>
          </w:tcPr>
          <w:p>
            <w:pPr>
              <w:pStyle w:val="TableParagraph"/>
              <w:spacing w:before="92"/>
              <w:ind w:right="340"/>
              <w:rPr>
                <w:rFonts w:ascii="Carlito"/>
                <w:sz w:val="16"/>
              </w:rPr>
            </w:pPr>
            <w:r>
              <w:rPr>
                <w:rFonts w:ascii="Carlito"/>
                <w:sz w:val="16"/>
              </w:rPr>
              <w:t>140</w:t>
            </w:r>
          </w:p>
        </w:tc>
        <w:tc>
          <w:tcPr>
            <w:tcW w:w="1126" w:type="dxa"/>
          </w:tcPr>
          <w:p>
            <w:pPr>
              <w:pStyle w:val="TableParagraph"/>
              <w:spacing w:before="92"/>
              <w:ind w:left="319" w:right="439"/>
              <w:jc w:val="center"/>
              <w:rPr>
                <w:rFonts w:ascii="Carlito"/>
                <w:sz w:val="16"/>
              </w:rPr>
            </w:pPr>
            <w:r>
              <w:rPr>
                <w:rFonts w:ascii="Carlito"/>
                <w:sz w:val="16"/>
              </w:rPr>
              <w:t>2015</w:t>
            </w:r>
          </w:p>
        </w:tc>
        <w:tc>
          <w:tcPr>
            <w:tcW w:w="782" w:type="dxa"/>
          </w:tcPr>
          <w:p>
            <w:pPr>
              <w:pStyle w:val="TableParagraph"/>
              <w:spacing w:before="92"/>
              <w:ind w:right="234"/>
              <w:rPr>
                <w:rFonts w:ascii="Carlito"/>
                <w:sz w:val="16"/>
              </w:rPr>
            </w:pPr>
            <w:r>
              <w:rPr>
                <w:rFonts w:ascii="Carlito"/>
                <w:sz w:val="16"/>
              </w:rPr>
              <w:t>3</w:t>
            </w:r>
          </w:p>
        </w:tc>
        <w:tc>
          <w:tcPr>
            <w:tcW w:w="744" w:type="dxa"/>
          </w:tcPr>
          <w:p>
            <w:pPr>
              <w:pStyle w:val="TableParagraph"/>
              <w:spacing w:before="92"/>
              <w:ind w:right="302"/>
              <w:rPr>
                <w:rFonts w:ascii="Carlito"/>
                <w:sz w:val="16"/>
              </w:rPr>
            </w:pPr>
            <w:r>
              <w:rPr>
                <w:rFonts w:ascii="Carlito"/>
                <w:sz w:val="16"/>
              </w:rPr>
              <w:t>2.5</w:t>
            </w:r>
          </w:p>
        </w:tc>
        <w:tc>
          <w:tcPr>
            <w:tcW w:w="815" w:type="dxa"/>
          </w:tcPr>
          <w:p>
            <w:pPr>
              <w:pStyle w:val="TableParagraph"/>
              <w:spacing w:before="92"/>
              <w:ind w:left="303"/>
              <w:jc w:val="left"/>
              <w:rPr>
                <w:rFonts w:ascii="Carlito"/>
                <w:sz w:val="16"/>
              </w:rPr>
            </w:pPr>
            <w:r>
              <w:rPr>
                <w:rFonts w:ascii="Carlito"/>
                <w:sz w:val="16"/>
              </w:rPr>
              <w:t>2</w:t>
            </w:r>
          </w:p>
        </w:tc>
        <w:tc>
          <w:tcPr>
            <w:tcW w:w="1287" w:type="dxa"/>
          </w:tcPr>
          <w:p>
            <w:pPr>
              <w:pStyle w:val="TableParagraph"/>
              <w:spacing w:before="92"/>
              <w:ind w:right="567"/>
              <w:rPr>
                <w:rFonts w:ascii="Carlito"/>
                <w:sz w:val="16"/>
              </w:rPr>
            </w:pPr>
            <w:r>
              <w:rPr>
                <w:rFonts w:ascii="Carlito"/>
                <w:sz w:val="16"/>
              </w:rPr>
              <w:t>5.7</w:t>
            </w:r>
          </w:p>
        </w:tc>
        <w:tc>
          <w:tcPr>
            <w:tcW w:w="1141" w:type="dxa"/>
          </w:tcPr>
          <w:p>
            <w:pPr>
              <w:pStyle w:val="TableParagraph"/>
              <w:spacing w:before="92"/>
              <w:ind w:right="360"/>
              <w:rPr>
                <w:rFonts w:ascii="Carlito"/>
                <w:sz w:val="16"/>
              </w:rPr>
            </w:pPr>
            <w:r>
              <w:rPr>
                <w:rFonts w:ascii="Carlito"/>
                <w:sz w:val="16"/>
              </w:rPr>
              <w:t>3.2</w:t>
            </w:r>
          </w:p>
        </w:tc>
        <w:tc>
          <w:tcPr>
            <w:tcW w:w="825" w:type="dxa"/>
          </w:tcPr>
          <w:p>
            <w:pPr>
              <w:pStyle w:val="TableParagraph"/>
              <w:spacing w:before="92"/>
              <w:ind w:right="373"/>
              <w:rPr>
                <w:rFonts w:ascii="Carlito"/>
                <w:sz w:val="16"/>
              </w:rPr>
            </w:pPr>
            <w:r>
              <w:rPr>
                <w:rFonts w:ascii="Carlito"/>
                <w:sz w:val="16"/>
              </w:rPr>
              <w:t>0</w:t>
            </w:r>
          </w:p>
        </w:tc>
        <w:tc>
          <w:tcPr>
            <w:tcW w:w="529" w:type="dxa"/>
          </w:tcPr>
          <w:p>
            <w:pPr>
              <w:pStyle w:val="TableParagraph"/>
              <w:spacing w:before="92"/>
              <w:ind w:right="58"/>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102</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595"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$600,000.00</w:t>
            </w:r>
          </w:p>
        </w:tc>
        <w:tc>
          <w:tcPr>
            <w:tcW w:w="1000" w:type="dxa"/>
            <w:shd w:val="clear" w:color="auto" w:fill="D9D9D9"/>
          </w:tcPr>
          <w:p>
            <w:pPr>
              <w:pStyle w:val="TableParagraph"/>
              <w:ind w:right="340"/>
              <w:rPr>
                <w:rFonts w:ascii="Carlito"/>
                <w:sz w:val="16"/>
              </w:rPr>
            </w:pPr>
            <w:r>
              <w:rPr>
                <w:rFonts w:ascii="Carlito"/>
                <w:sz w:val="16"/>
              </w:rPr>
              <w:t>600</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302"/>
              <w:rPr>
                <w:rFonts w:ascii="Carlito"/>
                <w:sz w:val="16"/>
              </w:rPr>
            </w:pPr>
            <w:r>
              <w:rPr>
                <w:rFonts w:ascii="Carlito"/>
                <w:sz w:val="16"/>
              </w:rPr>
              <w:t>3.5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7.4</w:t>
            </w:r>
          </w:p>
        </w:tc>
        <w:tc>
          <w:tcPr>
            <w:tcW w:w="1141" w:type="dxa"/>
            <w:shd w:val="clear" w:color="auto" w:fill="D9D9D9"/>
          </w:tcPr>
          <w:p>
            <w:pPr>
              <w:pStyle w:val="TableParagraph"/>
              <w:ind w:right="356"/>
              <w:rPr>
                <w:rFonts w:ascii="Carlito"/>
                <w:sz w:val="16"/>
              </w:rPr>
            </w:pPr>
            <w:r>
              <w:rPr>
                <w:rFonts w:ascii="Carlito"/>
                <w:sz w:val="16"/>
              </w:rPr>
              <w:t>5</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103</w:t>
            </w:r>
          </w:p>
        </w:tc>
        <w:tc>
          <w:tcPr>
            <w:tcW w:w="1938" w:type="dxa"/>
          </w:tcPr>
          <w:p>
            <w:pPr>
              <w:pStyle w:val="TableParagraph"/>
              <w:spacing w:before="92"/>
              <w:ind w:left="143"/>
              <w:jc w:val="left"/>
              <w:rPr>
                <w:rFonts w:ascii="Carlito"/>
                <w:sz w:val="16"/>
              </w:rPr>
            </w:pPr>
            <w:r>
              <w:rPr>
                <w:rFonts w:ascii="Carlito"/>
                <w:sz w:val="16"/>
              </w:rPr>
              <w:t>Altamonte</w:t>
            </w:r>
          </w:p>
        </w:tc>
        <w:tc>
          <w:tcPr>
            <w:tcW w:w="595" w:type="dxa"/>
          </w:tcPr>
          <w:p>
            <w:pPr>
              <w:pStyle w:val="TableParagraph"/>
              <w:spacing w:before="92"/>
              <w:ind w:right="69"/>
              <w:rPr>
                <w:rFonts w:ascii="Carlito"/>
                <w:sz w:val="16"/>
              </w:rPr>
            </w:pPr>
            <w:r>
              <w:rPr>
                <w:rFonts w:ascii="Carlito"/>
                <w:sz w:val="16"/>
              </w:rPr>
              <w:t>1</w:t>
            </w:r>
          </w:p>
        </w:tc>
        <w:tc>
          <w:tcPr>
            <w:tcW w:w="1418" w:type="dxa"/>
          </w:tcPr>
          <w:p>
            <w:pPr>
              <w:pStyle w:val="TableParagraph"/>
              <w:spacing w:before="92"/>
              <w:ind w:right="415"/>
              <w:rPr>
                <w:rFonts w:ascii="Carlito"/>
                <w:sz w:val="16"/>
              </w:rPr>
            </w:pPr>
            <w:r>
              <w:rPr>
                <w:rFonts w:ascii="Carlito"/>
                <w:sz w:val="16"/>
              </w:rPr>
              <w:t>$525,000.00</w:t>
            </w:r>
          </w:p>
        </w:tc>
        <w:tc>
          <w:tcPr>
            <w:tcW w:w="1000" w:type="dxa"/>
          </w:tcPr>
          <w:p>
            <w:pPr>
              <w:pStyle w:val="TableParagraph"/>
              <w:spacing w:before="92"/>
              <w:ind w:right="340"/>
              <w:rPr>
                <w:rFonts w:ascii="Carlito"/>
                <w:sz w:val="16"/>
              </w:rPr>
            </w:pPr>
            <w:r>
              <w:rPr>
                <w:rFonts w:ascii="Carlito"/>
                <w:sz w:val="16"/>
              </w:rPr>
              <w:t>381</w:t>
            </w:r>
          </w:p>
        </w:tc>
        <w:tc>
          <w:tcPr>
            <w:tcW w:w="1126" w:type="dxa"/>
          </w:tcPr>
          <w:p>
            <w:pPr>
              <w:pStyle w:val="TableParagraph"/>
              <w:spacing w:before="92"/>
              <w:ind w:left="319" w:right="439"/>
              <w:jc w:val="center"/>
              <w:rPr>
                <w:rFonts w:ascii="Carlito"/>
                <w:sz w:val="16"/>
              </w:rPr>
            </w:pPr>
            <w:r>
              <w:rPr>
                <w:rFonts w:ascii="Carlito"/>
                <w:sz w:val="16"/>
              </w:rPr>
              <w:t>2001</w:t>
            </w:r>
          </w:p>
        </w:tc>
        <w:tc>
          <w:tcPr>
            <w:tcW w:w="782" w:type="dxa"/>
          </w:tcPr>
          <w:p>
            <w:pPr>
              <w:pStyle w:val="TableParagraph"/>
              <w:spacing w:before="92"/>
              <w:ind w:right="234"/>
              <w:rPr>
                <w:rFonts w:ascii="Carlito"/>
                <w:sz w:val="16"/>
              </w:rPr>
            </w:pPr>
            <w:r>
              <w:rPr>
                <w:rFonts w:ascii="Carlito"/>
                <w:sz w:val="16"/>
              </w:rPr>
              <w:t>3</w:t>
            </w:r>
          </w:p>
        </w:tc>
        <w:tc>
          <w:tcPr>
            <w:tcW w:w="744" w:type="dxa"/>
          </w:tcPr>
          <w:p>
            <w:pPr>
              <w:pStyle w:val="TableParagraph"/>
              <w:spacing w:before="92"/>
              <w:ind w:right="297"/>
              <w:rPr>
                <w:rFonts w:ascii="Carlito"/>
                <w:sz w:val="16"/>
              </w:rPr>
            </w:pPr>
            <w:r>
              <w:rPr>
                <w:rFonts w:ascii="Carlito"/>
                <w:sz w:val="16"/>
              </w:rPr>
              <w:t>2</w:t>
            </w:r>
          </w:p>
        </w:tc>
        <w:tc>
          <w:tcPr>
            <w:tcW w:w="815" w:type="dxa"/>
          </w:tcPr>
          <w:p>
            <w:pPr>
              <w:pStyle w:val="TableParagraph"/>
              <w:spacing w:before="92"/>
              <w:ind w:left="303"/>
              <w:jc w:val="left"/>
              <w:rPr>
                <w:rFonts w:ascii="Carlito"/>
                <w:sz w:val="16"/>
              </w:rPr>
            </w:pPr>
            <w:r>
              <w:rPr>
                <w:rFonts w:ascii="Carlito"/>
                <w:sz w:val="16"/>
              </w:rPr>
              <w:t>1</w:t>
            </w:r>
          </w:p>
        </w:tc>
        <w:tc>
          <w:tcPr>
            <w:tcW w:w="1287" w:type="dxa"/>
          </w:tcPr>
          <w:p>
            <w:pPr>
              <w:pStyle w:val="TableParagraph"/>
              <w:spacing w:before="92"/>
              <w:ind w:right="567"/>
              <w:rPr>
                <w:rFonts w:ascii="Carlito"/>
                <w:sz w:val="16"/>
              </w:rPr>
            </w:pPr>
            <w:r>
              <w:rPr>
                <w:rFonts w:ascii="Carlito"/>
                <w:sz w:val="16"/>
              </w:rPr>
              <w:t>6.6</w:t>
            </w:r>
          </w:p>
        </w:tc>
        <w:tc>
          <w:tcPr>
            <w:tcW w:w="1141" w:type="dxa"/>
          </w:tcPr>
          <w:p>
            <w:pPr>
              <w:pStyle w:val="TableParagraph"/>
              <w:spacing w:before="92"/>
              <w:ind w:right="360"/>
              <w:rPr>
                <w:rFonts w:ascii="Carlito"/>
                <w:sz w:val="16"/>
              </w:rPr>
            </w:pPr>
            <w:r>
              <w:rPr>
                <w:rFonts w:ascii="Carlito"/>
                <w:sz w:val="16"/>
              </w:rPr>
              <w:t>5.8</w:t>
            </w:r>
          </w:p>
        </w:tc>
        <w:tc>
          <w:tcPr>
            <w:tcW w:w="825" w:type="dxa"/>
          </w:tcPr>
          <w:p>
            <w:pPr>
              <w:pStyle w:val="TableParagraph"/>
              <w:spacing w:before="92"/>
              <w:ind w:right="373"/>
              <w:rPr>
                <w:rFonts w:ascii="Carlito"/>
                <w:sz w:val="16"/>
              </w:rPr>
            </w:pPr>
            <w:r>
              <w:rPr>
                <w:rFonts w:ascii="Carlito"/>
                <w:sz w:val="16"/>
              </w:rPr>
              <w:t>0</w:t>
            </w:r>
          </w:p>
        </w:tc>
        <w:tc>
          <w:tcPr>
            <w:tcW w:w="529" w:type="dxa"/>
          </w:tcPr>
          <w:p>
            <w:pPr>
              <w:pStyle w:val="TableParagraph"/>
              <w:spacing w:before="92"/>
              <w:ind w:right="58"/>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104</w:t>
            </w:r>
          </w:p>
        </w:tc>
        <w:tc>
          <w:tcPr>
            <w:tcW w:w="1938" w:type="dxa"/>
            <w:shd w:val="clear" w:color="auto" w:fill="D9D9D9"/>
          </w:tcPr>
          <w:p>
            <w:pPr>
              <w:pStyle w:val="TableParagraph"/>
              <w:ind w:left="143"/>
              <w:jc w:val="left"/>
              <w:rPr>
                <w:rFonts w:ascii="Carlito"/>
                <w:sz w:val="16"/>
              </w:rPr>
            </w:pPr>
            <w:r>
              <w:rPr>
                <w:rFonts w:ascii="Carlito"/>
                <w:sz w:val="16"/>
              </w:rPr>
              <w:t>Lomas de Ayarco Sur</w:t>
            </w:r>
          </w:p>
        </w:tc>
        <w:tc>
          <w:tcPr>
            <w:tcW w:w="595" w:type="dxa"/>
            <w:shd w:val="clear" w:color="auto" w:fill="D9D9D9"/>
          </w:tcPr>
          <w:p>
            <w:pPr>
              <w:pStyle w:val="TableParagraph"/>
              <w:ind w:right="69"/>
              <w:rPr>
                <w:rFonts w:ascii="Carlito"/>
                <w:sz w:val="16"/>
              </w:rPr>
            </w:pPr>
            <w:r>
              <w:rPr>
                <w:rFonts w:ascii="Carlito"/>
                <w:sz w:val="16"/>
              </w:rPr>
              <w:t>0</w:t>
            </w:r>
          </w:p>
        </w:tc>
        <w:tc>
          <w:tcPr>
            <w:tcW w:w="1418" w:type="dxa"/>
            <w:shd w:val="clear" w:color="auto" w:fill="D9D9D9"/>
          </w:tcPr>
          <w:p>
            <w:pPr>
              <w:pStyle w:val="TableParagraph"/>
              <w:ind w:right="415"/>
              <w:rPr>
                <w:rFonts w:ascii="Carlito"/>
                <w:sz w:val="16"/>
              </w:rPr>
            </w:pPr>
            <w:r>
              <w:rPr>
                <w:rFonts w:ascii="Carlito"/>
                <w:sz w:val="16"/>
              </w:rPr>
              <w:t>$420,000.00</w:t>
            </w:r>
          </w:p>
        </w:tc>
        <w:tc>
          <w:tcPr>
            <w:tcW w:w="1000" w:type="dxa"/>
            <w:shd w:val="clear" w:color="auto" w:fill="D9D9D9"/>
          </w:tcPr>
          <w:p>
            <w:pPr>
              <w:pStyle w:val="TableParagraph"/>
              <w:ind w:right="340"/>
              <w:rPr>
                <w:rFonts w:ascii="Carlito"/>
                <w:sz w:val="16"/>
              </w:rPr>
            </w:pPr>
            <w:r>
              <w:rPr>
                <w:rFonts w:ascii="Carlito"/>
                <w:sz w:val="16"/>
              </w:rPr>
              <w:t>380</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4</w:t>
            </w:r>
          </w:p>
        </w:tc>
        <w:tc>
          <w:tcPr>
            <w:tcW w:w="744" w:type="dxa"/>
            <w:shd w:val="clear" w:color="auto" w:fill="D9D9D9"/>
          </w:tcPr>
          <w:p>
            <w:pPr>
              <w:pStyle w:val="TableParagraph"/>
              <w:ind w:right="302"/>
              <w:rPr>
                <w:rFonts w:ascii="Carlito"/>
                <w:sz w:val="16"/>
              </w:rPr>
            </w:pPr>
            <w:r>
              <w:rPr>
                <w:rFonts w:ascii="Carlito"/>
                <w:sz w:val="16"/>
              </w:rPr>
              <w:t>4.5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8.8</w:t>
            </w:r>
          </w:p>
        </w:tc>
        <w:tc>
          <w:tcPr>
            <w:tcW w:w="1141" w:type="dxa"/>
            <w:shd w:val="clear" w:color="auto" w:fill="D9D9D9"/>
          </w:tcPr>
          <w:p>
            <w:pPr>
              <w:pStyle w:val="TableParagraph"/>
              <w:ind w:right="360"/>
              <w:rPr>
                <w:rFonts w:ascii="Carlito"/>
                <w:sz w:val="16"/>
              </w:rPr>
            </w:pPr>
            <w:r>
              <w:rPr>
                <w:rFonts w:ascii="Carlito"/>
                <w:sz w:val="16"/>
              </w:rPr>
              <w:t>2.8</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105</w:t>
            </w:r>
          </w:p>
        </w:tc>
        <w:tc>
          <w:tcPr>
            <w:tcW w:w="1938" w:type="dxa"/>
          </w:tcPr>
          <w:p>
            <w:pPr>
              <w:pStyle w:val="TableParagraph"/>
              <w:spacing w:before="92"/>
              <w:ind w:left="143"/>
              <w:jc w:val="left"/>
              <w:rPr>
                <w:rFonts w:ascii="Carlito"/>
                <w:sz w:val="16"/>
              </w:rPr>
            </w:pPr>
            <w:r>
              <w:rPr>
                <w:rFonts w:ascii="Carlito"/>
                <w:sz w:val="16"/>
              </w:rPr>
              <w:t>Pinares</w:t>
            </w:r>
          </w:p>
        </w:tc>
        <w:tc>
          <w:tcPr>
            <w:tcW w:w="595" w:type="dxa"/>
          </w:tcPr>
          <w:p>
            <w:pPr>
              <w:pStyle w:val="TableParagraph"/>
              <w:spacing w:before="92"/>
              <w:ind w:right="69"/>
              <w:rPr>
                <w:rFonts w:ascii="Carlito"/>
                <w:sz w:val="16"/>
              </w:rPr>
            </w:pPr>
            <w:r>
              <w:rPr>
                <w:rFonts w:ascii="Carlito"/>
                <w:sz w:val="16"/>
              </w:rPr>
              <w:t>1</w:t>
            </w:r>
          </w:p>
        </w:tc>
        <w:tc>
          <w:tcPr>
            <w:tcW w:w="1418" w:type="dxa"/>
          </w:tcPr>
          <w:p>
            <w:pPr>
              <w:pStyle w:val="TableParagraph"/>
              <w:spacing w:before="92"/>
              <w:ind w:right="415"/>
              <w:rPr>
                <w:rFonts w:ascii="Carlito"/>
                <w:sz w:val="16"/>
              </w:rPr>
            </w:pPr>
            <w:r>
              <w:rPr>
                <w:rFonts w:ascii="Carlito"/>
                <w:sz w:val="16"/>
              </w:rPr>
              <w:t>$450,000.00</w:t>
            </w:r>
          </w:p>
        </w:tc>
        <w:tc>
          <w:tcPr>
            <w:tcW w:w="1000" w:type="dxa"/>
          </w:tcPr>
          <w:p>
            <w:pPr>
              <w:pStyle w:val="TableParagraph"/>
              <w:spacing w:before="92"/>
              <w:ind w:right="340"/>
              <w:rPr>
                <w:rFonts w:ascii="Carlito"/>
                <w:sz w:val="16"/>
              </w:rPr>
            </w:pPr>
            <w:r>
              <w:rPr>
                <w:rFonts w:ascii="Carlito"/>
                <w:sz w:val="16"/>
              </w:rPr>
              <w:t>400</w:t>
            </w:r>
          </w:p>
        </w:tc>
        <w:tc>
          <w:tcPr>
            <w:tcW w:w="1126" w:type="dxa"/>
          </w:tcPr>
          <w:p>
            <w:pPr>
              <w:pStyle w:val="TableParagraph"/>
              <w:spacing w:before="92"/>
              <w:ind w:left="319" w:right="439"/>
              <w:jc w:val="center"/>
              <w:rPr>
                <w:rFonts w:ascii="Carlito"/>
                <w:sz w:val="16"/>
              </w:rPr>
            </w:pPr>
            <w:r>
              <w:rPr>
                <w:rFonts w:ascii="Carlito"/>
                <w:sz w:val="16"/>
              </w:rPr>
              <w:t>2006</w:t>
            </w:r>
          </w:p>
        </w:tc>
        <w:tc>
          <w:tcPr>
            <w:tcW w:w="782" w:type="dxa"/>
          </w:tcPr>
          <w:p>
            <w:pPr>
              <w:pStyle w:val="TableParagraph"/>
              <w:spacing w:before="92"/>
              <w:ind w:right="234"/>
              <w:rPr>
                <w:rFonts w:ascii="Carlito"/>
                <w:sz w:val="16"/>
              </w:rPr>
            </w:pPr>
            <w:r>
              <w:rPr>
                <w:rFonts w:ascii="Carlito"/>
                <w:sz w:val="16"/>
              </w:rPr>
              <w:t>7</w:t>
            </w:r>
          </w:p>
        </w:tc>
        <w:tc>
          <w:tcPr>
            <w:tcW w:w="744" w:type="dxa"/>
          </w:tcPr>
          <w:p>
            <w:pPr>
              <w:pStyle w:val="TableParagraph"/>
              <w:spacing w:before="92"/>
              <w:ind w:right="302"/>
              <w:rPr>
                <w:rFonts w:ascii="Carlito"/>
                <w:sz w:val="16"/>
              </w:rPr>
            </w:pPr>
            <w:r>
              <w:rPr>
                <w:rFonts w:ascii="Carlito"/>
                <w:sz w:val="16"/>
              </w:rPr>
              <w:t>4.5</w:t>
            </w:r>
          </w:p>
        </w:tc>
        <w:tc>
          <w:tcPr>
            <w:tcW w:w="815" w:type="dxa"/>
          </w:tcPr>
          <w:p>
            <w:pPr>
              <w:pStyle w:val="TableParagraph"/>
              <w:spacing w:before="92"/>
              <w:ind w:left="303"/>
              <w:jc w:val="left"/>
              <w:rPr>
                <w:rFonts w:ascii="Carlito"/>
                <w:sz w:val="16"/>
              </w:rPr>
            </w:pPr>
            <w:r>
              <w:rPr>
                <w:rFonts w:ascii="Carlito"/>
                <w:sz w:val="16"/>
              </w:rPr>
              <w:t>2</w:t>
            </w:r>
          </w:p>
        </w:tc>
        <w:tc>
          <w:tcPr>
            <w:tcW w:w="1287" w:type="dxa"/>
          </w:tcPr>
          <w:p>
            <w:pPr>
              <w:pStyle w:val="TableParagraph"/>
              <w:spacing w:before="92"/>
              <w:ind w:right="567"/>
              <w:rPr>
                <w:rFonts w:ascii="Carlito"/>
                <w:sz w:val="16"/>
              </w:rPr>
            </w:pPr>
            <w:r>
              <w:rPr>
                <w:rFonts w:ascii="Carlito"/>
                <w:sz w:val="16"/>
              </w:rPr>
              <w:t>7.4</w:t>
            </w:r>
          </w:p>
        </w:tc>
        <w:tc>
          <w:tcPr>
            <w:tcW w:w="1141" w:type="dxa"/>
          </w:tcPr>
          <w:p>
            <w:pPr>
              <w:pStyle w:val="TableParagraph"/>
              <w:spacing w:before="92"/>
              <w:ind w:right="360"/>
              <w:rPr>
                <w:rFonts w:ascii="Carlito"/>
                <w:sz w:val="16"/>
              </w:rPr>
            </w:pPr>
            <w:r>
              <w:rPr>
                <w:rFonts w:ascii="Carlito"/>
                <w:sz w:val="16"/>
              </w:rPr>
              <w:t>3.6</w:t>
            </w:r>
          </w:p>
        </w:tc>
        <w:tc>
          <w:tcPr>
            <w:tcW w:w="825" w:type="dxa"/>
          </w:tcPr>
          <w:p>
            <w:pPr>
              <w:pStyle w:val="TableParagraph"/>
              <w:spacing w:before="92"/>
              <w:ind w:right="373"/>
              <w:rPr>
                <w:rFonts w:ascii="Carlito"/>
                <w:sz w:val="16"/>
              </w:rPr>
            </w:pPr>
            <w:r>
              <w:rPr>
                <w:rFonts w:ascii="Carlito"/>
                <w:sz w:val="16"/>
              </w:rPr>
              <w:t>0</w:t>
            </w:r>
          </w:p>
        </w:tc>
        <w:tc>
          <w:tcPr>
            <w:tcW w:w="529" w:type="dxa"/>
          </w:tcPr>
          <w:p>
            <w:pPr>
              <w:pStyle w:val="TableParagraph"/>
              <w:spacing w:before="92"/>
              <w:ind w:right="58"/>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106</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595"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$210,000.00</w:t>
            </w:r>
          </w:p>
        </w:tc>
        <w:tc>
          <w:tcPr>
            <w:tcW w:w="1000" w:type="dxa"/>
            <w:shd w:val="clear" w:color="auto" w:fill="D9D9D9"/>
          </w:tcPr>
          <w:p>
            <w:pPr>
              <w:pStyle w:val="TableParagraph"/>
              <w:ind w:right="340"/>
              <w:rPr>
                <w:rFonts w:ascii="Carlito"/>
                <w:sz w:val="16"/>
              </w:rPr>
            </w:pPr>
            <w:r>
              <w:rPr>
                <w:rFonts w:ascii="Carlito"/>
                <w:sz w:val="16"/>
              </w:rPr>
              <w:t>200</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2</w:t>
            </w:r>
          </w:p>
        </w:tc>
        <w:tc>
          <w:tcPr>
            <w:tcW w:w="744" w:type="dxa"/>
            <w:shd w:val="clear" w:color="auto" w:fill="D9D9D9"/>
          </w:tcPr>
          <w:p>
            <w:pPr>
              <w:pStyle w:val="TableParagraph"/>
              <w:ind w:right="297"/>
              <w:rPr>
                <w:rFonts w:ascii="Carlito"/>
                <w:sz w:val="16"/>
              </w:rPr>
            </w:pPr>
            <w:r>
              <w:rPr>
                <w:rFonts w:ascii="Carlito"/>
                <w:sz w:val="16"/>
              </w:rPr>
              <w:t>1</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7.4</w:t>
            </w:r>
          </w:p>
        </w:tc>
        <w:tc>
          <w:tcPr>
            <w:tcW w:w="1141" w:type="dxa"/>
            <w:shd w:val="clear" w:color="auto" w:fill="D9D9D9"/>
          </w:tcPr>
          <w:p>
            <w:pPr>
              <w:pStyle w:val="TableParagraph"/>
              <w:ind w:right="356"/>
              <w:rPr>
                <w:rFonts w:ascii="Carlito"/>
                <w:sz w:val="16"/>
              </w:rPr>
            </w:pPr>
            <w:r>
              <w:rPr>
                <w:rFonts w:ascii="Carlito"/>
                <w:sz w:val="16"/>
              </w:rPr>
              <w:t>5</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107</w:t>
            </w:r>
          </w:p>
        </w:tc>
        <w:tc>
          <w:tcPr>
            <w:tcW w:w="1938" w:type="dxa"/>
          </w:tcPr>
          <w:p>
            <w:pPr>
              <w:pStyle w:val="TableParagraph"/>
              <w:ind w:left="143"/>
              <w:jc w:val="left"/>
              <w:rPr>
                <w:rFonts w:ascii="Carlito"/>
                <w:sz w:val="16"/>
              </w:rPr>
            </w:pPr>
            <w:r>
              <w:rPr>
                <w:rFonts w:ascii="Carlito"/>
                <w:sz w:val="16"/>
              </w:rPr>
              <w:t>Curridabat</w:t>
            </w:r>
          </w:p>
        </w:tc>
        <w:tc>
          <w:tcPr>
            <w:tcW w:w="595" w:type="dxa"/>
          </w:tcPr>
          <w:p>
            <w:pPr>
              <w:pStyle w:val="TableParagraph"/>
              <w:ind w:right="69"/>
              <w:rPr>
                <w:rFonts w:ascii="Carlito"/>
                <w:sz w:val="16"/>
              </w:rPr>
            </w:pPr>
            <w:r>
              <w:rPr>
                <w:rFonts w:ascii="Carlito"/>
                <w:sz w:val="16"/>
              </w:rPr>
              <w:t>1</w:t>
            </w:r>
          </w:p>
        </w:tc>
        <w:tc>
          <w:tcPr>
            <w:tcW w:w="1418" w:type="dxa"/>
          </w:tcPr>
          <w:p>
            <w:pPr>
              <w:pStyle w:val="TableParagraph"/>
              <w:ind w:right="415"/>
              <w:rPr>
                <w:rFonts w:ascii="Carlito"/>
                <w:sz w:val="16"/>
              </w:rPr>
            </w:pPr>
            <w:r>
              <w:rPr>
                <w:rFonts w:ascii="Carlito"/>
                <w:sz w:val="16"/>
              </w:rPr>
              <w:t>$125,454.55</w:t>
            </w:r>
          </w:p>
        </w:tc>
        <w:tc>
          <w:tcPr>
            <w:tcW w:w="1000" w:type="dxa"/>
          </w:tcPr>
          <w:p>
            <w:pPr>
              <w:pStyle w:val="TableParagraph"/>
              <w:ind w:right="340"/>
              <w:rPr>
                <w:rFonts w:ascii="Carlito"/>
                <w:sz w:val="16"/>
              </w:rPr>
            </w:pPr>
            <w:r>
              <w:rPr>
                <w:rFonts w:ascii="Carlito"/>
                <w:sz w:val="16"/>
              </w:rPr>
              <w:t>135</w:t>
            </w:r>
          </w:p>
        </w:tc>
        <w:tc>
          <w:tcPr>
            <w:tcW w:w="1126" w:type="dxa"/>
          </w:tcPr>
          <w:p>
            <w:pPr>
              <w:pStyle w:val="TableParagraph"/>
              <w:ind w:left="319" w:right="439"/>
              <w:jc w:val="center"/>
              <w:rPr>
                <w:rFonts w:ascii="Carlito"/>
                <w:sz w:val="16"/>
              </w:rPr>
            </w:pPr>
            <w:r>
              <w:rPr>
                <w:rFonts w:ascii="Carlito"/>
                <w:sz w:val="16"/>
              </w:rPr>
              <w:t>2006</w:t>
            </w:r>
          </w:p>
        </w:tc>
        <w:tc>
          <w:tcPr>
            <w:tcW w:w="782" w:type="dxa"/>
          </w:tcPr>
          <w:p>
            <w:pPr>
              <w:pStyle w:val="TableParagraph"/>
              <w:ind w:right="234"/>
              <w:rPr>
                <w:rFonts w:ascii="Carlito"/>
                <w:sz w:val="16"/>
              </w:rPr>
            </w:pPr>
            <w:r>
              <w:rPr>
                <w:rFonts w:ascii="Carlito"/>
                <w:sz w:val="16"/>
              </w:rPr>
              <w:t>3</w:t>
            </w:r>
          </w:p>
        </w:tc>
        <w:tc>
          <w:tcPr>
            <w:tcW w:w="744" w:type="dxa"/>
          </w:tcPr>
          <w:p>
            <w:pPr>
              <w:pStyle w:val="TableParagraph"/>
              <w:ind w:right="297"/>
              <w:rPr>
                <w:rFonts w:ascii="Carlito"/>
                <w:sz w:val="16"/>
              </w:rPr>
            </w:pPr>
            <w:r>
              <w:rPr>
                <w:rFonts w:ascii="Carlito"/>
                <w:sz w:val="16"/>
              </w:rPr>
              <w:t>2</w:t>
            </w:r>
          </w:p>
        </w:tc>
        <w:tc>
          <w:tcPr>
            <w:tcW w:w="815" w:type="dxa"/>
          </w:tcPr>
          <w:p>
            <w:pPr>
              <w:pStyle w:val="TableParagraph"/>
              <w:ind w:left="303"/>
              <w:jc w:val="left"/>
              <w:rPr>
                <w:rFonts w:ascii="Carlito"/>
                <w:sz w:val="16"/>
              </w:rPr>
            </w:pPr>
            <w:r>
              <w:rPr>
                <w:rFonts w:ascii="Carlito"/>
                <w:sz w:val="16"/>
              </w:rPr>
              <w:t>1</w:t>
            </w:r>
          </w:p>
        </w:tc>
        <w:tc>
          <w:tcPr>
            <w:tcW w:w="1287" w:type="dxa"/>
          </w:tcPr>
          <w:p>
            <w:pPr>
              <w:pStyle w:val="TableParagraph"/>
              <w:ind w:right="567"/>
              <w:rPr>
                <w:rFonts w:ascii="Carlito"/>
                <w:sz w:val="16"/>
              </w:rPr>
            </w:pPr>
            <w:r>
              <w:rPr>
                <w:rFonts w:ascii="Carlito"/>
                <w:sz w:val="16"/>
              </w:rPr>
              <w:t>5.7</w:t>
            </w:r>
          </w:p>
        </w:tc>
        <w:tc>
          <w:tcPr>
            <w:tcW w:w="1141" w:type="dxa"/>
          </w:tcPr>
          <w:p>
            <w:pPr>
              <w:pStyle w:val="TableParagraph"/>
              <w:ind w:right="360"/>
              <w:rPr>
                <w:rFonts w:ascii="Carlito"/>
                <w:sz w:val="16"/>
              </w:rPr>
            </w:pPr>
            <w:r>
              <w:rPr>
                <w:rFonts w:ascii="Carlito"/>
                <w:sz w:val="16"/>
              </w:rPr>
              <w:t>3.2</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108</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595"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$120,000.00</w:t>
            </w:r>
          </w:p>
        </w:tc>
        <w:tc>
          <w:tcPr>
            <w:tcW w:w="1000" w:type="dxa"/>
            <w:shd w:val="clear" w:color="auto" w:fill="D9D9D9"/>
          </w:tcPr>
          <w:p>
            <w:pPr>
              <w:pStyle w:val="TableParagraph"/>
              <w:ind w:right="340"/>
              <w:rPr>
                <w:rFonts w:ascii="Carlito"/>
                <w:sz w:val="16"/>
              </w:rPr>
            </w:pPr>
            <w:r>
              <w:rPr>
                <w:rFonts w:ascii="Carlito"/>
                <w:sz w:val="16"/>
              </w:rPr>
              <w:t>168</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2</w:t>
            </w:r>
          </w:p>
        </w:tc>
        <w:tc>
          <w:tcPr>
            <w:tcW w:w="744" w:type="dxa"/>
            <w:shd w:val="clear" w:color="auto" w:fill="D9D9D9"/>
          </w:tcPr>
          <w:p>
            <w:pPr>
              <w:pStyle w:val="TableParagraph"/>
              <w:ind w:right="302"/>
              <w:rPr>
                <w:rFonts w:ascii="Carlito"/>
                <w:sz w:val="16"/>
              </w:rPr>
            </w:pPr>
            <w:r>
              <w:rPr>
                <w:rFonts w:ascii="Carlito"/>
                <w:sz w:val="16"/>
              </w:rPr>
              <w:t>2.5</w:t>
            </w:r>
          </w:p>
        </w:tc>
        <w:tc>
          <w:tcPr>
            <w:tcW w:w="815" w:type="dxa"/>
            <w:shd w:val="clear" w:color="auto" w:fill="D9D9D9"/>
          </w:tcPr>
          <w:p>
            <w:pPr>
              <w:pStyle w:val="TableParagraph"/>
              <w:ind w:left="303"/>
              <w:jc w:val="left"/>
              <w:rPr>
                <w:rFonts w:ascii="Carlito"/>
                <w:sz w:val="16"/>
              </w:rPr>
            </w:pPr>
            <w:r>
              <w:rPr>
                <w:rFonts w:ascii="Carlito"/>
                <w:sz w:val="16"/>
              </w:rPr>
              <w:t>1</w:t>
            </w:r>
          </w:p>
        </w:tc>
        <w:tc>
          <w:tcPr>
            <w:tcW w:w="1287" w:type="dxa"/>
            <w:shd w:val="clear" w:color="auto" w:fill="D9D9D9"/>
          </w:tcPr>
          <w:p>
            <w:pPr>
              <w:pStyle w:val="TableParagraph"/>
              <w:ind w:right="567"/>
              <w:rPr>
                <w:rFonts w:ascii="Carlito"/>
                <w:sz w:val="16"/>
              </w:rPr>
            </w:pPr>
            <w:r>
              <w:rPr>
                <w:rFonts w:ascii="Carlito"/>
                <w:sz w:val="16"/>
              </w:rPr>
              <w:t>5.7</w:t>
            </w:r>
          </w:p>
        </w:tc>
        <w:tc>
          <w:tcPr>
            <w:tcW w:w="1141" w:type="dxa"/>
            <w:shd w:val="clear" w:color="auto" w:fill="D9D9D9"/>
          </w:tcPr>
          <w:p>
            <w:pPr>
              <w:pStyle w:val="TableParagraph"/>
              <w:ind w:right="360"/>
              <w:rPr>
                <w:rFonts w:ascii="Carlito"/>
                <w:sz w:val="16"/>
              </w:rPr>
            </w:pPr>
            <w:r>
              <w:rPr>
                <w:rFonts w:ascii="Carlito"/>
                <w:sz w:val="16"/>
              </w:rPr>
              <w:t>3.2</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109</w:t>
            </w:r>
          </w:p>
        </w:tc>
        <w:tc>
          <w:tcPr>
            <w:tcW w:w="1938" w:type="dxa"/>
          </w:tcPr>
          <w:p>
            <w:pPr>
              <w:pStyle w:val="TableParagraph"/>
              <w:ind w:left="143"/>
              <w:jc w:val="left"/>
              <w:rPr>
                <w:rFonts w:ascii="Carlito"/>
                <w:sz w:val="16"/>
              </w:rPr>
            </w:pPr>
            <w:r>
              <w:rPr>
                <w:rFonts w:ascii="Carlito"/>
                <w:sz w:val="16"/>
              </w:rPr>
              <w:t>Curridabat</w:t>
            </w:r>
          </w:p>
        </w:tc>
        <w:tc>
          <w:tcPr>
            <w:tcW w:w="595" w:type="dxa"/>
          </w:tcPr>
          <w:p>
            <w:pPr>
              <w:pStyle w:val="TableParagraph"/>
              <w:ind w:right="69"/>
              <w:rPr>
                <w:rFonts w:ascii="Carlito"/>
                <w:sz w:val="16"/>
              </w:rPr>
            </w:pPr>
            <w:r>
              <w:rPr>
                <w:rFonts w:ascii="Carlito"/>
                <w:sz w:val="16"/>
              </w:rPr>
              <w:t>1</w:t>
            </w:r>
          </w:p>
        </w:tc>
        <w:tc>
          <w:tcPr>
            <w:tcW w:w="1418" w:type="dxa"/>
          </w:tcPr>
          <w:p>
            <w:pPr>
              <w:pStyle w:val="TableParagraph"/>
              <w:ind w:right="415"/>
              <w:rPr>
                <w:rFonts w:ascii="Carlito"/>
                <w:sz w:val="16"/>
              </w:rPr>
            </w:pPr>
            <w:r>
              <w:rPr>
                <w:rFonts w:ascii="Carlito"/>
                <w:sz w:val="16"/>
              </w:rPr>
              <w:t>$155,000.00</w:t>
            </w:r>
          </w:p>
        </w:tc>
        <w:tc>
          <w:tcPr>
            <w:tcW w:w="1000" w:type="dxa"/>
          </w:tcPr>
          <w:p>
            <w:pPr>
              <w:pStyle w:val="TableParagraph"/>
              <w:ind w:right="340"/>
              <w:rPr>
                <w:rFonts w:ascii="Carlito"/>
                <w:sz w:val="16"/>
              </w:rPr>
            </w:pPr>
            <w:r>
              <w:rPr>
                <w:rFonts w:ascii="Carlito"/>
                <w:sz w:val="16"/>
              </w:rPr>
              <w:t>160</w:t>
            </w:r>
          </w:p>
        </w:tc>
        <w:tc>
          <w:tcPr>
            <w:tcW w:w="1126" w:type="dxa"/>
          </w:tcPr>
          <w:p>
            <w:pPr>
              <w:pStyle w:val="TableParagraph"/>
              <w:ind w:left="319" w:right="439"/>
              <w:jc w:val="center"/>
              <w:rPr>
                <w:rFonts w:ascii="Carlito"/>
                <w:sz w:val="16"/>
              </w:rPr>
            </w:pPr>
            <w:r>
              <w:rPr>
                <w:rFonts w:ascii="Carlito"/>
                <w:sz w:val="16"/>
              </w:rPr>
              <w:t>2006</w:t>
            </w:r>
          </w:p>
        </w:tc>
        <w:tc>
          <w:tcPr>
            <w:tcW w:w="782" w:type="dxa"/>
          </w:tcPr>
          <w:p>
            <w:pPr>
              <w:pStyle w:val="TableParagraph"/>
              <w:ind w:right="234"/>
              <w:rPr>
                <w:rFonts w:ascii="Carlito"/>
                <w:sz w:val="16"/>
              </w:rPr>
            </w:pPr>
            <w:r>
              <w:rPr>
                <w:rFonts w:ascii="Carlito"/>
                <w:sz w:val="16"/>
              </w:rPr>
              <w:t>3</w:t>
            </w:r>
          </w:p>
        </w:tc>
        <w:tc>
          <w:tcPr>
            <w:tcW w:w="744" w:type="dxa"/>
          </w:tcPr>
          <w:p>
            <w:pPr>
              <w:pStyle w:val="TableParagraph"/>
              <w:ind w:right="302"/>
              <w:rPr>
                <w:rFonts w:ascii="Carlito"/>
                <w:sz w:val="16"/>
              </w:rPr>
            </w:pPr>
            <w:r>
              <w:rPr>
                <w:rFonts w:ascii="Carlito"/>
                <w:sz w:val="16"/>
              </w:rPr>
              <w:t>2.5</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5.7</w:t>
            </w:r>
          </w:p>
        </w:tc>
        <w:tc>
          <w:tcPr>
            <w:tcW w:w="1141" w:type="dxa"/>
          </w:tcPr>
          <w:p>
            <w:pPr>
              <w:pStyle w:val="TableParagraph"/>
              <w:ind w:right="360"/>
              <w:rPr>
                <w:rFonts w:ascii="Carlito"/>
                <w:sz w:val="16"/>
              </w:rPr>
            </w:pPr>
            <w:r>
              <w:rPr>
                <w:rFonts w:ascii="Carlito"/>
                <w:sz w:val="16"/>
              </w:rPr>
              <w:t>3.2</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1</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110</w:t>
            </w:r>
          </w:p>
        </w:tc>
        <w:tc>
          <w:tcPr>
            <w:tcW w:w="1938" w:type="dxa"/>
            <w:shd w:val="clear" w:color="auto" w:fill="D9D9D9"/>
          </w:tcPr>
          <w:p>
            <w:pPr>
              <w:pStyle w:val="TableParagraph"/>
              <w:spacing w:before="92"/>
              <w:ind w:left="143"/>
              <w:jc w:val="left"/>
              <w:rPr>
                <w:rFonts w:ascii="Carlito"/>
                <w:sz w:val="16"/>
              </w:rPr>
            </w:pPr>
            <w:r>
              <w:rPr>
                <w:rFonts w:ascii="Carlito"/>
                <w:sz w:val="16"/>
              </w:rPr>
              <w:t>Curridabat</w:t>
            </w:r>
          </w:p>
        </w:tc>
        <w:tc>
          <w:tcPr>
            <w:tcW w:w="595" w:type="dxa"/>
            <w:shd w:val="clear" w:color="auto" w:fill="D9D9D9"/>
          </w:tcPr>
          <w:p>
            <w:pPr>
              <w:pStyle w:val="TableParagraph"/>
              <w:spacing w:before="92"/>
              <w:ind w:right="69"/>
              <w:rPr>
                <w:rFonts w:ascii="Carlito"/>
                <w:sz w:val="16"/>
              </w:rPr>
            </w:pPr>
            <w:r>
              <w:rPr>
                <w:rFonts w:ascii="Carlito"/>
                <w:sz w:val="16"/>
              </w:rPr>
              <w:t>1</w:t>
            </w:r>
          </w:p>
        </w:tc>
        <w:tc>
          <w:tcPr>
            <w:tcW w:w="1418" w:type="dxa"/>
            <w:shd w:val="clear" w:color="auto" w:fill="D9D9D9"/>
          </w:tcPr>
          <w:p>
            <w:pPr>
              <w:pStyle w:val="TableParagraph"/>
              <w:spacing w:before="92"/>
              <w:ind w:right="415"/>
              <w:rPr>
                <w:rFonts w:ascii="Carlito"/>
                <w:sz w:val="16"/>
              </w:rPr>
            </w:pPr>
            <w:r>
              <w:rPr>
                <w:rFonts w:ascii="Carlito"/>
                <w:sz w:val="16"/>
              </w:rPr>
              <w:t>$190,000.00</w:t>
            </w:r>
          </w:p>
        </w:tc>
        <w:tc>
          <w:tcPr>
            <w:tcW w:w="1000" w:type="dxa"/>
            <w:shd w:val="clear" w:color="auto" w:fill="D9D9D9"/>
          </w:tcPr>
          <w:p>
            <w:pPr>
              <w:pStyle w:val="TableParagraph"/>
              <w:spacing w:before="92"/>
              <w:ind w:right="340"/>
              <w:rPr>
                <w:rFonts w:ascii="Carlito"/>
                <w:sz w:val="16"/>
              </w:rPr>
            </w:pPr>
            <w:r>
              <w:rPr>
                <w:rFonts w:ascii="Carlito"/>
                <w:sz w:val="16"/>
              </w:rPr>
              <w:t>200</w:t>
            </w:r>
          </w:p>
        </w:tc>
        <w:tc>
          <w:tcPr>
            <w:tcW w:w="1126" w:type="dxa"/>
            <w:shd w:val="clear" w:color="auto" w:fill="D9D9D9"/>
          </w:tcPr>
          <w:p>
            <w:pPr>
              <w:pStyle w:val="TableParagraph"/>
              <w:spacing w:before="92"/>
              <w:ind w:left="319" w:right="439"/>
              <w:jc w:val="center"/>
              <w:rPr>
                <w:rFonts w:ascii="Carlito"/>
                <w:sz w:val="16"/>
              </w:rPr>
            </w:pPr>
            <w:r>
              <w:rPr>
                <w:rFonts w:ascii="Carlito"/>
                <w:sz w:val="16"/>
              </w:rPr>
              <w:t>2006</w:t>
            </w:r>
          </w:p>
        </w:tc>
        <w:tc>
          <w:tcPr>
            <w:tcW w:w="782" w:type="dxa"/>
            <w:shd w:val="clear" w:color="auto" w:fill="D9D9D9"/>
          </w:tcPr>
          <w:p>
            <w:pPr>
              <w:pStyle w:val="TableParagraph"/>
              <w:spacing w:before="92"/>
              <w:ind w:right="234"/>
              <w:rPr>
                <w:rFonts w:ascii="Carlito"/>
                <w:sz w:val="16"/>
              </w:rPr>
            </w:pPr>
            <w:r>
              <w:rPr>
                <w:rFonts w:ascii="Carlito"/>
                <w:sz w:val="16"/>
              </w:rPr>
              <w:t>3</w:t>
            </w:r>
          </w:p>
        </w:tc>
        <w:tc>
          <w:tcPr>
            <w:tcW w:w="744" w:type="dxa"/>
            <w:shd w:val="clear" w:color="auto" w:fill="D9D9D9"/>
          </w:tcPr>
          <w:p>
            <w:pPr>
              <w:pStyle w:val="TableParagraph"/>
              <w:spacing w:before="92"/>
              <w:ind w:right="297"/>
              <w:rPr>
                <w:rFonts w:ascii="Carlito"/>
                <w:sz w:val="16"/>
              </w:rPr>
            </w:pPr>
            <w:r>
              <w:rPr>
                <w:rFonts w:ascii="Carlito"/>
                <w:sz w:val="16"/>
              </w:rPr>
              <w:t>2</w:t>
            </w:r>
          </w:p>
        </w:tc>
        <w:tc>
          <w:tcPr>
            <w:tcW w:w="815" w:type="dxa"/>
            <w:shd w:val="clear" w:color="auto" w:fill="D9D9D9"/>
          </w:tcPr>
          <w:p>
            <w:pPr>
              <w:pStyle w:val="TableParagraph"/>
              <w:spacing w:before="92"/>
              <w:ind w:left="303"/>
              <w:jc w:val="left"/>
              <w:rPr>
                <w:rFonts w:ascii="Carlito"/>
                <w:sz w:val="16"/>
              </w:rPr>
            </w:pPr>
            <w:r>
              <w:rPr>
                <w:rFonts w:ascii="Carlito"/>
                <w:sz w:val="16"/>
              </w:rPr>
              <w:t>2</w:t>
            </w:r>
          </w:p>
        </w:tc>
        <w:tc>
          <w:tcPr>
            <w:tcW w:w="1287" w:type="dxa"/>
            <w:shd w:val="clear" w:color="auto" w:fill="D9D9D9"/>
          </w:tcPr>
          <w:p>
            <w:pPr>
              <w:pStyle w:val="TableParagraph"/>
              <w:spacing w:before="92"/>
              <w:ind w:right="567"/>
              <w:rPr>
                <w:rFonts w:ascii="Carlito"/>
                <w:sz w:val="16"/>
              </w:rPr>
            </w:pPr>
            <w:r>
              <w:rPr>
                <w:rFonts w:ascii="Carlito"/>
                <w:sz w:val="16"/>
              </w:rPr>
              <w:t>5.7</w:t>
            </w:r>
          </w:p>
        </w:tc>
        <w:tc>
          <w:tcPr>
            <w:tcW w:w="1141" w:type="dxa"/>
            <w:shd w:val="clear" w:color="auto" w:fill="D9D9D9"/>
          </w:tcPr>
          <w:p>
            <w:pPr>
              <w:pStyle w:val="TableParagraph"/>
              <w:spacing w:before="92"/>
              <w:ind w:right="360"/>
              <w:rPr>
                <w:rFonts w:ascii="Carlito"/>
                <w:sz w:val="16"/>
              </w:rPr>
            </w:pPr>
            <w:r>
              <w:rPr>
                <w:rFonts w:ascii="Carlito"/>
                <w:sz w:val="16"/>
              </w:rPr>
              <w:t>3.2</w:t>
            </w:r>
          </w:p>
        </w:tc>
        <w:tc>
          <w:tcPr>
            <w:tcW w:w="825" w:type="dxa"/>
            <w:shd w:val="clear" w:color="auto" w:fill="D9D9D9"/>
          </w:tcPr>
          <w:p>
            <w:pPr>
              <w:pStyle w:val="TableParagraph"/>
              <w:spacing w:before="92"/>
              <w:ind w:right="373"/>
              <w:rPr>
                <w:rFonts w:ascii="Carlito"/>
                <w:sz w:val="16"/>
              </w:rPr>
            </w:pPr>
            <w:r>
              <w:rPr>
                <w:rFonts w:ascii="Carlito"/>
                <w:sz w:val="16"/>
              </w:rPr>
              <w:t>0</w:t>
            </w:r>
          </w:p>
        </w:tc>
        <w:tc>
          <w:tcPr>
            <w:tcW w:w="529" w:type="dxa"/>
            <w:shd w:val="clear" w:color="auto" w:fill="D9D9D9"/>
          </w:tcPr>
          <w:p>
            <w:pPr>
              <w:pStyle w:val="TableParagraph"/>
              <w:spacing w:before="92"/>
              <w:ind w:right="58"/>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111</w:t>
            </w:r>
          </w:p>
        </w:tc>
        <w:tc>
          <w:tcPr>
            <w:tcW w:w="1938" w:type="dxa"/>
          </w:tcPr>
          <w:p>
            <w:pPr>
              <w:pStyle w:val="TableParagraph"/>
              <w:spacing w:before="92"/>
              <w:ind w:left="143"/>
              <w:jc w:val="left"/>
              <w:rPr>
                <w:rFonts w:ascii="Carlito"/>
                <w:sz w:val="16"/>
              </w:rPr>
            </w:pPr>
            <w:r>
              <w:rPr>
                <w:rFonts w:ascii="Carlito"/>
                <w:sz w:val="16"/>
              </w:rPr>
              <w:t>Guayabos</w:t>
            </w:r>
          </w:p>
        </w:tc>
        <w:tc>
          <w:tcPr>
            <w:tcW w:w="595" w:type="dxa"/>
          </w:tcPr>
          <w:p>
            <w:pPr>
              <w:pStyle w:val="TableParagraph"/>
              <w:spacing w:before="92"/>
              <w:ind w:right="69"/>
              <w:rPr>
                <w:rFonts w:ascii="Carlito"/>
                <w:sz w:val="16"/>
              </w:rPr>
            </w:pPr>
            <w:r>
              <w:rPr>
                <w:rFonts w:ascii="Carlito"/>
                <w:sz w:val="16"/>
              </w:rPr>
              <w:t>0</w:t>
            </w:r>
          </w:p>
        </w:tc>
        <w:tc>
          <w:tcPr>
            <w:tcW w:w="1418" w:type="dxa"/>
          </w:tcPr>
          <w:p>
            <w:pPr>
              <w:pStyle w:val="TableParagraph"/>
              <w:spacing w:before="92"/>
              <w:ind w:right="415"/>
              <w:rPr>
                <w:rFonts w:ascii="Carlito"/>
                <w:sz w:val="16"/>
              </w:rPr>
            </w:pPr>
            <w:r>
              <w:rPr>
                <w:rFonts w:ascii="Carlito"/>
                <w:sz w:val="16"/>
              </w:rPr>
              <w:t>$320,000.00</w:t>
            </w:r>
          </w:p>
        </w:tc>
        <w:tc>
          <w:tcPr>
            <w:tcW w:w="1000" w:type="dxa"/>
          </w:tcPr>
          <w:p>
            <w:pPr>
              <w:pStyle w:val="TableParagraph"/>
              <w:spacing w:before="92"/>
              <w:ind w:right="340"/>
              <w:rPr>
                <w:rFonts w:ascii="Carlito"/>
                <w:sz w:val="16"/>
              </w:rPr>
            </w:pPr>
            <w:r>
              <w:rPr>
                <w:rFonts w:ascii="Carlito"/>
                <w:sz w:val="16"/>
              </w:rPr>
              <w:t>280</w:t>
            </w:r>
          </w:p>
        </w:tc>
        <w:tc>
          <w:tcPr>
            <w:tcW w:w="1126" w:type="dxa"/>
          </w:tcPr>
          <w:p>
            <w:pPr>
              <w:pStyle w:val="TableParagraph"/>
              <w:spacing w:before="92"/>
              <w:ind w:left="319" w:right="439"/>
              <w:jc w:val="center"/>
              <w:rPr>
                <w:rFonts w:ascii="Carlito"/>
                <w:sz w:val="16"/>
              </w:rPr>
            </w:pPr>
            <w:r>
              <w:rPr>
                <w:rFonts w:ascii="Carlito"/>
                <w:sz w:val="16"/>
              </w:rPr>
              <w:t>2006</w:t>
            </w:r>
          </w:p>
        </w:tc>
        <w:tc>
          <w:tcPr>
            <w:tcW w:w="782" w:type="dxa"/>
          </w:tcPr>
          <w:p>
            <w:pPr>
              <w:pStyle w:val="TableParagraph"/>
              <w:spacing w:before="92"/>
              <w:ind w:right="234"/>
              <w:rPr>
                <w:rFonts w:ascii="Carlito"/>
                <w:sz w:val="16"/>
              </w:rPr>
            </w:pPr>
            <w:r>
              <w:rPr>
                <w:rFonts w:ascii="Carlito"/>
                <w:sz w:val="16"/>
              </w:rPr>
              <w:t>4</w:t>
            </w:r>
          </w:p>
        </w:tc>
        <w:tc>
          <w:tcPr>
            <w:tcW w:w="744" w:type="dxa"/>
          </w:tcPr>
          <w:p>
            <w:pPr>
              <w:pStyle w:val="TableParagraph"/>
              <w:spacing w:before="92"/>
              <w:ind w:right="302"/>
              <w:rPr>
                <w:rFonts w:ascii="Carlito"/>
                <w:sz w:val="16"/>
              </w:rPr>
            </w:pPr>
            <w:r>
              <w:rPr>
                <w:rFonts w:ascii="Carlito"/>
                <w:sz w:val="16"/>
              </w:rPr>
              <w:t>4.5</w:t>
            </w:r>
          </w:p>
        </w:tc>
        <w:tc>
          <w:tcPr>
            <w:tcW w:w="815" w:type="dxa"/>
          </w:tcPr>
          <w:p>
            <w:pPr>
              <w:pStyle w:val="TableParagraph"/>
              <w:spacing w:before="92"/>
              <w:ind w:left="303"/>
              <w:jc w:val="left"/>
              <w:rPr>
                <w:rFonts w:ascii="Carlito"/>
                <w:sz w:val="16"/>
              </w:rPr>
            </w:pPr>
            <w:r>
              <w:rPr>
                <w:rFonts w:ascii="Carlito"/>
                <w:sz w:val="16"/>
              </w:rPr>
              <w:t>2</w:t>
            </w:r>
          </w:p>
        </w:tc>
        <w:tc>
          <w:tcPr>
            <w:tcW w:w="1287" w:type="dxa"/>
          </w:tcPr>
          <w:p>
            <w:pPr>
              <w:pStyle w:val="TableParagraph"/>
              <w:spacing w:before="92"/>
              <w:ind w:right="567"/>
              <w:rPr>
                <w:rFonts w:ascii="Carlito"/>
                <w:sz w:val="16"/>
              </w:rPr>
            </w:pPr>
            <w:r>
              <w:rPr>
                <w:rFonts w:ascii="Carlito"/>
                <w:sz w:val="16"/>
              </w:rPr>
              <w:t>7.4</w:t>
            </w:r>
          </w:p>
        </w:tc>
        <w:tc>
          <w:tcPr>
            <w:tcW w:w="1141" w:type="dxa"/>
          </w:tcPr>
          <w:p>
            <w:pPr>
              <w:pStyle w:val="TableParagraph"/>
              <w:spacing w:before="92"/>
              <w:ind w:right="356"/>
              <w:rPr>
                <w:rFonts w:ascii="Carlito"/>
                <w:sz w:val="16"/>
              </w:rPr>
            </w:pPr>
            <w:r>
              <w:rPr>
                <w:rFonts w:ascii="Carlito"/>
                <w:sz w:val="16"/>
              </w:rPr>
              <w:t>5</w:t>
            </w:r>
          </w:p>
        </w:tc>
        <w:tc>
          <w:tcPr>
            <w:tcW w:w="825" w:type="dxa"/>
          </w:tcPr>
          <w:p>
            <w:pPr>
              <w:pStyle w:val="TableParagraph"/>
              <w:spacing w:before="92"/>
              <w:ind w:right="373"/>
              <w:rPr>
                <w:rFonts w:ascii="Carlito"/>
                <w:sz w:val="16"/>
              </w:rPr>
            </w:pPr>
            <w:r>
              <w:rPr>
                <w:rFonts w:ascii="Carlito"/>
                <w:sz w:val="16"/>
              </w:rPr>
              <w:t>0</w:t>
            </w:r>
          </w:p>
        </w:tc>
        <w:tc>
          <w:tcPr>
            <w:tcW w:w="529" w:type="dxa"/>
          </w:tcPr>
          <w:p>
            <w:pPr>
              <w:pStyle w:val="TableParagraph"/>
              <w:spacing w:before="92"/>
              <w:ind w:right="58"/>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112</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595"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$145,000.00</w:t>
            </w:r>
          </w:p>
        </w:tc>
        <w:tc>
          <w:tcPr>
            <w:tcW w:w="1000" w:type="dxa"/>
            <w:shd w:val="clear" w:color="auto" w:fill="D9D9D9"/>
          </w:tcPr>
          <w:p>
            <w:pPr>
              <w:pStyle w:val="TableParagraph"/>
              <w:ind w:right="340"/>
              <w:rPr>
                <w:rFonts w:ascii="Carlito"/>
                <w:sz w:val="16"/>
              </w:rPr>
            </w:pPr>
            <w:r>
              <w:rPr>
                <w:rFonts w:ascii="Carlito"/>
                <w:sz w:val="16"/>
              </w:rPr>
              <w:t>140</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297"/>
              <w:rPr>
                <w:rFonts w:ascii="Carlito"/>
                <w:sz w:val="16"/>
              </w:rPr>
            </w:pPr>
            <w:r>
              <w:rPr>
                <w:rFonts w:ascii="Carlito"/>
                <w:sz w:val="16"/>
              </w:rPr>
              <w:t>2</w:t>
            </w:r>
          </w:p>
        </w:tc>
        <w:tc>
          <w:tcPr>
            <w:tcW w:w="815" w:type="dxa"/>
            <w:shd w:val="clear" w:color="auto" w:fill="D9D9D9"/>
          </w:tcPr>
          <w:p>
            <w:pPr>
              <w:pStyle w:val="TableParagraph"/>
              <w:ind w:left="303"/>
              <w:jc w:val="left"/>
              <w:rPr>
                <w:rFonts w:ascii="Carlito"/>
                <w:sz w:val="16"/>
              </w:rPr>
            </w:pPr>
            <w:r>
              <w:rPr>
                <w:rFonts w:ascii="Carlito"/>
                <w:sz w:val="16"/>
              </w:rPr>
              <w:t>1</w:t>
            </w:r>
          </w:p>
        </w:tc>
        <w:tc>
          <w:tcPr>
            <w:tcW w:w="1287" w:type="dxa"/>
            <w:shd w:val="clear" w:color="auto" w:fill="D9D9D9"/>
          </w:tcPr>
          <w:p>
            <w:pPr>
              <w:pStyle w:val="TableParagraph"/>
              <w:ind w:right="567"/>
              <w:rPr>
                <w:rFonts w:ascii="Carlito"/>
                <w:sz w:val="16"/>
              </w:rPr>
            </w:pPr>
            <w:r>
              <w:rPr>
                <w:rFonts w:ascii="Carlito"/>
                <w:sz w:val="16"/>
              </w:rPr>
              <w:t>5.7</w:t>
            </w:r>
          </w:p>
        </w:tc>
        <w:tc>
          <w:tcPr>
            <w:tcW w:w="1141" w:type="dxa"/>
            <w:shd w:val="clear" w:color="auto" w:fill="D9D9D9"/>
          </w:tcPr>
          <w:p>
            <w:pPr>
              <w:pStyle w:val="TableParagraph"/>
              <w:ind w:right="360"/>
              <w:rPr>
                <w:rFonts w:ascii="Carlito"/>
                <w:sz w:val="16"/>
              </w:rPr>
            </w:pPr>
            <w:r>
              <w:rPr>
                <w:rFonts w:ascii="Carlito"/>
                <w:sz w:val="16"/>
              </w:rPr>
              <w:t>3.2</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7" w:hRule="atLeast"/>
        </w:trPr>
        <w:tc>
          <w:tcPr>
            <w:tcW w:w="756" w:type="dxa"/>
          </w:tcPr>
          <w:p>
            <w:pPr>
              <w:pStyle w:val="TableParagraph"/>
              <w:spacing w:line="177" w:lineRule="exact"/>
              <w:ind w:right="143"/>
              <w:rPr>
                <w:rFonts w:ascii="Carlito"/>
                <w:sz w:val="16"/>
              </w:rPr>
            </w:pPr>
            <w:r>
              <w:rPr>
                <w:rFonts w:ascii="Carlito"/>
                <w:sz w:val="16"/>
              </w:rPr>
              <w:t>113</w:t>
            </w:r>
          </w:p>
        </w:tc>
        <w:tc>
          <w:tcPr>
            <w:tcW w:w="1938" w:type="dxa"/>
          </w:tcPr>
          <w:p>
            <w:pPr>
              <w:pStyle w:val="TableParagraph"/>
              <w:spacing w:line="177" w:lineRule="exact"/>
              <w:ind w:left="143"/>
              <w:jc w:val="left"/>
              <w:rPr>
                <w:rFonts w:ascii="Carlito"/>
                <w:sz w:val="16"/>
              </w:rPr>
            </w:pPr>
            <w:r>
              <w:rPr>
                <w:rFonts w:ascii="Carlito"/>
                <w:sz w:val="16"/>
              </w:rPr>
              <w:t>Altamonte</w:t>
            </w:r>
          </w:p>
        </w:tc>
        <w:tc>
          <w:tcPr>
            <w:tcW w:w="595" w:type="dxa"/>
          </w:tcPr>
          <w:p>
            <w:pPr>
              <w:pStyle w:val="TableParagraph"/>
              <w:spacing w:line="177" w:lineRule="exact"/>
              <w:ind w:right="69"/>
              <w:rPr>
                <w:rFonts w:ascii="Carlito"/>
                <w:sz w:val="16"/>
              </w:rPr>
            </w:pPr>
            <w:r>
              <w:rPr>
                <w:rFonts w:ascii="Carlito"/>
                <w:sz w:val="16"/>
              </w:rPr>
              <w:t>1</w:t>
            </w:r>
          </w:p>
        </w:tc>
        <w:tc>
          <w:tcPr>
            <w:tcW w:w="1418" w:type="dxa"/>
          </w:tcPr>
          <w:p>
            <w:pPr>
              <w:pStyle w:val="TableParagraph"/>
              <w:spacing w:line="177" w:lineRule="exact"/>
              <w:ind w:right="415"/>
              <w:rPr>
                <w:rFonts w:ascii="Carlito"/>
                <w:sz w:val="16"/>
              </w:rPr>
            </w:pPr>
            <w:r>
              <w:rPr>
                <w:rFonts w:ascii="Carlito"/>
                <w:sz w:val="16"/>
              </w:rPr>
              <w:t>$450,000.00</w:t>
            </w:r>
          </w:p>
        </w:tc>
        <w:tc>
          <w:tcPr>
            <w:tcW w:w="1000" w:type="dxa"/>
          </w:tcPr>
          <w:p>
            <w:pPr>
              <w:pStyle w:val="TableParagraph"/>
              <w:spacing w:line="177" w:lineRule="exact"/>
              <w:ind w:right="340"/>
              <w:rPr>
                <w:rFonts w:ascii="Carlito"/>
                <w:sz w:val="16"/>
              </w:rPr>
            </w:pPr>
            <w:r>
              <w:rPr>
                <w:rFonts w:ascii="Carlito"/>
                <w:sz w:val="16"/>
              </w:rPr>
              <w:t>600</w:t>
            </w:r>
          </w:p>
        </w:tc>
        <w:tc>
          <w:tcPr>
            <w:tcW w:w="1126" w:type="dxa"/>
          </w:tcPr>
          <w:p>
            <w:pPr>
              <w:pStyle w:val="TableParagraph"/>
              <w:spacing w:line="177" w:lineRule="exact"/>
              <w:ind w:left="319" w:right="439"/>
              <w:jc w:val="center"/>
              <w:rPr>
                <w:rFonts w:ascii="Carlito"/>
                <w:sz w:val="16"/>
              </w:rPr>
            </w:pPr>
            <w:r>
              <w:rPr>
                <w:rFonts w:ascii="Carlito"/>
                <w:sz w:val="16"/>
              </w:rPr>
              <w:t>2006</w:t>
            </w:r>
          </w:p>
        </w:tc>
        <w:tc>
          <w:tcPr>
            <w:tcW w:w="782" w:type="dxa"/>
          </w:tcPr>
          <w:p>
            <w:pPr>
              <w:pStyle w:val="TableParagraph"/>
              <w:spacing w:line="177" w:lineRule="exact"/>
              <w:ind w:right="234"/>
              <w:rPr>
                <w:rFonts w:ascii="Carlito"/>
                <w:sz w:val="16"/>
              </w:rPr>
            </w:pPr>
            <w:r>
              <w:rPr>
                <w:rFonts w:ascii="Carlito"/>
                <w:sz w:val="16"/>
              </w:rPr>
              <w:t>4</w:t>
            </w:r>
          </w:p>
        </w:tc>
        <w:tc>
          <w:tcPr>
            <w:tcW w:w="744" w:type="dxa"/>
          </w:tcPr>
          <w:p>
            <w:pPr>
              <w:pStyle w:val="TableParagraph"/>
              <w:spacing w:line="177" w:lineRule="exact"/>
              <w:ind w:right="297"/>
              <w:rPr>
                <w:rFonts w:ascii="Carlito"/>
                <w:sz w:val="16"/>
              </w:rPr>
            </w:pPr>
            <w:r>
              <w:rPr>
                <w:rFonts w:ascii="Carlito"/>
                <w:sz w:val="16"/>
              </w:rPr>
              <w:t>3</w:t>
            </w:r>
          </w:p>
        </w:tc>
        <w:tc>
          <w:tcPr>
            <w:tcW w:w="815" w:type="dxa"/>
          </w:tcPr>
          <w:p>
            <w:pPr>
              <w:pStyle w:val="TableParagraph"/>
              <w:spacing w:line="177" w:lineRule="exact"/>
              <w:ind w:left="303"/>
              <w:jc w:val="left"/>
              <w:rPr>
                <w:rFonts w:ascii="Carlito"/>
                <w:sz w:val="16"/>
              </w:rPr>
            </w:pPr>
            <w:r>
              <w:rPr>
                <w:rFonts w:ascii="Carlito"/>
                <w:sz w:val="16"/>
              </w:rPr>
              <w:t>2</w:t>
            </w:r>
          </w:p>
        </w:tc>
        <w:tc>
          <w:tcPr>
            <w:tcW w:w="1287" w:type="dxa"/>
          </w:tcPr>
          <w:p>
            <w:pPr>
              <w:pStyle w:val="TableParagraph"/>
              <w:spacing w:line="177" w:lineRule="exact"/>
              <w:ind w:right="567"/>
              <w:rPr>
                <w:rFonts w:ascii="Carlito"/>
                <w:sz w:val="16"/>
              </w:rPr>
            </w:pPr>
            <w:r>
              <w:rPr>
                <w:rFonts w:ascii="Carlito"/>
                <w:sz w:val="16"/>
              </w:rPr>
              <w:t>7.2</w:t>
            </w:r>
          </w:p>
        </w:tc>
        <w:tc>
          <w:tcPr>
            <w:tcW w:w="1141" w:type="dxa"/>
          </w:tcPr>
          <w:p>
            <w:pPr>
              <w:pStyle w:val="TableParagraph"/>
              <w:spacing w:line="177" w:lineRule="exact"/>
              <w:ind w:right="360"/>
              <w:rPr>
                <w:rFonts w:ascii="Carlito"/>
                <w:sz w:val="16"/>
              </w:rPr>
            </w:pPr>
            <w:r>
              <w:rPr>
                <w:rFonts w:ascii="Carlito"/>
                <w:sz w:val="16"/>
              </w:rPr>
              <w:t>5.6</w:t>
            </w:r>
          </w:p>
        </w:tc>
        <w:tc>
          <w:tcPr>
            <w:tcW w:w="825" w:type="dxa"/>
          </w:tcPr>
          <w:p>
            <w:pPr>
              <w:pStyle w:val="TableParagraph"/>
              <w:spacing w:line="177" w:lineRule="exact"/>
              <w:ind w:right="373"/>
              <w:rPr>
                <w:rFonts w:ascii="Carlito"/>
                <w:sz w:val="16"/>
              </w:rPr>
            </w:pPr>
            <w:r>
              <w:rPr>
                <w:rFonts w:ascii="Carlito"/>
                <w:sz w:val="16"/>
              </w:rPr>
              <w:t>1</w:t>
            </w:r>
          </w:p>
        </w:tc>
        <w:tc>
          <w:tcPr>
            <w:tcW w:w="529" w:type="dxa"/>
          </w:tcPr>
          <w:p>
            <w:pPr>
              <w:pStyle w:val="TableParagraph"/>
              <w:spacing w:line="177" w:lineRule="exact"/>
              <w:ind w:right="58"/>
              <w:rPr>
                <w:rFonts w:ascii="Carlito"/>
                <w:sz w:val="16"/>
              </w:rPr>
            </w:pPr>
            <w:r>
              <w:rPr>
                <w:rFonts w:ascii="Carlito"/>
                <w:sz w:val="16"/>
              </w:rPr>
              <w:t>0</w:t>
            </w:r>
          </w:p>
        </w:tc>
      </w:tr>
      <w:tr>
        <w:trPr>
          <w:trHeight w:val="287" w:hRule="atLeast"/>
        </w:trPr>
        <w:tc>
          <w:tcPr>
            <w:tcW w:w="756" w:type="dxa"/>
            <w:shd w:val="clear" w:color="auto" w:fill="D9D9D9"/>
          </w:tcPr>
          <w:p>
            <w:pPr>
              <w:pStyle w:val="TableParagraph"/>
              <w:spacing w:line="177" w:lineRule="exact"/>
              <w:ind w:right="143"/>
              <w:rPr>
                <w:rFonts w:ascii="Carlito"/>
                <w:sz w:val="16"/>
              </w:rPr>
            </w:pPr>
            <w:r>
              <w:rPr>
                <w:rFonts w:ascii="Carlito"/>
                <w:sz w:val="16"/>
              </w:rPr>
              <w:t>114</w:t>
            </w:r>
          </w:p>
        </w:tc>
        <w:tc>
          <w:tcPr>
            <w:tcW w:w="1938" w:type="dxa"/>
            <w:shd w:val="clear" w:color="auto" w:fill="D9D9D9"/>
          </w:tcPr>
          <w:p>
            <w:pPr>
              <w:pStyle w:val="TableParagraph"/>
              <w:spacing w:line="177" w:lineRule="exact"/>
              <w:ind w:left="143"/>
              <w:jc w:val="left"/>
              <w:rPr>
                <w:rFonts w:ascii="Carlito"/>
                <w:sz w:val="16"/>
              </w:rPr>
            </w:pPr>
            <w:r>
              <w:rPr>
                <w:rFonts w:ascii="Carlito"/>
                <w:sz w:val="16"/>
              </w:rPr>
              <w:t>Lomas de Ayarco Sur</w:t>
            </w:r>
          </w:p>
        </w:tc>
        <w:tc>
          <w:tcPr>
            <w:tcW w:w="595" w:type="dxa"/>
            <w:shd w:val="clear" w:color="auto" w:fill="D9D9D9"/>
          </w:tcPr>
          <w:p>
            <w:pPr>
              <w:pStyle w:val="TableParagraph"/>
              <w:spacing w:line="177" w:lineRule="exact"/>
              <w:ind w:right="69"/>
              <w:rPr>
                <w:rFonts w:ascii="Carlito"/>
                <w:sz w:val="16"/>
              </w:rPr>
            </w:pPr>
            <w:r>
              <w:rPr>
                <w:rFonts w:ascii="Carlito"/>
                <w:sz w:val="16"/>
              </w:rPr>
              <w:t>1</w:t>
            </w:r>
          </w:p>
        </w:tc>
        <w:tc>
          <w:tcPr>
            <w:tcW w:w="1418" w:type="dxa"/>
            <w:shd w:val="clear" w:color="auto" w:fill="D9D9D9"/>
          </w:tcPr>
          <w:p>
            <w:pPr>
              <w:pStyle w:val="TableParagraph"/>
              <w:spacing w:line="177" w:lineRule="exact"/>
              <w:ind w:right="415"/>
              <w:rPr>
                <w:rFonts w:ascii="Carlito"/>
                <w:sz w:val="16"/>
              </w:rPr>
            </w:pPr>
            <w:r>
              <w:rPr>
                <w:rFonts w:ascii="Carlito"/>
                <w:sz w:val="16"/>
              </w:rPr>
              <w:t>$450,000.00</w:t>
            </w:r>
          </w:p>
        </w:tc>
        <w:tc>
          <w:tcPr>
            <w:tcW w:w="1000" w:type="dxa"/>
            <w:shd w:val="clear" w:color="auto" w:fill="D9D9D9"/>
          </w:tcPr>
          <w:p>
            <w:pPr>
              <w:pStyle w:val="TableParagraph"/>
              <w:spacing w:line="177" w:lineRule="exact"/>
              <w:ind w:right="340"/>
              <w:rPr>
                <w:rFonts w:ascii="Carlito"/>
                <w:sz w:val="16"/>
              </w:rPr>
            </w:pPr>
            <w:r>
              <w:rPr>
                <w:rFonts w:ascii="Carlito"/>
                <w:sz w:val="16"/>
              </w:rPr>
              <w:t>450</w:t>
            </w:r>
          </w:p>
        </w:tc>
        <w:tc>
          <w:tcPr>
            <w:tcW w:w="1126" w:type="dxa"/>
            <w:shd w:val="clear" w:color="auto" w:fill="D9D9D9"/>
          </w:tcPr>
          <w:p>
            <w:pPr>
              <w:pStyle w:val="TableParagraph"/>
              <w:spacing w:line="177" w:lineRule="exact"/>
              <w:ind w:left="319" w:right="439"/>
              <w:jc w:val="center"/>
              <w:rPr>
                <w:rFonts w:ascii="Carlito"/>
                <w:sz w:val="16"/>
              </w:rPr>
            </w:pPr>
            <w:r>
              <w:rPr>
                <w:rFonts w:ascii="Carlito"/>
                <w:sz w:val="16"/>
              </w:rPr>
              <w:t>2006</w:t>
            </w:r>
          </w:p>
        </w:tc>
        <w:tc>
          <w:tcPr>
            <w:tcW w:w="782" w:type="dxa"/>
            <w:shd w:val="clear" w:color="auto" w:fill="D9D9D9"/>
          </w:tcPr>
          <w:p>
            <w:pPr>
              <w:pStyle w:val="TableParagraph"/>
              <w:spacing w:line="177" w:lineRule="exact"/>
              <w:ind w:right="234"/>
              <w:rPr>
                <w:rFonts w:ascii="Carlito"/>
                <w:sz w:val="16"/>
              </w:rPr>
            </w:pPr>
            <w:r>
              <w:rPr>
                <w:rFonts w:ascii="Carlito"/>
                <w:sz w:val="16"/>
              </w:rPr>
              <w:t>4</w:t>
            </w:r>
          </w:p>
        </w:tc>
        <w:tc>
          <w:tcPr>
            <w:tcW w:w="744" w:type="dxa"/>
            <w:shd w:val="clear" w:color="auto" w:fill="D9D9D9"/>
          </w:tcPr>
          <w:p>
            <w:pPr>
              <w:pStyle w:val="TableParagraph"/>
              <w:spacing w:line="177" w:lineRule="exact"/>
              <w:ind w:right="297"/>
              <w:rPr>
                <w:rFonts w:ascii="Carlito"/>
                <w:sz w:val="16"/>
              </w:rPr>
            </w:pPr>
            <w:r>
              <w:rPr>
                <w:rFonts w:ascii="Carlito"/>
                <w:sz w:val="16"/>
              </w:rPr>
              <w:t>3</w:t>
            </w:r>
          </w:p>
        </w:tc>
        <w:tc>
          <w:tcPr>
            <w:tcW w:w="815" w:type="dxa"/>
            <w:shd w:val="clear" w:color="auto" w:fill="D9D9D9"/>
          </w:tcPr>
          <w:p>
            <w:pPr>
              <w:pStyle w:val="TableParagraph"/>
              <w:spacing w:line="177" w:lineRule="exact"/>
              <w:ind w:left="303"/>
              <w:jc w:val="left"/>
              <w:rPr>
                <w:rFonts w:ascii="Carlito"/>
                <w:sz w:val="16"/>
              </w:rPr>
            </w:pPr>
            <w:r>
              <w:rPr>
                <w:rFonts w:ascii="Carlito"/>
                <w:sz w:val="16"/>
              </w:rPr>
              <w:t>2</w:t>
            </w:r>
          </w:p>
        </w:tc>
        <w:tc>
          <w:tcPr>
            <w:tcW w:w="1287" w:type="dxa"/>
            <w:shd w:val="clear" w:color="auto" w:fill="D9D9D9"/>
          </w:tcPr>
          <w:p>
            <w:pPr>
              <w:pStyle w:val="TableParagraph"/>
              <w:spacing w:line="177" w:lineRule="exact"/>
              <w:ind w:right="567"/>
              <w:rPr>
                <w:rFonts w:ascii="Carlito"/>
                <w:sz w:val="16"/>
              </w:rPr>
            </w:pPr>
            <w:r>
              <w:rPr>
                <w:rFonts w:ascii="Carlito"/>
                <w:sz w:val="16"/>
              </w:rPr>
              <w:t>8.8</w:t>
            </w:r>
          </w:p>
        </w:tc>
        <w:tc>
          <w:tcPr>
            <w:tcW w:w="1141" w:type="dxa"/>
            <w:shd w:val="clear" w:color="auto" w:fill="D9D9D9"/>
          </w:tcPr>
          <w:p>
            <w:pPr>
              <w:pStyle w:val="TableParagraph"/>
              <w:spacing w:line="177" w:lineRule="exact"/>
              <w:ind w:right="360"/>
              <w:rPr>
                <w:rFonts w:ascii="Carlito"/>
                <w:sz w:val="16"/>
              </w:rPr>
            </w:pPr>
            <w:r>
              <w:rPr>
                <w:rFonts w:ascii="Carlito"/>
                <w:sz w:val="16"/>
              </w:rPr>
              <w:t>2.8</w:t>
            </w:r>
          </w:p>
        </w:tc>
        <w:tc>
          <w:tcPr>
            <w:tcW w:w="825" w:type="dxa"/>
            <w:shd w:val="clear" w:color="auto" w:fill="D9D9D9"/>
          </w:tcPr>
          <w:p>
            <w:pPr>
              <w:pStyle w:val="TableParagraph"/>
              <w:spacing w:line="177" w:lineRule="exact"/>
              <w:ind w:right="373"/>
              <w:rPr>
                <w:rFonts w:ascii="Carlito"/>
                <w:sz w:val="16"/>
              </w:rPr>
            </w:pPr>
            <w:r>
              <w:rPr>
                <w:rFonts w:ascii="Carlito"/>
                <w:sz w:val="16"/>
              </w:rPr>
              <w:t>0</w:t>
            </w:r>
          </w:p>
        </w:tc>
        <w:tc>
          <w:tcPr>
            <w:tcW w:w="529" w:type="dxa"/>
            <w:shd w:val="clear" w:color="auto" w:fill="D9D9D9"/>
          </w:tcPr>
          <w:p>
            <w:pPr>
              <w:pStyle w:val="TableParagraph"/>
              <w:spacing w:line="177" w:lineRule="exact"/>
              <w:ind w:right="58"/>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115</w:t>
            </w:r>
          </w:p>
        </w:tc>
        <w:tc>
          <w:tcPr>
            <w:tcW w:w="1938" w:type="dxa"/>
          </w:tcPr>
          <w:p>
            <w:pPr>
              <w:pStyle w:val="TableParagraph"/>
              <w:ind w:left="143"/>
              <w:jc w:val="left"/>
              <w:rPr>
                <w:rFonts w:ascii="Carlito"/>
                <w:sz w:val="16"/>
              </w:rPr>
            </w:pPr>
            <w:r>
              <w:rPr>
                <w:rFonts w:ascii="Carlito"/>
                <w:sz w:val="16"/>
              </w:rPr>
              <w:t>Altamonte</w:t>
            </w:r>
          </w:p>
        </w:tc>
        <w:tc>
          <w:tcPr>
            <w:tcW w:w="595" w:type="dxa"/>
          </w:tcPr>
          <w:p>
            <w:pPr>
              <w:pStyle w:val="TableParagraph"/>
              <w:ind w:right="69"/>
              <w:rPr>
                <w:rFonts w:ascii="Carlito"/>
                <w:sz w:val="16"/>
              </w:rPr>
            </w:pPr>
            <w:r>
              <w:rPr>
                <w:rFonts w:ascii="Carlito"/>
                <w:sz w:val="16"/>
              </w:rPr>
              <w:t>1</w:t>
            </w:r>
          </w:p>
        </w:tc>
        <w:tc>
          <w:tcPr>
            <w:tcW w:w="1418" w:type="dxa"/>
          </w:tcPr>
          <w:p>
            <w:pPr>
              <w:pStyle w:val="TableParagraph"/>
              <w:ind w:right="415"/>
              <w:rPr>
                <w:rFonts w:ascii="Carlito"/>
                <w:sz w:val="16"/>
              </w:rPr>
            </w:pPr>
            <w:r>
              <w:rPr>
                <w:rFonts w:ascii="Carlito"/>
                <w:sz w:val="16"/>
              </w:rPr>
              <w:t>$260,000.00</w:t>
            </w:r>
          </w:p>
        </w:tc>
        <w:tc>
          <w:tcPr>
            <w:tcW w:w="1000" w:type="dxa"/>
          </w:tcPr>
          <w:p>
            <w:pPr>
              <w:pStyle w:val="TableParagraph"/>
              <w:ind w:right="340"/>
              <w:rPr>
                <w:rFonts w:ascii="Carlito"/>
                <w:sz w:val="16"/>
              </w:rPr>
            </w:pPr>
            <w:r>
              <w:rPr>
                <w:rFonts w:ascii="Carlito"/>
                <w:sz w:val="16"/>
              </w:rPr>
              <w:t>250</w:t>
            </w:r>
          </w:p>
        </w:tc>
        <w:tc>
          <w:tcPr>
            <w:tcW w:w="1126" w:type="dxa"/>
          </w:tcPr>
          <w:p>
            <w:pPr>
              <w:pStyle w:val="TableParagraph"/>
              <w:ind w:left="319" w:right="439"/>
              <w:jc w:val="center"/>
              <w:rPr>
                <w:rFonts w:ascii="Carlito"/>
                <w:sz w:val="16"/>
              </w:rPr>
            </w:pPr>
            <w:r>
              <w:rPr>
                <w:rFonts w:ascii="Carlito"/>
                <w:sz w:val="16"/>
              </w:rPr>
              <w:t>2006</w:t>
            </w:r>
          </w:p>
        </w:tc>
        <w:tc>
          <w:tcPr>
            <w:tcW w:w="782" w:type="dxa"/>
          </w:tcPr>
          <w:p>
            <w:pPr>
              <w:pStyle w:val="TableParagraph"/>
              <w:ind w:right="234"/>
              <w:rPr>
                <w:rFonts w:ascii="Carlito"/>
                <w:sz w:val="16"/>
              </w:rPr>
            </w:pPr>
            <w:r>
              <w:rPr>
                <w:rFonts w:ascii="Carlito"/>
                <w:sz w:val="16"/>
              </w:rPr>
              <w:t>4</w:t>
            </w:r>
          </w:p>
        </w:tc>
        <w:tc>
          <w:tcPr>
            <w:tcW w:w="744" w:type="dxa"/>
          </w:tcPr>
          <w:p>
            <w:pPr>
              <w:pStyle w:val="TableParagraph"/>
              <w:ind w:right="302"/>
              <w:rPr>
                <w:rFonts w:ascii="Carlito"/>
                <w:sz w:val="16"/>
              </w:rPr>
            </w:pPr>
            <w:r>
              <w:rPr>
                <w:rFonts w:ascii="Carlito"/>
                <w:sz w:val="16"/>
              </w:rPr>
              <w:t>3.5</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6.6</w:t>
            </w:r>
          </w:p>
        </w:tc>
        <w:tc>
          <w:tcPr>
            <w:tcW w:w="1141" w:type="dxa"/>
          </w:tcPr>
          <w:p>
            <w:pPr>
              <w:pStyle w:val="TableParagraph"/>
              <w:ind w:right="360"/>
              <w:rPr>
                <w:rFonts w:ascii="Carlito"/>
                <w:sz w:val="16"/>
              </w:rPr>
            </w:pPr>
            <w:r>
              <w:rPr>
                <w:rFonts w:ascii="Carlito"/>
                <w:sz w:val="16"/>
              </w:rPr>
              <w:t>5.8</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116</w:t>
            </w:r>
          </w:p>
        </w:tc>
        <w:tc>
          <w:tcPr>
            <w:tcW w:w="1938" w:type="dxa"/>
            <w:shd w:val="clear" w:color="auto" w:fill="D9D9D9"/>
          </w:tcPr>
          <w:p>
            <w:pPr>
              <w:pStyle w:val="TableParagraph"/>
              <w:spacing w:before="92"/>
              <w:ind w:left="143"/>
              <w:jc w:val="left"/>
              <w:rPr>
                <w:rFonts w:ascii="Carlito"/>
                <w:sz w:val="16"/>
              </w:rPr>
            </w:pPr>
            <w:r>
              <w:rPr>
                <w:rFonts w:ascii="Carlito"/>
                <w:sz w:val="16"/>
              </w:rPr>
              <w:t>Freses</w:t>
            </w:r>
          </w:p>
        </w:tc>
        <w:tc>
          <w:tcPr>
            <w:tcW w:w="595" w:type="dxa"/>
            <w:shd w:val="clear" w:color="auto" w:fill="D9D9D9"/>
          </w:tcPr>
          <w:p>
            <w:pPr>
              <w:pStyle w:val="TableParagraph"/>
              <w:spacing w:before="92"/>
              <w:ind w:right="69"/>
              <w:rPr>
                <w:rFonts w:ascii="Carlito"/>
                <w:sz w:val="16"/>
              </w:rPr>
            </w:pPr>
            <w:r>
              <w:rPr>
                <w:rFonts w:ascii="Carlito"/>
                <w:sz w:val="16"/>
              </w:rPr>
              <w:t>1</w:t>
            </w:r>
          </w:p>
        </w:tc>
        <w:tc>
          <w:tcPr>
            <w:tcW w:w="1418" w:type="dxa"/>
            <w:shd w:val="clear" w:color="auto" w:fill="D9D9D9"/>
          </w:tcPr>
          <w:p>
            <w:pPr>
              <w:pStyle w:val="TableParagraph"/>
              <w:spacing w:before="92"/>
              <w:ind w:right="415"/>
              <w:rPr>
                <w:rFonts w:ascii="Carlito"/>
                <w:sz w:val="16"/>
              </w:rPr>
            </w:pPr>
            <w:r>
              <w:rPr>
                <w:rFonts w:ascii="Carlito"/>
                <w:sz w:val="16"/>
              </w:rPr>
              <w:t>$475,000.00</w:t>
            </w:r>
          </w:p>
        </w:tc>
        <w:tc>
          <w:tcPr>
            <w:tcW w:w="1000" w:type="dxa"/>
            <w:shd w:val="clear" w:color="auto" w:fill="D9D9D9"/>
          </w:tcPr>
          <w:p>
            <w:pPr>
              <w:pStyle w:val="TableParagraph"/>
              <w:spacing w:before="92"/>
              <w:ind w:right="340"/>
              <w:rPr>
                <w:rFonts w:ascii="Carlito"/>
                <w:sz w:val="16"/>
              </w:rPr>
            </w:pPr>
            <w:r>
              <w:rPr>
                <w:rFonts w:ascii="Carlito"/>
                <w:sz w:val="16"/>
              </w:rPr>
              <w:t>455</w:t>
            </w:r>
          </w:p>
        </w:tc>
        <w:tc>
          <w:tcPr>
            <w:tcW w:w="1126" w:type="dxa"/>
            <w:shd w:val="clear" w:color="auto" w:fill="D9D9D9"/>
          </w:tcPr>
          <w:p>
            <w:pPr>
              <w:pStyle w:val="TableParagraph"/>
              <w:spacing w:before="92"/>
              <w:ind w:left="319" w:right="439"/>
              <w:jc w:val="center"/>
              <w:rPr>
                <w:rFonts w:ascii="Carlito"/>
                <w:sz w:val="16"/>
              </w:rPr>
            </w:pPr>
            <w:r>
              <w:rPr>
                <w:rFonts w:ascii="Carlito"/>
                <w:sz w:val="16"/>
              </w:rPr>
              <w:t>2006</w:t>
            </w:r>
          </w:p>
        </w:tc>
        <w:tc>
          <w:tcPr>
            <w:tcW w:w="782" w:type="dxa"/>
            <w:shd w:val="clear" w:color="auto" w:fill="D9D9D9"/>
          </w:tcPr>
          <w:p>
            <w:pPr>
              <w:pStyle w:val="TableParagraph"/>
              <w:spacing w:before="92"/>
              <w:ind w:right="234"/>
              <w:rPr>
                <w:rFonts w:ascii="Carlito"/>
                <w:sz w:val="16"/>
              </w:rPr>
            </w:pPr>
            <w:r>
              <w:rPr>
                <w:rFonts w:ascii="Carlito"/>
                <w:sz w:val="16"/>
              </w:rPr>
              <w:t>4</w:t>
            </w:r>
          </w:p>
        </w:tc>
        <w:tc>
          <w:tcPr>
            <w:tcW w:w="744" w:type="dxa"/>
            <w:shd w:val="clear" w:color="auto" w:fill="D9D9D9"/>
          </w:tcPr>
          <w:p>
            <w:pPr>
              <w:pStyle w:val="TableParagraph"/>
              <w:spacing w:before="92"/>
              <w:ind w:right="297"/>
              <w:rPr>
                <w:rFonts w:ascii="Carlito"/>
                <w:sz w:val="16"/>
              </w:rPr>
            </w:pPr>
            <w:r>
              <w:rPr>
                <w:rFonts w:ascii="Carlito"/>
                <w:sz w:val="16"/>
              </w:rPr>
              <w:t>4</w:t>
            </w:r>
          </w:p>
        </w:tc>
        <w:tc>
          <w:tcPr>
            <w:tcW w:w="815" w:type="dxa"/>
            <w:shd w:val="clear" w:color="auto" w:fill="D9D9D9"/>
          </w:tcPr>
          <w:p>
            <w:pPr>
              <w:pStyle w:val="TableParagraph"/>
              <w:spacing w:before="92"/>
              <w:ind w:left="303"/>
              <w:jc w:val="left"/>
              <w:rPr>
                <w:rFonts w:ascii="Carlito"/>
                <w:sz w:val="16"/>
              </w:rPr>
            </w:pPr>
            <w:r>
              <w:rPr>
                <w:rFonts w:ascii="Carlito"/>
                <w:sz w:val="16"/>
              </w:rPr>
              <w:t>2</w:t>
            </w:r>
          </w:p>
        </w:tc>
        <w:tc>
          <w:tcPr>
            <w:tcW w:w="1287" w:type="dxa"/>
            <w:shd w:val="clear" w:color="auto" w:fill="D9D9D9"/>
          </w:tcPr>
          <w:p>
            <w:pPr>
              <w:pStyle w:val="TableParagraph"/>
              <w:spacing w:before="92"/>
              <w:ind w:right="567"/>
              <w:rPr>
                <w:rFonts w:ascii="Carlito"/>
                <w:sz w:val="16"/>
              </w:rPr>
            </w:pPr>
            <w:r>
              <w:rPr>
                <w:rFonts w:ascii="Carlito"/>
                <w:sz w:val="16"/>
              </w:rPr>
              <w:t>5.2</w:t>
            </w:r>
          </w:p>
        </w:tc>
        <w:tc>
          <w:tcPr>
            <w:tcW w:w="1141" w:type="dxa"/>
            <w:shd w:val="clear" w:color="auto" w:fill="D9D9D9"/>
          </w:tcPr>
          <w:p>
            <w:pPr>
              <w:pStyle w:val="TableParagraph"/>
              <w:spacing w:before="92"/>
              <w:ind w:right="360"/>
              <w:rPr>
                <w:rFonts w:ascii="Carlito"/>
                <w:sz w:val="16"/>
              </w:rPr>
            </w:pPr>
            <w:r>
              <w:rPr>
                <w:rFonts w:ascii="Carlito"/>
                <w:sz w:val="16"/>
              </w:rPr>
              <w:t>5.2</w:t>
            </w:r>
          </w:p>
        </w:tc>
        <w:tc>
          <w:tcPr>
            <w:tcW w:w="825" w:type="dxa"/>
            <w:shd w:val="clear" w:color="auto" w:fill="D9D9D9"/>
          </w:tcPr>
          <w:p>
            <w:pPr>
              <w:pStyle w:val="TableParagraph"/>
              <w:spacing w:before="92"/>
              <w:ind w:right="373"/>
              <w:rPr>
                <w:rFonts w:ascii="Carlito"/>
                <w:sz w:val="16"/>
              </w:rPr>
            </w:pPr>
            <w:r>
              <w:rPr>
                <w:rFonts w:ascii="Carlito"/>
                <w:sz w:val="16"/>
              </w:rPr>
              <w:t>0</w:t>
            </w:r>
          </w:p>
        </w:tc>
        <w:tc>
          <w:tcPr>
            <w:tcW w:w="529" w:type="dxa"/>
            <w:shd w:val="clear" w:color="auto" w:fill="D9D9D9"/>
          </w:tcPr>
          <w:p>
            <w:pPr>
              <w:pStyle w:val="TableParagraph"/>
              <w:spacing w:before="92"/>
              <w:ind w:right="58"/>
              <w:rPr>
                <w:rFonts w:ascii="Carlito"/>
                <w:sz w:val="16"/>
              </w:rPr>
            </w:pPr>
            <w:r>
              <w:rPr>
                <w:rFonts w:ascii="Carlito"/>
                <w:sz w:val="16"/>
              </w:rPr>
              <w:t>1</w:t>
            </w:r>
          </w:p>
        </w:tc>
      </w:tr>
      <w:tr>
        <w:trPr>
          <w:trHeight w:val="287" w:hRule="atLeast"/>
        </w:trPr>
        <w:tc>
          <w:tcPr>
            <w:tcW w:w="756" w:type="dxa"/>
          </w:tcPr>
          <w:p>
            <w:pPr>
              <w:pStyle w:val="TableParagraph"/>
              <w:ind w:right="143"/>
              <w:rPr>
                <w:rFonts w:ascii="Carlito"/>
                <w:sz w:val="16"/>
              </w:rPr>
            </w:pPr>
            <w:r>
              <w:rPr>
                <w:rFonts w:ascii="Carlito"/>
                <w:sz w:val="16"/>
              </w:rPr>
              <w:t>117</w:t>
            </w:r>
          </w:p>
        </w:tc>
        <w:tc>
          <w:tcPr>
            <w:tcW w:w="1938" w:type="dxa"/>
          </w:tcPr>
          <w:p>
            <w:pPr>
              <w:pStyle w:val="TableParagraph"/>
              <w:ind w:left="143"/>
              <w:jc w:val="left"/>
              <w:rPr>
                <w:rFonts w:ascii="Carlito"/>
                <w:sz w:val="16"/>
              </w:rPr>
            </w:pPr>
            <w:r>
              <w:rPr>
                <w:rFonts w:ascii="Carlito"/>
                <w:sz w:val="16"/>
              </w:rPr>
              <w:t>Altamonte</w:t>
            </w:r>
          </w:p>
        </w:tc>
        <w:tc>
          <w:tcPr>
            <w:tcW w:w="595" w:type="dxa"/>
          </w:tcPr>
          <w:p>
            <w:pPr>
              <w:pStyle w:val="TableParagraph"/>
              <w:ind w:right="69"/>
              <w:rPr>
                <w:rFonts w:ascii="Carlito"/>
                <w:sz w:val="16"/>
              </w:rPr>
            </w:pPr>
            <w:r>
              <w:rPr>
                <w:rFonts w:ascii="Carlito"/>
                <w:sz w:val="16"/>
              </w:rPr>
              <w:t>1</w:t>
            </w:r>
          </w:p>
        </w:tc>
        <w:tc>
          <w:tcPr>
            <w:tcW w:w="1418" w:type="dxa"/>
          </w:tcPr>
          <w:p>
            <w:pPr>
              <w:pStyle w:val="TableParagraph"/>
              <w:ind w:right="415"/>
              <w:rPr>
                <w:rFonts w:ascii="Carlito"/>
                <w:sz w:val="16"/>
              </w:rPr>
            </w:pPr>
            <w:r>
              <w:rPr>
                <w:rFonts w:ascii="Carlito"/>
                <w:sz w:val="16"/>
              </w:rPr>
              <w:t>$920,000.00</w:t>
            </w:r>
          </w:p>
        </w:tc>
        <w:tc>
          <w:tcPr>
            <w:tcW w:w="1000" w:type="dxa"/>
          </w:tcPr>
          <w:p>
            <w:pPr>
              <w:pStyle w:val="TableParagraph"/>
              <w:ind w:right="340"/>
              <w:rPr>
                <w:rFonts w:ascii="Carlito"/>
                <w:sz w:val="16"/>
              </w:rPr>
            </w:pPr>
            <w:r>
              <w:rPr>
                <w:rFonts w:ascii="Carlito"/>
                <w:sz w:val="16"/>
              </w:rPr>
              <w:t>450</w:t>
            </w:r>
          </w:p>
        </w:tc>
        <w:tc>
          <w:tcPr>
            <w:tcW w:w="1126" w:type="dxa"/>
          </w:tcPr>
          <w:p>
            <w:pPr>
              <w:pStyle w:val="TableParagraph"/>
              <w:ind w:left="319" w:right="439"/>
              <w:jc w:val="center"/>
              <w:rPr>
                <w:rFonts w:ascii="Carlito"/>
                <w:sz w:val="16"/>
              </w:rPr>
            </w:pPr>
            <w:r>
              <w:rPr>
                <w:rFonts w:ascii="Carlito"/>
                <w:sz w:val="16"/>
              </w:rPr>
              <w:t>2014</w:t>
            </w:r>
          </w:p>
        </w:tc>
        <w:tc>
          <w:tcPr>
            <w:tcW w:w="782" w:type="dxa"/>
          </w:tcPr>
          <w:p>
            <w:pPr>
              <w:pStyle w:val="TableParagraph"/>
              <w:ind w:right="234"/>
              <w:rPr>
                <w:rFonts w:ascii="Carlito"/>
                <w:sz w:val="16"/>
              </w:rPr>
            </w:pPr>
            <w:r>
              <w:rPr>
                <w:rFonts w:ascii="Carlito"/>
                <w:sz w:val="16"/>
              </w:rPr>
              <w:t>4</w:t>
            </w:r>
          </w:p>
        </w:tc>
        <w:tc>
          <w:tcPr>
            <w:tcW w:w="744" w:type="dxa"/>
          </w:tcPr>
          <w:p>
            <w:pPr>
              <w:pStyle w:val="TableParagraph"/>
              <w:ind w:right="297"/>
              <w:rPr>
                <w:rFonts w:ascii="Carlito"/>
                <w:sz w:val="16"/>
              </w:rPr>
            </w:pPr>
            <w:r>
              <w:rPr>
                <w:rFonts w:ascii="Carlito"/>
                <w:sz w:val="16"/>
              </w:rPr>
              <w:t>3</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6.6</w:t>
            </w:r>
          </w:p>
        </w:tc>
        <w:tc>
          <w:tcPr>
            <w:tcW w:w="1141" w:type="dxa"/>
          </w:tcPr>
          <w:p>
            <w:pPr>
              <w:pStyle w:val="TableParagraph"/>
              <w:ind w:right="360"/>
              <w:rPr>
                <w:rFonts w:ascii="Carlito"/>
                <w:sz w:val="16"/>
              </w:rPr>
            </w:pPr>
            <w:r>
              <w:rPr>
                <w:rFonts w:ascii="Carlito"/>
                <w:sz w:val="16"/>
              </w:rPr>
              <w:t>5.8</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118</w:t>
            </w:r>
          </w:p>
        </w:tc>
        <w:tc>
          <w:tcPr>
            <w:tcW w:w="1938" w:type="dxa"/>
            <w:shd w:val="clear" w:color="auto" w:fill="D9D9D9"/>
          </w:tcPr>
          <w:p>
            <w:pPr>
              <w:pStyle w:val="TableParagraph"/>
              <w:ind w:left="143"/>
              <w:jc w:val="left"/>
              <w:rPr>
                <w:rFonts w:ascii="Carlito"/>
                <w:sz w:val="16"/>
              </w:rPr>
            </w:pPr>
            <w:r>
              <w:rPr>
                <w:rFonts w:ascii="Carlito"/>
                <w:sz w:val="16"/>
              </w:rPr>
              <w:t>Lomas de Ayarco Sur</w:t>
            </w:r>
          </w:p>
        </w:tc>
        <w:tc>
          <w:tcPr>
            <w:tcW w:w="595"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$260,000.00</w:t>
            </w:r>
          </w:p>
        </w:tc>
        <w:tc>
          <w:tcPr>
            <w:tcW w:w="1000" w:type="dxa"/>
            <w:shd w:val="clear" w:color="auto" w:fill="D9D9D9"/>
          </w:tcPr>
          <w:p>
            <w:pPr>
              <w:pStyle w:val="TableParagraph"/>
              <w:ind w:right="340"/>
              <w:rPr>
                <w:rFonts w:ascii="Carlito"/>
                <w:sz w:val="16"/>
              </w:rPr>
            </w:pPr>
            <w:r>
              <w:rPr>
                <w:rFonts w:ascii="Carlito"/>
                <w:sz w:val="16"/>
              </w:rPr>
              <w:t>200</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2</w:t>
            </w:r>
          </w:p>
        </w:tc>
        <w:tc>
          <w:tcPr>
            <w:tcW w:w="744" w:type="dxa"/>
            <w:shd w:val="clear" w:color="auto" w:fill="D9D9D9"/>
          </w:tcPr>
          <w:p>
            <w:pPr>
              <w:pStyle w:val="TableParagraph"/>
              <w:ind w:right="302"/>
              <w:rPr>
                <w:rFonts w:ascii="Carlito"/>
                <w:sz w:val="16"/>
              </w:rPr>
            </w:pPr>
            <w:r>
              <w:rPr>
                <w:rFonts w:ascii="Carlito"/>
                <w:sz w:val="16"/>
              </w:rPr>
              <w:t>2.5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8.8</w:t>
            </w:r>
          </w:p>
        </w:tc>
        <w:tc>
          <w:tcPr>
            <w:tcW w:w="1141" w:type="dxa"/>
            <w:shd w:val="clear" w:color="auto" w:fill="D9D9D9"/>
          </w:tcPr>
          <w:p>
            <w:pPr>
              <w:pStyle w:val="TableParagraph"/>
              <w:ind w:right="360"/>
              <w:rPr>
                <w:rFonts w:ascii="Carlito"/>
                <w:sz w:val="16"/>
              </w:rPr>
            </w:pPr>
            <w:r>
              <w:rPr>
                <w:rFonts w:ascii="Carlito"/>
                <w:sz w:val="16"/>
              </w:rPr>
              <w:t>2.8</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119</w:t>
            </w:r>
          </w:p>
        </w:tc>
        <w:tc>
          <w:tcPr>
            <w:tcW w:w="1938" w:type="dxa"/>
          </w:tcPr>
          <w:p>
            <w:pPr>
              <w:pStyle w:val="TableParagraph"/>
              <w:ind w:left="143"/>
              <w:jc w:val="left"/>
              <w:rPr>
                <w:rFonts w:ascii="Carlito"/>
                <w:sz w:val="16"/>
              </w:rPr>
            </w:pPr>
            <w:r>
              <w:rPr>
                <w:rFonts w:ascii="Carlito"/>
                <w:sz w:val="16"/>
              </w:rPr>
              <w:t>Curridabat</w:t>
            </w:r>
          </w:p>
        </w:tc>
        <w:tc>
          <w:tcPr>
            <w:tcW w:w="595" w:type="dxa"/>
          </w:tcPr>
          <w:p>
            <w:pPr>
              <w:pStyle w:val="TableParagraph"/>
              <w:ind w:right="69"/>
              <w:rPr>
                <w:rFonts w:ascii="Carlito"/>
                <w:sz w:val="16"/>
              </w:rPr>
            </w:pPr>
            <w:r>
              <w:rPr>
                <w:rFonts w:ascii="Carlito"/>
                <w:sz w:val="16"/>
              </w:rPr>
              <w:t>0</w:t>
            </w:r>
          </w:p>
        </w:tc>
        <w:tc>
          <w:tcPr>
            <w:tcW w:w="1418" w:type="dxa"/>
          </w:tcPr>
          <w:p>
            <w:pPr>
              <w:pStyle w:val="TableParagraph"/>
              <w:ind w:right="415"/>
              <w:rPr>
                <w:rFonts w:ascii="Carlito"/>
                <w:sz w:val="16"/>
              </w:rPr>
            </w:pPr>
            <w:r>
              <w:rPr>
                <w:rFonts w:ascii="Carlito"/>
                <w:sz w:val="16"/>
              </w:rPr>
              <w:t>$360,000.00</w:t>
            </w:r>
          </w:p>
        </w:tc>
        <w:tc>
          <w:tcPr>
            <w:tcW w:w="1000" w:type="dxa"/>
          </w:tcPr>
          <w:p>
            <w:pPr>
              <w:pStyle w:val="TableParagraph"/>
              <w:ind w:right="340"/>
              <w:rPr>
                <w:rFonts w:ascii="Carlito"/>
                <w:sz w:val="16"/>
              </w:rPr>
            </w:pPr>
            <w:r>
              <w:rPr>
                <w:rFonts w:ascii="Carlito"/>
                <w:sz w:val="16"/>
              </w:rPr>
              <w:t>390</w:t>
            </w:r>
          </w:p>
        </w:tc>
        <w:tc>
          <w:tcPr>
            <w:tcW w:w="1126" w:type="dxa"/>
          </w:tcPr>
          <w:p>
            <w:pPr>
              <w:pStyle w:val="TableParagraph"/>
              <w:ind w:left="319" w:right="439"/>
              <w:jc w:val="center"/>
              <w:rPr>
                <w:rFonts w:ascii="Carlito"/>
                <w:sz w:val="16"/>
              </w:rPr>
            </w:pPr>
            <w:r>
              <w:rPr>
                <w:rFonts w:ascii="Carlito"/>
                <w:sz w:val="16"/>
              </w:rPr>
              <w:t>2006</w:t>
            </w:r>
          </w:p>
        </w:tc>
        <w:tc>
          <w:tcPr>
            <w:tcW w:w="782" w:type="dxa"/>
          </w:tcPr>
          <w:p>
            <w:pPr>
              <w:pStyle w:val="TableParagraph"/>
              <w:ind w:right="234"/>
              <w:rPr>
                <w:rFonts w:ascii="Carlito"/>
                <w:sz w:val="16"/>
              </w:rPr>
            </w:pPr>
            <w:r>
              <w:rPr>
                <w:rFonts w:ascii="Carlito"/>
                <w:sz w:val="16"/>
              </w:rPr>
              <w:t>3</w:t>
            </w:r>
          </w:p>
        </w:tc>
        <w:tc>
          <w:tcPr>
            <w:tcW w:w="744" w:type="dxa"/>
          </w:tcPr>
          <w:p>
            <w:pPr>
              <w:pStyle w:val="TableParagraph"/>
              <w:ind w:right="302"/>
              <w:rPr>
                <w:rFonts w:ascii="Carlito"/>
                <w:sz w:val="16"/>
              </w:rPr>
            </w:pPr>
            <w:r>
              <w:rPr>
                <w:rFonts w:ascii="Carlito"/>
                <w:sz w:val="16"/>
              </w:rPr>
              <w:t>2.5</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5.7</w:t>
            </w:r>
          </w:p>
        </w:tc>
        <w:tc>
          <w:tcPr>
            <w:tcW w:w="1141" w:type="dxa"/>
          </w:tcPr>
          <w:p>
            <w:pPr>
              <w:pStyle w:val="TableParagraph"/>
              <w:ind w:right="360"/>
              <w:rPr>
                <w:rFonts w:ascii="Carlito"/>
                <w:sz w:val="16"/>
              </w:rPr>
            </w:pPr>
            <w:r>
              <w:rPr>
                <w:rFonts w:ascii="Carlito"/>
                <w:sz w:val="16"/>
              </w:rPr>
              <w:t>3.2</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120</w:t>
            </w:r>
          </w:p>
        </w:tc>
        <w:tc>
          <w:tcPr>
            <w:tcW w:w="1938" w:type="dxa"/>
            <w:shd w:val="clear" w:color="auto" w:fill="D9D9D9"/>
          </w:tcPr>
          <w:p>
            <w:pPr>
              <w:pStyle w:val="TableParagraph"/>
              <w:ind w:left="143"/>
              <w:jc w:val="left"/>
              <w:rPr>
                <w:rFonts w:ascii="Carlito"/>
                <w:sz w:val="16"/>
              </w:rPr>
            </w:pPr>
            <w:r>
              <w:rPr>
                <w:rFonts w:ascii="Carlito"/>
                <w:sz w:val="16"/>
              </w:rPr>
              <w:t>Lomas de Ayarco</w:t>
            </w:r>
          </w:p>
        </w:tc>
        <w:tc>
          <w:tcPr>
            <w:tcW w:w="595"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$280,000.00</w:t>
            </w:r>
          </w:p>
        </w:tc>
        <w:tc>
          <w:tcPr>
            <w:tcW w:w="1000" w:type="dxa"/>
            <w:shd w:val="clear" w:color="auto" w:fill="D9D9D9"/>
          </w:tcPr>
          <w:p>
            <w:pPr>
              <w:pStyle w:val="TableParagraph"/>
              <w:ind w:right="340"/>
              <w:rPr>
                <w:rFonts w:ascii="Carlito"/>
                <w:sz w:val="16"/>
              </w:rPr>
            </w:pPr>
            <w:r>
              <w:rPr>
                <w:rFonts w:ascii="Carlito"/>
                <w:sz w:val="16"/>
              </w:rPr>
              <w:t>210</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302"/>
              <w:rPr>
                <w:rFonts w:ascii="Carlito"/>
                <w:sz w:val="16"/>
              </w:rPr>
            </w:pPr>
            <w:r>
              <w:rPr>
                <w:rFonts w:ascii="Carlito"/>
                <w:sz w:val="16"/>
              </w:rPr>
              <w:t>2.5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8.55</w:t>
            </w:r>
          </w:p>
        </w:tc>
        <w:tc>
          <w:tcPr>
            <w:tcW w:w="1141" w:type="dxa"/>
            <w:shd w:val="clear" w:color="auto" w:fill="D9D9D9"/>
          </w:tcPr>
          <w:p>
            <w:pPr>
              <w:pStyle w:val="TableParagraph"/>
              <w:ind w:right="360"/>
              <w:rPr>
                <w:rFonts w:ascii="Carlito"/>
                <w:sz w:val="16"/>
              </w:rPr>
            </w:pPr>
            <w:r>
              <w:rPr>
                <w:rFonts w:ascii="Carlito"/>
                <w:sz w:val="16"/>
              </w:rPr>
              <w:t>2.9</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spacing w:line="177" w:lineRule="exact"/>
              <w:ind w:right="143"/>
              <w:rPr>
                <w:rFonts w:ascii="Carlito"/>
                <w:sz w:val="16"/>
              </w:rPr>
            </w:pPr>
            <w:r>
              <w:rPr>
                <w:rFonts w:ascii="Carlito"/>
                <w:sz w:val="16"/>
              </w:rPr>
              <w:t>121</w:t>
            </w:r>
          </w:p>
        </w:tc>
        <w:tc>
          <w:tcPr>
            <w:tcW w:w="1938" w:type="dxa"/>
          </w:tcPr>
          <w:p>
            <w:pPr>
              <w:pStyle w:val="TableParagraph"/>
              <w:spacing w:line="177" w:lineRule="exact"/>
              <w:ind w:left="143"/>
              <w:jc w:val="left"/>
              <w:rPr>
                <w:rFonts w:ascii="Carlito"/>
                <w:sz w:val="16"/>
              </w:rPr>
            </w:pPr>
            <w:r>
              <w:rPr>
                <w:rFonts w:ascii="Carlito"/>
                <w:sz w:val="16"/>
              </w:rPr>
              <w:t>Lomas de Ayarco</w:t>
            </w:r>
          </w:p>
        </w:tc>
        <w:tc>
          <w:tcPr>
            <w:tcW w:w="595" w:type="dxa"/>
          </w:tcPr>
          <w:p>
            <w:pPr>
              <w:pStyle w:val="TableParagraph"/>
              <w:spacing w:line="177" w:lineRule="exact"/>
              <w:ind w:right="69"/>
              <w:rPr>
                <w:rFonts w:ascii="Carlito"/>
                <w:sz w:val="16"/>
              </w:rPr>
            </w:pPr>
            <w:r>
              <w:rPr>
                <w:rFonts w:ascii="Carlito"/>
                <w:sz w:val="16"/>
              </w:rPr>
              <w:t>0</w:t>
            </w:r>
          </w:p>
        </w:tc>
        <w:tc>
          <w:tcPr>
            <w:tcW w:w="1418" w:type="dxa"/>
          </w:tcPr>
          <w:p>
            <w:pPr>
              <w:pStyle w:val="TableParagraph"/>
              <w:spacing w:line="177" w:lineRule="exact"/>
              <w:ind w:right="415"/>
              <w:rPr>
                <w:rFonts w:ascii="Carlito"/>
                <w:sz w:val="16"/>
              </w:rPr>
            </w:pPr>
            <w:r>
              <w:rPr>
                <w:rFonts w:ascii="Carlito"/>
                <w:sz w:val="16"/>
              </w:rPr>
              <w:t>$170,000.00</w:t>
            </w:r>
          </w:p>
        </w:tc>
        <w:tc>
          <w:tcPr>
            <w:tcW w:w="1000" w:type="dxa"/>
          </w:tcPr>
          <w:p>
            <w:pPr>
              <w:pStyle w:val="TableParagraph"/>
              <w:spacing w:line="177" w:lineRule="exact"/>
              <w:ind w:right="340"/>
              <w:rPr>
                <w:rFonts w:ascii="Carlito"/>
                <w:sz w:val="16"/>
              </w:rPr>
            </w:pPr>
            <w:r>
              <w:rPr>
                <w:rFonts w:ascii="Carlito"/>
                <w:sz w:val="16"/>
              </w:rPr>
              <w:t>140</w:t>
            </w:r>
          </w:p>
        </w:tc>
        <w:tc>
          <w:tcPr>
            <w:tcW w:w="1126" w:type="dxa"/>
          </w:tcPr>
          <w:p>
            <w:pPr>
              <w:pStyle w:val="TableParagraph"/>
              <w:spacing w:line="177" w:lineRule="exact"/>
              <w:ind w:left="319" w:right="439"/>
              <w:jc w:val="center"/>
              <w:rPr>
                <w:rFonts w:ascii="Carlito"/>
                <w:sz w:val="16"/>
              </w:rPr>
            </w:pPr>
            <w:r>
              <w:rPr>
                <w:rFonts w:ascii="Carlito"/>
                <w:sz w:val="16"/>
              </w:rPr>
              <w:t>2006</w:t>
            </w:r>
          </w:p>
        </w:tc>
        <w:tc>
          <w:tcPr>
            <w:tcW w:w="782" w:type="dxa"/>
          </w:tcPr>
          <w:p>
            <w:pPr>
              <w:pStyle w:val="TableParagraph"/>
              <w:spacing w:line="177" w:lineRule="exact"/>
              <w:ind w:right="234"/>
              <w:rPr>
                <w:rFonts w:ascii="Carlito"/>
                <w:sz w:val="16"/>
              </w:rPr>
            </w:pPr>
            <w:r>
              <w:rPr>
                <w:rFonts w:ascii="Carlito"/>
                <w:sz w:val="16"/>
              </w:rPr>
              <w:t>3</w:t>
            </w:r>
          </w:p>
        </w:tc>
        <w:tc>
          <w:tcPr>
            <w:tcW w:w="744" w:type="dxa"/>
          </w:tcPr>
          <w:p>
            <w:pPr>
              <w:pStyle w:val="TableParagraph"/>
              <w:spacing w:line="177" w:lineRule="exact"/>
              <w:ind w:right="302"/>
              <w:rPr>
                <w:rFonts w:ascii="Carlito"/>
                <w:sz w:val="16"/>
              </w:rPr>
            </w:pPr>
            <w:r>
              <w:rPr>
                <w:rFonts w:ascii="Carlito"/>
                <w:sz w:val="16"/>
              </w:rPr>
              <w:t>2.5</w:t>
            </w:r>
          </w:p>
        </w:tc>
        <w:tc>
          <w:tcPr>
            <w:tcW w:w="815" w:type="dxa"/>
          </w:tcPr>
          <w:p>
            <w:pPr>
              <w:pStyle w:val="TableParagraph"/>
              <w:spacing w:line="177" w:lineRule="exact"/>
              <w:ind w:left="303"/>
              <w:jc w:val="left"/>
              <w:rPr>
                <w:rFonts w:ascii="Carlito"/>
                <w:sz w:val="16"/>
              </w:rPr>
            </w:pPr>
            <w:r>
              <w:rPr>
                <w:rFonts w:ascii="Carlito"/>
                <w:sz w:val="16"/>
              </w:rPr>
              <w:t>2</w:t>
            </w:r>
          </w:p>
        </w:tc>
        <w:tc>
          <w:tcPr>
            <w:tcW w:w="1287" w:type="dxa"/>
          </w:tcPr>
          <w:p>
            <w:pPr>
              <w:pStyle w:val="TableParagraph"/>
              <w:spacing w:line="177" w:lineRule="exact"/>
              <w:ind w:right="567"/>
              <w:rPr>
                <w:rFonts w:ascii="Carlito"/>
                <w:sz w:val="16"/>
              </w:rPr>
            </w:pPr>
            <w:r>
              <w:rPr>
                <w:rFonts w:ascii="Carlito"/>
                <w:sz w:val="16"/>
              </w:rPr>
              <w:t>8.55</w:t>
            </w:r>
          </w:p>
        </w:tc>
        <w:tc>
          <w:tcPr>
            <w:tcW w:w="1141" w:type="dxa"/>
          </w:tcPr>
          <w:p>
            <w:pPr>
              <w:pStyle w:val="TableParagraph"/>
              <w:spacing w:line="177" w:lineRule="exact"/>
              <w:ind w:right="360"/>
              <w:rPr>
                <w:rFonts w:ascii="Carlito"/>
                <w:sz w:val="16"/>
              </w:rPr>
            </w:pPr>
            <w:r>
              <w:rPr>
                <w:rFonts w:ascii="Carlito"/>
                <w:sz w:val="16"/>
              </w:rPr>
              <w:t>2.9</w:t>
            </w:r>
          </w:p>
        </w:tc>
        <w:tc>
          <w:tcPr>
            <w:tcW w:w="825" w:type="dxa"/>
          </w:tcPr>
          <w:p>
            <w:pPr>
              <w:pStyle w:val="TableParagraph"/>
              <w:spacing w:line="177" w:lineRule="exact"/>
              <w:ind w:right="373"/>
              <w:rPr>
                <w:rFonts w:ascii="Carlito"/>
                <w:sz w:val="16"/>
              </w:rPr>
            </w:pPr>
            <w:r>
              <w:rPr>
                <w:rFonts w:ascii="Carlito"/>
                <w:sz w:val="16"/>
              </w:rPr>
              <w:t>0</w:t>
            </w:r>
          </w:p>
        </w:tc>
        <w:tc>
          <w:tcPr>
            <w:tcW w:w="529" w:type="dxa"/>
          </w:tcPr>
          <w:p>
            <w:pPr>
              <w:pStyle w:val="TableParagraph"/>
              <w:spacing w:line="177" w:lineRule="exact"/>
              <w:ind w:right="58"/>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122</w:t>
            </w:r>
          </w:p>
        </w:tc>
        <w:tc>
          <w:tcPr>
            <w:tcW w:w="1938" w:type="dxa"/>
            <w:shd w:val="clear" w:color="auto" w:fill="D9D9D9"/>
          </w:tcPr>
          <w:p>
            <w:pPr>
              <w:pStyle w:val="TableParagraph"/>
              <w:ind w:left="143"/>
              <w:jc w:val="left"/>
              <w:rPr>
                <w:rFonts w:ascii="Carlito"/>
                <w:sz w:val="16"/>
              </w:rPr>
            </w:pPr>
            <w:r>
              <w:rPr>
                <w:rFonts w:ascii="Carlito"/>
                <w:sz w:val="16"/>
              </w:rPr>
              <w:t>Lomas de Ayarco Sur</w:t>
            </w:r>
          </w:p>
        </w:tc>
        <w:tc>
          <w:tcPr>
            <w:tcW w:w="595" w:type="dxa"/>
            <w:shd w:val="clear" w:color="auto" w:fill="D9D9D9"/>
          </w:tcPr>
          <w:p>
            <w:pPr>
              <w:pStyle w:val="TableParagraph"/>
              <w:ind w:right="69"/>
              <w:rPr>
                <w:rFonts w:ascii="Carlito"/>
                <w:sz w:val="16"/>
              </w:rPr>
            </w:pPr>
            <w:r>
              <w:rPr>
                <w:rFonts w:ascii="Carlito"/>
                <w:sz w:val="16"/>
              </w:rPr>
              <w:t>1</w:t>
            </w:r>
          </w:p>
        </w:tc>
        <w:tc>
          <w:tcPr>
            <w:tcW w:w="1418" w:type="dxa"/>
            <w:shd w:val="clear" w:color="auto" w:fill="D9D9D9"/>
          </w:tcPr>
          <w:p>
            <w:pPr>
              <w:pStyle w:val="TableParagraph"/>
              <w:ind w:right="415"/>
              <w:rPr>
                <w:rFonts w:ascii="Carlito"/>
                <w:sz w:val="16"/>
              </w:rPr>
            </w:pPr>
            <w:r>
              <w:rPr>
                <w:rFonts w:ascii="Carlito"/>
                <w:sz w:val="16"/>
              </w:rPr>
              <w:t>$495,000.00</w:t>
            </w:r>
          </w:p>
        </w:tc>
        <w:tc>
          <w:tcPr>
            <w:tcW w:w="1000" w:type="dxa"/>
            <w:shd w:val="clear" w:color="auto" w:fill="D9D9D9"/>
          </w:tcPr>
          <w:p>
            <w:pPr>
              <w:pStyle w:val="TableParagraph"/>
              <w:ind w:right="340"/>
              <w:rPr>
                <w:rFonts w:ascii="Carlito"/>
                <w:sz w:val="16"/>
              </w:rPr>
            </w:pPr>
            <w:r>
              <w:rPr>
                <w:rFonts w:ascii="Carlito"/>
                <w:sz w:val="16"/>
              </w:rPr>
              <w:t>566</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6</w:t>
            </w:r>
          </w:p>
        </w:tc>
        <w:tc>
          <w:tcPr>
            <w:tcW w:w="744" w:type="dxa"/>
            <w:shd w:val="clear" w:color="auto" w:fill="D9D9D9"/>
          </w:tcPr>
          <w:p>
            <w:pPr>
              <w:pStyle w:val="TableParagraph"/>
              <w:ind w:right="297"/>
              <w:rPr>
                <w:rFonts w:ascii="Carlito"/>
                <w:sz w:val="16"/>
              </w:rPr>
            </w:pPr>
            <w:r>
              <w:rPr>
                <w:rFonts w:ascii="Carlito"/>
                <w:sz w:val="16"/>
              </w:rPr>
              <w:t>6</w:t>
            </w:r>
          </w:p>
        </w:tc>
        <w:tc>
          <w:tcPr>
            <w:tcW w:w="815" w:type="dxa"/>
            <w:shd w:val="clear" w:color="auto" w:fill="D9D9D9"/>
          </w:tcPr>
          <w:p>
            <w:pPr>
              <w:pStyle w:val="TableParagraph"/>
              <w:ind w:left="303"/>
              <w:jc w:val="left"/>
              <w:rPr>
                <w:rFonts w:ascii="Carlito"/>
                <w:sz w:val="16"/>
              </w:rPr>
            </w:pPr>
            <w:r>
              <w:rPr>
                <w:rFonts w:ascii="Carlito"/>
                <w:sz w:val="16"/>
              </w:rPr>
              <w:t>3</w:t>
            </w:r>
          </w:p>
        </w:tc>
        <w:tc>
          <w:tcPr>
            <w:tcW w:w="1287" w:type="dxa"/>
            <w:shd w:val="clear" w:color="auto" w:fill="D9D9D9"/>
          </w:tcPr>
          <w:p>
            <w:pPr>
              <w:pStyle w:val="TableParagraph"/>
              <w:ind w:right="567"/>
              <w:rPr>
                <w:rFonts w:ascii="Carlito"/>
                <w:sz w:val="16"/>
              </w:rPr>
            </w:pPr>
            <w:r>
              <w:rPr>
                <w:rFonts w:ascii="Carlito"/>
                <w:sz w:val="16"/>
              </w:rPr>
              <w:t>9.1</w:t>
            </w:r>
          </w:p>
        </w:tc>
        <w:tc>
          <w:tcPr>
            <w:tcW w:w="1141" w:type="dxa"/>
            <w:shd w:val="clear" w:color="auto" w:fill="D9D9D9"/>
          </w:tcPr>
          <w:p>
            <w:pPr>
              <w:pStyle w:val="TableParagraph"/>
              <w:ind w:right="360"/>
              <w:rPr>
                <w:rFonts w:ascii="Carlito"/>
                <w:sz w:val="16"/>
              </w:rPr>
            </w:pPr>
            <w:r>
              <w:rPr>
                <w:rFonts w:ascii="Carlito"/>
                <w:sz w:val="16"/>
              </w:rPr>
              <w:t>3.4</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1</w:t>
            </w:r>
          </w:p>
        </w:tc>
      </w:tr>
    </w:tbl>
    <w:p>
      <w:pPr>
        <w:spacing w:after="0"/>
        <w:rPr>
          <w:rFonts w:ascii="Carlito"/>
          <w:sz w:val="16"/>
        </w:rPr>
        <w:sectPr>
          <w:pgSz w:w="15840" w:h="12240" w:orient="landscape"/>
          <w:pgMar w:header="0" w:footer="982" w:top="1140" w:bottom="1180" w:left="1340" w:right="1320"/>
        </w:sectPr>
      </w:pPr>
    </w:p>
    <w:p>
      <w:pPr>
        <w:pStyle w:val="BodyText"/>
        <w:rPr>
          <w:b/>
          <w:sz w:val="20"/>
        </w:rPr>
      </w:pPr>
    </w:p>
    <w:p>
      <w:pPr>
        <w:pStyle w:val="BodyText"/>
        <w:spacing w:before="10"/>
        <w:rPr>
          <w:b/>
          <w:sz w:val="16"/>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56"/>
        <w:gridCol w:w="1938"/>
        <w:gridCol w:w="656"/>
        <w:gridCol w:w="1359"/>
        <w:gridCol w:w="1001"/>
        <w:gridCol w:w="1128"/>
        <w:gridCol w:w="783"/>
        <w:gridCol w:w="746"/>
        <w:gridCol w:w="817"/>
        <w:gridCol w:w="1291"/>
        <w:gridCol w:w="1141"/>
        <w:gridCol w:w="827"/>
        <w:gridCol w:w="531"/>
      </w:tblGrid>
      <w:tr>
        <w:trPr>
          <w:trHeight w:val="163" w:hRule="atLeast"/>
        </w:trPr>
        <w:tc>
          <w:tcPr>
            <w:tcW w:w="756" w:type="dxa"/>
          </w:tcPr>
          <w:p>
            <w:pPr>
              <w:pStyle w:val="TableParagraph"/>
              <w:spacing w:line="144" w:lineRule="exact" w:before="0"/>
              <w:ind w:right="143"/>
              <w:rPr>
                <w:rFonts w:ascii="Carlito"/>
                <w:sz w:val="16"/>
              </w:rPr>
            </w:pPr>
            <w:r>
              <w:rPr>
                <w:rFonts w:ascii="Carlito"/>
                <w:sz w:val="16"/>
              </w:rPr>
              <w:t>123</w:t>
            </w:r>
          </w:p>
        </w:tc>
        <w:tc>
          <w:tcPr>
            <w:tcW w:w="1938" w:type="dxa"/>
          </w:tcPr>
          <w:p>
            <w:pPr>
              <w:pStyle w:val="TableParagraph"/>
              <w:spacing w:line="144" w:lineRule="exact" w:before="0"/>
              <w:ind w:left="143"/>
              <w:jc w:val="left"/>
              <w:rPr>
                <w:rFonts w:ascii="Carlito"/>
                <w:sz w:val="16"/>
              </w:rPr>
            </w:pPr>
            <w:r>
              <w:rPr>
                <w:rFonts w:ascii="Carlito"/>
                <w:sz w:val="16"/>
              </w:rPr>
              <w:t>Pinares</w:t>
            </w:r>
          </w:p>
        </w:tc>
        <w:tc>
          <w:tcPr>
            <w:tcW w:w="656" w:type="dxa"/>
          </w:tcPr>
          <w:p>
            <w:pPr>
              <w:pStyle w:val="TableParagraph"/>
              <w:spacing w:line="144" w:lineRule="exact" w:before="0"/>
              <w:ind w:right="130"/>
              <w:rPr>
                <w:rFonts w:ascii="Carlito"/>
                <w:sz w:val="16"/>
              </w:rPr>
            </w:pPr>
            <w:r>
              <w:rPr>
                <w:rFonts w:ascii="Carlito"/>
                <w:sz w:val="16"/>
              </w:rPr>
              <w:t>1</w:t>
            </w:r>
          </w:p>
        </w:tc>
        <w:tc>
          <w:tcPr>
            <w:tcW w:w="1359" w:type="dxa"/>
          </w:tcPr>
          <w:p>
            <w:pPr>
              <w:pStyle w:val="TableParagraph"/>
              <w:spacing w:line="144" w:lineRule="exact" w:before="0"/>
              <w:ind w:left="130"/>
              <w:jc w:val="left"/>
              <w:rPr>
                <w:rFonts w:ascii="Carlito"/>
                <w:sz w:val="16"/>
              </w:rPr>
            </w:pPr>
            <w:r>
              <w:rPr>
                <w:rFonts w:ascii="Carlito"/>
                <w:sz w:val="16"/>
              </w:rPr>
              <w:t>$335,000.00</w:t>
            </w:r>
          </w:p>
        </w:tc>
        <w:tc>
          <w:tcPr>
            <w:tcW w:w="1001" w:type="dxa"/>
          </w:tcPr>
          <w:p>
            <w:pPr>
              <w:pStyle w:val="TableParagraph"/>
              <w:spacing w:line="144" w:lineRule="exact" w:before="0"/>
              <w:ind w:right="343"/>
              <w:rPr>
                <w:rFonts w:ascii="Carlito"/>
                <w:sz w:val="16"/>
              </w:rPr>
            </w:pPr>
            <w:r>
              <w:rPr>
                <w:rFonts w:ascii="Carlito"/>
                <w:sz w:val="16"/>
              </w:rPr>
              <w:t>350</w:t>
            </w:r>
          </w:p>
        </w:tc>
        <w:tc>
          <w:tcPr>
            <w:tcW w:w="1128" w:type="dxa"/>
          </w:tcPr>
          <w:p>
            <w:pPr>
              <w:pStyle w:val="TableParagraph"/>
              <w:spacing w:line="144" w:lineRule="exact" w:before="0"/>
              <w:ind w:left="316" w:right="444"/>
              <w:jc w:val="center"/>
              <w:rPr>
                <w:rFonts w:ascii="Carlito"/>
                <w:sz w:val="16"/>
              </w:rPr>
            </w:pPr>
            <w:r>
              <w:rPr>
                <w:rFonts w:ascii="Carlito"/>
                <w:sz w:val="16"/>
              </w:rPr>
              <w:t>2013</w:t>
            </w:r>
          </w:p>
        </w:tc>
        <w:tc>
          <w:tcPr>
            <w:tcW w:w="783" w:type="dxa"/>
          </w:tcPr>
          <w:p>
            <w:pPr>
              <w:pStyle w:val="TableParagraph"/>
              <w:spacing w:line="144" w:lineRule="exact" w:before="0"/>
              <w:ind w:right="240"/>
              <w:rPr>
                <w:rFonts w:ascii="Carlito"/>
                <w:sz w:val="16"/>
              </w:rPr>
            </w:pPr>
            <w:r>
              <w:rPr>
                <w:rFonts w:ascii="Carlito"/>
                <w:sz w:val="16"/>
              </w:rPr>
              <w:t>3</w:t>
            </w:r>
          </w:p>
        </w:tc>
        <w:tc>
          <w:tcPr>
            <w:tcW w:w="746" w:type="dxa"/>
          </w:tcPr>
          <w:p>
            <w:pPr>
              <w:pStyle w:val="TableParagraph"/>
              <w:spacing w:line="144" w:lineRule="exact" w:before="0"/>
              <w:ind w:right="310"/>
              <w:rPr>
                <w:rFonts w:ascii="Carlito"/>
                <w:sz w:val="16"/>
              </w:rPr>
            </w:pPr>
            <w:r>
              <w:rPr>
                <w:rFonts w:ascii="Carlito"/>
                <w:sz w:val="16"/>
              </w:rPr>
              <w:t>2.5</w:t>
            </w:r>
          </w:p>
        </w:tc>
        <w:tc>
          <w:tcPr>
            <w:tcW w:w="817" w:type="dxa"/>
          </w:tcPr>
          <w:p>
            <w:pPr>
              <w:pStyle w:val="TableParagraph"/>
              <w:spacing w:line="144" w:lineRule="exact" w:before="0"/>
              <w:ind w:left="295"/>
              <w:jc w:val="left"/>
              <w:rPr>
                <w:rFonts w:ascii="Carlito"/>
                <w:sz w:val="16"/>
              </w:rPr>
            </w:pPr>
            <w:r>
              <w:rPr>
                <w:rFonts w:ascii="Carlito"/>
                <w:sz w:val="16"/>
              </w:rPr>
              <w:t>2</w:t>
            </w:r>
          </w:p>
        </w:tc>
        <w:tc>
          <w:tcPr>
            <w:tcW w:w="1291" w:type="dxa"/>
          </w:tcPr>
          <w:p>
            <w:pPr>
              <w:pStyle w:val="TableParagraph"/>
              <w:spacing w:line="144" w:lineRule="exact" w:before="0"/>
              <w:ind w:right="581"/>
              <w:rPr>
                <w:rFonts w:ascii="Carlito"/>
                <w:sz w:val="16"/>
              </w:rPr>
            </w:pPr>
            <w:r>
              <w:rPr>
                <w:rFonts w:ascii="Carlito"/>
                <w:sz w:val="16"/>
              </w:rPr>
              <w:t>7.1</w:t>
            </w:r>
          </w:p>
        </w:tc>
        <w:tc>
          <w:tcPr>
            <w:tcW w:w="1141" w:type="dxa"/>
          </w:tcPr>
          <w:p>
            <w:pPr>
              <w:pStyle w:val="TableParagraph"/>
              <w:spacing w:line="144" w:lineRule="exact" w:before="0"/>
              <w:ind w:right="374"/>
              <w:rPr>
                <w:rFonts w:ascii="Carlito"/>
                <w:sz w:val="16"/>
              </w:rPr>
            </w:pPr>
            <w:r>
              <w:rPr>
                <w:rFonts w:ascii="Carlito"/>
                <w:sz w:val="16"/>
              </w:rPr>
              <w:t>3.9</w:t>
            </w:r>
          </w:p>
        </w:tc>
        <w:tc>
          <w:tcPr>
            <w:tcW w:w="827" w:type="dxa"/>
          </w:tcPr>
          <w:p>
            <w:pPr>
              <w:pStyle w:val="TableParagraph"/>
              <w:spacing w:line="144" w:lineRule="exact" w:before="0"/>
              <w:ind w:right="389"/>
              <w:rPr>
                <w:rFonts w:ascii="Carlito"/>
                <w:sz w:val="16"/>
              </w:rPr>
            </w:pPr>
            <w:r>
              <w:rPr>
                <w:rFonts w:ascii="Carlito"/>
                <w:sz w:val="16"/>
              </w:rPr>
              <w:t>0</w:t>
            </w:r>
          </w:p>
        </w:tc>
        <w:tc>
          <w:tcPr>
            <w:tcW w:w="531" w:type="dxa"/>
          </w:tcPr>
          <w:p>
            <w:pPr>
              <w:pStyle w:val="TableParagraph"/>
              <w:spacing w:line="144" w:lineRule="exact" w:before="0"/>
              <w:ind w:right="76"/>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124</w:t>
            </w:r>
          </w:p>
        </w:tc>
        <w:tc>
          <w:tcPr>
            <w:tcW w:w="1938" w:type="dxa"/>
            <w:shd w:val="clear" w:color="auto" w:fill="D9D9D9"/>
          </w:tcPr>
          <w:p>
            <w:pPr>
              <w:pStyle w:val="TableParagraph"/>
              <w:ind w:left="143"/>
              <w:jc w:val="left"/>
              <w:rPr>
                <w:rFonts w:ascii="Carlito"/>
                <w:sz w:val="16"/>
              </w:rPr>
            </w:pPr>
            <w:r>
              <w:rPr>
                <w:rFonts w:ascii="Carlito"/>
                <w:sz w:val="16"/>
              </w:rPr>
              <w:t>Lomas de Granadilla</w:t>
            </w:r>
          </w:p>
        </w:tc>
        <w:tc>
          <w:tcPr>
            <w:tcW w:w="656" w:type="dxa"/>
            <w:shd w:val="clear" w:color="auto" w:fill="D9D9D9"/>
          </w:tcPr>
          <w:p>
            <w:pPr>
              <w:pStyle w:val="TableParagraph"/>
              <w:ind w:right="130"/>
              <w:rPr>
                <w:rFonts w:ascii="Carlito"/>
                <w:sz w:val="16"/>
              </w:rPr>
            </w:pPr>
            <w:r>
              <w:rPr>
                <w:rFonts w:ascii="Carlito"/>
                <w:sz w:val="16"/>
              </w:rPr>
              <w:t>0</w:t>
            </w:r>
          </w:p>
        </w:tc>
        <w:tc>
          <w:tcPr>
            <w:tcW w:w="1359" w:type="dxa"/>
            <w:shd w:val="clear" w:color="auto" w:fill="D9D9D9"/>
          </w:tcPr>
          <w:p>
            <w:pPr>
              <w:pStyle w:val="TableParagraph"/>
              <w:ind w:left="130"/>
              <w:jc w:val="left"/>
              <w:rPr>
                <w:rFonts w:ascii="Carlito"/>
                <w:sz w:val="16"/>
              </w:rPr>
            </w:pPr>
            <w:r>
              <w:rPr>
                <w:rFonts w:ascii="Carlito"/>
                <w:sz w:val="16"/>
              </w:rPr>
              <w:t>$298,000.00</w:t>
            </w:r>
          </w:p>
        </w:tc>
        <w:tc>
          <w:tcPr>
            <w:tcW w:w="1001" w:type="dxa"/>
            <w:shd w:val="clear" w:color="auto" w:fill="D9D9D9"/>
          </w:tcPr>
          <w:p>
            <w:pPr>
              <w:pStyle w:val="TableParagraph"/>
              <w:ind w:right="343"/>
              <w:rPr>
                <w:rFonts w:ascii="Carlito"/>
                <w:sz w:val="16"/>
              </w:rPr>
            </w:pPr>
            <w:r>
              <w:rPr>
                <w:rFonts w:ascii="Carlito"/>
                <w:sz w:val="16"/>
              </w:rPr>
              <w:t>297</w:t>
            </w:r>
          </w:p>
        </w:tc>
        <w:tc>
          <w:tcPr>
            <w:tcW w:w="1128" w:type="dxa"/>
            <w:shd w:val="clear" w:color="auto" w:fill="D9D9D9"/>
          </w:tcPr>
          <w:p>
            <w:pPr>
              <w:pStyle w:val="TableParagraph"/>
              <w:ind w:left="317" w:right="442"/>
              <w:jc w:val="center"/>
              <w:rPr>
                <w:rFonts w:ascii="Carlito"/>
                <w:sz w:val="16"/>
              </w:rPr>
            </w:pPr>
            <w:r>
              <w:rPr>
                <w:rFonts w:ascii="Carlito"/>
                <w:sz w:val="16"/>
              </w:rPr>
              <w:t>2006</w:t>
            </w:r>
          </w:p>
        </w:tc>
        <w:tc>
          <w:tcPr>
            <w:tcW w:w="783" w:type="dxa"/>
            <w:shd w:val="clear" w:color="auto" w:fill="D9D9D9"/>
          </w:tcPr>
          <w:p>
            <w:pPr>
              <w:pStyle w:val="TableParagraph"/>
              <w:ind w:right="240"/>
              <w:rPr>
                <w:rFonts w:ascii="Carlito"/>
                <w:sz w:val="16"/>
              </w:rPr>
            </w:pPr>
            <w:r>
              <w:rPr>
                <w:rFonts w:ascii="Carlito"/>
                <w:sz w:val="16"/>
              </w:rPr>
              <w:t>4</w:t>
            </w:r>
          </w:p>
        </w:tc>
        <w:tc>
          <w:tcPr>
            <w:tcW w:w="746" w:type="dxa"/>
            <w:shd w:val="clear" w:color="auto" w:fill="D9D9D9"/>
          </w:tcPr>
          <w:p>
            <w:pPr>
              <w:pStyle w:val="TableParagraph"/>
              <w:ind w:right="305"/>
              <w:rPr>
                <w:rFonts w:ascii="Carlito"/>
                <w:sz w:val="16"/>
              </w:rPr>
            </w:pPr>
            <w:r>
              <w:rPr>
                <w:rFonts w:ascii="Carlito"/>
                <w:sz w:val="16"/>
              </w:rPr>
              <w:t>3</w:t>
            </w:r>
          </w:p>
        </w:tc>
        <w:tc>
          <w:tcPr>
            <w:tcW w:w="817" w:type="dxa"/>
            <w:shd w:val="clear" w:color="auto" w:fill="D9D9D9"/>
          </w:tcPr>
          <w:p>
            <w:pPr>
              <w:pStyle w:val="TableParagraph"/>
              <w:ind w:left="295"/>
              <w:jc w:val="left"/>
              <w:rPr>
                <w:rFonts w:ascii="Carlito"/>
                <w:sz w:val="16"/>
              </w:rPr>
            </w:pPr>
            <w:r>
              <w:rPr>
                <w:rFonts w:ascii="Carlito"/>
                <w:sz w:val="16"/>
              </w:rPr>
              <w:t>2</w:t>
            </w:r>
          </w:p>
        </w:tc>
        <w:tc>
          <w:tcPr>
            <w:tcW w:w="1291" w:type="dxa"/>
            <w:shd w:val="clear" w:color="auto" w:fill="D9D9D9"/>
          </w:tcPr>
          <w:p>
            <w:pPr>
              <w:pStyle w:val="TableParagraph"/>
              <w:ind w:right="577"/>
              <w:rPr>
                <w:rFonts w:ascii="Carlito"/>
                <w:sz w:val="16"/>
              </w:rPr>
            </w:pPr>
            <w:r>
              <w:rPr>
                <w:rFonts w:ascii="Carlito"/>
                <w:sz w:val="16"/>
              </w:rPr>
              <w:t>8</w:t>
            </w:r>
          </w:p>
        </w:tc>
        <w:tc>
          <w:tcPr>
            <w:tcW w:w="1141" w:type="dxa"/>
            <w:shd w:val="clear" w:color="auto" w:fill="D9D9D9"/>
          </w:tcPr>
          <w:p>
            <w:pPr>
              <w:pStyle w:val="TableParagraph"/>
              <w:ind w:right="374"/>
              <w:rPr>
                <w:rFonts w:ascii="Carlito"/>
                <w:sz w:val="16"/>
              </w:rPr>
            </w:pPr>
            <w:r>
              <w:rPr>
                <w:rFonts w:ascii="Carlito"/>
                <w:sz w:val="16"/>
              </w:rPr>
              <w:t>6.4</w:t>
            </w:r>
          </w:p>
        </w:tc>
        <w:tc>
          <w:tcPr>
            <w:tcW w:w="827" w:type="dxa"/>
            <w:shd w:val="clear" w:color="auto" w:fill="D9D9D9"/>
          </w:tcPr>
          <w:p>
            <w:pPr>
              <w:pStyle w:val="TableParagraph"/>
              <w:ind w:right="389"/>
              <w:rPr>
                <w:rFonts w:ascii="Carlito"/>
                <w:sz w:val="16"/>
              </w:rPr>
            </w:pPr>
            <w:r>
              <w:rPr>
                <w:rFonts w:ascii="Carlito"/>
                <w:sz w:val="16"/>
              </w:rPr>
              <w:t>0</w:t>
            </w:r>
          </w:p>
        </w:tc>
        <w:tc>
          <w:tcPr>
            <w:tcW w:w="531" w:type="dxa"/>
            <w:shd w:val="clear" w:color="auto" w:fill="D9D9D9"/>
          </w:tcPr>
          <w:p>
            <w:pPr>
              <w:pStyle w:val="TableParagraph"/>
              <w:ind w:right="76"/>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125</w:t>
            </w:r>
          </w:p>
        </w:tc>
        <w:tc>
          <w:tcPr>
            <w:tcW w:w="1938" w:type="dxa"/>
          </w:tcPr>
          <w:p>
            <w:pPr>
              <w:pStyle w:val="TableParagraph"/>
              <w:ind w:left="143"/>
              <w:jc w:val="left"/>
              <w:rPr>
                <w:rFonts w:ascii="Carlito"/>
                <w:sz w:val="16"/>
              </w:rPr>
            </w:pPr>
            <w:r>
              <w:rPr>
                <w:rFonts w:ascii="Carlito"/>
                <w:sz w:val="16"/>
              </w:rPr>
              <w:t>Curridabat</w:t>
            </w:r>
          </w:p>
        </w:tc>
        <w:tc>
          <w:tcPr>
            <w:tcW w:w="656" w:type="dxa"/>
          </w:tcPr>
          <w:p>
            <w:pPr>
              <w:pStyle w:val="TableParagraph"/>
              <w:ind w:right="130"/>
              <w:rPr>
                <w:rFonts w:ascii="Carlito"/>
                <w:sz w:val="16"/>
              </w:rPr>
            </w:pPr>
            <w:r>
              <w:rPr>
                <w:rFonts w:ascii="Carlito"/>
                <w:sz w:val="16"/>
              </w:rPr>
              <w:t>0</w:t>
            </w:r>
          </w:p>
        </w:tc>
        <w:tc>
          <w:tcPr>
            <w:tcW w:w="1359" w:type="dxa"/>
          </w:tcPr>
          <w:p>
            <w:pPr>
              <w:pStyle w:val="TableParagraph"/>
              <w:ind w:left="130"/>
              <w:jc w:val="left"/>
              <w:rPr>
                <w:rFonts w:ascii="Carlito"/>
                <w:sz w:val="16"/>
              </w:rPr>
            </w:pPr>
            <w:r>
              <w:rPr>
                <w:rFonts w:ascii="Carlito"/>
                <w:sz w:val="16"/>
              </w:rPr>
              <w:t>$449,000.00</w:t>
            </w:r>
          </w:p>
        </w:tc>
        <w:tc>
          <w:tcPr>
            <w:tcW w:w="1001" w:type="dxa"/>
          </w:tcPr>
          <w:p>
            <w:pPr>
              <w:pStyle w:val="TableParagraph"/>
              <w:ind w:right="343"/>
              <w:rPr>
                <w:rFonts w:ascii="Carlito"/>
                <w:sz w:val="16"/>
              </w:rPr>
            </w:pPr>
            <w:r>
              <w:rPr>
                <w:rFonts w:ascii="Carlito"/>
                <w:sz w:val="16"/>
              </w:rPr>
              <w:t>389</w:t>
            </w:r>
          </w:p>
        </w:tc>
        <w:tc>
          <w:tcPr>
            <w:tcW w:w="1128" w:type="dxa"/>
          </w:tcPr>
          <w:p>
            <w:pPr>
              <w:pStyle w:val="TableParagraph"/>
              <w:ind w:left="316" w:right="444"/>
              <w:jc w:val="center"/>
              <w:rPr>
                <w:rFonts w:ascii="Carlito"/>
                <w:sz w:val="16"/>
              </w:rPr>
            </w:pPr>
            <w:r>
              <w:rPr>
                <w:rFonts w:ascii="Carlito"/>
                <w:sz w:val="16"/>
              </w:rPr>
              <w:t>2006</w:t>
            </w:r>
          </w:p>
        </w:tc>
        <w:tc>
          <w:tcPr>
            <w:tcW w:w="783" w:type="dxa"/>
          </w:tcPr>
          <w:p>
            <w:pPr>
              <w:pStyle w:val="TableParagraph"/>
              <w:ind w:right="240"/>
              <w:rPr>
                <w:rFonts w:ascii="Carlito"/>
                <w:sz w:val="16"/>
              </w:rPr>
            </w:pPr>
            <w:r>
              <w:rPr>
                <w:rFonts w:ascii="Carlito"/>
                <w:sz w:val="16"/>
              </w:rPr>
              <w:t>4</w:t>
            </w:r>
          </w:p>
        </w:tc>
        <w:tc>
          <w:tcPr>
            <w:tcW w:w="746" w:type="dxa"/>
          </w:tcPr>
          <w:p>
            <w:pPr>
              <w:pStyle w:val="TableParagraph"/>
              <w:ind w:right="310"/>
              <w:rPr>
                <w:rFonts w:ascii="Carlito"/>
                <w:sz w:val="16"/>
              </w:rPr>
            </w:pPr>
            <w:r>
              <w:rPr>
                <w:rFonts w:ascii="Carlito"/>
                <w:sz w:val="16"/>
              </w:rPr>
              <w:t>4.5</w:t>
            </w:r>
          </w:p>
        </w:tc>
        <w:tc>
          <w:tcPr>
            <w:tcW w:w="817" w:type="dxa"/>
          </w:tcPr>
          <w:p>
            <w:pPr>
              <w:pStyle w:val="TableParagraph"/>
              <w:ind w:left="295"/>
              <w:jc w:val="left"/>
              <w:rPr>
                <w:rFonts w:ascii="Carlito"/>
                <w:sz w:val="16"/>
              </w:rPr>
            </w:pPr>
            <w:r>
              <w:rPr>
                <w:rFonts w:ascii="Carlito"/>
                <w:sz w:val="16"/>
              </w:rPr>
              <w:t>2</w:t>
            </w:r>
          </w:p>
        </w:tc>
        <w:tc>
          <w:tcPr>
            <w:tcW w:w="1291" w:type="dxa"/>
          </w:tcPr>
          <w:p>
            <w:pPr>
              <w:pStyle w:val="TableParagraph"/>
              <w:ind w:right="581"/>
              <w:rPr>
                <w:rFonts w:ascii="Carlito"/>
                <w:sz w:val="16"/>
              </w:rPr>
            </w:pPr>
            <w:r>
              <w:rPr>
                <w:rFonts w:ascii="Carlito"/>
                <w:sz w:val="16"/>
              </w:rPr>
              <w:t>5.7</w:t>
            </w:r>
          </w:p>
        </w:tc>
        <w:tc>
          <w:tcPr>
            <w:tcW w:w="1141" w:type="dxa"/>
          </w:tcPr>
          <w:p>
            <w:pPr>
              <w:pStyle w:val="TableParagraph"/>
              <w:ind w:right="374"/>
              <w:rPr>
                <w:rFonts w:ascii="Carlito"/>
                <w:sz w:val="16"/>
              </w:rPr>
            </w:pPr>
            <w:r>
              <w:rPr>
                <w:rFonts w:ascii="Carlito"/>
                <w:sz w:val="16"/>
              </w:rPr>
              <w:t>3.2</w:t>
            </w:r>
          </w:p>
        </w:tc>
        <w:tc>
          <w:tcPr>
            <w:tcW w:w="827" w:type="dxa"/>
          </w:tcPr>
          <w:p>
            <w:pPr>
              <w:pStyle w:val="TableParagraph"/>
              <w:ind w:right="389"/>
              <w:rPr>
                <w:rFonts w:ascii="Carlito"/>
                <w:sz w:val="16"/>
              </w:rPr>
            </w:pPr>
            <w:r>
              <w:rPr>
                <w:rFonts w:ascii="Carlito"/>
                <w:sz w:val="16"/>
              </w:rPr>
              <w:t>0</w:t>
            </w:r>
          </w:p>
        </w:tc>
        <w:tc>
          <w:tcPr>
            <w:tcW w:w="531" w:type="dxa"/>
          </w:tcPr>
          <w:p>
            <w:pPr>
              <w:pStyle w:val="TableParagraph"/>
              <w:ind w:right="76"/>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126</w:t>
            </w:r>
          </w:p>
        </w:tc>
        <w:tc>
          <w:tcPr>
            <w:tcW w:w="1938" w:type="dxa"/>
            <w:shd w:val="clear" w:color="auto" w:fill="D9D9D9"/>
          </w:tcPr>
          <w:p>
            <w:pPr>
              <w:pStyle w:val="TableParagraph"/>
              <w:spacing w:before="92"/>
              <w:ind w:left="143"/>
              <w:jc w:val="left"/>
              <w:rPr>
                <w:rFonts w:ascii="Carlito"/>
                <w:sz w:val="16"/>
              </w:rPr>
            </w:pPr>
            <w:r>
              <w:rPr>
                <w:rFonts w:ascii="Carlito"/>
                <w:sz w:val="16"/>
              </w:rPr>
              <w:t>Lomas de Ayarco Sur</w:t>
            </w:r>
          </w:p>
        </w:tc>
        <w:tc>
          <w:tcPr>
            <w:tcW w:w="656" w:type="dxa"/>
            <w:shd w:val="clear" w:color="auto" w:fill="D9D9D9"/>
          </w:tcPr>
          <w:p>
            <w:pPr>
              <w:pStyle w:val="TableParagraph"/>
              <w:spacing w:before="92"/>
              <w:ind w:right="130"/>
              <w:rPr>
                <w:rFonts w:ascii="Carlito"/>
                <w:sz w:val="16"/>
              </w:rPr>
            </w:pPr>
            <w:r>
              <w:rPr>
                <w:rFonts w:ascii="Carlito"/>
                <w:sz w:val="16"/>
              </w:rPr>
              <w:t>1</w:t>
            </w:r>
          </w:p>
        </w:tc>
        <w:tc>
          <w:tcPr>
            <w:tcW w:w="1359" w:type="dxa"/>
            <w:shd w:val="clear" w:color="auto" w:fill="D9D9D9"/>
          </w:tcPr>
          <w:p>
            <w:pPr>
              <w:pStyle w:val="TableParagraph"/>
              <w:spacing w:before="92"/>
              <w:ind w:left="130"/>
              <w:jc w:val="left"/>
              <w:rPr>
                <w:rFonts w:ascii="Carlito"/>
                <w:sz w:val="16"/>
              </w:rPr>
            </w:pPr>
            <w:r>
              <w:rPr>
                <w:rFonts w:ascii="Carlito"/>
                <w:sz w:val="16"/>
              </w:rPr>
              <w:t>$210,000.00</w:t>
            </w:r>
          </w:p>
        </w:tc>
        <w:tc>
          <w:tcPr>
            <w:tcW w:w="1001" w:type="dxa"/>
            <w:shd w:val="clear" w:color="auto" w:fill="D9D9D9"/>
          </w:tcPr>
          <w:p>
            <w:pPr>
              <w:pStyle w:val="TableParagraph"/>
              <w:spacing w:before="92"/>
              <w:ind w:right="343"/>
              <w:rPr>
                <w:rFonts w:ascii="Carlito"/>
                <w:sz w:val="16"/>
              </w:rPr>
            </w:pPr>
            <w:r>
              <w:rPr>
                <w:rFonts w:ascii="Carlito"/>
                <w:sz w:val="16"/>
              </w:rPr>
              <w:t>300</w:t>
            </w:r>
          </w:p>
        </w:tc>
        <w:tc>
          <w:tcPr>
            <w:tcW w:w="1128" w:type="dxa"/>
            <w:shd w:val="clear" w:color="auto" w:fill="D9D9D9"/>
          </w:tcPr>
          <w:p>
            <w:pPr>
              <w:pStyle w:val="TableParagraph"/>
              <w:spacing w:before="92"/>
              <w:ind w:left="316" w:right="444"/>
              <w:jc w:val="center"/>
              <w:rPr>
                <w:rFonts w:ascii="Carlito"/>
                <w:sz w:val="16"/>
              </w:rPr>
            </w:pPr>
            <w:r>
              <w:rPr>
                <w:rFonts w:ascii="Carlito"/>
                <w:sz w:val="16"/>
              </w:rPr>
              <w:t>2006</w:t>
            </w:r>
          </w:p>
        </w:tc>
        <w:tc>
          <w:tcPr>
            <w:tcW w:w="783" w:type="dxa"/>
            <w:shd w:val="clear" w:color="auto" w:fill="D9D9D9"/>
          </w:tcPr>
          <w:p>
            <w:pPr>
              <w:pStyle w:val="TableParagraph"/>
              <w:spacing w:before="92"/>
              <w:ind w:right="240"/>
              <w:rPr>
                <w:rFonts w:ascii="Carlito"/>
                <w:sz w:val="16"/>
              </w:rPr>
            </w:pPr>
            <w:r>
              <w:rPr>
                <w:rFonts w:ascii="Carlito"/>
                <w:sz w:val="16"/>
              </w:rPr>
              <w:t>3</w:t>
            </w:r>
          </w:p>
        </w:tc>
        <w:tc>
          <w:tcPr>
            <w:tcW w:w="746" w:type="dxa"/>
            <w:shd w:val="clear" w:color="auto" w:fill="D9D9D9"/>
          </w:tcPr>
          <w:p>
            <w:pPr>
              <w:pStyle w:val="TableParagraph"/>
              <w:spacing w:before="92"/>
              <w:ind w:right="310"/>
              <w:rPr>
                <w:rFonts w:ascii="Carlito"/>
                <w:sz w:val="16"/>
              </w:rPr>
            </w:pPr>
            <w:r>
              <w:rPr>
                <w:rFonts w:ascii="Carlito"/>
                <w:sz w:val="16"/>
              </w:rPr>
              <w:t>2.5</w:t>
            </w:r>
          </w:p>
        </w:tc>
        <w:tc>
          <w:tcPr>
            <w:tcW w:w="817" w:type="dxa"/>
            <w:shd w:val="clear" w:color="auto" w:fill="D9D9D9"/>
          </w:tcPr>
          <w:p>
            <w:pPr>
              <w:pStyle w:val="TableParagraph"/>
              <w:spacing w:before="92"/>
              <w:ind w:left="295"/>
              <w:jc w:val="left"/>
              <w:rPr>
                <w:rFonts w:ascii="Carlito"/>
                <w:sz w:val="16"/>
              </w:rPr>
            </w:pPr>
            <w:r>
              <w:rPr>
                <w:rFonts w:ascii="Carlito"/>
                <w:sz w:val="16"/>
              </w:rPr>
              <w:t>3</w:t>
            </w:r>
          </w:p>
        </w:tc>
        <w:tc>
          <w:tcPr>
            <w:tcW w:w="1291" w:type="dxa"/>
            <w:shd w:val="clear" w:color="auto" w:fill="D9D9D9"/>
          </w:tcPr>
          <w:p>
            <w:pPr>
              <w:pStyle w:val="TableParagraph"/>
              <w:spacing w:before="92"/>
              <w:ind w:right="581"/>
              <w:rPr>
                <w:rFonts w:ascii="Carlito"/>
                <w:sz w:val="16"/>
              </w:rPr>
            </w:pPr>
            <w:r>
              <w:rPr>
                <w:rFonts w:ascii="Carlito"/>
                <w:sz w:val="16"/>
              </w:rPr>
              <w:t>8.5</w:t>
            </w:r>
          </w:p>
        </w:tc>
        <w:tc>
          <w:tcPr>
            <w:tcW w:w="1141" w:type="dxa"/>
            <w:shd w:val="clear" w:color="auto" w:fill="D9D9D9"/>
          </w:tcPr>
          <w:p>
            <w:pPr>
              <w:pStyle w:val="TableParagraph"/>
              <w:spacing w:before="92"/>
              <w:ind w:right="374"/>
              <w:rPr>
                <w:rFonts w:ascii="Carlito"/>
                <w:sz w:val="16"/>
              </w:rPr>
            </w:pPr>
            <w:r>
              <w:rPr>
                <w:rFonts w:ascii="Carlito"/>
                <w:sz w:val="16"/>
              </w:rPr>
              <w:t>2.4</w:t>
            </w:r>
          </w:p>
        </w:tc>
        <w:tc>
          <w:tcPr>
            <w:tcW w:w="827" w:type="dxa"/>
            <w:shd w:val="clear" w:color="auto" w:fill="D9D9D9"/>
          </w:tcPr>
          <w:p>
            <w:pPr>
              <w:pStyle w:val="TableParagraph"/>
              <w:spacing w:before="92"/>
              <w:ind w:right="389"/>
              <w:rPr>
                <w:rFonts w:ascii="Carlito"/>
                <w:sz w:val="16"/>
              </w:rPr>
            </w:pPr>
            <w:r>
              <w:rPr>
                <w:rFonts w:ascii="Carlito"/>
                <w:sz w:val="16"/>
              </w:rPr>
              <w:t>0</w:t>
            </w:r>
          </w:p>
        </w:tc>
        <w:tc>
          <w:tcPr>
            <w:tcW w:w="531" w:type="dxa"/>
            <w:shd w:val="clear" w:color="auto" w:fill="D9D9D9"/>
          </w:tcPr>
          <w:p>
            <w:pPr>
              <w:pStyle w:val="TableParagraph"/>
              <w:spacing w:before="92"/>
              <w:ind w:right="76"/>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127</w:t>
            </w:r>
          </w:p>
        </w:tc>
        <w:tc>
          <w:tcPr>
            <w:tcW w:w="1938" w:type="dxa"/>
          </w:tcPr>
          <w:p>
            <w:pPr>
              <w:pStyle w:val="TableParagraph"/>
              <w:ind w:left="143"/>
              <w:jc w:val="left"/>
              <w:rPr>
                <w:rFonts w:ascii="Carlito"/>
                <w:sz w:val="16"/>
              </w:rPr>
            </w:pPr>
            <w:r>
              <w:rPr>
                <w:rFonts w:ascii="Carlito"/>
                <w:sz w:val="16"/>
              </w:rPr>
              <w:t>Lomas de Ayarco</w:t>
            </w:r>
          </w:p>
        </w:tc>
        <w:tc>
          <w:tcPr>
            <w:tcW w:w="656" w:type="dxa"/>
          </w:tcPr>
          <w:p>
            <w:pPr>
              <w:pStyle w:val="TableParagraph"/>
              <w:ind w:right="130"/>
              <w:rPr>
                <w:rFonts w:ascii="Carlito"/>
                <w:sz w:val="16"/>
              </w:rPr>
            </w:pPr>
            <w:r>
              <w:rPr>
                <w:rFonts w:ascii="Carlito"/>
                <w:sz w:val="16"/>
              </w:rPr>
              <w:t>1</w:t>
            </w:r>
          </w:p>
        </w:tc>
        <w:tc>
          <w:tcPr>
            <w:tcW w:w="1359" w:type="dxa"/>
          </w:tcPr>
          <w:p>
            <w:pPr>
              <w:pStyle w:val="TableParagraph"/>
              <w:ind w:left="130"/>
              <w:jc w:val="left"/>
              <w:rPr>
                <w:rFonts w:ascii="Carlito"/>
                <w:sz w:val="16"/>
              </w:rPr>
            </w:pPr>
            <w:r>
              <w:rPr>
                <w:rFonts w:ascii="Carlito"/>
                <w:sz w:val="16"/>
              </w:rPr>
              <w:t>$500,000.00</w:t>
            </w:r>
          </w:p>
        </w:tc>
        <w:tc>
          <w:tcPr>
            <w:tcW w:w="1001" w:type="dxa"/>
          </w:tcPr>
          <w:p>
            <w:pPr>
              <w:pStyle w:val="TableParagraph"/>
              <w:ind w:right="343"/>
              <w:rPr>
                <w:rFonts w:ascii="Carlito"/>
                <w:sz w:val="16"/>
              </w:rPr>
            </w:pPr>
            <w:r>
              <w:rPr>
                <w:rFonts w:ascii="Carlito"/>
                <w:sz w:val="16"/>
              </w:rPr>
              <w:t>328</w:t>
            </w:r>
          </w:p>
        </w:tc>
        <w:tc>
          <w:tcPr>
            <w:tcW w:w="1128" w:type="dxa"/>
          </w:tcPr>
          <w:p>
            <w:pPr>
              <w:pStyle w:val="TableParagraph"/>
              <w:ind w:left="316" w:right="444"/>
              <w:jc w:val="center"/>
              <w:rPr>
                <w:rFonts w:ascii="Carlito"/>
                <w:sz w:val="16"/>
              </w:rPr>
            </w:pPr>
            <w:r>
              <w:rPr>
                <w:rFonts w:ascii="Carlito"/>
                <w:sz w:val="16"/>
              </w:rPr>
              <w:t>1995</w:t>
            </w:r>
          </w:p>
        </w:tc>
        <w:tc>
          <w:tcPr>
            <w:tcW w:w="783" w:type="dxa"/>
          </w:tcPr>
          <w:p>
            <w:pPr>
              <w:pStyle w:val="TableParagraph"/>
              <w:ind w:right="240"/>
              <w:rPr>
                <w:rFonts w:ascii="Carlito"/>
                <w:sz w:val="16"/>
              </w:rPr>
            </w:pPr>
            <w:r>
              <w:rPr>
                <w:rFonts w:ascii="Carlito"/>
                <w:sz w:val="16"/>
              </w:rPr>
              <w:t>4</w:t>
            </w:r>
          </w:p>
        </w:tc>
        <w:tc>
          <w:tcPr>
            <w:tcW w:w="746" w:type="dxa"/>
          </w:tcPr>
          <w:p>
            <w:pPr>
              <w:pStyle w:val="TableParagraph"/>
              <w:ind w:right="310"/>
              <w:rPr>
                <w:rFonts w:ascii="Carlito"/>
                <w:sz w:val="16"/>
              </w:rPr>
            </w:pPr>
            <w:r>
              <w:rPr>
                <w:rFonts w:ascii="Carlito"/>
                <w:sz w:val="16"/>
              </w:rPr>
              <w:t>3.5</w:t>
            </w:r>
          </w:p>
        </w:tc>
        <w:tc>
          <w:tcPr>
            <w:tcW w:w="817" w:type="dxa"/>
          </w:tcPr>
          <w:p>
            <w:pPr>
              <w:pStyle w:val="TableParagraph"/>
              <w:ind w:left="295"/>
              <w:jc w:val="left"/>
              <w:rPr>
                <w:rFonts w:ascii="Carlito"/>
                <w:sz w:val="16"/>
              </w:rPr>
            </w:pPr>
            <w:r>
              <w:rPr>
                <w:rFonts w:ascii="Carlito"/>
                <w:sz w:val="16"/>
              </w:rPr>
              <w:t>1</w:t>
            </w:r>
          </w:p>
        </w:tc>
        <w:tc>
          <w:tcPr>
            <w:tcW w:w="1291" w:type="dxa"/>
          </w:tcPr>
          <w:p>
            <w:pPr>
              <w:pStyle w:val="TableParagraph"/>
              <w:ind w:right="581"/>
              <w:rPr>
                <w:rFonts w:ascii="Carlito"/>
                <w:sz w:val="16"/>
              </w:rPr>
            </w:pPr>
            <w:r>
              <w:rPr>
                <w:rFonts w:ascii="Carlito"/>
                <w:sz w:val="16"/>
              </w:rPr>
              <w:t>8.55</w:t>
            </w:r>
          </w:p>
        </w:tc>
        <w:tc>
          <w:tcPr>
            <w:tcW w:w="1141" w:type="dxa"/>
          </w:tcPr>
          <w:p>
            <w:pPr>
              <w:pStyle w:val="TableParagraph"/>
              <w:ind w:right="374"/>
              <w:rPr>
                <w:rFonts w:ascii="Carlito"/>
                <w:sz w:val="16"/>
              </w:rPr>
            </w:pPr>
            <w:r>
              <w:rPr>
                <w:rFonts w:ascii="Carlito"/>
                <w:sz w:val="16"/>
              </w:rPr>
              <w:t>2.9</w:t>
            </w:r>
          </w:p>
        </w:tc>
        <w:tc>
          <w:tcPr>
            <w:tcW w:w="827" w:type="dxa"/>
          </w:tcPr>
          <w:p>
            <w:pPr>
              <w:pStyle w:val="TableParagraph"/>
              <w:ind w:right="389"/>
              <w:rPr>
                <w:rFonts w:ascii="Carlito"/>
                <w:sz w:val="16"/>
              </w:rPr>
            </w:pPr>
            <w:r>
              <w:rPr>
                <w:rFonts w:ascii="Carlito"/>
                <w:sz w:val="16"/>
              </w:rPr>
              <w:t>0</w:t>
            </w:r>
          </w:p>
        </w:tc>
        <w:tc>
          <w:tcPr>
            <w:tcW w:w="531" w:type="dxa"/>
          </w:tcPr>
          <w:p>
            <w:pPr>
              <w:pStyle w:val="TableParagraph"/>
              <w:ind w:right="7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128</w:t>
            </w:r>
          </w:p>
        </w:tc>
        <w:tc>
          <w:tcPr>
            <w:tcW w:w="1938" w:type="dxa"/>
            <w:shd w:val="clear" w:color="auto" w:fill="D9D9D9"/>
          </w:tcPr>
          <w:p>
            <w:pPr>
              <w:pStyle w:val="TableParagraph"/>
              <w:ind w:left="143"/>
              <w:jc w:val="left"/>
              <w:rPr>
                <w:rFonts w:ascii="Carlito"/>
                <w:sz w:val="16"/>
              </w:rPr>
            </w:pPr>
            <w:r>
              <w:rPr>
                <w:rFonts w:ascii="Carlito"/>
                <w:sz w:val="16"/>
              </w:rPr>
              <w:t>Altamonte</w:t>
            </w:r>
          </w:p>
        </w:tc>
        <w:tc>
          <w:tcPr>
            <w:tcW w:w="656" w:type="dxa"/>
            <w:shd w:val="clear" w:color="auto" w:fill="D9D9D9"/>
          </w:tcPr>
          <w:p>
            <w:pPr>
              <w:pStyle w:val="TableParagraph"/>
              <w:ind w:right="130"/>
              <w:rPr>
                <w:rFonts w:ascii="Carlito"/>
                <w:sz w:val="16"/>
              </w:rPr>
            </w:pPr>
            <w:r>
              <w:rPr>
                <w:rFonts w:ascii="Carlito"/>
                <w:sz w:val="16"/>
              </w:rPr>
              <w:t>0</w:t>
            </w:r>
          </w:p>
        </w:tc>
        <w:tc>
          <w:tcPr>
            <w:tcW w:w="1359" w:type="dxa"/>
            <w:shd w:val="clear" w:color="auto" w:fill="D9D9D9"/>
          </w:tcPr>
          <w:p>
            <w:pPr>
              <w:pStyle w:val="TableParagraph"/>
              <w:ind w:left="130"/>
              <w:jc w:val="left"/>
              <w:rPr>
                <w:rFonts w:ascii="Carlito"/>
                <w:sz w:val="16"/>
              </w:rPr>
            </w:pPr>
            <w:r>
              <w:rPr>
                <w:rFonts w:ascii="Carlito"/>
                <w:sz w:val="16"/>
              </w:rPr>
              <w:t>$720,000.00</w:t>
            </w:r>
          </w:p>
        </w:tc>
        <w:tc>
          <w:tcPr>
            <w:tcW w:w="1001" w:type="dxa"/>
            <w:shd w:val="clear" w:color="auto" w:fill="D9D9D9"/>
          </w:tcPr>
          <w:p>
            <w:pPr>
              <w:pStyle w:val="TableParagraph"/>
              <w:ind w:right="343"/>
              <w:rPr>
                <w:rFonts w:ascii="Carlito"/>
                <w:sz w:val="16"/>
              </w:rPr>
            </w:pPr>
            <w:r>
              <w:rPr>
                <w:rFonts w:ascii="Carlito"/>
                <w:sz w:val="16"/>
              </w:rPr>
              <w:t>400</w:t>
            </w:r>
          </w:p>
        </w:tc>
        <w:tc>
          <w:tcPr>
            <w:tcW w:w="1128" w:type="dxa"/>
            <w:shd w:val="clear" w:color="auto" w:fill="D9D9D9"/>
          </w:tcPr>
          <w:p>
            <w:pPr>
              <w:pStyle w:val="TableParagraph"/>
              <w:ind w:left="316" w:right="444"/>
              <w:jc w:val="center"/>
              <w:rPr>
                <w:rFonts w:ascii="Carlito"/>
                <w:sz w:val="16"/>
              </w:rPr>
            </w:pPr>
            <w:r>
              <w:rPr>
                <w:rFonts w:ascii="Carlito"/>
                <w:sz w:val="16"/>
              </w:rPr>
              <w:t>2006</w:t>
            </w:r>
          </w:p>
        </w:tc>
        <w:tc>
          <w:tcPr>
            <w:tcW w:w="783" w:type="dxa"/>
            <w:shd w:val="clear" w:color="auto" w:fill="D9D9D9"/>
          </w:tcPr>
          <w:p>
            <w:pPr>
              <w:pStyle w:val="TableParagraph"/>
              <w:ind w:right="240"/>
              <w:rPr>
                <w:rFonts w:ascii="Carlito"/>
                <w:sz w:val="16"/>
              </w:rPr>
            </w:pPr>
            <w:r>
              <w:rPr>
                <w:rFonts w:ascii="Carlito"/>
                <w:sz w:val="16"/>
              </w:rPr>
              <w:t>3</w:t>
            </w:r>
          </w:p>
        </w:tc>
        <w:tc>
          <w:tcPr>
            <w:tcW w:w="746" w:type="dxa"/>
            <w:shd w:val="clear" w:color="auto" w:fill="D9D9D9"/>
          </w:tcPr>
          <w:p>
            <w:pPr>
              <w:pStyle w:val="TableParagraph"/>
              <w:ind w:right="310"/>
              <w:rPr>
                <w:rFonts w:ascii="Carlito"/>
                <w:sz w:val="16"/>
              </w:rPr>
            </w:pPr>
            <w:r>
              <w:rPr>
                <w:rFonts w:ascii="Carlito"/>
                <w:sz w:val="16"/>
              </w:rPr>
              <w:t>3.5</w:t>
            </w:r>
          </w:p>
        </w:tc>
        <w:tc>
          <w:tcPr>
            <w:tcW w:w="817" w:type="dxa"/>
            <w:shd w:val="clear" w:color="auto" w:fill="D9D9D9"/>
          </w:tcPr>
          <w:p>
            <w:pPr>
              <w:pStyle w:val="TableParagraph"/>
              <w:ind w:left="295"/>
              <w:jc w:val="left"/>
              <w:rPr>
                <w:rFonts w:ascii="Carlito"/>
                <w:sz w:val="16"/>
              </w:rPr>
            </w:pPr>
            <w:r>
              <w:rPr>
                <w:rFonts w:ascii="Carlito"/>
                <w:sz w:val="16"/>
              </w:rPr>
              <w:t>1</w:t>
            </w:r>
          </w:p>
        </w:tc>
        <w:tc>
          <w:tcPr>
            <w:tcW w:w="1291" w:type="dxa"/>
            <w:shd w:val="clear" w:color="auto" w:fill="D9D9D9"/>
          </w:tcPr>
          <w:p>
            <w:pPr>
              <w:pStyle w:val="TableParagraph"/>
              <w:ind w:right="581"/>
              <w:rPr>
                <w:rFonts w:ascii="Carlito"/>
                <w:sz w:val="16"/>
              </w:rPr>
            </w:pPr>
            <w:r>
              <w:rPr>
                <w:rFonts w:ascii="Carlito"/>
                <w:sz w:val="16"/>
              </w:rPr>
              <w:t>6.6</w:t>
            </w:r>
          </w:p>
        </w:tc>
        <w:tc>
          <w:tcPr>
            <w:tcW w:w="1141" w:type="dxa"/>
            <w:shd w:val="clear" w:color="auto" w:fill="D9D9D9"/>
          </w:tcPr>
          <w:p>
            <w:pPr>
              <w:pStyle w:val="TableParagraph"/>
              <w:ind w:right="374"/>
              <w:rPr>
                <w:rFonts w:ascii="Carlito"/>
                <w:sz w:val="16"/>
              </w:rPr>
            </w:pPr>
            <w:r>
              <w:rPr>
                <w:rFonts w:ascii="Carlito"/>
                <w:sz w:val="16"/>
              </w:rPr>
              <w:t>5.8</w:t>
            </w:r>
          </w:p>
        </w:tc>
        <w:tc>
          <w:tcPr>
            <w:tcW w:w="827" w:type="dxa"/>
            <w:shd w:val="clear" w:color="auto" w:fill="D9D9D9"/>
          </w:tcPr>
          <w:p>
            <w:pPr>
              <w:pStyle w:val="TableParagraph"/>
              <w:ind w:right="389"/>
              <w:rPr>
                <w:rFonts w:ascii="Carlito"/>
                <w:sz w:val="16"/>
              </w:rPr>
            </w:pPr>
            <w:r>
              <w:rPr>
                <w:rFonts w:ascii="Carlito"/>
                <w:sz w:val="16"/>
              </w:rPr>
              <w:t>0</w:t>
            </w:r>
          </w:p>
        </w:tc>
        <w:tc>
          <w:tcPr>
            <w:tcW w:w="531" w:type="dxa"/>
            <w:shd w:val="clear" w:color="auto" w:fill="D9D9D9"/>
          </w:tcPr>
          <w:p>
            <w:pPr>
              <w:pStyle w:val="TableParagraph"/>
              <w:ind w:right="76"/>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129</w:t>
            </w:r>
          </w:p>
        </w:tc>
        <w:tc>
          <w:tcPr>
            <w:tcW w:w="1938" w:type="dxa"/>
          </w:tcPr>
          <w:p>
            <w:pPr>
              <w:pStyle w:val="TableParagraph"/>
              <w:ind w:left="143"/>
              <w:jc w:val="left"/>
              <w:rPr>
                <w:rFonts w:ascii="Carlito"/>
                <w:sz w:val="16"/>
              </w:rPr>
            </w:pPr>
            <w:r>
              <w:rPr>
                <w:rFonts w:ascii="Carlito"/>
                <w:sz w:val="16"/>
              </w:rPr>
              <w:t>Curridabat</w:t>
            </w:r>
          </w:p>
        </w:tc>
        <w:tc>
          <w:tcPr>
            <w:tcW w:w="656" w:type="dxa"/>
          </w:tcPr>
          <w:p>
            <w:pPr>
              <w:pStyle w:val="TableParagraph"/>
              <w:ind w:right="130"/>
              <w:rPr>
                <w:rFonts w:ascii="Carlito"/>
                <w:sz w:val="16"/>
              </w:rPr>
            </w:pPr>
            <w:r>
              <w:rPr>
                <w:rFonts w:ascii="Carlito"/>
                <w:sz w:val="16"/>
              </w:rPr>
              <w:t>0</w:t>
            </w:r>
          </w:p>
        </w:tc>
        <w:tc>
          <w:tcPr>
            <w:tcW w:w="1359" w:type="dxa"/>
          </w:tcPr>
          <w:p>
            <w:pPr>
              <w:pStyle w:val="TableParagraph"/>
              <w:ind w:left="130"/>
              <w:jc w:val="left"/>
              <w:rPr>
                <w:rFonts w:ascii="Carlito"/>
                <w:sz w:val="16"/>
              </w:rPr>
            </w:pPr>
            <w:r>
              <w:rPr>
                <w:rFonts w:ascii="Carlito"/>
                <w:sz w:val="16"/>
              </w:rPr>
              <w:t>$225,000.00</w:t>
            </w:r>
          </w:p>
        </w:tc>
        <w:tc>
          <w:tcPr>
            <w:tcW w:w="1001" w:type="dxa"/>
          </w:tcPr>
          <w:p>
            <w:pPr>
              <w:pStyle w:val="TableParagraph"/>
              <w:ind w:right="343"/>
              <w:rPr>
                <w:rFonts w:ascii="Carlito"/>
                <w:sz w:val="16"/>
              </w:rPr>
            </w:pPr>
            <w:r>
              <w:rPr>
                <w:rFonts w:ascii="Carlito"/>
                <w:sz w:val="16"/>
              </w:rPr>
              <w:t>200</w:t>
            </w:r>
          </w:p>
        </w:tc>
        <w:tc>
          <w:tcPr>
            <w:tcW w:w="1128" w:type="dxa"/>
          </w:tcPr>
          <w:p>
            <w:pPr>
              <w:pStyle w:val="TableParagraph"/>
              <w:ind w:left="316" w:right="444"/>
              <w:jc w:val="center"/>
              <w:rPr>
                <w:rFonts w:ascii="Carlito"/>
                <w:sz w:val="16"/>
              </w:rPr>
            </w:pPr>
            <w:r>
              <w:rPr>
                <w:rFonts w:ascii="Carlito"/>
                <w:sz w:val="16"/>
              </w:rPr>
              <w:t>2006</w:t>
            </w:r>
          </w:p>
        </w:tc>
        <w:tc>
          <w:tcPr>
            <w:tcW w:w="783" w:type="dxa"/>
          </w:tcPr>
          <w:p>
            <w:pPr>
              <w:pStyle w:val="TableParagraph"/>
              <w:ind w:right="240"/>
              <w:rPr>
                <w:rFonts w:ascii="Carlito"/>
                <w:sz w:val="16"/>
              </w:rPr>
            </w:pPr>
            <w:r>
              <w:rPr>
                <w:rFonts w:ascii="Carlito"/>
                <w:sz w:val="16"/>
              </w:rPr>
              <w:t>3</w:t>
            </w:r>
          </w:p>
        </w:tc>
        <w:tc>
          <w:tcPr>
            <w:tcW w:w="746" w:type="dxa"/>
          </w:tcPr>
          <w:p>
            <w:pPr>
              <w:pStyle w:val="TableParagraph"/>
              <w:ind w:right="310"/>
              <w:rPr>
                <w:rFonts w:ascii="Carlito"/>
                <w:sz w:val="16"/>
              </w:rPr>
            </w:pPr>
            <w:r>
              <w:rPr>
                <w:rFonts w:ascii="Carlito"/>
                <w:sz w:val="16"/>
              </w:rPr>
              <w:t>2.5</w:t>
            </w:r>
          </w:p>
        </w:tc>
        <w:tc>
          <w:tcPr>
            <w:tcW w:w="817" w:type="dxa"/>
          </w:tcPr>
          <w:p>
            <w:pPr>
              <w:pStyle w:val="TableParagraph"/>
              <w:ind w:left="295"/>
              <w:jc w:val="left"/>
              <w:rPr>
                <w:rFonts w:ascii="Carlito"/>
                <w:sz w:val="16"/>
              </w:rPr>
            </w:pPr>
            <w:r>
              <w:rPr>
                <w:rFonts w:ascii="Carlito"/>
                <w:sz w:val="16"/>
              </w:rPr>
              <w:t>2</w:t>
            </w:r>
          </w:p>
        </w:tc>
        <w:tc>
          <w:tcPr>
            <w:tcW w:w="1291" w:type="dxa"/>
          </w:tcPr>
          <w:p>
            <w:pPr>
              <w:pStyle w:val="TableParagraph"/>
              <w:ind w:right="581"/>
              <w:rPr>
                <w:rFonts w:ascii="Carlito"/>
                <w:sz w:val="16"/>
              </w:rPr>
            </w:pPr>
            <w:r>
              <w:rPr>
                <w:rFonts w:ascii="Carlito"/>
                <w:sz w:val="16"/>
              </w:rPr>
              <w:t>5.7</w:t>
            </w:r>
          </w:p>
        </w:tc>
        <w:tc>
          <w:tcPr>
            <w:tcW w:w="1141" w:type="dxa"/>
          </w:tcPr>
          <w:p>
            <w:pPr>
              <w:pStyle w:val="TableParagraph"/>
              <w:ind w:right="374"/>
              <w:rPr>
                <w:rFonts w:ascii="Carlito"/>
                <w:sz w:val="16"/>
              </w:rPr>
            </w:pPr>
            <w:r>
              <w:rPr>
                <w:rFonts w:ascii="Carlito"/>
                <w:sz w:val="16"/>
              </w:rPr>
              <w:t>3.2</w:t>
            </w:r>
          </w:p>
        </w:tc>
        <w:tc>
          <w:tcPr>
            <w:tcW w:w="827" w:type="dxa"/>
          </w:tcPr>
          <w:p>
            <w:pPr>
              <w:pStyle w:val="TableParagraph"/>
              <w:ind w:right="389"/>
              <w:rPr>
                <w:rFonts w:ascii="Carlito"/>
                <w:sz w:val="16"/>
              </w:rPr>
            </w:pPr>
            <w:r>
              <w:rPr>
                <w:rFonts w:ascii="Carlito"/>
                <w:sz w:val="16"/>
              </w:rPr>
              <w:t>0</w:t>
            </w:r>
          </w:p>
        </w:tc>
        <w:tc>
          <w:tcPr>
            <w:tcW w:w="531" w:type="dxa"/>
          </w:tcPr>
          <w:p>
            <w:pPr>
              <w:pStyle w:val="TableParagraph"/>
              <w:ind w:right="7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130</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left="130"/>
              <w:jc w:val="left"/>
              <w:rPr>
                <w:rFonts w:ascii="Carlito"/>
                <w:sz w:val="16"/>
              </w:rPr>
            </w:pPr>
            <w:r>
              <w:rPr>
                <w:rFonts w:ascii="Carlito"/>
                <w:sz w:val="16"/>
              </w:rPr>
              <w:t>$560,000.00</w:t>
            </w:r>
          </w:p>
        </w:tc>
        <w:tc>
          <w:tcPr>
            <w:tcW w:w="1001" w:type="dxa"/>
            <w:shd w:val="clear" w:color="auto" w:fill="D9D9D9"/>
          </w:tcPr>
          <w:p>
            <w:pPr>
              <w:pStyle w:val="TableParagraph"/>
              <w:ind w:right="343"/>
              <w:rPr>
                <w:rFonts w:ascii="Carlito"/>
                <w:sz w:val="16"/>
              </w:rPr>
            </w:pPr>
            <w:r>
              <w:rPr>
                <w:rFonts w:ascii="Carlito"/>
                <w:sz w:val="16"/>
              </w:rPr>
              <w:t>343</w:t>
            </w:r>
          </w:p>
        </w:tc>
        <w:tc>
          <w:tcPr>
            <w:tcW w:w="1128" w:type="dxa"/>
            <w:shd w:val="clear" w:color="auto" w:fill="D9D9D9"/>
          </w:tcPr>
          <w:p>
            <w:pPr>
              <w:pStyle w:val="TableParagraph"/>
              <w:ind w:left="316" w:right="444"/>
              <w:jc w:val="center"/>
              <w:rPr>
                <w:rFonts w:ascii="Carlito"/>
                <w:sz w:val="16"/>
              </w:rPr>
            </w:pPr>
            <w:r>
              <w:rPr>
                <w:rFonts w:ascii="Carlito"/>
                <w:sz w:val="16"/>
              </w:rPr>
              <w:t>1990</w:t>
            </w:r>
          </w:p>
        </w:tc>
        <w:tc>
          <w:tcPr>
            <w:tcW w:w="783" w:type="dxa"/>
            <w:shd w:val="clear" w:color="auto" w:fill="D9D9D9"/>
          </w:tcPr>
          <w:p>
            <w:pPr>
              <w:pStyle w:val="TableParagraph"/>
              <w:ind w:right="240"/>
              <w:rPr>
                <w:rFonts w:ascii="Carlito"/>
                <w:sz w:val="16"/>
              </w:rPr>
            </w:pPr>
            <w:r>
              <w:rPr>
                <w:rFonts w:ascii="Carlito"/>
                <w:sz w:val="16"/>
              </w:rPr>
              <w:t>4</w:t>
            </w:r>
          </w:p>
        </w:tc>
        <w:tc>
          <w:tcPr>
            <w:tcW w:w="746" w:type="dxa"/>
            <w:shd w:val="clear" w:color="auto" w:fill="D9D9D9"/>
          </w:tcPr>
          <w:p>
            <w:pPr>
              <w:pStyle w:val="TableParagraph"/>
              <w:ind w:right="310"/>
              <w:rPr>
                <w:rFonts w:ascii="Carlito"/>
                <w:sz w:val="16"/>
              </w:rPr>
            </w:pPr>
            <w:r>
              <w:rPr>
                <w:rFonts w:ascii="Carlito"/>
                <w:sz w:val="16"/>
              </w:rPr>
              <w:t>3.5</w:t>
            </w:r>
          </w:p>
        </w:tc>
        <w:tc>
          <w:tcPr>
            <w:tcW w:w="817" w:type="dxa"/>
            <w:shd w:val="clear" w:color="auto" w:fill="D9D9D9"/>
          </w:tcPr>
          <w:p>
            <w:pPr>
              <w:pStyle w:val="TableParagraph"/>
              <w:ind w:left="295"/>
              <w:jc w:val="left"/>
              <w:rPr>
                <w:rFonts w:ascii="Carlito"/>
                <w:sz w:val="16"/>
              </w:rPr>
            </w:pPr>
            <w:r>
              <w:rPr>
                <w:rFonts w:ascii="Carlito"/>
                <w:sz w:val="16"/>
              </w:rPr>
              <w:t>1</w:t>
            </w:r>
          </w:p>
        </w:tc>
        <w:tc>
          <w:tcPr>
            <w:tcW w:w="1291" w:type="dxa"/>
            <w:shd w:val="clear" w:color="auto" w:fill="D9D9D9"/>
          </w:tcPr>
          <w:p>
            <w:pPr>
              <w:pStyle w:val="TableParagraph"/>
              <w:ind w:right="581"/>
              <w:rPr>
                <w:rFonts w:ascii="Carlito"/>
                <w:sz w:val="16"/>
              </w:rPr>
            </w:pPr>
            <w:r>
              <w:rPr>
                <w:rFonts w:ascii="Carlito"/>
                <w:sz w:val="16"/>
              </w:rPr>
              <w:t>5.7</w:t>
            </w:r>
          </w:p>
        </w:tc>
        <w:tc>
          <w:tcPr>
            <w:tcW w:w="1141" w:type="dxa"/>
            <w:shd w:val="clear" w:color="auto" w:fill="D9D9D9"/>
          </w:tcPr>
          <w:p>
            <w:pPr>
              <w:pStyle w:val="TableParagraph"/>
              <w:ind w:right="374"/>
              <w:rPr>
                <w:rFonts w:ascii="Carlito"/>
                <w:sz w:val="16"/>
              </w:rPr>
            </w:pPr>
            <w:r>
              <w:rPr>
                <w:rFonts w:ascii="Carlito"/>
                <w:sz w:val="16"/>
              </w:rPr>
              <w:t>3.2</w:t>
            </w:r>
          </w:p>
        </w:tc>
        <w:tc>
          <w:tcPr>
            <w:tcW w:w="827" w:type="dxa"/>
            <w:shd w:val="clear" w:color="auto" w:fill="D9D9D9"/>
          </w:tcPr>
          <w:p>
            <w:pPr>
              <w:pStyle w:val="TableParagraph"/>
              <w:ind w:right="389"/>
              <w:rPr>
                <w:rFonts w:ascii="Carlito"/>
                <w:sz w:val="16"/>
              </w:rPr>
            </w:pPr>
            <w:r>
              <w:rPr>
                <w:rFonts w:ascii="Carlito"/>
                <w:sz w:val="16"/>
              </w:rPr>
              <w:t>0</w:t>
            </w:r>
          </w:p>
        </w:tc>
        <w:tc>
          <w:tcPr>
            <w:tcW w:w="531" w:type="dxa"/>
            <w:shd w:val="clear" w:color="auto" w:fill="D9D9D9"/>
          </w:tcPr>
          <w:p>
            <w:pPr>
              <w:pStyle w:val="TableParagraph"/>
              <w:ind w:right="76"/>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131</w:t>
            </w:r>
          </w:p>
        </w:tc>
        <w:tc>
          <w:tcPr>
            <w:tcW w:w="1938" w:type="dxa"/>
          </w:tcPr>
          <w:p>
            <w:pPr>
              <w:pStyle w:val="TableParagraph"/>
              <w:spacing w:before="92"/>
              <w:ind w:left="143"/>
              <w:jc w:val="left"/>
              <w:rPr>
                <w:rFonts w:ascii="Carlito"/>
                <w:sz w:val="16"/>
              </w:rPr>
            </w:pPr>
            <w:r>
              <w:rPr>
                <w:rFonts w:ascii="Carlito"/>
                <w:sz w:val="16"/>
              </w:rPr>
              <w:t>Guayabos</w:t>
            </w:r>
          </w:p>
        </w:tc>
        <w:tc>
          <w:tcPr>
            <w:tcW w:w="656" w:type="dxa"/>
          </w:tcPr>
          <w:p>
            <w:pPr>
              <w:pStyle w:val="TableParagraph"/>
              <w:spacing w:before="92"/>
              <w:ind w:right="130"/>
              <w:rPr>
                <w:rFonts w:ascii="Carlito"/>
                <w:sz w:val="16"/>
              </w:rPr>
            </w:pPr>
            <w:r>
              <w:rPr>
                <w:rFonts w:ascii="Carlito"/>
                <w:sz w:val="16"/>
              </w:rPr>
              <w:t>1</w:t>
            </w:r>
          </w:p>
        </w:tc>
        <w:tc>
          <w:tcPr>
            <w:tcW w:w="1359" w:type="dxa"/>
          </w:tcPr>
          <w:p>
            <w:pPr>
              <w:pStyle w:val="TableParagraph"/>
              <w:spacing w:before="92"/>
              <w:ind w:left="130"/>
              <w:jc w:val="left"/>
              <w:rPr>
                <w:rFonts w:ascii="Carlito"/>
                <w:sz w:val="16"/>
              </w:rPr>
            </w:pPr>
            <w:r>
              <w:rPr>
                <w:rFonts w:ascii="Carlito"/>
                <w:sz w:val="16"/>
              </w:rPr>
              <w:t>$800,000.00</w:t>
            </w:r>
          </w:p>
        </w:tc>
        <w:tc>
          <w:tcPr>
            <w:tcW w:w="1001" w:type="dxa"/>
          </w:tcPr>
          <w:p>
            <w:pPr>
              <w:pStyle w:val="TableParagraph"/>
              <w:spacing w:before="92"/>
              <w:ind w:right="343"/>
              <w:rPr>
                <w:rFonts w:ascii="Carlito"/>
                <w:sz w:val="16"/>
              </w:rPr>
            </w:pPr>
            <w:r>
              <w:rPr>
                <w:rFonts w:ascii="Carlito"/>
                <w:sz w:val="16"/>
              </w:rPr>
              <w:t>500</w:t>
            </w:r>
          </w:p>
        </w:tc>
        <w:tc>
          <w:tcPr>
            <w:tcW w:w="1128" w:type="dxa"/>
          </w:tcPr>
          <w:p>
            <w:pPr>
              <w:pStyle w:val="TableParagraph"/>
              <w:spacing w:before="92"/>
              <w:ind w:left="316" w:right="444"/>
              <w:jc w:val="center"/>
              <w:rPr>
                <w:rFonts w:ascii="Carlito"/>
                <w:sz w:val="16"/>
              </w:rPr>
            </w:pPr>
            <w:r>
              <w:rPr>
                <w:rFonts w:ascii="Carlito"/>
                <w:sz w:val="16"/>
              </w:rPr>
              <w:t>1993</w:t>
            </w:r>
          </w:p>
        </w:tc>
        <w:tc>
          <w:tcPr>
            <w:tcW w:w="783" w:type="dxa"/>
          </w:tcPr>
          <w:p>
            <w:pPr>
              <w:pStyle w:val="TableParagraph"/>
              <w:spacing w:before="92"/>
              <w:ind w:right="240"/>
              <w:rPr>
                <w:rFonts w:ascii="Carlito"/>
                <w:sz w:val="16"/>
              </w:rPr>
            </w:pPr>
            <w:r>
              <w:rPr>
                <w:rFonts w:ascii="Carlito"/>
                <w:sz w:val="16"/>
              </w:rPr>
              <w:t>4</w:t>
            </w:r>
          </w:p>
        </w:tc>
        <w:tc>
          <w:tcPr>
            <w:tcW w:w="746" w:type="dxa"/>
          </w:tcPr>
          <w:p>
            <w:pPr>
              <w:pStyle w:val="TableParagraph"/>
              <w:spacing w:before="92"/>
              <w:ind w:right="305"/>
              <w:rPr>
                <w:rFonts w:ascii="Carlito"/>
                <w:sz w:val="16"/>
              </w:rPr>
            </w:pPr>
            <w:r>
              <w:rPr>
                <w:rFonts w:ascii="Carlito"/>
                <w:sz w:val="16"/>
              </w:rPr>
              <w:t>3</w:t>
            </w:r>
          </w:p>
        </w:tc>
        <w:tc>
          <w:tcPr>
            <w:tcW w:w="817" w:type="dxa"/>
          </w:tcPr>
          <w:p>
            <w:pPr>
              <w:pStyle w:val="TableParagraph"/>
              <w:spacing w:before="92"/>
              <w:ind w:left="295"/>
              <w:jc w:val="left"/>
              <w:rPr>
                <w:rFonts w:ascii="Carlito"/>
                <w:sz w:val="16"/>
              </w:rPr>
            </w:pPr>
            <w:r>
              <w:rPr>
                <w:rFonts w:ascii="Carlito"/>
                <w:sz w:val="16"/>
              </w:rPr>
              <w:t>1</w:t>
            </w:r>
          </w:p>
        </w:tc>
        <w:tc>
          <w:tcPr>
            <w:tcW w:w="1291" w:type="dxa"/>
          </w:tcPr>
          <w:p>
            <w:pPr>
              <w:pStyle w:val="TableParagraph"/>
              <w:spacing w:before="92"/>
              <w:ind w:right="581"/>
              <w:rPr>
                <w:rFonts w:ascii="Carlito"/>
                <w:sz w:val="16"/>
              </w:rPr>
            </w:pPr>
            <w:r>
              <w:rPr>
                <w:rFonts w:ascii="Carlito"/>
                <w:sz w:val="16"/>
              </w:rPr>
              <w:t>7.4</w:t>
            </w:r>
          </w:p>
        </w:tc>
        <w:tc>
          <w:tcPr>
            <w:tcW w:w="1141" w:type="dxa"/>
          </w:tcPr>
          <w:p>
            <w:pPr>
              <w:pStyle w:val="TableParagraph"/>
              <w:spacing w:before="92"/>
              <w:ind w:right="370"/>
              <w:rPr>
                <w:rFonts w:ascii="Carlito"/>
                <w:sz w:val="16"/>
              </w:rPr>
            </w:pPr>
            <w:r>
              <w:rPr>
                <w:rFonts w:ascii="Carlito"/>
                <w:sz w:val="16"/>
              </w:rPr>
              <w:t>5</w:t>
            </w:r>
          </w:p>
        </w:tc>
        <w:tc>
          <w:tcPr>
            <w:tcW w:w="827" w:type="dxa"/>
          </w:tcPr>
          <w:p>
            <w:pPr>
              <w:pStyle w:val="TableParagraph"/>
              <w:spacing w:before="92"/>
              <w:ind w:right="389"/>
              <w:rPr>
                <w:rFonts w:ascii="Carlito"/>
                <w:sz w:val="16"/>
              </w:rPr>
            </w:pPr>
            <w:r>
              <w:rPr>
                <w:rFonts w:ascii="Carlito"/>
                <w:sz w:val="16"/>
              </w:rPr>
              <w:t>0</w:t>
            </w:r>
          </w:p>
        </w:tc>
        <w:tc>
          <w:tcPr>
            <w:tcW w:w="531" w:type="dxa"/>
          </w:tcPr>
          <w:p>
            <w:pPr>
              <w:pStyle w:val="TableParagraph"/>
              <w:spacing w:before="92"/>
              <w:ind w:right="7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132</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656" w:type="dxa"/>
            <w:shd w:val="clear" w:color="auto" w:fill="D9D9D9"/>
          </w:tcPr>
          <w:p>
            <w:pPr>
              <w:pStyle w:val="TableParagraph"/>
              <w:ind w:right="130"/>
              <w:rPr>
                <w:rFonts w:ascii="Carlito"/>
                <w:sz w:val="16"/>
              </w:rPr>
            </w:pPr>
            <w:r>
              <w:rPr>
                <w:rFonts w:ascii="Carlito"/>
                <w:sz w:val="16"/>
              </w:rPr>
              <w:t>0</w:t>
            </w:r>
          </w:p>
        </w:tc>
        <w:tc>
          <w:tcPr>
            <w:tcW w:w="1359" w:type="dxa"/>
            <w:shd w:val="clear" w:color="auto" w:fill="D9D9D9"/>
          </w:tcPr>
          <w:p>
            <w:pPr>
              <w:pStyle w:val="TableParagraph"/>
              <w:ind w:left="130"/>
              <w:jc w:val="left"/>
              <w:rPr>
                <w:rFonts w:ascii="Carlito"/>
                <w:sz w:val="16"/>
              </w:rPr>
            </w:pPr>
            <w:r>
              <w:rPr>
                <w:rFonts w:ascii="Carlito"/>
                <w:sz w:val="16"/>
              </w:rPr>
              <w:t>$340,000.00</w:t>
            </w:r>
          </w:p>
        </w:tc>
        <w:tc>
          <w:tcPr>
            <w:tcW w:w="1001" w:type="dxa"/>
            <w:shd w:val="clear" w:color="auto" w:fill="D9D9D9"/>
          </w:tcPr>
          <w:p>
            <w:pPr>
              <w:pStyle w:val="TableParagraph"/>
              <w:ind w:right="343"/>
              <w:rPr>
                <w:rFonts w:ascii="Carlito"/>
                <w:sz w:val="16"/>
              </w:rPr>
            </w:pPr>
            <w:r>
              <w:rPr>
                <w:rFonts w:ascii="Carlito"/>
                <w:sz w:val="16"/>
              </w:rPr>
              <w:t>300</w:t>
            </w:r>
          </w:p>
        </w:tc>
        <w:tc>
          <w:tcPr>
            <w:tcW w:w="1128" w:type="dxa"/>
            <w:shd w:val="clear" w:color="auto" w:fill="D9D9D9"/>
          </w:tcPr>
          <w:p>
            <w:pPr>
              <w:pStyle w:val="TableParagraph"/>
              <w:ind w:left="316" w:right="444"/>
              <w:jc w:val="center"/>
              <w:rPr>
                <w:rFonts w:ascii="Carlito"/>
                <w:sz w:val="16"/>
              </w:rPr>
            </w:pPr>
            <w:r>
              <w:rPr>
                <w:rFonts w:ascii="Carlito"/>
                <w:sz w:val="16"/>
              </w:rPr>
              <w:t>2010</w:t>
            </w:r>
          </w:p>
        </w:tc>
        <w:tc>
          <w:tcPr>
            <w:tcW w:w="783" w:type="dxa"/>
            <w:shd w:val="clear" w:color="auto" w:fill="D9D9D9"/>
          </w:tcPr>
          <w:p>
            <w:pPr>
              <w:pStyle w:val="TableParagraph"/>
              <w:ind w:right="240"/>
              <w:rPr>
                <w:rFonts w:ascii="Carlito"/>
                <w:sz w:val="16"/>
              </w:rPr>
            </w:pPr>
            <w:r>
              <w:rPr>
                <w:rFonts w:ascii="Carlito"/>
                <w:sz w:val="16"/>
              </w:rPr>
              <w:t>4</w:t>
            </w:r>
          </w:p>
        </w:tc>
        <w:tc>
          <w:tcPr>
            <w:tcW w:w="746" w:type="dxa"/>
            <w:shd w:val="clear" w:color="auto" w:fill="D9D9D9"/>
          </w:tcPr>
          <w:p>
            <w:pPr>
              <w:pStyle w:val="TableParagraph"/>
              <w:ind w:right="310"/>
              <w:rPr>
                <w:rFonts w:ascii="Carlito"/>
                <w:sz w:val="16"/>
              </w:rPr>
            </w:pPr>
            <w:r>
              <w:rPr>
                <w:rFonts w:ascii="Carlito"/>
                <w:sz w:val="16"/>
              </w:rPr>
              <w:t>3.5</w:t>
            </w:r>
          </w:p>
        </w:tc>
        <w:tc>
          <w:tcPr>
            <w:tcW w:w="817" w:type="dxa"/>
            <w:shd w:val="clear" w:color="auto" w:fill="D9D9D9"/>
          </w:tcPr>
          <w:p>
            <w:pPr>
              <w:pStyle w:val="TableParagraph"/>
              <w:ind w:left="295"/>
              <w:jc w:val="left"/>
              <w:rPr>
                <w:rFonts w:ascii="Carlito"/>
                <w:sz w:val="16"/>
              </w:rPr>
            </w:pPr>
            <w:r>
              <w:rPr>
                <w:rFonts w:ascii="Carlito"/>
                <w:sz w:val="16"/>
              </w:rPr>
              <w:t>2</w:t>
            </w:r>
          </w:p>
        </w:tc>
        <w:tc>
          <w:tcPr>
            <w:tcW w:w="1291" w:type="dxa"/>
            <w:shd w:val="clear" w:color="auto" w:fill="D9D9D9"/>
          </w:tcPr>
          <w:p>
            <w:pPr>
              <w:pStyle w:val="TableParagraph"/>
              <w:ind w:right="581"/>
              <w:rPr>
                <w:rFonts w:ascii="Carlito"/>
                <w:sz w:val="16"/>
              </w:rPr>
            </w:pPr>
            <w:r>
              <w:rPr>
                <w:rFonts w:ascii="Carlito"/>
                <w:sz w:val="16"/>
              </w:rPr>
              <w:t>5.7</w:t>
            </w:r>
          </w:p>
        </w:tc>
        <w:tc>
          <w:tcPr>
            <w:tcW w:w="1141" w:type="dxa"/>
            <w:shd w:val="clear" w:color="auto" w:fill="D9D9D9"/>
          </w:tcPr>
          <w:p>
            <w:pPr>
              <w:pStyle w:val="TableParagraph"/>
              <w:ind w:right="374"/>
              <w:rPr>
                <w:rFonts w:ascii="Carlito"/>
                <w:sz w:val="16"/>
              </w:rPr>
            </w:pPr>
            <w:r>
              <w:rPr>
                <w:rFonts w:ascii="Carlito"/>
                <w:sz w:val="16"/>
              </w:rPr>
              <w:t>3.2</w:t>
            </w:r>
          </w:p>
        </w:tc>
        <w:tc>
          <w:tcPr>
            <w:tcW w:w="827" w:type="dxa"/>
            <w:shd w:val="clear" w:color="auto" w:fill="D9D9D9"/>
          </w:tcPr>
          <w:p>
            <w:pPr>
              <w:pStyle w:val="TableParagraph"/>
              <w:ind w:right="389"/>
              <w:rPr>
                <w:rFonts w:ascii="Carlito"/>
                <w:sz w:val="16"/>
              </w:rPr>
            </w:pPr>
            <w:r>
              <w:rPr>
                <w:rFonts w:ascii="Carlito"/>
                <w:sz w:val="16"/>
              </w:rPr>
              <w:t>0</w:t>
            </w:r>
          </w:p>
        </w:tc>
        <w:tc>
          <w:tcPr>
            <w:tcW w:w="531" w:type="dxa"/>
            <w:shd w:val="clear" w:color="auto" w:fill="D9D9D9"/>
          </w:tcPr>
          <w:p>
            <w:pPr>
              <w:pStyle w:val="TableParagraph"/>
              <w:ind w:right="76"/>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133</w:t>
            </w:r>
          </w:p>
        </w:tc>
        <w:tc>
          <w:tcPr>
            <w:tcW w:w="1938" w:type="dxa"/>
          </w:tcPr>
          <w:p>
            <w:pPr>
              <w:pStyle w:val="TableParagraph"/>
              <w:spacing w:before="92"/>
              <w:ind w:left="143"/>
              <w:jc w:val="left"/>
              <w:rPr>
                <w:rFonts w:ascii="Carlito"/>
                <w:sz w:val="16"/>
              </w:rPr>
            </w:pPr>
            <w:r>
              <w:rPr>
                <w:rFonts w:ascii="Carlito"/>
                <w:sz w:val="16"/>
              </w:rPr>
              <w:t>Guayabos</w:t>
            </w:r>
          </w:p>
        </w:tc>
        <w:tc>
          <w:tcPr>
            <w:tcW w:w="656" w:type="dxa"/>
          </w:tcPr>
          <w:p>
            <w:pPr>
              <w:pStyle w:val="TableParagraph"/>
              <w:spacing w:before="92"/>
              <w:ind w:right="130"/>
              <w:rPr>
                <w:rFonts w:ascii="Carlito"/>
                <w:sz w:val="16"/>
              </w:rPr>
            </w:pPr>
            <w:r>
              <w:rPr>
                <w:rFonts w:ascii="Carlito"/>
                <w:sz w:val="16"/>
              </w:rPr>
              <w:t>0</w:t>
            </w:r>
          </w:p>
        </w:tc>
        <w:tc>
          <w:tcPr>
            <w:tcW w:w="1359" w:type="dxa"/>
          </w:tcPr>
          <w:p>
            <w:pPr>
              <w:pStyle w:val="TableParagraph"/>
              <w:spacing w:before="92"/>
              <w:ind w:left="130"/>
              <w:jc w:val="left"/>
              <w:rPr>
                <w:rFonts w:ascii="Carlito"/>
                <w:sz w:val="16"/>
              </w:rPr>
            </w:pPr>
            <w:r>
              <w:rPr>
                <w:rFonts w:ascii="Carlito"/>
                <w:sz w:val="16"/>
              </w:rPr>
              <w:t>$260,000.00</w:t>
            </w:r>
          </w:p>
        </w:tc>
        <w:tc>
          <w:tcPr>
            <w:tcW w:w="1001" w:type="dxa"/>
          </w:tcPr>
          <w:p>
            <w:pPr>
              <w:pStyle w:val="TableParagraph"/>
              <w:spacing w:before="92"/>
              <w:ind w:right="343"/>
              <w:rPr>
                <w:rFonts w:ascii="Carlito"/>
                <w:sz w:val="16"/>
              </w:rPr>
            </w:pPr>
            <w:r>
              <w:rPr>
                <w:rFonts w:ascii="Carlito"/>
                <w:sz w:val="16"/>
              </w:rPr>
              <w:t>180</w:t>
            </w:r>
          </w:p>
        </w:tc>
        <w:tc>
          <w:tcPr>
            <w:tcW w:w="1128" w:type="dxa"/>
          </w:tcPr>
          <w:p>
            <w:pPr>
              <w:pStyle w:val="TableParagraph"/>
              <w:spacing w:before="92"/>
              <w:ind w:left="316" w:right="444"/>
              <w:jc w:val="center"/>
              <w:rPr>
                <w:rFonts w:ascii="Carlito"/>
                <w:sz w:val="16"/>
              </w:rPr>
            </w:pPr>
            <w:r>
              <w:rPr>
                <w:rFonts w:ascii="Carlito"/>
                <w:sz w:val="16"/>
              </w:rPr>
              <w:t>2006</w:t>
            </w:r>
          </w:p>
        </w:tc>
        <w:tc>
          <w:tcPr>
            <w:tcW w:w="783" w:type="dxa"/>
          </w:tcPr>
          <w:p>
            <w:pPr>
              <w:pStyle w:val="TableParagraph"/>
              <w:spacing w:before="92"/>
              <w:ind w:right="240"/>
              <w:rPr>
                <w:rFonts w:ascii="Carlito"/>
                <w:sz w:val="16"/>
              </w:rPr>
            </w:pPr>
            <w:r>
              <w:rPr>
                <w:rFonts w:ascii="Carlito"/>
                <w:sz w:val="16"/>
              </w:rPr>
              <w:t>3</w:t>
            </w:r>
          </w:p>
        </w:tc>
        <w:tc>
          <w:tcPr>
            <w:tcW w:w="746" w:type="dxa"/>
          </w:tcPr>
          <w:p>
            <w:pPr>
              <w:pStyle w:val="TableParagraph"/>
              <w:spacing w:before="92"/>
              <w:ind w:right="305"/>
              <w:rPr>
                <w:rFonts w:ascii="Carlito"/>
                <w:sz w:val="16"/>
              </w:rPr>
            </w:pPr>
            <w:r>
              <w:rPr>
                <w:rFonts w:ascii="Carlito"/>
                <w:sz w:val="16"/>
              </w:rPr>
              <w:t>2</w:t>
            </w:r>
          </w:p>
        </w:tc>
        <w:tc>
          <w:tcPr>
            <w:tcW w:w="817" w:type="dxa"/>
          </w:tcPr>
          <w:p>
            <w:pPr>
              <w:pStyle w:val="TableParagraph"/>
              <w:spacing w:before="92"/>
              <w:ind w:left="295"/>
              <w:jc w:val="left"/>
              <w:rPr>
                <w:rFonts w:ascii="Carlito"/>
                <w:sz w:val="16"/>
              </w:rPr>
            </w:pPr>
            <w:r>
              <w:rPr>
                <w:rFonts w:ascii="Carlito"/>
                <w:sz w:val="16"/>
              </w:rPr>
              <w:t>1</w:t>
            </w:r>
          </w:p>
        </w:tc>
        <w:tc>
          <w:tcPr>
            <w:tcW w:w="1291" w:type="dxa"/>
          </w:tcPr>
          <w:p>
            <w:pPr>
              <w:pStyle w:val="TableParagraph"/>
              <w:spacing w:before="92"/>
              <w:ind w:right="581"/>
              <w:rPr>
                <w:rFonts w:ascii="Carlito"/>
                <w:sz w:val="16"/>
              </w:rPr>
            </w:pPr>
            <w:r>
              <w:rPr>
                <w:rFonts w:ascii="Carlito"/>
                <w:sz w:val="16"/>
              </w:rPr>
              <w:t>7.4</w:t>
            </w:r>
          </w:p>
        </w:tc>
        <w:tc>
          <w:tcPr>
            <w:tcW w:w="1141" w:type="dxa"/>
          </w:tcPr>
          <w:p>
            <w:pPr>
              <w:pStyle w:val="TableParagraph"/>
              <w:spacing w:before="92"/>
              <w:ind w:right="370"/>
              <w:rPr>
                <w:rFonts w:ascii="Carlito"/>
                <w:sz w:val="16"/>
              </w:rPr>
            </w:pPr>
            <w:r>
              <w:rPr>
                <w:rFonts w:ascii="Carlito"/>
                <w:sz w:val="16"/>
              </w:rPr>
              <w:t>5</w:t>
            </w:r>
          </w:p>
        </w:tc>
        <w:tc>
          <w:tcPr>
            <w:tcW w:w="827" w:type="dxa"/>
          </w:tcPr>
          <w:p>
            <w:pPr>
              <w:pStyle w:val="TableParagraph"/>
              <w:spacing w:before="92"/>
              <w:ind w:right="389"/>
              <w:rPr>
                <w:rFonts w:ascii="Carlito"/>
                <w:sz w:val="16"/>
              </w:rPr>
            </w:pPr>
            <w:r>
              <w:rPr>
                <w:rFonts w:ascii="Carlito"/>
                <w:sz w:val="16"/>
              </w:rPr>
              <w:t>0</w:t>
            </w:r>
          </w:p>
        </w:tc>
        <w:tc>
          <w:tcPr>
            <w:tcW w:w="531" w:type="dxa"/>
          </w:tcPr>
          <w:p>
            <w:pPr>
              <w:pStyle w:val="TableParagraph"/>
              <w:spacing w:before="92"/>
              <w:ind w:right="7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134</w:t>
            </w:r>
          </w:p>
        </w:tc>
        <w:tc>
          <w:tcPr>
            <w:tcW w:w="1938" w:type="dxa"/>
            <w:shd w:val="clear" w:color="auto" w:fill="D9D9D9"/>
          </w:tcPr>
          <w:p>
            <w:pPr>
              <w:pStyle w:val="TableParagraph"/>
              <w:ind w:left="143"/>
              <w:jc w:val="left"/>
              <w:rPr>
                <w:rFonts w:ascii="Carlito"/>
                <w:sz w:val="16"/>
              </w:rPr>
            </w:pPr>
            <w:r>
              <w:rPr>
                <w:rFonts w:ascii="Carlito"/>
                <w:sz w:val="16"/>
              </w:rPr>
              <w:t>Lomas de Ayarco</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left="130"/>
              <w:jc w:val="left"/>
              <w:rPr>
                <w:rFonts w:ascii="Carlito"/>
                <w:sz w:val="16"/>
              </w:rPr>
            </w:pPr>
            <w:r>
              <w:rPr>
                <w:rFonts w:ascii="Carlito"/>
                <w:sz w:val="16"/>
              </w:rPr>
              <w:t>$720,000.00</w:t>
            </w:r>
          </w:p>
        </w:tc>
        <w:tc>
          <w:tcPr>
            <w:tcW w:w="1001" w:type="dxa"/>
            <w:shd w:val="clear" w:color="auto" w:fill="D9D9D9"/>
          </w:tcPr>
          <w:p>
            <w:pPr>
              <w:pStyle w:val="TableParagraph"/>
              <w:ind w:right="343"/>
              <w:rPr>
                <w:rFonts w:ascii="Carlito"/>
                <w:sz w:val="16"/>
              </w:rPr>
            </w:pPr>
            <w:r>
              <w:rPr>
                <w:rFonts w:ascii="Carlito"/>
                <w:sz w:val="16"/>
              </w:rPr>
              <w:t>540</w:t>
            </w:r>
          </w:p>
        </w:tc>
        <w:tc>
          <w:tcPr>
            <w:tcW w:w="1128" w:type="dxa"/>
            <w:shd w:val="clear" w:color="auto" w:fill="D9D9D9"/>
          </w:tcPr>
          <w:p>
            <w:pPr>
              <w:pStyle w:val="TableParagraph"/>
              <w:ind w:left="316" w:right="444"/>
              <w:jc w:val="center"/>
              <w:rPr>
                <w:rFonts w:ascii="Carlito"/>
                <w:sz w:val="16"/>
              </w:rPr>
            </w:pPr>
            <w:r>
              <w:rPr>
                <w:rFonts w:ascii="Carlito"/>
                <w:sz w:val="16"/>
              </w:rPr>
              <w:t>1984</w:t>
            </w:r>
          </w:p>
        </w:tc>
        <w:tc>
          <w:tcPr>
            <w:tcW w:w="783" w:type="dxa"/>
            <w:shd w:val="clear" w:color="auto" w:fill="D9D9D9"/>
          </w:tcPr>
          <w:p>
            <w:pPr>
              <w:pStyle w:val="TableParagraph"/>
              <w:ind w:right="240"/>
              <w:rPr>
                <w:rFonts w:ascii="Carlito"/>
                <w:sz w:val="16"/>
              </w:rPr>
            </w:pPr>
            <w:r>
              <w:rPr>
                <w:rFonts w:ascii="Carlito"/>
                <w:sz w:val="16"/>
              </w:rPr>
              <w:t>4</w:t>
            </w:r>
          </w:p>
        </w:tc>
        <w:tc>
          <w:tcPr>
            <w:tcW w:w="746" w:type="dxa"/>
            <w:shd w:val="clear" w:color="auto" w:fill="D9D9D9"/>
          </w:tcPr>
          <w:p>
            <w:pPr>
              <w:pStyle w:val="TableParagraph"/>
              <w:ind w:right="305"/>
              <w:rPr>
                <w:rFonts w:ascii="Carlito"/>
                <w:sz w:val="16"/>
              </w:rPr>
            </w:pPr>
            <w:r>
              <w:rPr>
                <w:rFonts w:ascii="Carlito"/>
                <w:sz w:val="16"/>
              </w:rPr>
              <w:t>5</w:t>
            </w:r>
          </w:p>
        </w:tc>
        <w:tc>
          <w:tcPr>
            <w:tcW w:w="817" w:type="dxa"/>
            <w:shd w:val="clear" w:color="auto" w:fill="D9D9D9"/>
          </w:tcPr>
          <w:p>
            <w:pPr>
              <w:pStyle w:val="TableParagraph"/>
              <w:ind w:left="295"/>
              <w:jc w:val="left"/>
              <w:rPr>
                <w:rFonts w:ascii="Carlito"/>
                <w:sz w:val="16"/>
              </w:rPr>
            </w:pPr>
            <w:r>
              <w:rPr>
                <w:rFonts w:ascii="Carlito"/>
                <w:sz w:val="16"/>
              </w:rPr>
              <w:t>2</w:t>
            </w:r>
          </w:p>
        </w:tc>
        <w:tc>
          <w:tcPr>
            <w:tcW w:w="1291" w:type="dxa"/>
            <w:shd w:val="clear" w:color="auto" w:fill="D9D9D9"/>
          </w:tcPr>
          <w:p>
            <w:pPr>
              <w:pStyle w:val="TableParagraph"/>
              <w:ind w:right="581"/>
              <w:rPr>
                <w:rFonts w:ascii="Carlito"/>
                <w:sz w:val="16"/>
              </w:rPr>
            </w:pPr>
            <w:r>
              <w:rPr>
                <w:rFonts w:ascii="Carlito"/>
                <w:sz w:val="16"/>
              </w:rPr>
              <w:t>8.55</w:t>
            </w:r>
          </w:p>
        </w:tc>
        <w:tc>
          <w:tcPr>
            <w:tcW w:w="1141" w:type="dxa"/>
            <w:shd w:val="clear" w:color="auto" w:fill="D9D9D9"/>
          </w:tcPr>
          <w:p>
            <w:pPr>
              <w:pStyle w:val="TableParagraph"/>
              <w:ind w:right="374"/>
              <w:rPr>
                <w:rFonts w:ascii="Carlito"/>
                <w:sz w:val="16"/>
              </w:rPr>
            </w:pPr>
            <w:r>
              <w:rPr>
                <w:rFonts w:ascii="Carlito"/>
                <w:sz w:val="16"/>
              </w:rPr>
              <w:t>2.9</w:t>
            </w:r>
          </w:p>
        </w:tc>
        <w:tc>
          <w:tcPr>
            <w:tcW w:w="827" w:type="dxa"/>
            <w:shd w:val="clear" w:color="auto" w:fill="D9D9D9"/>
          </w:tcPr>
          <w:p>
            <w:pPr>
              <w:pStyle w:val="TableParagraph"/>
              <w:ind w:right="389"/>
              <w:rPr>
                <w:rFonts w:ascii="Carlito"/>
                <w:sz w:val="16"/>
              </w:rPr>
            </w:pPr>
            <w:r>
              <w:rPr>
                <w:rFonts w:ascii="Carlito"/>
                <w:sz w:val="16"/>
              </w:rPr>
              <w:t>0</w:t>
            </w:r>
          </w:p>
        </w:tc>
        <w:tc>
          <w:tcPr>
            <w:tcW w:w="531" w:type="dxa"/>
            <w:shd w:val="clear" w:color="auto" w:fill="D9D9D9"/>
          </w:tcPr>
          <w:p>
            <w:pPr>
              <w:pStyle w:val="TableParagraph"/>
              <w:ind w:right="76"/>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135</w:t>
            </w:r>
          </w:p>
        </w:tc>
        <w:tc>
          <w:tcPr>
            <w:tcW w:w="1938" w:type="dxa"/>
          </w:tcPr>
          <w:p>
            <w:pPr>
              <w:pStyle w:val="TableParagraph"/>
              <w:spacing w:before="92"/>
              <w:ind w:left="143"/>
              <w:jc w:val="left"/>
              <w:rPr>
                <w:rFonts w:ascii="Carlito"/>
                <w:sz w:val="16"/>
              </w:rPr>
            </w:pPr>
            <w:r>
              <w:rPr>
                <w:rFonts w:ascii="Carlito"/>
                <w:sz w:val="16"/>
              </w:rPr>
              <w:t>Curridabat</w:t>
            </w:r>
          </w:p>
        </w:tc>
        <w:tc>
          <w:tcPr>
            <w:tcW w:w="656" w:type="dxa"/>
          </w:tcPr>
          <w:p>
            <w:pPr>
              <w:pStyle w:val="TableParagraph"/>
              <w:spacing w:before="92"/>
              <w:ind w:right="130"/>
              <w:rPr>
                <w:rFonts w:ascii="Carlito"/>
                <w:sz w:val="16"/>
              </w:rPr>
            </w:pPr>
            <w:r>
              <w:rPr>
                <w:rFonts w:ascii="Carlito"/>
                <w:sz w:val="16"/>
              </w:rPr>
              <w:t>0</w:t>
            </w:r>
          </w:p>
        </w:tc>
        <w:tc>
          <w:tcPr>
            <w:tcW w:w="1359" w:type="dxa"/>
          </w:tcPr>
          <w:p>
            <w:pPr>
              <w:pStyle w:val="TableParagraph"/>
              <w:spacing w:before="92"/>
              <w:ind w:left="130"/>
              <w:jc w:val="left"/>
              <w:rPr>
                <w:rFonts w:ascii="Carlito"/>
                <w:sz w:val="16"/>
              </w:rPr>
            </w:pPr>
            <w:r>
              <w:rPr>
                <w:rFonts w:ascii="Carlito"/>
                <w:sz w:val="16"/>
              </w:rPr>
              <w:t>$525,000.00</w:t>
            </w:r>
          </w:p>
        </w:tc>
        <w:tc>
          <w:tcPr>
            <w:tcW w:w="1001" w:type="dxa"/>
          </w:tcPr>
          <w:p>
            <w:pPr>
              <w:pStyle w:val="TableParagraph"/>
              <w:spacing w:before="92"/>
              <w:ind w:right="343"/>
              <w:rPr>
                <w:rFonts w:ascii="Carlito"/>
                <w:sz w:val="16"/>
              </w:rPr>
            </w:pPr>
            <w:r>
              <w:rPr>
                <w:rFonts w:ascii="Carlito"/>
                <w:sz w:val="16"/>
              </w:rPr>
              <w:t>400</w:t>
            </w:r>
          </w:p>
        </w:tc>
        <w:tc>
          <w:tcPr>
            <w:tcW w:w="1128" w:type="dxa"/>
          </w:tcPr>
          <w:p>
            <w:pPr>
              <w:pStyle w:val="TableParagraph"/>
              <w:spacing w:before="92"/>
              <w:ind w:left="316" w:right="444"/>
              <w:jc w:val="center"/>
              <w:rPr>
                <w:rFonts w:ascii="Carlito"/>
                <w:sz w:val="16"/>
              </w:rPr>
            </w:pPr>
            <w:r>
              <w:rPr>
                <w:rFonts w:ascii="Carlito"/>
                <w:sz w:val="16"/>
              </w:rPr>
              <w:t>2000</w:t>
            </w:r>
          </w:p>
        </w:tc>
        <w:tc>
          <w:tcPr>
            <w:tcW w:w="783" w:type="dxa"/>
          </w:tcPr>
          <w:p>
            <w:pPr>
              <w:pStyle w:val="TableParagraph"/>
              <w:spacing w:before="92"/>
              <w:ind w:right="240"/>
              <w:rPr>
                <w:rFonts w:ascii="Carlito"/>
                <w:sz w:val="16"/>
              </w:rPr>
            </w:pPr>
            <w:r>
              <w:rPr>
                <w:rFonts w:ascii="Carlito"/>
                <w:sz w:val="16"/>
              </w:rPr>
              <w:t>3</w:t>
            </w:r>
          </w:p>
        </w:tc>
        <w:tc>
          <w:tcPr>
            <w:tcW w:w="746" w:type="dxa"/>
          </w:tcPr>
          <w:p>
            <w:pPr>
              <w:pStyle w:val="TableParagraph"/>
              <w:spacing w:before="92"/>
              <w:ind w:right="310"/>
              <w:rPr>
                <w:rFonts w:ascii="Carlito"/>
                <w:sz w:val="16"/>
              </w:rPr>
            </w:pPr>
            <w:r>
              <w:rPr>
                <w:rFonts w:ascii="Carlito"/>
                <w:sz w:val="16"/>
              </w:rPr>
              <w:t>3.5</w:t>
            </w:r>
          </w:p>
        </w:tc>
        <w:tc>
          <w:tcPr>
            <w:tcW w:w="817" w:type="dxa"/>
          </w:tcPr>
          <w:p>
            <w:pPr>
              <w:pStyle w:val="TableParagraph"/>
              <w:spacing w:before="92"/>
              <w:ind w:left="295"/>
              <w:jc w:val="left"/>
              <w:rPr>
                <w:rFonts w:ascii="Carlito"/>
                <w:sz w:val="16"/>
              </w:rPr>
            </w:pPr>
            <w:r>
              <w:rPr>
                <w:rFonts w:ascii="Carlito"/>
                <w:sz w:val="16"/>
              </w:rPr>
              <w:t>2</w:t>
            </w:r>
          </w:p>
        </w:tc>
        <w:tc>
          <w:tcPr>
            <w:tcW w:w="1291" w:type="dxa"/>
          </w:tcPr>
          <w:p>
            <w:pPr>
              <w:pStyle w:val="TableParagraph"/>
              <w:spacing w:before="92"/>
              <w:ind w:right="581"/>
              <w:rPr>
                <w:rFonts w:ascii="Carlito"/>
                <w:sz w:val="16"/>
              </w:rPr>
            </w:pPr>
            <w:r>
              <w:rPr>
                <w:rFonts w:ascii="Carlito"/>
                <w:sz w:val="16"/>
              </w:rPr>
              <w:t>5.7</w:t>
            </w:r>
          </w:p>
        </w:tc>
        <w:tc>
          <w:tcPr>
            <w:tcW w:w="1141" w:type="dxa"/>
          </w:tcPr>
          <w:p>
            <w:pPr>
              <w:pStyle w:val="TableParagraph"/>
              <w:spacing w:before="92"/>
              <w:ind w:right="374"/>
              <w:rPr>
                <w:rFonts w:ascii="Carlito"/>
                <w:sz w:val="16"/>
              </w:rPr>
            </w:pPr>
            <w:r>
              <w:rPr>
                <w:rFonts w:ascii="Carlito"/>
                <w:sz w:val="16"/>
              </w:rPr>
              <w:t>3.2</w:t>
            </w:r>
          </w:p>
        </w:tc>
        <w:tc>
          <w:tcPr>
            <w:tcW w:w="827" w:type="dxa"/>
          </w:tcPr>
          <w:p>
            <w:pPr>
              <w:pStyle w:val="TableParagraph"/>
              <w:spacing w:before="92"/>
              <w:ind w:right="389"/>
              <w:rPr>
                <w:rFonts w:ascii="Carlito"/>
                <w:sz w:val="16"/>
              </w:rPr>
            </w:pPr>
            <w:r>
              <w:rPr>
                <w:rFonts w:ascii="Carlito"/>
                <w:sz w:val="16"/>
              </w:rPr>
              <w:t>0</w:t>
            </w:r>
          </w:p>
        </w:tc>
        <w:tc>
          <w:tcPr>
            <w:tcW w:w="531" w:type="dxa"/>
          </w:tcPr>
          <w:p>
            <w:pPr>
              <w:pStyle w:val="TableParagraph"/>
              <w:spacing w:before="92"/>
              <w:ind w:right="7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136</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656" w:type="dxa"/>
            <w:shd w:val="clear" w:color="auto" w:fill="D9D9D9"/>
          </w:tcPr>
          <w:p>
            <w:pPr>
              <w:pStyle w:val="TableParagraph"/>
              <w:ind w:right="130"/>
              <w:rPr>
                <w:rFonts w:ascii="Carlito"/>
                <w:sz w:val="16"/>
              </w:rPr>
            </w:pPr>
            <w:r>
              <w:rPr>
                <w:rFonts w:ascii="Carlito"/>
                <w:sz w:val="16"/>
              </w:rPr>
              <w:t>0</w:t>
            </w:r>
          </w:p>
        </w:tc>
        <w:tc>
          <w:tcPr>
            <w:tcW w:w="1359" w:type="dxa"/>
            <w:shd w:val="clear" w:color="auto" w:fill="D9D9D9"/>
          </w:tcPr>
          <w:p>
            <w:pPr>
              <w:pStyle w:val="TableParagraph"/>
              <w:ind w:left="130"/>
              <w:jc w:val="left"/>
              <w:rPr>
                <w:rFonts w:ascii="Carlito"/>
                <w:sz w:val="16"/>
              </w:rPr>
            </w:pPr>
            <w:r>
              <w:rPr>
                <w:rFonts w:ascii="Carlito"/>
                <w:sz w:val="16"/>
              </w:rPr>
              <w:t>$175,000.00</w:t>
            </w:r>
          </w:p>
        </w:tc>
        <w:tc>
          <w:tcPr>
            <w:tcW w:w="1001" w:type="dxa"/>
            <w:shd w:val="clear" w:color="auto" w:fill="D9D9D9"/>
          </w:tcPr>
          <w:p>
            <w:pPr>
              <w:pStyle w:val="TableParagraph"/>
              <w:ind w:right="343"/>
              <w:rPr>
                <w:rFonts w:ascii="Carlito"/>
                <w:sz w:val="16"/>
              </w:rPr>
            </w:pPr>
            <w:r>
              <w:rPr>
                <w:rFonts w:ascii="Carlito"/>
                <w:sz w:val="16"/>
              </w:rPr>
              <w:t>140</w:t>
            </w:r>
          </w:p>
        </w:tc>
        <w:tc>
          <w:tcPr>
            <w:tcW w:w="1128" w:type="dxa"/>
            <w:shd w:val="clear" w:color="auto" w:fill="D9D9D9"/>
          </w:tcPr>
          <w:p>
            <w:pPr>
              <w:pStyle w:val="TableParagraph"/>
              <w:ind w:left="316" w:right="444"/>
              <w:jc w:val="center"/>
              <w:rPr>
                <w:rFonts w:ascii="Carlito"/>
                <w:sz w:val="16"/>
              </w:rPr>
            </w:pPr>
            <w:r>
              <w:rPr>
                <w:rFonts w:ascii="Carlito"/>
                <w:sz w:val="16"/>
              </w:rPr>
              <w:t>2015</w:t>
            </w:r>
          </w:p>
        </w:tc>
        <w:tc>
          <w:tcPr>
            <w:tcW w:w="783" w:type="dxa"/>
            <w:shd w:val="clear" w:color="auto" w:fill="D9D9D9"/>
          </w:tcPr>
          <w:p>
            <w:pPr>
              <w:pStyle w:val="TableParagraph"/>
              <w:ind w:right="240"/>
              <w:rPr>
                <w:rFonts w:ascii="Carlito"/>
                <w:sz w:val="16"/>
              </w:rPr>
            </w:pPr>
            <w:r>
              <w:rPr>
                <w:rFonts w:ascii="Carlito"/>
                <w:sz w:val="16"/>
              </w:rPr>
              <w:t>3</w:t>
            </w:r>
          </w:p>
        </w:tc>
        <w:tc>
          <w:tcPr>
            <w:tcW w:w="746" w:type="dxa"/>
            <w:shd w:val="clear" w:color="auto" w:fill="D9D9D9"/>
          </w:tcPr>
          <w:p>
            <w:pPr>
              <w:pStyle w:val="TableParagraph"/>
              <w:ind w:right="310"/>
              <w:rPr>
                <w:rFonts w:ascii="Carlito"/>
                <w:sz w:val="16"/>
              </w:rPr>
            </w:pPr>
            <w:r>
              <w:rPr>
                <w:rFonts w:ascii="Carlito"/>
                <w:sz w:val="16"/>
              </w:rPr>
              <w:t>2.5</w:t>
            </w:r>
          </w:p>
        </w:tc>
        <w:tc>
          <w:tcPr>
            <w:tcW w:w="817" w:type="dxa"/>
            <w:shd w:val="clear" w:color="auto" w:fill="D9D9D9"/>
          </w:tcPr>
          <w:p>
            <w:pPr>
              <w:pStyle w:val="TableParagraph"/>
              <w:ind w:left="295"/>
              <w:jc w:val="left"/>
              <w:rPr>
                <w:rFonts w:ascii="Carlito"/>
                <w:sz w:val="16"/>
              </w:rPr>
            </w:pPr>
            <w:r>
              <w:rPr>
                <w:rFonts w:ascii="Carlito"/>
                <w:sz w:val="16"/>
              </w:rPr>
              <w:t>2</w:t>
            </w:r>
          </w:p>
        </w:tc>
        <w:tc>
          <w:tcPr>
            <w:tcW w:w="1291" w:type="dxa"/>
            <w:shd w:val="clear" w:color="auto" w:fill="D9D9D9"/>
          </w:tcPr>
          <w:p>
            <w:pPr>
              <w:pStyle w:val="TableParagraph"/>
              <w:ind w:right="581"/>
              <w:rPr>
                <w:rFonts w:ascii="Carlito"/>
                <w:sz w:val="16"/>
              </w:rPr>
            </w:pPr>
            <w:r>
              <w:rPr>
                <w:rFonts w:ascii="Carlito"/>
                <w:sz w:val="16"/>
              </w:rPr>
              <w:t>5.7</w:t>
            </w:r>
          </w:p>
        </w:tc>
        <w:tc>
          <w:tcPr>
            <w:tcW w:w="1141" w:type="dxa"/>
            <w:shd w:val="clear" w:color="auto" w:fill="D9D9D9"/>
          </w:tcPr>
          <w:p>
            <w:pPr>
              <w:pStyle w:val="TableParagraph"/>
              <w:ind w:right="374"/>
              <w:rPr>
                <w:rFonts w:ascii="Carlito"/>
                <w:sz w:val="16"/>
              </w:rPr>
            </w:pPr>
            <w:r>
              <w:rPr>
                <w:rFonts w:ascii="Carlito"/>
                <w:sz w:val="16"/>
              </w:rPr>
              <w:t>3.2</w:t>
            </w:r>
          </w:p>
        </w:tc>
        <w:tc>
          <w:tcPr>
            <w:tcW w:w="827" w:type="dxa"/>
            <w:shd w:val="clear" w:color="auto" w:fill="D9D9D9"/>
          </w:tcPr>
          <w:p>
            <w:pPr>
              <w:pStyle w:val="TableParagraph"/>
              <w:ind w:right="389"/>
              <w:rPr>
                <w:rFonts w:ascii="Carlito"/>
                <w:sz w:val="16"/>
              </w:rPr>
            </w:pPr>
            <w:r>
              <w:rPr>
                <w:rFonts w:ascii="Carlito"/>
                <w:sz w:val="16"/>
              </w:rPr>
              <w:t>0</w:t>
            </w:r>
          </w:p>
        </w:tc>
        <w:tc>
          <w:tcPr>
            <w:tcW w:w="531" w:type="dxa"/>
            <w:shd w:val="clear" w:color="auto" w:fill="D9D9D9"/>
          </w:tcPr>
          <w:p>
            <w:pPr>
              <w:pStyle w:val="TableParagraph"/>
              <w:ind w:right="76"/>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137</w:t>
            </w:r>
          </w:p>
        </w:tc>
        <w:tc>
          <w:tcPr>
            <w:tcW w:w="1938" w:type="dxa"/>
          </w:tcPr>
          <w:p>
            <w:pPr>
              <w:pStyle w:val="TableParagraph"/>
              <w:spacing w:before="92"/>
              <w:ind w:left="143"/>
              <w:jc w:val="left"/>
              <w:rPr>
                <w:rFonts w:ascii="Carlito"/>
                <w:sz w:val="16"/>
              </w:rPr>
            </w:pPr>
            <w:r>
              <w:rPr>
                <w:rFonts w:ascii="Carlito"/>
                <w:sz w:val="16"/>
              </w:rPr>
              <w:t>Curridabat</w:t>
            </w:r>
          </w:p>
        </w:tc>
        <w:tc>
          <w:tcPr>
            <w:tcW w:w="656" w:type="dxa"/>
          </w:tcPr>
          <w:p>
            <w:pPr>
              <w:pStyle w:val="TableParagraph"/>
              <w:spacing w:before="92"/>
              <w:ind w:right="130"/>
              <w:rPr>
                <w:rFonts w:ascii="Carlito"/>
                <w:sz w:val="16"/>
              </w:rPr>
            </w:pPr>
            <w:r>
              <w:rPr>
                <w:rFonts w:ascii="Carlito"/>
                <w:sz w:val="16"/>
              </w:rPr>
              <w:t>0</w:t>
            </w:r>
          </w:p>
        </w:tc>
        <w:tc>
          <w:tcPr>
            <w:tcW w:w="1359" w:type="dxa"/>
          </w:tcPr>
          <w:p>
            <w:pPr>
              <w:pStyle w:val="TableParagraph"/>
              <w:spacing w:before="92"/>
              <w:ind w:left="130"/>
              <w:jc w:val="left"/>
              <w:rPr>
                <w:rFonts w:ascii="Carlito"/>
                <w:sz w:val="16"/>
              </w:rPr>
            </w:pPr>
            <w:r>
              <w:rPr>
                <w:rFonts w:ascii="Carlito"/>
                <w:sz w:val="16"/>
              </w:rPr>
              <w:t>$500,000.00</w:t>
            </w:r>
          </w:p>
        </w:tc>
        <w:tc>
          <w:tcPr>
            <w:tcW w:w="1001" w:type="dxa"/>
          </w:tcPr>
          <w:p>
            <w:pPr>
              <w:pStyle w:val="TableParagraph"/>
              <w:spacing w:before="92"/>
              <w:ind w:right="343"/>
              <w:rPr>
                <w:rFonts w:ascii="Carlito"/>
                <w:sz w:val="16"/>
              </w:rPr>
            </w:pPr>
            <w:r>
              <w:rPr>
                <w:rFonts w:ascii="Carlito"/>
                <w:sz w:val="16"/>
              </w:rPr>
              <w:t>300</w:t>
            </w:r>
          </w:p>
        </w:tc>
        <w:tc>
          <w:tcPr>
            <w:tcW w:w="1128" w:type="dxa"/>
          </w:tcPr>
          <w:p>
            <w:pPr>
              <w:pStyle w:val="TableParagraph"/>
              <w:spacing w:before="92"/>
              <w:ind w:left="316" w:right="444"/>
              <w:jc w:val="center"/>
              <w:rPr>
                <w:rFonts w:ascii="Carlito"/>
                <w:sz w:val="16"/>
              </w:rPr>
            </w:pPr>
            <w:r>
              <w:rPr>
                <w:rFonts w:ascii="Carlito"/>
                <w:sz w:val="16"/>
              </w:rPr>
              <w:t>2014</w:t>
            </w:r>
          </w:p>
        </w:tc>
        <w:tc>
          <w:tcPr>
            <w:tcW w:w="783" w:type="dxa"/>
          </w:tcPr>
          <w:p>
            <w:pPr>
              <w:pStyle w:val="TableParagraph"/>
              <w:spacing w:before="92"/>
              <w:ind w:right="240"/>
              <w:rPr>
                <w:rFonts w:ascii="Carlito"/>
                <w:sz w:val="16"/>
              </w:rPr>
            </w:pPr>
            <w:r>
              <w:rPr>
                <w:rFonts w:ascii="Carlito"/>
                <w:sz w:val="16"/>
              </w:rPr>
              <w:t>3</w:t>
            </w:r>
          </w:p>
        </w:tc>
        <w:tc>
          <w:tcPr>
            <w:tcW w:w="746" w:type="dxa"/>
          </w:tcPr>
          <w:p>
            <w:pPr>
              <w:pStyle w:val="TableParagraph"/>
              <w:spacing w:before="92"/>
              <w:ind w:right="310"/>
              <w:rPr>
                <w:rFonts w:ascii="Carlito"/>
                <w:sz w:val="16"/>
              </w:rPr>
            </w:pPr>
            <w:r>
              <w:rPr>
                <w:rFonts w:ascii="Carlito"/>
                <w:sz w:val="16"/>
              </w:rPr>
              <w:t>3.5</w:t>
            </w:r>
          </w:p>
        </w:tc>
        <w:tc>
          <w:tcPr>
            <w:tcW w:w="817" w:type="dxa"/>
          </w:tcPr>
          <w:p>
            <w:pPr>
              <w:pStyle w:val="TableParagraph"/>
              <w:spacing w:before="92"/>
              <w:ind w:left="295"/>
              <w:jc w:val="left"/>
              <w:rPr>
                <w:rFonts w:ascii="Carlito"/>
                <w:sz w:val="16"/>
              </w:rPr>
            </w:pPr>
            <w:r>
              <w:rPr>
                <w:rFonts w:ascii="Carlito"/>
                <w:sz w:val="16"/>
              </w:rPr>
              <w:t>2</w:t>
            </w:r>
          </w:p>
        </w:tc>
        <w:tc>
          <w:tcPr>
            <w:tcW w:w="1291" w:type="dxa"/>
          </w:tcPr>
          <w:p>
            <w:pPr>
              <w:pStyle w:val="TableParagraph"/>
              <w:spacing w:before="92"/>
              <w:ind w:right="581"/>
              <w:rPr>
                <w:rFonts w:ascii="Carlito"/>
                <w:sz w:val="16"/>
              </w:rPr>
            </w:pPr>
            <w:r>
              <w:rPr>
                <w:rFonts w:ascii="Carlito"/>
                <w:sz w:val="16"/>
              </w:rPr>
              <w:t>5.7</w:t>
            </w:r>
          </w:p>
        </w:tc>
        <w:tc>
          <w:tcPr>
            <w:tcW w:w="1141" w:type="dxa"/>
          </w:tcPr>
          <w:p>
            <w:pPr>
              <w:pStyle w:val="TableParagraph"/>
              <w:spacing w:before="92"/>
              <w:ind w:right="374"/>
              <w:rPr>
                <w:rFonts w:ascii="Carlito"/>
                <w:sz w:val="16"/>
              </w:rPr>
            </w:pPr>
            <w:r>
              <w:rPr>
                <w:rFonts w:ascii="Carlito"/>
                <w:sz w:val="16"/>
              </w:rPr>
              <w:t>3.2</w:t>
            </w:r>
          </w:p>
        </w:tc>
        <w:tc>
          <w:tcPr>
            <w:tcW w:w="827" w:type="dxa"/>
          </w:tcPr>
          <w:p>
            <w:pPr>
              <w:pStyle w:val="TableParagraph"/>
              <w:spacing w:before="92"/>
              <w:ind w:right="389"/>
              <w:rPr>
                <w:rFonts w:ascii="Carlito"/>
                <w:sz w:val="16"/>
              </w:rPr>
            </w:pPr>
            <w:r>
              <w:rPr>
                <w:rFonts w:ascii="Carlito"/>
                <w:sz w:val="16"/>
              </w:rPr>
              <w:t>0</w:t>
            </w:r>
          </w:p>
        </w:tc>
        <w:tc>
          <w:tcPr>
            <w:tcW w:w="531" w:type="dxa"/>
          </w:tcPr>
          <w:p>
            <w:pPr>
              <w:pStyle w:val="TableParagraph"/>
              <w:spacing w:before="92"/>
              <w:ind w:right="7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138</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656" w:type="dxa"/>
            <w:shd w:val="clear" w:color="auto" w:fill="D9D9D9"/>
          </w:tcPr>
          <w:p>
            <w:pPr>
              <w:pStyle w:val="TableParagraph"/>
              <w:ind w:right="130"/>
              <w:rPr>
                <w:rFonts w:ascii="Carlito"/>
                <w:sz w:val="16"/>
              </w:rPr>
            </w:pPr>
            <w:r>
              <w:rPr>
                <w:rFonts w:ascii="Carlito"/>
                <w:sz w:val="16"/>
              </w:rPr>
              <w:t>0</w:t>
            </w:r>
          </w:p>
        </w:tc>
        <w:tc>
          <w:tcPr>
            <w:tcW w:w="1359" w:type="dxa"/>
            <w:shd w:val="clear" w:color="auto" w:fill="D9D9D9"/>
          </w:tcPr>
          <w:p>
            <w:pPr>
              <w:pStyle w:val="TableParagraph"/>
              <w:ind w:left="130"/>
              <w:jc w:val="left"/>
              <w:rPr>
                <w:rFonts w:ascii="Carlito"/>
                <w:sz w:val="16"/>
              </w:rPr>
            </w:pPr>
            <w:r>
              <w:rPr>
                <w:rFonts w:ascii="Carlito"/>
                <w:sz w:val="16"/>
              </w:rPr>
              <w:t>$128,000.00</w:t>
            </w:r>
          </w:p>
        </w:tc>
        <w:tc>
          <w:tcPr>
            <w:tcW w:w="1001" w:type="dxa"/>
            <w:shd w:val="clear" w:color="auto" w:fill="D9D9D9"/>
          </w:tcPr>
          <w:p>
            <w:pPr>
              <w:pStyle w:val="TableParagraph"/>
              <w:ind w:right="343"/>
              <w:rPr>
                <w:rFonts w:ascii="Carlito"/>
                <w:sz w:val="16"/>
              </w:rPr>
            </w:pPr>
            <w:r>
              <w:rPr>
                <w:rFonts w:ascii="Carlito"/>
                <w:sz w:val="16"/>
              </w:rPr>
              <w:t>72</w:t>
            </w:r>
          </w:p>
        </w:tc>
        <w:tc>
          <w:tcPr>
            <w:tcW w:w="1128" w:type="dxa"/>
            <w:shd w:val="clear" w:color="auto" w:fill="D9D9D9"/>
          </w:tcPr>
          <w:p>
            <w:pPr>
              <w:pStyle w:val="TableParagraph"/>
              <w:ind w:left="316" w:right="444"/>
              <w:jc w:val="center"/>
              <w:rPr>
                <w:rFonts w:ascii="Carlito"/>
                <w:sz w:val="16"/>
              </w:rPr>
            </w:pPr>
            <w:r>
              <w:rPr>
                <w:rFonts w:ascii="Carlito"/>
                <w:sz w:val="16"/>
              </w:rPr>
              <w:t>2017</w:t>
            </w:r>
          </w:p>
        </w:tc>
        <w:tc>
          <w:tcPr>
            <w:tcW w:w="783" w:type="dxa"/>
            <w:shd w:val="clear" w:color="auto" w:fill="D9D9D9"/>
          </w:tcPr>
          <w:p>
            <w:pPr>
              <w:pStyle w:val="TableParagraph"/>
              <w:ind w:right="240"/>
              <w:rPr>
                <w:rFonts w:ascii="Carlito"/>
                <w:sz w:val="16"/>
              </w:rPr>
            </w:pPr>
            <w:r>
              <w:rPr>
                <w:rFonts w:ascii="Carlito"/>
                <w:sz w:val="16"/>
              </w:rPr>
              <w:t>1</w:t>
            </w:r>
          </w:p>
        </w:tc>
        <w:tc>
          <w:tcPr>
            <w:tcW w:w="746" w:type="dxa"/>
            <w:shd w:val="clear" w:color="auto" w:fill="D9D9D9"/>
          </w:tcPr>
          <w:p>
            <w:pPr>
              <w:pStyle w:val="TableParagraph"/>
              <w:ind w:right="305"/>
              <w:rPr>
                <w:rFonts w:ascii="Carlito"/>
                <w:sz w:val="16"/>
              </w:rPr>
            </w:pPr>
            <w:r>
              <w:rPr>
                <w:rFonts w:ascii="Carlito"/>
                <w:sz w:val="16"/>
              </w:rPr>
              <w:t>1</w:t>
            </w:r>
          </w:p>
        </w:tc>
        <w:tc>
          <w:tcPr>
            <w:tcW w:w="817" w:type="dxa"/>
            <w:shd w:val="clear" w:color="auto" w:fill="D9D9D9"/>
          </w:tcPr>
          <w:p>
            <w:pPr>
              <w:pStyle w:val="TableParagraph"/>
              <w:ind w:left="295"/>
              <w:jc w:val="left"/>
              <w:rPr>
                <w:rFonts w:ascii="Carlito"/>
                <w:sz w:val="16"/>
              </w:rPr>
            </w:pPr>
            <w:r>
              <w:rPr>
                <w:rFonts w:ascii="Carlito"/>
                <w:sz w:val="16"/>
              </w:rPr>
              <w:t>1</w:t>
            </w:r>
          </w:p>
        </w:tc>
        <w:tc>
          <w:tcPr>
            <w:tcW w:w="1291" w:type="dxa"/>
            <w:shd w:val="clear" w:color="auto" w:fill="D9D9D9"/>
          </w:tcPr>
          <w:p>
            <w:pPr>
              <w:pStyle w:val="TableParagraph"/>
              <w:ind w:right="581"/>
              <w:rPr>
                <w:rFonts w:ascii="Carlito"/>
                <w:sz w:val="16"/>
              </w:rPr>
            </w:pPr>
            <w:r>
              <w:rPr>
                <w:rFonts w:ascii="Carlito"/>
                <w:sz w:val="16"/>
              </w:rPr>
              <w:t>5.7</w:t>
            </w:r>
          </w:p>
        </w:tc>
        <w:tc>
          <w:tcPr>
            <w:tcW w:w="1141" w:type="dxa"/>
            <w:shd w:val="clear" w:color="auto" w:fill="D9D9D9"/>
          </w:tcPr>
          <w:p>
            <w:pPr>
              <w:pStyle w:val="TableParagraph"/>
              <w:ind w:right="374"/>
              <w:rPr>
                <w:rFonts w:ascii="Carlito"/>
                <w:sz w:val="16"/>
              </w:rPr>
            </w:pPr>
            <w:r>
              <w:rPr>
                <w:rFonts w:ascii="Carlito"/>
                <w:sz w:val="16"/>
              </w:rPr>
              <w:t>3.2</w:t>
            </w:r>
          </w:p>
        </w:tc>
        <w:tc>
          <w:tcPr>
            <w:tcW w:w="827" w:type="dxa"/>
            <w:shd w:val="clear" w:color="auto" w:fill="D9D9D9"/>
          </w:tcPr>
          <w:p>
            <w:pPr>
              <w:pStyle w:val="TableParagraph"/>
              <w:ind w:right="389"/>
              <w:rPr>
                <w:rFonts w:ascii="Carlito"/>
                <w:sz w:val="16"/>
              </w:rPr>
            </w:pPr>
            <w:r>
              <w:rPr>
                <w:rFonts w:ascii="Carlito"/>
                <w:sz w:val="16"/>
              </w:rPr>
              <w:t>0</w:t>
            </w:r>
          </w:p>
        </w:tc>
        <w:tc>
          <w:tcPr>
            <w:tcW w:w="531" w:type="dxa"/>
            <w:shd w:val="clear" w:color="auto" w:fill="D9D9D9"/>
          </w:tcPr>
          <w:p>
            <w:pPr>
              <w:pStyle w:val="TableParagraph"/>
              <w:ind w:right="76"/>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139</w:t>
            </w:r>
          </w:p>
        </w:tc>
        <w:tc>
          <w:tcPr>
            <w:tcW w:w="1938" w:type="dxa"/>
          </w:tcPr>
          <w:p>
            <w:pPr>
              <w:pStyle w:val="TableParagraph"/>
              <w:ind w:left="143"/>
              <w:jc w:val="left"/>
              <w:rPr>
                <w:rFonts w:ascii="Carlito"/>
                <w:sz w:val="16"/>
              </w:rPr>
            </w:pPr>
            <w:r>
              <w:rPr>
                <w:rFonts w:ascii="Carlito"/>
                <w:sz w:val="16"/>
              </w:rPr>
              <w:t>Curridabat</w:t>
            </w:r>
          </w:p>
        </w:tc>
        <w:tc>
          <w:tcPr>
            <w:tcW w:w="656" w:type="dxa"/>
          </w:tcPr>
          <w:p>
            <w:pPr>
              <w:pStyle w:val="TableParagraph"/>
              <w:ind w:right="130"/>
              <w:rPr>
                <w:rFonts w:ascii="Carlito"/>
                <w:sz w:val="16"/>
              </w:rPr>
            </w:pPr>
            <w:r>
              <w:rPr>
                <w:rFonts w:ascii="Carlito"/>
                <w:sz w:val="16"/>
              </w:rPr>
              <w:t>1</w:t>
            </w:r>
          </w:p>
        </w:tc>
        <w:tc>
          <w:tcPr>
            <w:tcW w:w="1359" w:type="dxa"/>
          </w:tcPr>
          <w:p>
            <w:pPr>
              <w:pStyle w:val="TableParagraph"/>
              <w:ind w:left="130"/>
              <w:jc w:val="left"/>
              <w:rPr>
                <w:rFonts w:ascii="Carlito"/>
                <w:sz w:val="16"/>
              </w:rPr>
            </w:pPr>
            <w:r>
              <w:rPr>
                <w:rFonts w:ascii="Carlito"/>
                <w:sz w:val="16"/>
              </w:rPr>
              <w:t>$675,000.00</w:t>
            </w:r>
          </w:p>
        </w:tc>
        <w:tc>
          <w:tcPr>
            <w:tcW w:w="1001" w:type="dxa"/>
          </w:tcPr>
          <w:p>
            <w:pPr>
              <w:pStyle w:val="TableParagraph"/>
              <w:ind w:right="343"/>
              <w:rPr>
                <w:rFonts w:ascii="Carlito"/>
                <w:sz w:val="16"/>
              </w:rPr>
            </w:pPr>
            <w:r>
              <w:rPr>
                <w:rFonts w:ascii="Carlito"/>
                <w:sz w:val="16"/>
              </w:rPr>
              <w:t>605</w:t>
            </w:r>
          </w:p>
        </w:tc>
        <w:tc>
          <w:tcPr>
            <w:tcW w:w="1128" w:type="dxa"/>
          </w:tcPr>
          <w:p>
            <w:pPr>
              <w:pStyle w:val="TableParagraph"/>
              <w:ind w:left="316" w:right="444"/>
              <w:jc w:val="center"/>
              <w:rPr>
                <w:rFonts w:ascii="Carlito"/>
                <w:sz w:val="16"/>
              </w:rPr>
            </w:pPr>
            <w:r>
              <w:rPr>
                <w:rFonts w:ascii="Carlito"/>
                <w:sz w:val="16"/>
              </w:rPr>
              <w:t>1995</w:t>
            </w:r>
          </w:p>
        </w:tc>
        <w:tc>
          <w:tcPr>
            <w:tcW w:w="783" w:type="dxa"/>
          </w:tcPr>
          <w:p>
            <w:pPr>
              <w:pStyle w:val="TableParagraph"/>
              <w:ind w:right="240"/>
              <w:rPr>
                <w:rFonts w:ascii="Carlito"/>
                <w:sz w:val="16"/>
              </w:rPr>
            </w:pPr>
            <w:r>
              <w:rPr>
                <w:rFonts w:ascii="Carlito"/>
                <w:sz w:val="16"/>
              </w:rPr>
              <w:t>5</w:t>
            </w:r>
          </w:p>
        </w:tc>
        <w:tc>
          <w:tcPr>
            <w:tcW w:w="746" w:type="dxa"/>
          </w:tcPr>
          <w:p>
            <w:pPr>
              <w:pStyle w:val="TableParagraph"/>
              <w:ind w:right="305"/>
              <w:rPr>
                <w:rFonts w:ascii="Carlito"/>
                <w:sz w:val="16"/>
              </w:rPr>
            </w:pPr>
            <w:r>
              <w:rPr>
                <w:rFonts w:ascii="Carlito"/>
                <w:sz w:val="16"/>
              </w:rPr>
              <w:t>5</w:t>
            </w:r>
          </w:p>
        </w:tc>
        <w:tc>
          <w:tcPr>
            <w:tcW w:w="817" w:type="dxa"/>
          </w:tcPr>
          <w:p>
            <w:pPr>
              <w:pStyle w:val="TableParagraph"/>
              <w:ind w:left="295"/>
              <w:jc w:val="left"/>
              <w:rPr>
                <w:rFonts w:ascii="Carlito"/>
                <w:sz w:val="16"/>
              </w:rPr>
            </w:pPr>
            <w:r>
              <w:rPr>
                <w:rFonts w:ascii="Carlito"/>
                <w:sz w:val="16"/>
              </w:rPr>
              <w:t>2</w:t>
            </w:r>
          </w:p>
        </w:tc>
        <w:tc>
          <w:tcPr>
            <w:tcW w:w="1291" w:type="dxa"/>
          </w:tcPr>
          <w:p>
            <w:pPr>
              <w:pStyle w:val="TableParagraph"/>
              <w:ind w:right="581"/>
              <w:rPr>
                <w:rFonts w:ascii="Carlito"/>
                <w:sz w:val="16"/>
              </w:rPr>
            </w:pPr>
            <w:r>
              <w:rPr>
                <w:rFonts w:ascii="Carlito"/>
                <w:sz w:val="16"/>
              </w:rPr>
              <w:t>5.7</w:t>
            </w:r>
          </w:p>
        </w:tc>
        <w:tc>
          <w:tcPr>
            <w:tcW w:w="1141" w:type="dxa"/>
          </w:tcPr>
          <w:p>
            <w:pPr>
              <w:pStyle w:val="TableParagraph"/>
              <w:ind w:right="374"/>
              <w:rPr>
                <w:rFonts w:ascii="Carlito"/>
                <w:sz w:val="16"/>
              </w:rPr>
            </w:pPr>
            <w:r>
              <w:rPr>
                <w:rFonts w:ascii="Carlito"/>
                <w:sz w:val="16"/>
              </w:rPr>
              <w:t>3.2</w:t>
            </w:r>
          </w:p>
        </w:tc>
        <w:tc>
          <w:tcPr>
            <w:tcW w:w="827" w:type="dxa"/>
          </w:tcPr>
          <w:p>
            <w:pPr>
              <w:pStyle w:val="TableParagraph"/>
              <w:ind w:right="389"/>
              <w:rPr>
                <w:rFonts w:ascii="Carlito"/>
                <w:sz w:val="16"/>
              </w:rPr>
            </w:pPr>
            <w:r>
              <w:rPr>
                <w:rFonts w:ascii="Carlito"/>
                <w:sz w:val="16"/>
              </w:rPr>
              <w:t>0</w:t>
            </w:r>
          </w:p>
        </w:tc>
        <w:tc>
          <w:tcPr>
            <w:tcW w:w="531" w:type="dxa"/>
          </w:tcPr>
          <w:p>
            <w:pPr>
              <w:pStyle w:val="TableParagraph"/>
              <w:ind w:right="7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140</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left="130"/>
              <w:jc w:val="left"/>
              <w:rPr>
                <w:rFonts w:ascii="Carlito"/>
                <w:sz w:val="16"/>
              </w:rPr>
            </w:pPr>
            <w:r>
              <w:rPr>
                <w:rFonts w:ascii="Carlito"/>
                <w:sz w:val="16"/>
              </w:rPr>
              <w:t>$330,000.00</w:t>
            </w:r>
          </w:p>
        </w:tc>
        <w:tc>
          <w:tcPr>
            <w:tcW w:w="1001" w:type="dxa"/>
            <w:shd w:val="clear" w:color="auto" w:fill="D9D9D9"/>
          </w:tcPr>
          <w:p>
            <w:pPr>
              <w:pStyle w:val="TableParagraph"/>
              <w:ind w:right="343"/>
              <w:rPr>
                <w:rFonts w:ascii="Carlito"/>
                <w:sz w:val="16"/>
              </w:rPr>
            </w:pPr>
            <w:r>
              <w:rPr>
                <w:rFonts w:ascii="Carlito"/>
                <w:sz w:val="16"/>
              </w:rPr>
              <w:t>350</w:t>
            </w:r>
          </w:p>
        </w:tc>
        <w:tc>
          <w:tcPr>
            <w:tcW w:w="1128" w:type="dxa"/>
            <w:shd w:val="clear" w:color="auto" w:fill="D9D9D9"/>
          </w:tcPr>
          <w:p>
            <w:pPr>
              <w:pStyle w:val="TableParagraph"/>
              <w:ind w:left="316" w:right="444"/>
              <w:jc w:val="center"/>
              <w:rPr>
                <w:rFonts w:ascii="Carlito"/>
                <w:sz w:val="16"/>
              </w:rPr>
            </w:pPr>
            <w:r>
              <w:rPr>
                <w:rFonts w:ascii="Carlito"/>
                <w:sz w:val="16"/>
              </w:rPr>
              <w:t>2006</w:t>
            </w:r>
          </w:p>
        </w:tc>
        <w:tc>
          <w:tcPr>
            <w:tcW w:w="783" w:type="dxa"/>
            <w:shd w:val="clear" w:color="auto" w:fill="D9D9D9"/>
          </w:tcPr>
          <w:p>
            <w:pPr>
              <w:pStyle w:val="TableParagraph"/>
              <w:ind w:right="240"/>
              <w:rPr>
                <w:rFonts w:ascii="Carlito"/>
                <w:sz w:val="16"/>
              </w:rPr>
            </w:pPr>
            <w:r>
              <w:rPr>
                <w:rFonts w:ascii="Carlito"/>
                <w:sz w:val="16"/>
              </w:rPr>
              <w:t>2</w:t>
            </w:r>
          </w:p>
        </w:tc>
        <w:tc>
          <w:tcPr>
            <w:tcW w:w="746" w:type="dxa"/>
            <w:shd w:val="clear" w:color="auto" w:fill="D9D9D9"/>
          </w:tcPr>
          <w:p>
            <w:pPr>
              <w:pStyle w:val="TableParagraph"/>
              <w:ind w:right="310"/>
              <w:rPr>
                <w:rFonts w:ascii="Carlito"/>
                <w:sz w:val="16"/>
              </w:rPr>
            </w:pPr>
            <w:r>
              <w:rPr>
                <w:rFonts w:ascii="Carlito"/>
                <w:sz w:val="16"/>
              </w:rPr>
              <w:t>2.5</w:t>
            </w:r>
          </w:p>
        </w:tc>
        <w:tc>
          <w:tcPr>
            <w:tcW w:w="817" w:type="dxa"/>
            <w:shd w:val="clear" w:color="auto" w:fill="D9D9D9"/>
          </w:tcPr>
          <w:p>
            <w:pPr>
              <w:pStyle w:val="TableParagraph"/>
              <w:ind w:left="295"/>
              <w:jc w:val="left"/>
              <w:rPr>
                <w:rFonts w:ascii="Carlito"/>
                <w:sz w:val="16"/>
              </w:rPr>
            </w:pPr>
            <w:r>
              <w:rPr>
                <w:rFonts w:ascii="Carlito"/>
                <w:sz w:val="16"/>
              </w:rPr>
              <w:t>1</w:t>
            </w:r>
          </w:p>
        </w:tc>
        <w:tc>
          <w:tcPr>
            <w:tcW w:w="1291" w:type="dxa"/>
            <w:shd w:val="clear" w:color="auto" w:fill="D9D9D9"/>
          </w:tcPr>
          <w:p>
            <w:pPr>
              <w:pStyle w:val="TableParagraph"/>
              <w:ind w:right="581"/>
              <w:rPr>
                <w:rFonts w:ascii="Carlito"/>
                <w:sz w:val="16"/>
              </w:rPr>
            </w:pPr>
            <w:r>
              <w:rPr>
                <w:rFonts w:ascii="Carlito"/>
                <w:sz w:val="16"/>
              </w:rPr>
              <w:t>5.7</w:t>
            </w:r>
          </w:p>
        </w:tc>
        <w:tc>
          <w:tcPr>
            <w:tcW w:w="1141" w:type="dxa"/>
            <w:shd w:val="clear" w:color="auto" w:fill="D9D9D9"/>
          </w:tcPr>
          <w:p>
            <w:pPr>
              <w:pStyle w:val="TableParagraph"/>
              <w:ind w:right="374"/>
              <w:rPr>
                <w:rFonts w:ascii="Carlito"/>
                <w:sz w:val="16"/>
              </w:rPr>
            </w:pPr>
            <w:r>
              <w:rPr>
                <w:rFonts w:ascii="Carlito"/>
                <w:sz w:val="16"/>
              </w:rPr>
              <w:t>3.2</w:t>
            </w:r>
          </w:p>
        </w:tc>
        <w:tc>
          <w:tcPr>
            <w:tcW w:w="827" w:type="dxa"/>
            <w:shd w:val="clear" w:color="auto" w:fill="D9D9D9"/>
          </w:tcPr>
          <w:p>
            <w:pPr>
              <w:pStyle w:val="TableParagraph"/>
              <w:ind w:right="389"/>
              <w:rPr>
                <w:rFonts w:ascii="Carlito"/>
                <w:sz w:val="16"/>
              </w:rPr>
            </w:pPr>
            <w:r>
              <w:rPr>
                <w:rFonts w:ascii="Carlito"/>
                <w:sz w:val="16"/>
              </w:rPr>
              <w:t>0</w:t>
            </w:r>
          </w:p>
        </w:tc>
        <w:tc>
          <w:tcPr>
            <w:tcW w:w="531" w:type="dxa"/>
            <w:shd w:val="clear" w:color="auto" w:fill="D9D9D9"/>
          </w:tcPr>
          <w:p>
            <w:pPr>
              <w:pStyle w:val="TableParagraph"/>
              <w:ind w:right="76"/>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141</w:t>
            </w:r>
          </w:p>
        </w:tc>
        <w:tc>
          <w:tcPr>
            <w:tcW w:w="1938" w:type="dxa"/>
          </w:tcPr>
          <w:p>
            <w:pPr>
              <w:pStyle w:val="TableParagraph"/>
              <w:ind w:left="143"/>
              <w:jc w:val="left"/>
              <w:rPr>
                <w:rFonts w:ascii="Carlito"/>
                <w:sz w:val="16"/>
              </w:rPr>
            </w:pPr>
            <w:r>
              <w:rPr>
                <w:rFonts w:ascii="Carlito"/>
                <w:sz w:val="16"/>
              </w:rPr>
              <w:t>Altamonte</w:t>
            </w:r>
          </w:p>
        </w:tc>
        <w:tc>
          <w:tcPr>
            <w:tcW w:w="656" w:type="dxa"/>
          </w:tcPr>
          <w:p>
            <w:pPr>
              <w:pStyle w:val="TableParagraph"/>
              <w:ind w:right="130"/>
              <w:rPr>
                <w:rFonts w:ascii="Carlito"/>
                <w:sz w:val="16"/>
              </w:rPr>
            </w:pPr>
            <w:r>
              <w:rPr>
                <w:rFonts w:ascii="Carlito"/>
                <w:sz w:val="16"/>
              </w:rPr>
              <w:t>1</w:t>
            </w:r>
          </w:p>
        </w:tc>
        <w:tc>
          <w:tcPr>
            <w:tcW w:w="1359" w:type="dxa"/>
          </w:tcPr>
          <w:p>
            <w:pPr>
              <w:pStyle w:val="TableParagraph"/>
              <w:ind w:left="130"/>
              <w:jc w:val="left"/>
              <w:rPr>
                <w:rFonts w:ascii="Carlito"/>
                <w:sz w:val="16"/>
              </w:rPr>
            </w:pPr>
            <w:r>
              <w:rPr>
                <w:rFonts w:ascii="Carlito"/>
                <w:sz w:val="16"/>
              </w:rPr>
              <w:t>$390,000.00</w:t>
            </w:r>
          </w:p>
        </w:tc>
        <w:tc>
          <w:tcPr>
            <w:tcW w:w="1001" w:type="dxa"/>
          </w:tcPr>
          <w:p>
            <w:pPr>
              <w:pStyle w:val="TableParagraph"/>
              <w:ind w:right="343"/>
              <w:rPr>
                <w:rFonts w:ascii="Carlito"/>
                <w:sz w:val="16"/>
              </w:rPr>
            </w:pPr>
            <w:r>
              <w:rPr>
                <w:rFonts w:ascii="Carlito"/>
                <w:sz w:val="16"/>
              </w:rPr>
              <w:t>500</w:t>
            </w:r>
          </w:p>
        </w:tc>
        <w:tc>
          <w:tcPr>
            <w:tcW w:w="1128" w:type="dxa"/>
          </w:tcPr>
          <w:p>
            <w:pPr>
              <w:pStyle w:val="TableParagraph"/>
              <w:ind w:left="316" w:right="444"/>
              <w:jc w:val="center"/>
              <w:rPr>
                <w:rFonts w:ascii="Carlito"/>
                <w:sz w:val="16"/>
              </w:rPr>
            </w:pPr>
            <w:r>
              <w:rPr>
                <w:rFonts w:ascii="Carlito"/>
                <w:sz w:val="16"/>
              </w:rPr>
              <w:t>1993</w:t>
            </w:r>
          </w:p>
        </w:tc>
        <w:tc>
          <w:tcPr>
            <w:tcW w:w="783" w:type="dxa"/>
          </w:tcPr>
          <w:p>
            <w:pPr>
              <w:pStyle w:val="TableParagraph"/>
              <w:ind w:right="240"/>
              <w:rPr>
                <w:rFonts w:ascii="Carlito"/>
                <w:sz w:val="16"/>
              </w:rPr>
            </w:pPr>
            <w:r>
              <w:rPr>
                <w:rFonts w:ascii="Carlito"/>
                <w:sz w:val="16"/>
              </w:rPr>
              <w:t>4</w:t>
            </w:r>
          </w:p>
        </w:tc>
        <w:tc>
          <w:tcPr>
            <w:tcW w:w="746" w:type="dxa"/>
          </w:tcPr>
          <w:p>
            <w:pPr>
              <w:pStyle w:val="TableParagraph"/>
              <w:ind w:right="310"/>
              <w:rPr>
                <w:rFonts w:ascii="Carlito"/>
                <w:sz w:val="16"/>
              </w:rPr>
            </w:pPr>
            <w:r>
              <w:rPr>
                <w:rFonts w:ascii="Carlito"/>
                <w:sz w:val="16"/>
              </w:rPr>
              <w:t>4.5</w:t>
            </w:r>
          </w:p>
        </w:tc>
        <w:tc>
          <w:tcPr>
            <w:tcW w:w="817" w:type="dxa"/>
          </w:tcPr>
          <w:p>
            <w:pPr>
              <w:pStyle w:val="TableParagraph"/>
              <w:ind w:left="295"/>
              <w:jc w:val="left"/>
              <w:rPr>
                <w:rFonts w:ascii="Carlito"/>
                <w:sz w:val="16"/>
              </w:rPr>
            </w:pPr>
            <w:r>
              <w:rPr>
                <w:rFonts w:ascii="Carlito"/>
                <w:sz w:val="16"/>
              </w:rPr>
              <w:t>2</w:t>
            </w:r>
          </w:p>
        </w:tc>
        <w:tc>
          <w:tcPr>
            <w:tcW w:w="1291" w:type="dxa"/>
          </w:tcPr>
          <w:p>
            <w:pPr>
              <w:pStyle w:val="TableParagraph"/>
              <w:ind w:right="581"/>
              <w:rPr>
                <w:rFonts w:ascii="Carlito"/>
                <w:sz w:val="16"/>
              </w:rPr>
            </w:pPr>
            <w:r>
              <w:rPr>
                <w:rFonts w:ascii="Carlito"/>
                <w:sz w:val="16"/>
              </w:rPr>
              <w:t>6.6</w:t>
            </w:r>
          </w:p>
        </w:tc>
        <w:tc>
          <w:tcPr>
            <w:tcW w:w="1141" w:type="dxa"/>
          </w:tcPr>
          <w:p>
            <w:pPr>
              <w:pStyle w:val="TableParagraph"/>
              <w:ind w:right="374"/>
              <w:rPr>
                <w:rFonts w:ascii="Carlito"/>
                <w:sz w:val="16"/>
              </w:rPr>
            </w:pPr>
            <w:r>
              <w:rPr>
                <w:rFonts w:ascii="Carlito"/>
                <w:sz w:val="16"/>
              </w:rPr>
              <w:t>5.8</w:t>
            </w:r>
          </w:p>
        </w:tc>
        <w:tc>
          <w:tcPr>
            <w:tcW w:w="827" w:type="dxa"/>
          </w:tcPr>
          <w:p>
            <w:pPr>
              <w:pStyle w:val="TableParagraph"/>
              <w:ind w:right="389"/>
              <w:rPr>
                <w:rFonts w:ascii="Carlito"/>
                <w:sz w:val="16"/>
              </w:rPr>
            </w:pPr>
            <w:r>
              <w:rPr>
                <w:rFonts w:ascii="Carlito"/>
                <w:sz w:val="16"/>
              </w:rPr>
              <w:t>0</w:t>
            </w:r>
          </w:p>
        </w:tc>
        <w:tc>
          <w:tcPr>
            <w:tcW w:w="531" w:type="dxa"/>
          </w:tcPr>
          <w:p>
            <w:pPr>
              <w:pStyle w:val="TableParagraph"/>
              <w:ind w:right="76"/>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142</w:t>
            </w:r>
          </w:p>
        </w:tc>
        <w:tc>
          <w:tcPr>
            <w:tcW w:w="1938" w:type="dxa"/>
            <w:shd w:val="clear" w:color="auto" w:fill="D9D9D9"/>
          </w:tcPr>
          <w:p>
            <w:pPr>
              <w:pStyle w:val="TableParagraph"/>
              <w:spacing w:before="92"/>
              <w:ind w:left="143"/>
              <w:jc w:val="left"/>
              <w:rPr>
                <w:rFonts w:ascii="Carlito"/>
                <w:sz w:val="16"/>
              </w:rPr>
            </w:pPr>
            <w:r>
              <w:rPr>
                <w:rFonts w:ascii="Carlito"/>
                <w:sz w:val="16"/>
              </w:rPr>
              <w:t>Curridabat</w:t>
            </w:r>
          </w:p>
        </w:tc>
        <w:tc>
          <w:tcPr>
            <w:tcW w:w="656" w:type="dxa"/>
            <w:shd w:val="clear" w:color="auto" w:fill="D9D9D9"/>
          </w:tcPr>
          <w:p>
            <w:pPr>
              <w:pStyle w:val="TableParagraph"/>
              <w:spacing w:before="92"/>
              <w:ind w:right="130"/>
              <w:rPr>
                <w:rFonts w:ascii="Carlito"/>
                <w:sz w:val="16"/>
              </w:rPr>
            </w:pPr>
            <w:r>
              <w:rPr>
                <w:rFonts w:ascii="Carlito"/>
                <w:sz w:val="16"/>
              </w:rPr>
              <w:t>0</w:t>
            </w:r>
          </w:p>
        </w:tc>
        <w:tc>
          <w:tcPr>
            <w:tcW w:w="1359" w:type="dxa"/>
            <w:shd w:val="clear" w:color="auto" w:fill="D9D9D9"/>
          </w:tcPr>
          <w:p>
            <w:pPr>
              <w:pStyle w:val="TableParagraph"/>
              <w:spacing w:before="92"/>
              <w:ind w:left="130"/>
              <w:jc w:val="left"/>
              <w:rPr>
                <w:rFonts w:ascii="Carlito"/>
                <w:sz w:val="16"/>
              </w:rPr>
            </w:pPr>
            <w:r>
              <w:rPr>
                <w:rFonts w:ascii="Carlito"/>
                <w:sz w:val="16"/>
              </w:rPr>
              <w:t>$340,000.00</w:t>
            </w:r>
          </w:p>
        </w:tc>
        <w:tc>
          <w:tcPr>
            <w:tcW w:w="1001" w:type="dxa"/>
            <w:shd w:val="clear" w:color="auto" w:fill="D9D9D9"/>
          </w:tcPr>
          <w:p>
            <w:pPr>
              <w:pStyle w:val="TableParagraph"/>
              <w:spacing w:before="92"/>
              <w:ind w:right="343"/>
              <w:rPr>
                <w:rFonts w:ascii="Carlito"/>
                <w:sz w:val="16"/>
              </w:rPr>
            </w:pPr>
            <w:r>
              <w:rPr>
                <w:rFonts w:ascii="Carlito"/>
                <w:sz w:val="16"/>
              </w:rPr>
              <w:t>300</w:t>
            </w:r>
          </w:p>
        </w:tc>
        <w:tc>
          <w:tcPr>
            <w:tcW w:w="1128" w:type="dxa"/>
            <w:shd w:val="clear" w:color="auto" w:fill="D9D9D9"/>
          </w:tcPr>
          <w:p>
            <w:pPr>
              <w:pStyle w:val="TableParagraph"/>
              <w:spacing w:before="92"/>
              <w:ind w:left="316" w:right="444"/>
              <w:jc w:val="center"/>
              <w:rPr>
                <w:rFonts w:ascii="Carlito"/>
                <w:sz w:val="16"/>
              </w:rPr>
            </w:pPr>
            <w:r>
              <w:rPr>
                <w:rFonts w:ascii="Carlito"/>
                <w:sz w:val="16"/>
              </w:rPr>
              <w:t>2007</w:t>
            </w:r>
          </w:p>
        </w:tc>
        <w:tc>
          <w:tcPr>
            <w:tcW w:w="783" w:type="dxa"/>
            <w:shd w:val="clear" w:color="auto" w:fill="D9D9D9"/>
          </w:tcPr>
          <w:p>
            <w:pPr>
              <w:pStyle w:val="TableParagraph"/>
              <w:spacing w:before="92"/>
              <w:ind w:right="240"/>
              <w:rPr>
                <w:rFonts w:ascii="Carlito"/>
                <w:sz w:val="16"/>
              </w:rPr>
            </w:pPr>
            <w:r>
              <w:rPr>
                <w:rFonts w:ascii="Carlito"/>
                <w:sz w:val="16"/>
              </w:rPr>
              <w:t>4</w:t>
            </w:r>
          </w:p>
        </w:tc>
        <w:tc>
          <w:tcPr>
            <w:tcW w:w="746" w:type="dxa"/>
            <w:shd w:val="clear" w:color="auto" w:fill="D9D9D9"/>
          </w:tcPr>
          <w:p>
            <w:pPr>
              <w:pStyle w:val="TableParagraph"/>
              <w:spacing w:before="92"/>
              <w:ind w:right="310"/>
              <w:rPr>
                <w:rFonts w:ascii="Carlito"/>
                <w:sz w:val="16"/>
              </w:rPr>
            </w:pPr>
            <w:r>
              <w:rPr>
                <w:rFonts w:ascii="Carlito"/>
                <w:sz w:val="16"/>
              </w:rPr>
              <w:t>2.5</w:t>
            </w:r>
          </w:p>
        </w:tc>
        <w:tc>
          <w:tcPr>
            <w:tcW w:w="817" w:type="dxa"/>
            <w:shd w:val="clear" w:color="auto" w:fill="D9D9D9"/>
          </w:tcPr>
          <w:p>
            <w:pPr>
              <w:pStyle w:val="TableParagraph"/>
              <w:spacing w:before="92"/>
              <w:ind w:left="295"/>
              <w:jc w:val="left"/>
              <w:rPr>
                <w:rFonts w:ascii="Carlito"/>
                <w:sz w:val="16"/>
              </w:rPr>
            </w:pPr>
            <w:r>
              <w:rPr>
                <w:rFonts w:ascii="Carlito"/>
                <w:sz w:val="16"/>
              </w:rPr>
              <w:t>2</w:t>
            </w:r>
          </w:p>
        </w:tc>
        <w:tc>
          <w:tcPr>
            <w:tcW w:w="1291" w:type="dxa"/>
            <w:shd w:val="clear" w:color="auto" w:fill="D9D9D9"/>
          </w:tcPr>
          <w:p>
            <w:pPr>
              <w:pStyle w:val="TableParagraph"/>
              <w:spacing w:before="92"/>
              <w:ind w:right="581"/>
              <w:rPr>
                <w:rFonts w:ascii="Carlito"/>
                <w:sz w:val="16"/>
              </w:rPr>
            </w:pPr>
            <w:r>
              <w:rPr>
                <w:rFonts w:ascii="Carlito"/>
                <w:sz w:val="16"/>
              </w:rPr>
              <w:t>5.7</w:t>
            </w:r>
          </w:p>
        </w:tc>
        <w:tc>
          <w:tcPr>
            <w:tcW w:w="1141" w:type="dxa"/>
            <w:shd w:val="clear" w:color="auto" w:fill="D9D9D9"/>
          </w:tcPr>
          <w:p>
            <w:pPr>
              <w:pStyle w:val="TableParagraph"/>
              <w:spacing w:before="92"/>
              <w:ind w:right="374"/>
              <w:rPr>
                <w:rFonts w:ascii="Carlito"/>
                <w:sz w:val="16"/>
              </w:rPr>
            </w:pPr>
            <w:r>
              <w:rPr>
                <w:rFonts w:ascii="Carlito"/>
                <w:sz w:val="16"/>
              </w:rPr>
              <w:t>3.2</w:t>
            </w:r>
          </w:p>
        </w:tc>
        <w:tc>
          <w:tcPr>
            <w:tcW w:w="827" w:type="dxa"/>
            <w:shd w:val="clear" w:color="auto" w:fill="D9D9D9"/>
          </w:tcPr>
          <w:p>
            <w:pPr>
              <w:pStyle w:val="TableParagraph"/>
              <w:spacing w:before="92"/>
              <w:ind w:right="389"/>
              <w:rPr>
                <w:rFonts w:ascii="Carlito"/>
                <w:sz w:val="16"/>
              </w:rPr>
            </w:pPr>
            <w:r>
              <w:rPr>
                <w:rFonts w:ascii="Carlito"/>
                <w:sz w:val="16"/>
              </w:rPr>
              <w:t>0</w:t>
            </w:r>
          </w:p>
        </w:tc>
        <w:tc>
          <w:tcPr>
            <w:tcW w:w="531" w:type="dxa"/>
            <w:shd w:val="clear" w:color="auto" w:fill="D9D9D9"/>
          </w:tcPr>
          <w:p>
            <w:pPr>
              <w:pStyle w:val="TableParagraph"/>
              <w:spacing w:before="92"/>
              <w:ind w:right="76"/>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143</w:t>
            </w:r>
          </w:p>
        </w:tc>
        <w:tc>
          <w:tcPr>
            <w:tcW w:w="1938" w:type="dxa"/>
          </w:tcPr>
          <w:p>
            <w:pPr>
              <w:pStyle w:val="TableParagraph"/>
              <w:spacing w:before="92"/>
              <w:ind w:left="143"/>
              <w:jc w:val="left"/>
              <w:rPr>
                <w:rFonts w:ascii="Carlito"/>
                <w:sz w:val="16"/>
              </w:rPr>
            </w:pPr>
            <w:r>
              <w:rPr>
                <w:rFonts w:ascii="Carlito"/>
                <w:sz w:val="16"/>
              </w:rPr>
              <w:t>Curridabat</w:t>
            </w:r>
          </w:p>
        </w:tc>
        <w:tc>
          <w:tcPr>
            <w:tcW w:w="656" w:type="dxa"/>
          </w:tcPr>
          <w:p>
            <w:pPr>
              <w:pStyle w:val="TableParagraph"/>
              <w:spacing w:before="92"/>
              <w:ind w:right="130"/>
              <w:rPr>
                <w:rFonts w:ascii="Carlito"/>
                <w:sz w:val="16"/>
              </w:rPr>
            </w:pPr>
            <w:r>
              <w:rPr>
                <w:rFonts w:ascii="Carlito"/>
                <w:sz w:val="16"/>
              </w:rPr>
              <w:t>0</w:t>
            </w:r>
          </w:p>
        </w:tc>
        <w:tc>
          <w:tcPr>
            <w:tcW w:w="1359" w:type="dxa"/>
          </w:tcPr>
          <w:p>
            <w:pPr>
              <w:pStyle w:val="TableParagraph"/>
              <w:spacing w:before="92"/>
              <w:ind w:left="130"/>
              <w:jc w:val="left"/>
              <w:rPr>
                <w:rFonts w:ascii="Carlito"/>
                <w:sz w:val="16"/>
              </w:rPr>
            </w:pPr>
            <w:r>
              <w:rPr>
                <w:rFonts w:ascii="Carlito"/>
                <w:sz w:val="16"/>
              </w:rPr>
              <w:t>$189,000.00</w:t>
            </w:r>
          </w:p>
        </w:tc>
        <w:tc>
          <w:tcPr>
            <w:tcW w:w="1001" w:type="dxa"/>
          </w:tcPr>
          <w:p>
            <w:pPr>
              <w:pStyle w:val="TableParagraph"/>
              <w:spacing w:before="92"/>
              <w:ind w:right="343"/>
              <w:rPr>
                <w:rFonts w:ascii="Carlito"/>
                <w:sz w:val="16"/>
              </w:rPr>
            </w:pPr>
            <w:r>
              <w:rPr>
                <w:rFonts w:ascii="Carlito"/>
                <w:sz w:val="16"/>
              </w:rPr>
              <w:t>145</w:t>
            </w:r>
          </w:p>
        </w:tc>
        <w:tc>
          <w:tcPr>
            <w:tcW w:w="1128" w:type="dxa"/>
          </w:tcPr>
          <w:p>
            <w:pPr>
              <w:pStyle w:val="TableParagraph"/>
              <w:spacing w:before="92"/>
              <w:ind w:left="316" w:right="444"/>
              <w:jc w:val="center"/>
              <w:rPr>
                <w:rFonts w:ascii="Carlito"/>
                <w:sz w:val="16"/>
              </w:rPr>
            </w:pPr>
            <w:r>
              <w:rPr>
                <w:rFonts w:ascii="Carlito"/>
                <w:sz w:val="16"/>
              </w:rPr>
              <w:t>2010</w:t>
            </w:r>
          </w:p>
        </w:tc>
        <w:tc>
          <w:tcPr>
            <w:tcW w:w="783" w:type="dxa"/>
          </w:tcPr>
          <w:p>
            <w:pPr>
              <w:pStyle w:val="TableParagraph"/>
              <w:spacing w:before="92"/>
              <w:ind w:right="240"/>
              <w:rPr>
                <w:rFonts w:ascii="Carlito"/>
                <w:sz w:val="16"/>
              </w:rPr>
            </w:pPr>
            <w:r>
              <w:rPr>
                <w:rFonts w:ascii="Carlito"/>
                <w:sz w:val="16"/>
              </w:rPr>
              <w:t>3</w:t>
            </w:r>
          </w:p>
        </w:tc>
        <w:tc>
          <w:tcPr>
            <w:tcW w:w="746" w:type="dxa"/>
          </w:tcPr>
          <w:p>
            <w:pPr>
              <w:pStyle w:val="TableParagraph"/>
              <w:spacing w:before="92"/>
              <w:ind w:right="310"/>
              <w:rPr>
                <w:rFonts w:ascii="Carlito"/>
                <w:sz w:val="16"/>
              </w:rPr>
            </w:pPr>
            <w:r>
              <w:rPr>
                <w:rFonts w:ascii="Carlito"/>
                <w:sz w:val="16"/>
              </w:rPr>
              <w:t>2.5</w:t>
            </w:r>
          </w:p>
        </w:tc>
        <w:tc>
          <w:tcPr>
            <w:tcW w:w="817" w:type="dxa"/>
          </w:tcPr>
          <w:p>
            <w:pPr>
              <w:pStyle w:val="TableParagraph"/>
              <w:spacing w:before="92"/>
              <w:ind w:left="295"/>
              <w:jc w:val="left"/>
              <w:rPr>
                <w:rFonts w:ascii="Carlito"/>
                <w:sz w:val="16"/>
              </w:rPr>
            </w:pPr>
            <w:r>
              <w:rPr>
                <w:rFonts w:ascii="Carlito"/>
                <w:sz w:val="16"/>
              </w:rPr>
              <w:t>2</w:t>
            </w:r>
          </w:p>
        </w:tc>
        <w:tc>
          <w:tcPr>
            <w:tcW w:w="1291" w:type="dxa"/>
          </w:tcPr>
          <w:p>
            <w:pPr>
              <w:pStyle w:val="TableParagraph"/>
              <w:spacing w:before="92"/>
              <w:ind w:right="581"/>
              <w:rPr>
                <w:rFonts w:ascii="Carlito"/>
                <w:sz w:val="16"/>
              </w:rPr>
            </w:pPr>
            <w:r>
              <w:rPr>
                <w:rFonts w:ascii="Carlito"/>
                <w:sz w:val="16"/>
              </w:rPr>
              <w:t>5.7</w:t>
            </w:r>
          </w:p>
        </w:tc>
        <w:tc>
          <w:tcPr>
            <w:tcW w:w="1141" w:type="dxa"/>
          </w:tcPr>
          <w:p>
            <w:pPr>
              <w:pStyle w:val="TableParagraph"/>
              <w:spacing w:before="92"/>
              <w:ind w:right="374"/>
              <w:rPr>
                <w:rFonts w:ascii="Carlito"/>
                <w:sz w:val="16"/>
              </w:rPr>
            </w:pPr>
            <w:r>
              <w:rPr>
                <w:rFonts w:ascii="Carlito"/>
                <w:sz w:val="16"/>
              </w:rPr>
              <w:t>3.2</w:t>
            </w:r>
          </w:p>
        </w:tc>
        <w:tc>
          <w:tcPr>
            <w:tcW w:w="827" w:type="dxa"/>
          </w:tcPr>
          <w:p>
            <w:pPr>
              <w:pStyle w:val="TableParagraph"/>
              <w:spacing w:before="92"/>
              <w:ind w:right="389"/>
              <w:rPr>
                <w:rFonts w:ascii="Carlito"/>
                <w:sz w:val="16"/>
              </w:rPr>
            </w:pPr>
            <w:r>
              <w:rPr>
                <w:rFonts w:ascii="Carlito"/>
                <w:sz w:val="16"/>
              </w:rPr>
              <w:t>0</w:t>
            </w:r>
          </w:p>
        </w:tc>
        <w:tc>
          <w:tcPr>
            <w:tcW w:w="531" w:type="dxa"/>
          </w:tcPr>
          <w:p>
            <w:pPr>
              <w:pStyle w:val="TableParagraph"/>
              <w:spacing w:before="92"/>
              <w:ind w:right="7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144</w:t>
            </w:r>
          </w:p>
        </w:tc>
        <w:tc>
          <w:tcPr>
            <w:tcW w:w="1938" w:type="dxa"/>
            <w:shd w:val="clear" w:color="auto" w:fill="D9D9D9"/>
          </w:tcPr>
          <w:p>
            <w:pPr>
              <w:pStyle w:val="TableParagraph"/>
              <w:ind w:left="143"/>
              <w:jc w:val="left"/>
              <w:rPr>
                <w:rFonts w:ascii="Carlito"/>
                <w:sz w:val="16"/>
              </w:rPr>
            </w:pPr>
            <w:r>
              <w:rPr>
                <w:rFonts w:ascii="Carlito"/>
                <w:sz w:val="16"/>
              </w:rPr>
              <w:t>Altamonte</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left="130"/>
              <w:jc w:val="left"/>
              <w:rPr>
                <w:rFonts w:ascii="Carlito"/>
                <w:sz w:val="16"/>
              </w:rPr>
            </w:pPr>
            <w:r>
              <w:rPr>
                <w:rFonts w:ascii="Carlito"/>
                <w:sz w:val="16"/>
              </w:rPr>
              <w:t>$260,000.00</w:t>
            </w:r>
          </w:p>
        </w:tc>
        <w:tc>
          <w:tcPr>
            <w:tcW w:w="1001" w:type="dxa"/>
            <w:shd w:val="clear" w:color="auto" w:fill="D9D9D9"/>
          </w:tcPr>
          <w:p>
            <w:pPr>
              <w:pStyle w:val="TableParagraph"/>
              <w:ind w:right="343"/>
              <w:rPr>
                <w:rFonts w:ascii="Carlito"/>
                <w:sz w:val="16"/>
              </w:rPr>
            </w:pPr>
            <w:r>
              <w:rPr>
                <w:rFonts w:ascii="Carlito"/>
                <w:sz w:val="16"/>
              </w:rPr>
              <w:t>250</w:t>
            </w:r>
          </w:p>
        </w:tc>
        <w:tc>
          <w:tcPr>
            <w:tcW w:w="1128" w:type="dxa"/>
            <w:shd w:val="clear" w:color="auto" w:fill="D9D9D9"/>
          </w:tcPr>
          <w:p>
            <w:pPr>
              <w:pStyle w:val="TableParagraph"/>
              <w:ind w:left="316" w:right="444"/>
              <w:jc w:val="center"/>
              <w:rPr>
                <w:rFonts w:ascii="Carlito"/>
                <w:sz w:val="16"/>
              </w:rPr>
            </w:pPr>
            <w:r>
              <w:rPr>
                <w:rFonts w:ascii="Carlito"/>
                <w:sz w:val="16"/>
              </w:rPr>
              <w:t>2006</w:t>
            </w:r>
          </w:p>
        </w:tc>
        <w:tc>
          <w:tcPr>
            <w:tcW w:w="783" w:type="dxa"/>
            <w:shd w:val="clear" w:color="auto" w:fill="D9D9D9"/>
          </w:tcPr>
          <w:p>
            <w:pPr>
              <w:pStyle w:val="TableParagraph"/>
              <w:ind w:right="240"/>
              <w:rPr>
                <w:rFonts w:ascii="Carlito"/>
                <w:sz w:val="16"/>
              </w:rPr>
            </w:pPr>
            <w:r>
              <w:rPr>
                <w:rFonts w:ascii="Carlito"/>
                <w:sz w:val="16"/>
              </w:rPr>
              <w:t>4</w:t>
            </w:r>
          </w:p>
        </w:tc>
        <w:tc>
          <w:tcPr>
            <w:tcW w:w="746" w:type="dxa"/>
            <w:shd w:val="clear" w:color="auto" w:fill="D9D9D9"/>
          </w:tcPr>
          <w:p>
            <w:pPr>
              <w:pStyle w:val="TableParagraph"/>
              <w:ind w:right="305"/>
              <w:rPr>
                <w:rFonts w:ascii="Carlito"/>
                <w:sz w:val="16"/>
              </w:rPr>
            </w:pPr>
            <w:r>
              <w:rPr>
                <w:rFonts w:ascii="Carlito"/>
                <w:sz w:val="16"/>
              </w:rPr>
              <w:t>3</w:t>
            </w:r>
          </w:p>
        </w:tc>
        <w:tc>
          <w:tcPr>
            <w:tcW w:w="817" w:type="dxa"/>
            <w:shd w:val="clear" w:color="auto" w:fill="D9D9D9"/>
          </w:tcPr>
          <w:p>
            <w:pPr>
              <w:pStyle w:val="TableParagraph"/>
              <w:ind w:left="295"/>
              <w:jc w:val="left"/>
              <w:rPr>
                <w:rFonts w:ascii="Carlito"/>
                <w:sz w:val="16"/>
              </w:rPr>
            </w:pPr>
            <w:r>
              <w:rPr>
                <w:rFonts w:ascii="Carlito"/>
                <w:sz w:val="16"/>
              </w:rPr>
              <w:t>2</w:t>
            </w:r>
          </w:p>
        </w:tc>
        <w:tc>
          <w:tcPr>
            <w:tcW w:w="1291" w:type="dxa"/>
            <w:shd w:val="clear" w:color="auto" w:fill="D9D9D9"/>
          </w:tcPr>
          <w:p>
            <w:pPr>
              <w:pStyle w:val="TableParagraph"/>
              <w:ind w:right="581"/>
              <w:rPr>
                <w:rFonts w:ascii="Carlito"/>
                <w:sz w:val="16"/>
              </w:rPr>
            </w:pPr>
            <w:r>
              <w:rPr>
                <w:rFonts w:ascii="Carlito"/>
                <w:sz w:val="16"/>
              </w:rPr>
              <w:t>6.6</w:t>
            </w:r>
          </w:p>
        </w:tc>
        <w:tc>
          <w:tcPr>
            <w:tcW w:w="1141" w:type="dxa"/>
            <w:shd w:val="clear" w:color="auto" w:fill="D9D9D9"/>
          </w:tcPr>
          <w:p>
            <w:pPr>
              <w:pStyle w:val="TableParagraph"/>
              <w:ind w:right="374"/>
              <w:rPr>
                <w:rFonts w:ascii="Carlito"/>
                <w:sz w:val="16"/>
              </w:rPr>
            </w:pPr>
            <w:r>
              <w:rPr>
                <w:rFonts w:ascii="Carlito"/>
                <w:sz w:val="16"/>
              </w:rPr>
              <w:t>5.8</w:t>
            </w:r>
          </w:p>
        </w:tc>
        <w:tc>
          <w:tcPr>
            <w:tcW w:w="827" w:type="dxa"/>
            <w:shd w:val="clear" w:color="auto" w:fill="D9D9D9"/>
          </w:tcPr>
          <w:p>
            <w:pPr>
              <w:pStyle w:val="TableParagraph"/>
              <w:ind w:right="389"/>
              <w:rPr>
                <w:rFonts w:ascii="Carlito"/>
                <w:sz w:val="16"/>
              </w:rPr>
            </w:pPr>
            <w:r>
              <w:rPr>
                <w:rFonts w:ascii="Carlito"/>
                <w:sz w:val="16"/>
              </w:rPr>
              <w:t>0</w:t>
            </w:r>
          </w:p>
        </w:tc>
        <w:tc>
          <w:tcPr>
            <w:tcW w:w="531" w:type="dxa"/>
            <w:shd w:val="clear" w:color="auto" w:fill="D9D9D9"/>
          </w:tcPr>
          <w:p>
            <w:pPr>
              <w:pStyle w:val="TableParagraph"/>
              <w:ind w:right="76"/>
              <w:rPr>
                <w:rFonts w:ascii="Carlito"/>
                <w:sz w:val="16"/>
              </w:rPr>
            </w:pPr>
            <w:r>
              <w:rPr>
                <w:rFonts w:ascii="Carlito"/>
                <w:sz w:val="16"/>
              </w:rPr>
              <w:t>0</w:t>
            </w:r>
          </w:p>
        </w:tc>
      </w:tr>
      <w:tr>
        <w:trPr>
          <w:trHeight w:val="287" w:hRule="atLeast"/>
        </w:trPr>
        <w:tc>
          <w:tcPr>
            <w:tcW w:w="756" w:type="dxa"/>
          </w:tcPr>
          <w:p>
            <w:pPr>
              <w:pStyle w:val="TableParagraph"/>
              <w:spacing w:line="177" w:lineRule="exact"/>
              <w:ind w:right="143"/>
              <w:rPr>
                <w:rFonts w:ascii="Carlito"/>
                <w:sz w:val="16"/>
              </w:rPr>
            </w:pPr>
            <w:r>
              <w:rPr>
                <w:rFonts w:ascii="Carlito"/>
                <w:sz w:val="16"/>
              </w:rPr>
              <w:t>145</w:t>
            </w:r>
          </w:p>
        </w:tc>
        <w:tc>
          <w:tcPr>
            <w:tcW w:w="1938" w:type="dxa"/>
          </w:tcPr>
          <w:p>
            <w:pPr>
              <w:pStyle w:val="TableParagraph"/>
              <w:spacing w:line="177" w:lineRule="exact"/>
              <w:ind w:left="143"/>
              <w:jc w:val="left"/>
              <w:rPr>
                <w:rFonts w:ascii="Carlito"/>
                <w:sz w:val="16"/>
              </w:rPr>
            </w:pPr>
            <w:r>
              <w:rPr>
                <w:rFonts w:ascii="Carlito"/>
                <w:sz w:val="16"/>
              </w:rPr>
              <w:t>Pinares</w:t>
            </w:r>
          </w:p>
        </w:tc>
        <w:tc>
          <w:tcPr>
            <w:tcW w:w="656" w:type="dxa"/>
          </w:tcPr>
          <w:p>
            <w:pPr>
              <w:pStyle w:val="TableParagraph"/>
              <w:spacing w:line="177" w:lineRule="exact"/>
              <w:ind w:right="130"/>
              <w:rPr>
                <w:rFonts w:ascii="Carlito"/>
                <w:sz w:val="16"/>
              </w:rPr>
            </w:pPr>
            <w:r>
              <w:rPr>
                <w:rFonts w:ascii="Carlito"/>
                <w:sz w:val="16"/>
              </w:rPr>
              <w:t>0</w:t>
            </w:r>
          </w:p>
        </w:tc>
        <w:tc>
          <w:tcPr>
            <w:tcW w:w="1359" w:type="dxa"/>
          </w:tcPr>
          <w:p>
            <w:pPr>
              <w:pStyle w:val="TableParagraph"/>
              <w:spacing w:line="177" w:lineRule="exact"/>
              <w:ind w:left="130"/>
              <w:jc w:val="left"/>
              <w:rPr>
                <w:rFonts w:ascii="Carlito"/>
                <w:sz w:val="16"/>
              </w:rPr>
            </w:pPr>
            <w:r>
              <w:rPr>
                <w:rFonts w:ascii="Carlito"/>
                <w:sz w:val="16"/>
              </w:rPr>
              <w:t>$428,000.00</w:t>
            </w:r>
          </w:p>
        </w:tc>
        <w:tc>
          <w:tcPr>
            <w:tcW w:w="1001" w:type="dxa"/>
          </w:tcPr>
          <w:p>
            <w:pPr>
              <w:pStyle w:val="TableParagraph"/>
              <w:spacing w:line="177" w:lineRule="exact"/>
              <w:ind w:right="343"/>
              <w:rPr>
                <w:rFonts w:ascii="Carlito"/>
                <w:sz w:val="16"/>
              </w:rPr>
            </w:pPr>
            <w:r>
              <w:rPr>
                <w:rFonts w:ascii="Carlito"/>
                <w:sz w:val="16"/>
              </w:rPr>
              <w:t>390</w:t>
            </w:r>
          </w:p>
        </w:tc>
        <w:tc>
          <w:tcPr>
            <w:tcW w:w="1128" w:type="dxa"/>
          </w:tcPr>
          <w:p>
            <w:pPr>
              <w:pStyle w:val="TableParagraph"/>
              <w:spacing w:line="177" w:lineRule="exact"/>
              <w:ind w:left="316" w:right="444"/>
              <w:jc w:val="center"/>
              <w:rPr>
                <w:rFonts w:ascii="Carlito"/>
                <w:sz w:val="16"/>
              </w:rPr>
            </w:pPr>
            <w:r>
              <w:rPr>
                <w:rFonts w:ascii="Carlito"/>
                <w:sz w:val="16"/>
              </w:rPr>
              <w:t>2015</w:t>
            </w:r>
          </w:p>
        </w:tc>
        <w:tc>
          <w:tcPr>
            <w:tcW w:w="783" w:type="dxa"/>
          </w:tcPr>
          <w:p>
            <w:pPr>
              <w:pStyle w:val="TableParagraph"/>
              <w:spacing w:line="177" w:lineRule="exact"/>
              <w:ind w:right="240"/>
              <w:rPr>
                <w:rFonts w:ascii="Carlito"/>
                <w:sz w:val="16"/>
              </w:rPr>
            </w:pPr>
            <w:r>
              <w:rPr>
                <w:rFonts w:ascii="Carlito"/>
                <w:sz w:val="16"/>
              </w:rPr>
              <w:t>5</w:t>
            </w:r>
          </w:p>
        </w:tc>
        <w:tc>
          <w:tcPr>
            <w:tcW w:w="746" w:type="dxa"/>
          </w:tcPr>
          <w:p>
            <w:pPr>
              <w:pStyle w:val="TableParagraph"/>
              <w:spacing w:line="177" w:lineRule="exact"/>
              <w:ind w:right="310"/>
              <w:rPr>
                <w:rFonts w:ascii="Carlito"/>
                <w:sz w:val="16"/>
              </w:rPr>
            </w:pPr>
            <w:r>
              <w:rPr>
                <w:rFonts w:ascii="Carlito"/>
                <w:sz w:val="16"/>
              </w:rPr>
              <w:t>3.5</w:t>
            </w:r>
          </w:p>
        </w:tc>
        <w:tc>
          <w:tcPr>
            <w:tcW w:w="817" w:type="dxa"/>
          </w:tcPr>
          <w:p>
            <w:pPr>
              <w:pStyle w:val="TableParagraph"/>
              <w:spacing w:line="177" w:lineRule="exact"/>
              <w:ind w:left="295"/>
              <w:jc w:val="left"/>
              <w:rPr>
                <w:rFonts w:ascii="Carlito"/>
                <w:sz w:val="16"/>
              </w:rPr>
            </w:pPr>
            <w:r>
              <w:rPr>
                <w:rFonts w:ascii="Carlito"/>
                <w:sz w:val="16"/>
              </w:rPr>
              <w:t>2</w:t>
            </w:r>
          </w:p>
        </w:tc>
        <w:tc>
          <w:tcPr>
            <w:tcW w:w="1291" w:type="dxa"/>
          </w:tcPr>
          <w:p>
            <w:pPr>
              <w:pStyle w:val="TableParagraph"/>
              <w:spacing w:line="177" w:lineRule="exact"/>
              <w:ind w:right="581"/>
              <w:rPr>
                <w:rFonts w:ascii="Carlito"/>
                <w:sz w:val="16"/>
              </w:rPr>
            </w:pPr>
            <w:r>
              <w:rPr>
                <w:rFonts w:ascii="Carlito"/>
                <w:sz w:val="16"/>
              </w:rPr>
              <w:t>7.4</w:t>
            </w:r>
          </w:p>
        </w:tc>
        <w:tc>
          <w:tcPr>
            <w:tcW w:w="1141" w:type="dxa"/>
          </w:tcPr>
          <w:p>
            <w:pPr>
              <w:pStyle w:val="TableParagraph"/>
              <w:spacing w:line="177" w:lineRule="exact"/>
              <w:ind w:right="374"/>
              <w:rPr>
                <w:rFonts w:ascii="Carlito"/>
                <w:sz w:val="16"/>
              </w:rPr>
            </w:pPr>
            <w:r>
              <w:rPr>
                <w:rFonts w:ascii="Carlito"/>
                <w:sz w:val="16"/>
              </w:rPr>
              <w:t>3.6</w:t>
            </w:r>
          </w:p>
        </w:tc>
        <w:tc>
          <w:tcPr>
            <w:tcW w:w="827" w:type="dxa"/>
          </w:tcPr>
          <w:p>
            <w:pPr>
              <w:pStyle w:val="TableParagraph"/>
              <w:spacing w:line="177" w:lineRule="exact"/>
              <w:ind w:right="389"/>
              <w:rPr>
                <w:rFonts w:ascii="Carlito"/>
                <w:sz w:val="16"/>
              </w:rPr>
            </w:pPr>
            <w:r>
              <w:rPr>
                <w:rFonts w:ascii="Carlito"/>
                <w:sz w:val="16"/>
              </w:rPr>
              <w:t>0</w:t>
            </w:r>
          </w:p>
        </w:tc>
        <w:tc>
          <w:tcPr>
            <w:tcW w:w="531" w:type="dxa"/>
          </w:tcPr>
          <w:p>
            <w:pPr>
              <w:pStyle w:val="TableParagraph"/>
              <w:spacing w:line="177" w:lineRule="exact"/>
              <w:ind w:right="76"/>
              <w:rPr>
                <w:rFonts w:ascii="Carlito"/>
                <w:sz w:val="16"/>
              </w:rPr>
            </w:pPr>
            <w:r>
              <w:rPr>
                <w:rFonts w:ascii="Carlito"/>
                <w:sz w:val="16"/>
              </w:rPr>
              <w:t>0</w:t>
            </w:r>
          </w:p>
        </w:tc>
      </w:tr>
      <w:tr>
        <w:trPr>
          <w:trHeight w:val="287" w:hRule="atLeast"/>
        </w:trPr>
        <w:tc>
          <w:tcPr>
            <w:tcW w:w="756" w:type="dxa"/>
            <w:shd w:val="clear" w:color="auto" w:fill="D9D9D9"/>
          </w:tcPr>
          <w:p>
            <w:pPr>
              <w:pStyle w:val="TableParagraph"/>
              <w:spacing w:line="177" w:lineRule="exact"/>
              <w:ind w:right="143"/>
              <w:rPr>
                <w:rFonts w:ascii="Carlito"/>
                <w:sz w:val="16"/>
              </w:rPr>
            </w:pPr>
            <w:r>
              <w:rPr>
                <w:rFonts w:ascii="Carlito"/>
                <w:sz w:val="16"/>
              </w:rPr>
              <w:t>146</w:t>
            </w:r>
          </w:p>
        </w:tc>
        <w:tc>
          <w:tcPr>
            <w:tcW w:w="1938" w:type="dxa"/>
            <w:shd w:val="clear" w:color="auto" w:fill="D9D9D9"/>
          </w:tcPr>
          <w:p>
            <w:pPr>
              <w:pStyle w:val="TableParagraph"/>
              <w:spacing w:line="177" w:lineRule="exact"/>
              <w:ind w:left="143"/>
              <w:jc w:val="left"/>
              <w:rPr>
                <w:rFonts w:ascii="Carlito"/>
                <w:sz w:val="16"/>
              </w:rPr>
            </w:pPr>
            <w:r>
              <w:rPr>
                <w:rFonts w:ascii="Carlito"/>
                <w:sz w:val="16"/>
              </w:rPr>
              <w:t>Pinares</w:t>
            </w:r>
          </w:p>
        </w:tc>
        <w:tc>
          <w:tcPr>
            <w:tcW w:w="656" w:type="dxa"/>
            <w:shd w:val="clear" w:color="auto" w:fill="D9D9D9"/>
          </w:tcPr>
          <w:p>
            <w:pPr>
              <w:pStyle w:val="TableParagraph"/>
              <w:spacing w:line="177" w:lineRule="exact"/>
              <w:ind w:right="130"/>
              <w:rPr>
                <w:rFonts w:ascii="Carlito"/>
                <w:sz w:val="16"/>
              </w:rPr>
            </w:pPr>
            <w:r>
              <w:rPr>
                <w:rFonts w:ascii="Carlito"/>
                <w:sz w:val="16"/>
              </w:rPr>
              <w:t>1</w:t>
            </w:r>
          </w:p>
        </w:tc>
        <w:tc>
          <w:tcPr>
            <w:tcW w:w="1359" w:type="dxa"/>
            <w:shd w:val="clear" w:color="auto" w:fill="D9D9D9"/>
          </w:tcPr>
          <w:p>
            <w:pPr>
              <w:pStyle w:val="TableParagraph"/>
              <w:spacing w:line="177" w:lineRule="exact"/>
              <w:ind w:left="130"/>
              <w:jc w:val="left"/>
              <w:rPr>
                <w:rFonts w:ascii="Carlito"/>
                <w:sz w:val="16"/>
              </w:rPr>
            </w:pPr>
            <w:r>
              <w:rPr>
                <w:rFonts w:ascii="Carlito"/>
                <w:sz w:val="16"/>
              </w:rPr>
              <w:t>$525,000.00</w:t>
            </w:r>
          </w:p>
        </w:tc>
        <w:tc>
          <w:tcPr>
            <w:tcW w:w="1001" w:type="dxa"/>
            <w:shd w:val="clear" w:color="auto" w:fill="D9D9D9"/>
          </w:tcPr>
          <w:p>
            <w:pPr>
              <w:pStyle w:val="TableParagraph"/>
              <w:spacing w:line="177" w:lineRule="exact"/>
              <w:ind w:right="343"/>
              <w:rPr>
                <w:rFonts w:ascii="Carlito"/>
                <w:sz w:val="16"/>
              </w:rPr>
            </w:pPr>
            <w:r>
              <w:rPr>
                <w:rFonts w:ascii="Carlito"/>
                <w:sz w:val="16"/>
              </w:rPr>
              <w:t>400</w:t>
            </w:r>
          </w:p>
        </w:tc>
        <w:tc>
          <w:tcPr>
            <w:tcW w:w="1128" w:type="dxa"/>
            <w:shd w:val="clear" w:color="auto" w:fill="D9D9D9"/>
          </w:tcPr>
          <w:p>
            <w:pPr>
              <w:pStyle w:val="TableParagraph"/>
              <w:spacing w:line="177" w:lineRule="exact"/>
              <w:ind w:left="316" w:right="444"/>
              <w:jc w:val="center"/>
              <w:rPr>
                <w:rFonts w:ascii="Carlito"/>
                <w:sz w:val="16"/>
              </w:rPr>
            </w:pPr>
            <w:r>
              <w:rPr>
                <w:rFonts w:ascii="Carlito"/>
                <w:sz w:val="16"/>
              </w:rPr>
              <w:t>1995</w:t>
            </w:r>
          </w:p>
        </w:tc>
        <w:tc>
          <w:tcPr>
            <w:tcW w:w="783" w:type="dxa"/>
            <w:shd w:val="clear" w:color="auto" w:fill="D9D9D9"/>
          </w:tcPr>
          <w:p>
            <w:pPr>
              <w:pStyle w:val="TableParagraph"/>
              <w:spacing w:line="177" w:lineRule="exact"/>
              <w:ind w:right="240"/>
              <w:rPr>
                <w:rFonts w:ascii="Carlito"/>
                <w:sz w:val="16"/>
              </w:rPr>
            </w:pPr>
            <w:r>
              <w:rPr>
                <w:rFonts w:ascii="Carlito"/>
                <w:sz w:val="16"/>
              </w:rPr>
              <w:t>5</w:t>
            </w:r>
          </w:p>
        </w:tc>
        <w:tc>
          <w:tcPr>
            <w:tcW w:w="746" w:type="dxa"/>
            <w:shd w:val="clear" w:color="auto" w:fill="D9D9D9"/>
          </w:tcPr>
          <w:p>
            <w:pPr>
              <w:pStyle w:val="TableParagraph"/>
              <w:spacing w:line="177" w:lineRule="exact"/>
              <w:ind w:right="310"/>
              <w:rPr>
                <w:rFonts w:ascii="Carlito"/>
                <w:sz w:val="16"/>
              </w:rPr>
            </w:pPr>
            <w:r>
              <w:rPr>
                <w:rFonts w:ascii="Carlito"/>
                <w:sz w:val="16"/>
              </w:rPr>
              <w:t>3.5</w:t>
            </w:r>
          </w:p>
        </w:tc>
        <w:tc>
          <w:tcPr>
            <w:tcW w:w="817" w:type="dxa"/>
            <w:shd w:val="clear" w:color="auto" w:fill="D9D9D9"/>
          </w:tcPr>
          <w:p>
            <w:pPr>
              <w:pStyle w:val="TableParagraph"/>
              <w:spacing w:line="177" w:lineRule="exact"/>
              <w:ind w:left="295"/>
              <w:jc w:val="left"/>
              <w:rPr>
                <w:rFonts w:ascii="Carlito"/>
                <w:sz w:val="16"/>
              </w:rPr>
            </w:pPr>
            <w:r>
              <w:rPr>
                <w:rFonts w:ascii="Carlito"/>
                <w:sz w:val="16"/>
              </w:rPr>
              <w:t>2</w:t>
            </w:r>
          </w:p>
        </w:tc>
        <w:tc>
          <w:tcPr>
            <w:tcW w:w="1291" w:type="dxa"/>
            <w:shd w:val="clear" w:color="auto" w:fill="D9D9D9"/>
          </w:tcPr>
          <w:p>
            <w:pPr>
              <w:pStyle w:val="TableParagraph"/>
              <w:spacing w:line="177" w:lineRule="exact"/>
              <w:ind w:right="581"/>
              <w:rPr>
                <w:rFonts w:ascii="Carlito"/>
                <w:sz w:val="16"/>
              </w:rPr>
            </w:pPr>
            <w:r>
              <w:rPr>
                <w:rFonts w:ascii="Carlito"/>
                <w:sz w:val="16"/>
              </w:rPr>
              <w:t>7.4</w:t>
            </w:r>
          </w:p>
        </w:tc>
        <w:tc>
          <w:tcPr>
            <w:tcW w:w="1141" w:type="dxa"/>
            <w:shd w:val="clear" w:color="auto" w:fill="D9D9D9"/>
          </w:tcPr>
          <w:p>
            <w:pPr>
              <w:pStyle w:val="TableParagraph"/>
              <w:spacing w:line="177" w:lineRule="exact"/>
              <w:ind w:right="374"/>
              <w:rPr>
                <w:rFonts w:ascii="Carlito"/>
                <w:sz w:val="16"/>
              </w:rPr>
            </w:pPr>
            <w:r>
              <w:rPr>
                <w:rFonts w:ascii="Carlito"/>
                <w:sz w:val="16"/>
              </w:rPr>
              <w:t>3.6</w:t>
            </w:r>
          </w:p>
        </w:tc>
        <w:tc>
          <w:tcPr>
            <w:tcW w:w="827" w:type="dxa"/>
            <w:shd w:val="clear" w:color="auto" w:fill="D9D9D9"/>
          </w:tcPr>
          <w:p>
            <w:pPr>
              <w:pStyle w:val="TableParagraph"/>
              <w:spacing w:line="177" w:lineRule="exact"/>
              <w:ind w:right="389"/>
              <w:rPr>
                <w:rFonts w:ascii="Carlito"/>
                <w:sz w:val="16"/>
              </w:rPr>
            </w:pPr>
            <w:r>
              <w:rPr>
                <w:rFonts w:ascii="Carlito"/>
                <w:sz w:val="16"/>
              </w:rPr>
              <w:t>0</w:t>
            </w:r>
          </w:p>
        </w:tc>
        <w:tc>
          <w:tcPr>
            <w:tcW w:w="531" w:type="dxa"/>
            <w:shd w:val="clear" w:color="auto" w:fill="D9D9D9"/>
          </w:tcPr>
          <w:p>
            <w:pPr>
              <w:pStyle w:val="TableParagraph"/>
              <w:spacing w:line="177" w:lineRule="exact"/>
              <w:ind w:right="76"/>
              <w:rPr>
                <w:rFonts w:ascii="Carlito"/>
                <w:sz w:val="16"/>
              </w:rPr>
            </w:pPr>
            <w:r>
              <w:rPr>
                <w:rFonts w:ascii="Carlito"/>
                <w:sz w:val="16"/>
              </w:rPr>
              <w:t>1</w:t>
            </w:r>
          </w:p>
        </w:tc>
      </w:tr>
      <w:tr>
        <w:trPr>
          <w:trHeight w:val="287" w:hRule="atLeast"/>
        </w:trPr>
        <w:tc>
          <w:tcPr>
            <w:tcW w:w="756" w:type="dxa"/>
          </w:tcPr>
          <w:p>
            <w:pPr>
              <w:pStyle w:val="TableParagraph"/>
              <w:ind w:right="143"/>
              <w:rPr>
                <w:rFonts w:ascii="Carlito"/>
                <w:sz w:val="16"/>
              </w:rPr>
            </w:pPr>
            <w:r>
              <w:rPr>
                <w:rFonts w:ascii="Carlito"/>
                <w:sz w:val="16"/>
              </w:rPr>
              <w:t>147</w:t>
            </w:r>
          </w:p>
        </w:tc>
        <w:tc>
          <w:tcPr>
            <w:tcW w:w="1938" w:type="dxa"/>
          </w:tcPr>
          <w:p>
            <w:pPr>
              <w:pStyle w:val="TableParagraph"/>
              <w:ind w:left="143"/>
              <w:jc w:val="left"/>
              <w:rPr>
                <w:rFonts w:ascii="Carlito"/>
                <w:sz w:val="16"/>
              </w:rPr>
            </w:pPr>
            <w:r>
              <w:rPr>
                <w:rFonts w:ascii="Carlito"/>
                <w:sz w:val="16"/>
              </w:rPr>
              <w:t>Curridabat</w:t>
            </w:r>
          </w:p>
        </w:tc>
        <w:tc>
          <w:tcPr>
            <w:tcW w:w="656" w:type="dxa"/>
          </w:tcPr>
          <w:p>
            <w:pPr>
              <w:pStyle w:val="TableParagraph"/>
              <w:ind w:right="130"/>
              <w:rPr>
                <w:rFonts w:ascii="Carlito"/>
                <w:sz w:val="16"/>
              </w:rPr>
            </w:pPr>
            <w:r>
              <w:rPr>
                <w:rFonts w:ascii="Carlito"/>
                <w:sz w:val="16"/>
              </w:rPr>
              <w:t>0</w:t>
            </w:r>
          </w:p>
        </w:tc>
        <w:tc>
          <w:tcPr>
            <w:tcW w:w="1359" w:type="dxa"/>
          </w:tcPr>
          <w:p>
            <w:pPr>
              <w:pStyle w:val="TableParagraph"/>
              <w:ind w:left="130"/>
              <w:jc w:val="left"/>
              <w:rPr>
                <w:rFonts w:ascii="Carlito"/>
                <w:sz w:val="16"/>
              </w:rPr>
            </w:pPr>
            <w:r>
              <w:rPr>
                <w:rFonts w:ascii="Carlito"/>
                <w:sz w:val="16"/>
              </w:rPr>
              <w:t>$140,000.00</w:t>
            </w:r>
          </w:p>
        </w:tc>
        <w:tc>
          <w:tcPr>
            <w:tcW w:w="1001" w:type="dxa"/>
          </w:tcPr>
          <w:p>
            <w:pPr>
              <w:pStyle w:val="TableParagraph"/>
              <w:ind w:right="343"/>
              <w:rPr>
                <w:rFonts w:ascii="Carlito"/>
                <w:sz w:val="16"/>
              </w:rPr>
            </w:pPr>
            <w:r>
              <w:rPr>
                <w:rFonts w:ascii="Carlito"/>
                <w:sz w:val="16"/>
              </w:rPr>
              <w:t>140</w:t>
            </w:r>
          </w:p>
        </w:tc>
        <w:tc>
          <w:tcPr>
            <w:tcW w:w="1128" w:type="dxa"/>
          </w:tcPr>
          <w:p>
            <w:pPr>
              <w:pStyle w:val="TableParagraph"/>
              <w:ind w:left="316" w:right="444"/>
              <w:jc w:val="center"/>
              <w:rPr>
                <w:rFonts w:ascii="Carlito"/>
                <w:sz w:val="16"/>
              </w:rPr>
            </w:pPr>
            <w:r>
              <w:rPr>
                <w:rFonts w:ascii="Carlito"/>
                <w:sz w:val="16"/>
              </w:rPr>
              <w:t>2006</w:t>
            </w:r>
          </w:p>
        </w:tc>
        <w:tc>
          <w:tcPr>
            <w:tcW w:w="783" w:type="dxa"/>
          </w:tcPr>
          <w:p>
            <w:pPr>
              <w:pStyle w:val="TableParagraph"/>
              <w:ind w:right="240"/>
              <w:rPr>
                <w:rFonts w:ascii="Carlito"/>
                <w:sz w:val="16"/>
              </w:rPr>
            </w:pPr>
            <w:r>
              <w:rPr>
                <w:rFonts w:ascii="Carlito"/>
                <w:sz w:val="16"/>
              </w:rPr>
              <w:t>3</w:t>
            </w:r>
          </w:p>
        </w:tc>
        <w:tc>
          <w:tcPr>
            <w:tcW w:w="746" w:type="dxa"/>
          </w:tcPr>
          <w:p>
            <w:pPr>
              <w:pStyle w:val="TableParagraph"/>
              <w:ind w:right="305"/>
              <w:rPr>
                <w:rFonts w:ascii="Carlito"/>
                <w:sz w:val="16"/>
              </w:rPr>
            </w:pPr>
            <w:r>
              <w:rPr>
                <w:rFonts w:ascii="Carlito"/>
                <w:sz w:val="16"/>
              </w:rPr>
              <w:t>2</w:t>
            </w:r>
          </w:p>
        </w:tc>
        <w:tc>
          <w:tcPr>
            <w:tcW w:w="817" w:type="dxa"/>
          </w:tcPr>
          <w:p>
            <w:pPr>
              <w:pStyle w:val="TableParagraph"/>
              <w:ind w:left="295"/>
              <w:jc w:val="left"/>
              <w:rPr>
                <w:rFonts w:ascii="Carlito"/>
                <w:sz w:val="16"/>
              </w:rPr>
            </w:pPr>
            <w:r>
              <w:rPr>
                <w:rFonts w:ascii="Carlito"/>
                <w:sz w:val="16"/>
              </w:rPr>
              <w:t>1</w:t>
            </w:r>
          </w:p>
        </w:tc>
        <w:tc>
          <w:tcPr>
            <w:tcW w:w="1291" w:type="dxa"/>
          </w:tcPr>
          <w:p>
            <w:pPr>
              <w:pStyle w:val="TableParagraph"/>
              <w:ind w:right="581"/>
              <w:rPr>
                <w:rFonts w:ascii="Carlito"/>
                <w:sz w:val="16"/>
              </w:rPr>
            </w:pPr>
            <w:r>
              <w:rPr>
                <w:rFonts w:ascii="Carlito"/>
                <w:sz w:val="16"/>
              </w:rPr>
              <w:t>5.7</w:t>
            </w:r>
          </w:p>
        </w:tc>
        <w:tc>
          <w:tcPr>
            <w:tcW w:w="1141" w:type="dxa"/>
          </w:tcPr>
          <w:p>
            <w:pPr>
              <w:pStyle w:val="TableParagraph"/>
              <w:ind w:right="374"/>
              <w:rPr>
                <w:rFonts w:ascii="Carlito"/>
                <w:sz w:val="16"/>
              </w:rPr>
            </w:pPr>
            <w:r>
              <w:rPr>
                <w:rFonts w:ascii="Carlito"/>
                <w:sz w:val="16"/>
              </w:rPr>
              <w:t>3.2</w:t>
            </w:r>
          </w:p>
        </w:tc>
        <w:tc>
          <w:tcPr>
            <w:tcW w:w="827" w:type="dxa"/>
          </w:tcPr>
          <w:p>
            <w:pPr>
              <w:pStyle w:val="TableParagraph"/>
              <w:ind w:right="389"/>
              <w:rPr>
                <w:rFonts w:ascii="Carlito"/>
                <w:sz w:val="16"/>
              </w:rPr>
            </w:pPr>
            <w:r>
              <w:rPr>
                <w:rFonts w:ascii="Carlito"/>
                <w:sz w:val="16"/>
              </w:rPr>
              <w:t>0</w:t>
            </w:r>
          </w:p>
        </w:tc>
        <w:tc>
          <w:tcPr>
            <w:tcW w:w="531" w:type="dxa"/>
          </w:tcPr>
          <w:p>
            <w:pPr>
              <w:pStyle w:val="TableParagraph"/>
              <w:ind w:right="76"/>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148</w:t>
            </w:r>
          </w:p>
        </w:tc>
        <w:tc>
          <w:tcPr>
            <w:tcW w:w="1938" w:type="dxa"/>
            <w:shd w:val="clear" w:color="auto" w:fill="D9D9D9"/>
          </w:tcPr>
          <w:p>
            <w:pPr>
              <w:pStyle w:val="TableParagraph"/>
              <w:spacing w:before="92"/>
              <w:ind w:left="143"/>
              <w:jc w:val="left"/>
              <w:rPr>
                <w:rFonts w:ascii="Carlito"/>
                <w:sz w:val="16"/>
              </w:rPr>
            </w:pPr>
            <w:r>
              <w:rPr>
                <w:rFonts w:ascii="Carlito"/>
                <w:sz w:val="16"/>
              </w:rPr>
              <w:t>Pinares</w:t>
            </w:r>
          </w:p>
        </w:tc>
        <w:tc>
          <w:tcPr>
            <w:tcW w:w="656" w:type="dxa"/>
            <w:shd w:val="clear" w:color="auto" w:fill="D9D9D9"/>
          </w:tcPr>
          <w:p>
            <w:pPr>
              <w:pStyle w:val="TableParagraph"/>
              <w:spacing w:before="92"/>
              <w:ind w:right="130"/>
              <w:rPr>
                <w:rFonts w:ascii="Carlito"/>
                <w:sz w:val="16"/>
              </w:rPr>
            </w:pPr>
            <w:r>
              <w:rPr>
                <w:rFonts w:ascii="Carlito"/>
                <w:sz w:val="16"/>
              </w:rPr>
              <w:t>1</w:t>
            </w:r>
          </w:p>
        </w:tc>
        <w:tc>
          <w:tcPr>
            <w:tcW w:w="1359" w:type="dxa"/>
            <w:shd w:val="clear" w:color="auto" w:fill="D9D9D9"/>
          </w:tcPr>
          <w:p>
            <w:pPr>
              <w:pStyle w:val="TableParagraph"/>
              <w:spacing w:before="92"/>
              <w:ind w:left="130"/>
              <w:jc w:val="left"/>
              <w:rPr>
                <w:rFonts w:ascii="Carlito"/>
                <w:sz w:val="16"/>
              </w:rPr>
            </w:pPr>
            <w:r>
              <w:rPr>
                <w:rFonts w:ascii="Carlito"/>
                <w:sz w:val="16"/>
              </w:rPr>
              <w:t>$480,000.00</w:t>
            </w:r>
          </w:p>
        </w:tc>
        <w:tc>
          <w:tcPr>
            <w:tcW w:w="1001" w:type="dxa"/>
            <w:shd w:val="clear" w:color="auto" w:fill="D9D9D9"/>
          </w:tcPr>
          <w:p>
            <w:pPr>
              <w:pStyle w:val="TableParagraph"/>
              <w:spacing w:before="92"/>
              <w:ind w:right="343"/>
              <w:rPr>
                <w:rFonts w:ascii="Carlito"/>
                <w:sz w:val="16"/>
              </w:rPr>
            </w:pPr>
            <w:r>
              <w:rPr>
                <w:rFonts w:ascii="Carlito"/>
                <w:sz w:val="16"/>
              </w:rPr>
              <w:t>343</w:t>
            </w:r>
          </w:p>
        </w:tc>
        <w:tc>
          <w:tcPr>
            <w:tcW w:w="1128" w:type="dxa"/>
            <w:shd w:val="clear" w:color="auto" w:fill="D9D9D9"/>
          </w:tcPr>
          <w:p>
            <w:pPr>
              <w:pStyle w:val="TableParagraph"/>
              <w:spacing w:before="92"/>
              <w:ind w:left="316" w:right="444"/>
              <w:jc w:val="center"/>
              <w:rPr>
                <w:rFonts w:ascii="Carlito"/>
                <w:sz w:val="16"/>
              </w:rPr>
            </w:pPr>
            <w:r>
              <w:rPr>
                <w:rFonts w:ascii="Carlito"/>
                <w:sz w:val="16"/>
              </w:rPr>
              <w:t>2006</w:t>
            </w:r>
          </w:p>
        </w:tc>
        <w:tc>
          <w:tcPr>
            <w:tcW w:w="783" w:type="dxa"/>
            <w:shd w:val="clear" w:color="auto" w:fill="D9D9D9"/>
          </w:tcPr>
          <w:p>
            <w:pPr>
              <w:pStyle w:val="TableParagraph"/>
              <w:spacing w:before="92"/>
              <w:ind w:right="240"/>
              <w:rPr>
                <w:rFonts w:ascii="Carlito"/>
                <w:sz w:val="16"/>
              </w:rPr>
            </w:pPr>
            <w:r>
              <w:rPr>
                <w:rFonts w:ascii="Carlito"/>
                <w:sz w:val="16"/>
              </w:rPr>
              <w:t>3</w:t>
            </w:r>
          </w:p>
        </w:tc>
        <w:tc>
          <w:tcPr>
            <w:tcW w:w="746" w:type="dxa"/>
            <w:shd w:val="clear" w:color="auto" w:fill="D9D9D9"/>
          </w:tcPr>
          <w:p>
            <w:pPr>
              <w:pStyle w:val="TableParagraph"/>
              <w:spacing w:before="92"/>
              <w:ind w:right="310"/>
              <w:rPr>
                <w:rFonts w:ascii="Carlito"/>
                <w:sz w:val="16"/>
              </w:rPr>
            </w:pPr>
            <w:r>
              <w:rPr>
                <w:rFonts w:ascii="Carlito"/>
                <w:sz w:val="16"/>
              </w:rPr>
              <w:t>3.5</w:t>
            </w:r>
          </w:p>
        </w:tc>
        <w:tc>
          <w:tcPr>
            <w:tcW w:w="817" w:type="dxa"/>
            <w:shd w:val="clear" w:color="auto" w:fill="D9D9D9"/>
          </w:tcPr>
          <w:p>
            <w:pPr>
              <w:pStyle w:val="TableParagraph"/>
              <w:spacing w:before="92"/>
              <w:ind w:left="295"/>
              <w:jc w:val="left"/>
              <w:rPr>
                <w:rFonts w:ascii="Carlito"/>
                <w:sz w:val="16"/>
              </w:rPr>
            </w:pPr>
            <w:r>
              <w:rPr>
                <w:rFonts w:ascii="Carlito"/>
                <w:sz w:val="16"/>
              </w:rPr>
              <w:t>2</w:t>
            </w:r>
          </w:p>
        </w:tc>
        <w:tc>
          <w:tcPr>
            <w:tcW w:w="1291" w:type="dxa"/>
            <w:shd w:val="clear" w:color="auto" w:fill="D9D9D9"/>
          </w:tcPr>
          <w:p>
            <w:pPr>
              <w:pStyle w:val="TableParagraph"/>
              <w:spacing w:before="92"/>
              <w:ind w:right="581"/>
              <w:rPr>
                <w:rFonts w:ascii="Carlito"/>
                <w:sz w:val="16"/>
              </w:rPr>
            </w:pPr>
            <w:r>
              <w:rPr>
                <w:rFonts w:ascii="Carlito"/>
                <w:sz w:val="16"/>
              </w:rPr>
              <w:t>7.4</w:t>
            </w:r>
          </w:p>
        </w:tc>
        <w:tc>
          <w:tcPr>
            <w:tcW w:w="1141" w:type="dxa"/>
            <w:shd w:val="clear" w:color="auto" w:fill="D9D9D9"/>
          </w:tcPr>
          <w:p>
            <w:pPr>
              <w:pStyle w:val="TableParagraph"/>
              <w:spacing w:before="92"/>
              <w:ind w:right="374"/>
              <w:rPr>
                <w:rFonts w:ascii="Carlito"/>
                <w:sz w:val="16"/>
              </w:rPr>
            </w:pPr>
            <w:r>
              <w:rPr>
                <w:rFonts w:ascii="Carlito"/>
                <w:sz w:val="16"/>
              </w:rPr>
              <w:t>3.1</w:t>
            </w:r>
          </w:p>
        </w:tc>
        <w:tc>
          <w:tcPr>
            <w:tcW w:w="827" w:type="dxa"/>
            <w:shd w:val="clear" w:color="auto" w:fill="D9D9D9"/>
          </w:tcPr>
          <w:p>
            <w:pPr>
              <w:pStyle w:val="TableParagraph"/>
              <w:spacing w:before="92"/>
              <w:ind w:right="389"/>
              <w:rPr>
                <w:rFonts w:ascii="Carlito"/>
                <w:sz w:val="16"/>
              </w:rPr>
            </w:pPr>
            <w:r>
              <w:rPr>
                <w:rFonts w:ascii="Carlito"/>
                <w:sz w:val="16"/>
              </w:rPr>
              <w:t>0</w:t>
            </w:r>
          </w:p>
        </w:tc>
        <w:tc>
          <w:tcPr>
            <w:tcW w:w="531" w:type="dxa"/>
            <w:shd w:val="clear" w:color="auto" w:fill="D9D9D9"/>
          </w:tcPr>
          <w:p>
            <w:pPr>
              <w:pStyle w:val="TableParagraph"/>
              <w:spacing w:before="92"/>
              <w:ind w:right="76"/>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149</w:t>
            </w:r>
          </w:p>
        </w:tc>
        <w:tc>
          <w:tcPr>
            <w:tcW w:w="1938" w:type="dxa"/>
          </w:tcPr>
          <w:p>
            <w:pPr>
              <w:pStyle w:val="TableParagraph"/>
              <w:ind w:left="143"/>
              <w:jc w:val="left"/>
              <w:rPr>
                <w:rFonts w:ascii="Carlito"/>
                <w:sz w:val="16"/>
              </w:rPr>
            </w:pPr>
            <w:r>
              <w:rPr>
                <w:rFonts w:ascii="Carlito"/>
                <w:sz w:val="16"/>
              </w:rPr>
              <w:t>Freses</w:t>
            </w:r>
          </w:p>
        </w:tc>
        <w:tc>
          <w:tcPr>
            <w:tcW w:w="656" w:type="dxa"/>
          </w:tcPr>
          <w:p>
            <w:pPr>
              <w:pStyle w:val="TableParagraph"/>
              <w:ind w:right="130"/>
              <w:rPr>
                <w:rFonts w:ascii="Carlito"/>
                <w:sz w:val="16"/>
              </w:rPr>
            </w:pPr>
            <w:r>
              <w:rPr>
                <w:rFonts w:ascii="Carlito"/>
                <w:sz w:val="16"/>
              </w:rPr>
              <w:t>1</w:t>
            </w:r>
          </w:p>
        </w:tc>
        <w:tc>
          <w:tcPr>
            <w:tcW w:w="1359" w:type="dxa"/>
          </w:tcPr>
          <w:p>
            <w:pPr>
              <w:pStyle w:val="TableParagraph"/>
              <w:ind w:left="130"/>
              <w:jc w:val="left"/>
              <w:rPr>
                <w:rFonts w:ascii="Carlito"/>
                <w:sz w:val="16"/>
              </w:rPr>
            </w:pPr>
            <w:r>
              <w:rPr>
                <w:rFonts w:ascii="Carlito"/>
                <w:sz w:val="16"/>
              </w:rPr>
              <w:t>$420,000.00</w:t>
            </w:r>
          </w:p>
        </w:tc>
        <w:tc>
          <w:tcPr>
            <w:tcW w:w="1001" w:type="dxa"/>
          </w:tcPr>
          <w:p>
            <w:pPr>
              <w:pStyle w:val="TableParagraph"/>
              <w:ind w:right="343"/>
              <w:rPr>
                <w:rFonts w:ascii="Carlito"/>
                <w:sz w:val="16"/>
              </w:rPr>
            </w:pPr>
            <w:r>
              <w:rPr>
                <w:rFonts w:ascii="Carlito"/>
                <w:sz w:val="16"/>
              </w:rPr>
              <w:t>350</w:t>
            </w:r>
          </w:p>
        </w:tc>
        <w:tc>
          <w:tcPr>
            <w:tcW w:w="1128" w:type="dxa"/>
          </w:tcPr>
          <w:p>
            <w:pPr>
              <w:pStyle w:val="TableParagraph"/>
              <w:ind w:left="316" w:right="444"/>
              <w:jc w:val="center"/>
              <w:rPr>
                <w:rFonts w:ascii="Carlito"/>
                <w:sz w:val="16"/>
              </w:rPr>
            </w:pPr>
            <w:r>
              <w:rPr>
                <w:rFonts w:ascii="Carlito"/>
                <w:sz w:val="16"/>
              </w:rPr>
              <w:t>1987</w:t>
            </w:r>
          </w:p>
        </w:tc>
        <w:tc>
          <w:tcPr>
            <w:tcW w:w="783" w:type="dxa"/>
          </w:tcPr>
          <w:p>
            <w:pPr>
              <w:pStyle w:val="TableParagraph"/>
              <w:ind w:right="240"/>
              <w:rPr>
                <w:rFonts w:ascii="Carlito"/>
                <w:sz w:val="16"/>
              </w:rPr>
            </w:pPr>
            <w:r>
              <w:rPr>
                <w:rFonts w:ascii="Carlito"/>
                <w:sz w:val="16"/>
              </w:rPr>
              <w:t>3</w:t>
            </w:r>
          </w:p>
        </w:tc>
        <w:tc>
          <w:tcPr>
            <w:tcW w:w="746" w:type="dxa"/>
          </w:tcPr>
          <w:p>
            <w:pPr>
              <w:pStyle w:val="TableParagraph"/>
              <w:ind w:right="310"/>
              <w:rPr>
                <w:rFonts w:ascii="Carlito"/>
                <w:sz w:val="16"/>
              </w:rPr>
            </w:pPr>
            <w:r>
              <w:rPr>
                <w:rFonts w:ascii="Carlito"/>
                <w:sz w:val="16"/>
              </w:rPr>
              <w:t>2.5</w:t>
            </w:r>
          </w:p>
        </w:tc>
        <w:tc>
          <w:tcPr>
            <w:tcW w:w="817" w:type="dxa"/>
          </w:tcPr>
          <w:p>
            <w:pPr>
              <w:pStyle w:val="TableParagraph"/>
              <w:ind w:left="295"/>
              <w:jc w:val="left"/>
              <w:rPr>
                <w:rFonts w:ascii="Carlito"/>
                <w:sz w:val="16"/>
              </w:rPr>
            </w:pPr>
            <w:r>
              <w:rPr>
                <w:rFonts w:ascii="Carlito"/>
                <w:sz w:val="16"/>
              </w:rPr>
              <w:t>2</w:t>
            </w:r>
          </w:p>
        </w:tc>
        <w:tc>
          <w:tcPr>
            <w:tcW w:w="1291" w:type="dxa"/>
          </w:tcPr>
          <w:p>
            <w:pPr>
              <w:pStyle w:val="TableParagraph"/>
              <w:ind w:right="581"/>
              <w:rPr>
                <w:rFonts w:ascii="Carlito"/>
                <w:sz w:val="16"/>
              </w:rPr>
            </w:pPr>
            <w:r>
              <w:rPr>
                <w:rFonts w:ascii="Carlito"/>
                <w:sz w:val="16"/>
              </w:rPr>
              <w:t>5.2</w:t>
            </w:r>
          </w:p>
        </w:tc>
        <w:tc>
          <w:tcPr>
            <w:tcW w:w="1141" w:type="dxa"/>
          </w:tcPr>
          <w:p>
            <w:pPr>
              <w:pStyle w:val="TableParagraph"/>
              <w:ind w:right="374"/>
              <w:rPr>
                <w:rFonts w:ascii="Carlito"/>
                <w:sz w:val="16"/>
              </w:rPr>
            </w:pPr>
            <w:r>
              <w:rPr>
                <w:rFonts w:ascii="Carlito"/>
                <w:sz w:val="16"/>
              </w:rPr>
              <w:t>5.2</w:t>
            </w:r>
          </w:p>
        </w:tc>
        <w:tc>
          <w:tcPr>
            <w:tcW w:w="827" w:type="dxa"/>
          </w:tcPr>
          <w:p>
            <w:pPr>
              <w:pStyle w:val="TableParagraph"/>
              <w:ind w:right="389"/>
              <w:rPr>
                <w:rFonts w:ascii="Carlito"/>
                <w:sz w:val="16"/>
              </w:rPr>
            </w:pPr>
            <w:r>
              <w:rPr>
                <w:rFonts w:ascii="Carlito"/>
                <w:sz w:val="16"/>
              </w:rPr>
              <w:t>0</w:t>
            </w:r>
          </w:p>
        </w:tc>
        <w:tc>
          <w:tcPr>
            <w:tcW w:w="531" w:type="dxa"/>
          </w:tcPr>
          <w:p>
            <w:pPr>
              <w:pStyle w:val="TableParagraph"/>
              <w:ind w:right="7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150</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left="130"/>
              <w:jc w:val="left"/>
              <w:rPr>
                <w:rFonts w:ascii="Carlito"/>
                <w:sz w:val="16"/>
              </w:rPr>
            </w:pPr>
            <w:r>
              <w:rPr>
                <w:rFonts w:ascii="Carlito"/>
                <w:sz w:val="16"/>
              </w:rPr>
              <w:t>$160,000.00</w:t>
            </w:r>
          </w:p>
        </w:tc>
        <w:tc>
          <w:tcPr>
            <w:tcW w:w="1001" w:type="dxa"/>
            <w:shd w:val="clear" w:color="auto" w:fill="D9D9D9"/>
          </w:tcPr>
          <w:p>
            <w:pPr>
              <w:pStyle w:val="TableParagraph"/>
              <w:ind w:right="343"/>
              <w:rPr>
                <w:rFonts w:ascii="Carlito"/>
                <w:sz w:val="16"/>
              </w:rPr>
            </w:pPr>
            <w:r>
              <w:rPr>
                <w:rFonts w:ascii="Carlito"/>
                <w:sz w:val="16"/>
              </w:rPr>
              <w:t>155</w:t>
            </w:r>
          </w:p>
        </w:tc>
        <w:tc>
          <w:tcPr>
            <w:tcW w:w="1128" w:type="dxa"/>
            <w:shd w:val="clear" w:color="auto" w:fill="D9D9D9"/>
          </w:tcPr>
          <w:p>
            <w:pPr>
              <w:pStyle w:val="TableParagraph"/>
              <w:ind w:left="316" w:right="444"/>
              <w:jc w:val="center"/>
              <w:rPr>
                <w:rFonts w:ascii="Carlito"/>
                <w:sz w:val="16"/>
              </w:rPr>
            </w:pPr>
            <w:r>
              <w:rPr>
                <w:rFonts w:ascii="Carlito"/>
                <w:sz w:val="16"/>
              </w:rPr>
              <w:t>2006</w:t>
            </w:r>
          </w:p>
        </w:tc>
        <w:tc>
          <w:tcPr>
            <w:tcW w:w="783" w:type="dxa"/>
            <w:shd w:val="clear" w:color="auto" w:fill="D9D9D9"/>
          </w:tcPr>
          <w:p>
            <w:pPr>
              <w:pStyle w:val="TableParagraph"/>
              <w:ind w:right="240"/>
              <w:rPr>
                <w:rFonts w:ascii="Carlito"/>
                <w:sz w:val="16"/>
              </w:rPr>
            </w:pPr>
            <w:r>
              <w:rPr>
                <w:rFonts w:ascii="Carlito"/>
                <w:sz w:val="16"/>
              </w:rPr>
              <w:t>3</w:t>
            </w:r>
          </w:p>
        </w:tc>
        <w:tc>
          <w:tcPr>
            <w:tcW w:w="746" w:type="dxa"/>
            <w:shd w:val="clear" w:color="auto" w:fill="D9D9D9"/>
          </w:tcPr>
          <w:p>
            <w:pPr>
              <w:pStyle w:val="TableParagraph"/>
              <w:ind w:right="310"/>
              <w:rPr>
                <w:rFonts w:ascii="Carlito"/>
                <w:sz w:val="16"/>
              </w:rPr>
            </w:pPr>
            <w:r>
              <w:rPr>
                <w:rFonts w:ascii="Carlito"/>
                <w:sz w:val="16"/>
              </w:rPr>
              <w:t>2.5</w:t>
            </w:r>
          </w:p>
        </w:tc>
        <w:tc>
          <w:tcPr>
            <w:tcW w:w="817" w:type="dxa"/>
            <w:shd w:val="clear" w:color="auto" w:fill="D9D9D9"/>
          </w:tcPr>
          <w:p>
            <w:pPr>
              <w:pStyle w:val="TableParagraph"/>
              <w:ind w:left="295"/>
              <w:jc w:val="left"/>
              <w:rPr>
                <w:rFonts w:ascii="Carlito"/>
                <w:sz w:val="16"/>
              </w:rPr>
            </w:pPr>
            <w:r>
              <w:rPr>
                <w:rFonts w:ascii="Carlito"/>
                <w:sz w:val="16"/>
              </w:rPr>
              <w:t>2</w:t>
            </w:r>
          </w:p>
        </w:tc>
        <w:tc>
          <w:tcPr>
            <w:tcW w:w="1291" w:type="dxa"/>
            <w:shd w:val="clear" w:color="auto" w:fill="D9D9D9"/>
          </w:tcPr>
          <w:p>
            <w:pPr>
              <w:pStyle w:val="TableParagraph"/>
              <w:ind w:right="581"/>
              <w:rPr>
                <w:rFonts w:ascii="Carlito"/>
                <w:sz w:val="16"/>
              </w:rPr>
            </w:pPr>
            <w:r>
              <w:rPr>
                <w:rFonts w:ascii="Carlito"/>
                <w:sz w:val="16"/>
              </w:rPr>
              <w:t>5.7</w:t>
            </w:r>
          </w:p>
        </w:tc>
        <w:tc>
          <w:tcPr>
            <w:tcW w:w="1141" w:type="dxa"/>
            <w:shd w:val="clear" w:color="auto" w:fill="D9D9D9"/>
          </w:tcPr>
          <w:p>
            <w:pPr>
              <w:pStyle w:val="TableParagraph"/>
              <w:ind w:right="374"/>
              <w:rPr>
                <w:rFonts w:ascii="Carlito"/>
                <w:sz w:val="16"/>
              </w:rPr>
            </w:pPr>
            <w:r>
              <w:rPr>
                <w:rFonts w:ascii="Carlito"/>
                <w:sz w:val="16"/>
              </w:rPr>
              <w:t>3.2</w:t>
            </w:r>
          </w:p>
        </w:tc>
        <w:tc>
          <w:tcPr>
            <w:tcW w:w="827" w:type="dxa"/>
            <w:shd w:val="clear" w:color="auto" w:fill="D9D9D9"/>
          </w:tcPr>
          <w:p>
            <w:pPr>
              <w:pStyle w:val="TableParagraph"/>
              <w:ind w:right="389"/>
              <w:rPr>
                <w:rFonts w:ascii="Carlito"/>
                <w:sz w:val="16"/>
              </w:rPr>
            </w:pPr>
            <w:r>
              <w:rPr>
                <w:rFonts w:ascii="Carlito"/>
                <w:sz w:val="16"/>
              </w:rPr>
              <w:t>0</w:t>
            </w:r>
          </w:p>
        </w:tc>
        <w:tc>
          <w:tcPr>
            <w:tcW w:w="531" w:type="dxa"/>
            <w:shd w:val="clear" w:color="auto" w:fill="D9D9D9"/>
          </w:tcPr>
          <w:p>
            <w:pPr>
              <w:pStyle w:val="TableParagraph"/>
              <w:ind w:right="76"/>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151</w:t>
            </w:r>
          </w:p>
        </w:tc>
        <w:tc>
          <w:tcPr>
            <w:tcW w:w="1938" w:type="dxa"/>
          </w:tcPr>
          <w:p>
            <w:pPr>
              <w:pStyle w:val="TableParagraph"/>
              <w:ind w:left="143"/>
              <w:jc w:val="left"/>
              <w:rPr>
                <w:rFonts w:ascii="Carlito"/>
                <w:sz w:val="16"/>
              </w:rPr>
            </w:pPr>
            <w:r>
              <w:rPr>
                <w:rFonts w:ascii="Carlito"/>
                <w:sz w:val="16"/>
              </w:rPr>
              <w:t>Curridabat</w:t>
            </w:r>
          </w:p>
        </w:tc>
        <w:tc>
          <w:tcPr>
            <w:tcW w:w="656" w:type="dxa"/>
          </w:tcPr>
          <w:p>
            <w:pPr>
              <w:pStyle w:val="TableParagraph"/>
              <w:ind w:right="130"/>
              <w:rPr>
                <w:rFonts w:ascii="Carlito"/>
                <w:sz w:val="16"/>
              </w:rPr>
            </w:pPr>
            <w:r>
              <w:rPr>
                <w:rFonts w:ascii="Carlito"/>
                <w:sz w:val="16"/>
              </w:rPr>
              <w:t>0</w:t>
            </w:r>
          </w:p>
        </w:tc>
        <w:tc>
          <w:tcPr>
            <w:tcW w:w="1359" w:type="dxa"/>
          </w:tcPr>
          <w:p>
            <w:pPr>
              <w:pStyle w:val="TableParagraph"/>
              <w:ind w:left="130"/>
              <w:jc w:val="left"/>
              <w:rPr>
                <w:rFonts w:ascii="Carlito"/>
                <w:sz w:val="16"/>
              </w:rPr>
            </w:pPr>
            <w:r>
              <w:rPr>
                <w:rFonts w:ascii="Carlito"/>
                <w:sz w:val="16"/>
              </w:rPr>
              <w:t>$210,225.00</w:t>
            </w:r>
          </w:p>
        </w:tc>
        <w:tc>
          <w:tcPr>
            <w:tcW w:w="1001" w:type="dxa"/>
          </w:tcPr>
          <w:p>
            <w:pPr>
              <w:pStyle w:val="TableParagraph"/>
              <w:ind w:right="343"/>
              <w:rPr>
                <w:rFonts w:ascii="Carlito"/>
                <w:sz w:val="16"/>
              </w:rPr>
            </w:pPr>
            <w:r>
              <w:rPr>
                <w:rFonts w:ascii="Carlito"/>
                <w:sz w:val="16"/>
              </w:rPr>
              <w:t>144</w:t>
            </w:r>
          </w:p>
        </w:tc>
        <w:tc>
          <w:tcPr>
            <w:tcW w:w="1128" w:type="dxa"/>
          </w:tcPr>
          <w:p>
            <w:pPr>
              <w:pStyle w:val="TableParagraph"/>
              <w:ind w:left="316" w:right="444"/>
              <w:jc w:val="center"/>
              <w:rPr>
                <w:rFonts w:ascii="Carlito"/>
                <w:sz w:val="16"/>
              </w:rPr>
            </w:pPr>
            <w:r>
              <w:rPr>
                <w:rFonts w:ascii="Carlito"/>
                <w:sz w:val="16"/>
              </w:rPr>
              <w:t>2015</w:t>
            </w:r>
          </w:p>
        </w:tc>
        <w:tc>
          <w:tcPr>
            <w:tcW w:w="783" w:type="dxa"/>
          </w:tcPr>
          <w:p>
            <w:pPr>
              <w:pStyle w:val="TableParagraph"/>
              <w:ind w:right="240"/>
              <w:rPr>
                <w:rFonts w:ascii="Carlito"/>
                <w:sz w:val="16"/>
              </w:rPr>
            </w:pPr>
            <w:r>
              <w:rPr>
                <w:rFonts w:ascii="Carlito"/>
                <w:sz w:val="16"/>
              </w:rPr>
              <w:t>3</w:t>
            </w:r>
          </w:p>
        </w:tc>
        <w:tc>
          <w:tcPr>
            <w:tcW w:w="746" w:type="dxa"/>
          </w:tcPr>
          <w:p>
            <w:pPr>
              <w:pStyle w:val="TableParagraph"/>
              <w:ind w:right="310"/>
              <w:rPr>
                <w:rFonts w:ascii="Carlito"/>
                <w:sz w:val="16"/>
              </w:rPr>
            </w:pPr>
            <w:r>
              <w:rPr>
                <w:rFonts w:ascii="Carlito"/>
                <w:sz w:val="16"/>
              </w:rPr>
              <w:t>2.5</w:t>
            </w:r>
          </w:p>
        </w:tc>
        <w:tc>
          <w:tcPr>
            <w:tcW w:w="817" w:type="dxa"/>
          </w:tcPr>
          <w:p>
            <w:pPr>
              <w:pStyle w:val="TableParagraph"/>
              <w:ind w:left="295"/>
              <w:jc w:val="left"/>
              <w:rPr>
                <w:rFonts w:ascii="Carlito"/>
                <w:sz w:val="16"/>
              </w:rPr>
            </w:pPr>
            <w:r>
              <w:rPr>
                <w:rFonts w:ascii="Carlito"/>
                <w:sz w:val="16"/>
              </w:rPr>
              <w:t>2</w:t>
            </w:r>
          </w:p>
        </w:tc>
        <w:tc>
          <w:tcPr>
            <w:tcW w:w="1291" w:type="dxa"/>
          </w:tcPr>
          <w:p>
            <w:pPr>
              <w:pStyle w:val="TableParagraph"/>
              <w:ind w:right="581"/>
              <w:rPr>
                <w:rFonts w:ascii="Carlito"/>
                <w:sz w:val="16"/>
              </w:rPr>
            </w:pPr>
            <w:r>
              <w:rPr>
                <w:rFonts w:ascii="Carlito"/>
                <w:sz w:val="16"/>
              </w:rPr>
              <w:t>5.7</w:t>
            </w:r>
          </w:p>
        </w:tc>
        <w:tc>
          <w:tcPr>
            <w:tcW w:w="1141" w:type="dxa"/>
          </w:tcPr>
          <w:p>
            <w:pPr>
              <w:pStyle w:val="TableParagraph"/>
              <w:ind w:right="374"/>
              <w:rPr>
                <w:rFonts w:ascii="Carlito"/>
                <w:sz w:val="16"/>
              </w:rPr>
            </w:pPr>
            <w:r>
              <w:rPr>
                <w:rFonts w:ascii="Carlito"/>
                <w:sz w:val="16"/>
              </w:rPr>
              <w:t>3.2</w:t>
            </w:r>
          </w:p>
        </w:tc>
        <w:tc>
          <w:tcPr>
            <w:tcW w:w="827" w:type="dxa"/>
          </w:tcPr>
          <w:p>
            <w:pPr>
              <w:pStyle w:val="TableParagraph"/>
              <w:ind w:right="389"/>
              <w:rPr>
                <w:rFonts w:ascii="Carlito"/>
                <w:sz w:val="16"/>
              </w:rPr>
            </w:pPr>
            <w:r>
              <w:rPr>
                <w:rFonts w:ascii="Carlito"/>
                <w:sz w:val="16"/>
              </w:rPr>
              <w:t>0</w:t>
            </w:r>
          </w:p>
        </w:tc>
        <w:tc>
          <w:tcPr>
            <w:tcW w:w="531" w:type="dxa"/>
          </w:tcPr>
          <w:p>
            <w:pPr>
              <w:pStyle w:val="TableParagraph"/>
              <w:ind w:right="76"/>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152</w:t>
            </w:r>
          </w:p>
        </w:tc>
        <w:tc>
          <w:tcPr>
            <w:tcW w:w="1938" w:type="dxa"/>
            <w:shd w:val="clear" w:color="auto" w:fill="D9D9D9"/>
          </w:tcPr>
          <w:p>
            <w:pPr>
              <w:pStyle w:val="TableParagraph"/>
              <w:ind w:left="143"/>
              <w:jc w:val="left"/>
              <w:rPr>
                <w:rFonts w:ascii="Carlito"/>
                <w:sz w:val="16"/>
              </w:rPr>
            </w:pPr>
            <w:r>
              <w:rPr>
                <w:rFonts w:ascii="Carlito"/>
                <w:sz w:val="16"/>
              </w:rPr>
              <w:t>Granadilla</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left="130"/>
              <w:jc w:val="left"/>
              <w:rPr>
                <w:rFonts w:ascii="Carlito"/>
                <w:sz w:val="16"/>
              </w:rPr>
            </w:pPr>
            <w:r>
              <w:rPr>
                <w:rFonts w:ascii="Carlito"/>
                <w:sz w:val="16"/>
              </w:rPr>
              <w:t>$450,000.00</w:t>
            </w:r>
          </w:p>
        </w:tc>
        <w:tc>
          <w:tcPr>
            <w:tcW w:w="1001" w:type="dxa"/>
            <w:shd w:val="clear" w:color="auto" w:fill="D9D9D9"/>
          </w:tcPr>
          <w:p>
            <w:pPr>
              <w:pStyle w:val="TableParagraph"/>
              <w:ind w:right="343"/>
              <w:rPr>
                <w:rFonts w:ascii="Carlito"/>
                <w:sz w:val="16"/>
              </w:rPr>
            </w:pPr>
            <w:r>
              <w:rPr>
                <w:rFonts w:ascii="Carlito"/>
                <w:sz w:val="16"/>
              </w:rPr>
              <w:t>715</w:t>
            </w:r>
          </w:p>
        </w:tc>
        <w:tc>
          <w:tcPr>
            <w:tcW w:w="1128" w:type="dxa"/>
            <w:shd w:val="clear" w:color="auto" w:fill="D9D9D9"/>
          </w:tcPr>
          <w:p>
            <w:pPr>
              <w:pStyle w:val="TableParagraph"/>
              <w:ind w:left="316" w:right="444"/>
              <w:jc w:val="center"/>
              <w:rPr>
                <w:rFonts w:ascii="Carlito"/>
                <w:sz w:val="16"/>
              </w:rPr>
            </w:pPr>
            <w:r>
              <w:rPr>
                <w:rFonts w:ascii="Carlito"/>
                <w:sz w:val="16"/>
              </w:rPr>
              <w:t>2006</w:t>
            </w:r>
          </w:p>
        </w:tc>
        <w:tc>
          <w:tcPr>
            <w:tcW w:w="783" w:type="dxa"/>
            <w:shd w:val="clear" w:color="auto" w:fill="D9D9D9"/>
          </w:tcPr>
          <w:p>
            <w:pPr>
              <w:pStyle w:val="TableParagraph"/>
              <w:ind w:right="240"/>
              <w:rPr>
                <w:rFonts w:ascii="Carlito"/>
                <w:sz w:val="16"/>
              </w:rPr>
            </w:pPr>
            <w:r>
              <w:rPr>
                <w:rFonts w:ascii="Carlito"/>
                <w:sz w:val="16"/>
              </w:rPr>
              <w:t>4</w:t>
            </w:r>
          </w:p>
        </w:tc>
        <w:tc>
          <w:tcPr>
            <w:tcW w:w="746" w:type="dxa"/>
            <w:shd w:val="clear" w:color="auto" w:fill="D9D9D9"/>
          </w:tcPr>
          <w:p>
            <w:pPr>
              <w:pStyle w:val="TableParagraph"/>
              <w:ind w:right="310"/>
              <w:rPr>
                <w:rFonts w:ascii="Carlito"/>
                <w:sz w:val="16"/>
              </w:rPr>
            </w:pPr>
            <w:r>
              <w:rPr>
                <w:rFonts w:ascii="Carlito"/>
                <w:sz w:val="16"/>
              </w:rPr>
              <w:t>4.5</w:t>
            </w:r>
          </w:p>
        </w:tc>
        <w:tc>
          <w:tcPr>
            <w:tcW w:w="817" w:type="dxa"/>
            <w:shd w:val="clear" w:color="auto" w:fill="D9D9D9"/>
          </w:tcPr>
          <w:p>
            <w:pPr>
              <w:pStyle w:val="TableParagraph"/>
              <w:ind w:left="295"/>
              <w:jc w:val="left"/>
              <w:rPr>
                <w:rFonts w:ascii="Carlito"/>
                <w:sz w:val="16"/>
              </w:rPr>
            </w:pPr>
            <w:r>
              <w:rPr>
                <w:rFonts w:ascii="Carlito"/>
                <w:sz w:val="16"/>
              </w:rPr>
              <w:t>2</w:t>
            </w:r>
          </w:p>
        </w:tc>
        <w:tc>
          <w:tcPr>
            <w:tcW w:w="1291" w:type="dxa"/>
            <w:shd w:val="clear" w:color="auto" w:fill="D9D9D9"/>
          </w:tcPr>
          <w:p>
            <w:pPr>
              <w:pStyle w:val="TableParagraph"/>
              <w:ind w:right="581"/>
              <w:rPr>
                <w:rFonts w:ascii="Carlito"/>
                <w:sz w:val="16"/>
              </w:rPr>
            </w:pPr>
            <w:r>
              <w:rPr>
                <w:rFonts w:ascii="Carlito"/>
                <w:sz w:val="16"/>
              </w:rPr>
              <w:t>7.2</w:t>
            </w:r>
          </w:p>
        </w:tc>
        <w:tc>
          <w:tcPr>
            <w:tcW w:w="1141" w:type="dxa"/>
            <w:shd w:val="clear" w:color="auto" w:fill="D9D9D9"/>
          </w:tcPr>
          <w:p>
            <w:pPr>
              <w:pStyle w:val="TableParagraph"/>
              <w:ind w:right="374"/>
              <w:rPr>
                <w:rFonts w:ascii="Carlito"/>
                <w:sz w:val="16"/>
              </w:rPr>
            </w:pPr>
            <w:r>
              <w:rPr>
                <w:rFonts w:ascii="Carlito"/>
                <w:sz w:val="16"/>
              </w:rPr>
              <w:t>5.6</w:t>
            </w:r>
          </w:p>
        </w:tc>
        <w:tc>
          <w:tcPr>
            <w:tcW w:w="827" w:type="dxa"/>
            <w:shd w:val="clear" w:color="auto" w:fill="D9D9D9"/>
          </w:tcPr>
          <w:p>
            <w:pPr>
              <w:pStyle w:val="TableParagraph"/>
              <w:ind w:right="389"/>
              <w:rPr>
                <w:rFonts w:ascii="Carlito"/>
                <w:sz w:val="16"/>
              </w:rPr>
            </w:pPr>
            <w:r>
              <w:rPr>
                <w:rFonts w:ascii="Carlito"/>
                <w:sz w:val="16"/>
              </w:rPr>
              <w:t>1</w:t>
            </w:r>
          </w:p>
        </w:tc>
        <w:tc>
          <w:tcPr>
            <w:tcW w:w="531" w:type="dxa"/>
            <w:shd w:val="clear" w:color="auto" w:fill="D9D9D9"/>
          </w:tcPr>
          <w:p>
            <w:pPr>
              <w:pStyle w:val="TableParagraph"/>
              <w:ind w:right="76"/>
              <w:rPr>
                <w:rFonts w:ascii="Carlito"/>
                <w:sz w:val="16"/>
              </w:rPr>
            </w:pPr>
            <w:r>
              <w:rPr>
                <w:rFonts w:ascii="Carlito"/>
                <w:sz w:val="16"/>
              </w:rPr>
              <w:t>0</w:t>
            </w:r>
          </w:p>
        </w:tc>
      </w:tr>
      <w:tr>
        <w:trPr>
          <w:trHeight w:val="288" w:hRule="atLeast"/>
        </w:trPr>
        <w:tc>
          <w:tcPr>
            <w:tcW w:w="756" w:type="dxa"/>
          </w:tcPr>
          <w:p>
            <w:pPr>
              <w:pStyle w:val="TableParagraph"/>
              <w:spacing w:line="177" w:lineRule="exact"/>
              <w:ind w:right="143"/>
              <w:rPr>
                <w:rFonts w:ascii="Carlito"/>
                <w:sz w:val="16"/>
              </w:rPr>
            </w:pPr>
            <w:r>
              <w:rPr>
                <w:rFonts w:ascii="Carlito"/>
                <w:sz w:val="16"/>
              </w:rPr>
              <w:t>153</w:t>
            </w:r>
          </w:p>
        </w:tc>
        <w:tc>
          <w:tcPr>
            <w:tcW w:w="1938" w:type="dxa"/>
          </w:tcPr>
          <w:p>
            <w:pPr>
              <w:pStyle w:val="TableParagraph"/>
              <w:spacing w:line="177" w:lineRule="exact"/>
              <w:ind w:left="143"/>
              <w:jc w:val="left"/>
              <w:rPr>
                <w:rFonts w:ascii="Carlito"/>
                <w:sz w:val="16"/>
              </w:rPr>
            </w:pPr>
            <w:r>
              <w:rPr>
                <w:rFonts w:ascii="Carlito"/>
                <w:sz w:val="16"/>
              </w:rPr>
              <w:t>Altamonte</w:t>
            </w:r>
          </w:p>
        </w:tc>
        <w:tc>
          <w:tcPr>
            <w:tcW w:w="656" w:type="dxa"/>
          </w:tcPr>
          <w:p>
            <w:pPr>
              <w:pStyle w:val="TableParagraph"/>
              <w:spacing w:line="177" w:lineRule="exact"/>
              <w:ind w:right="130"/>
              <w:rPr>
                <w:rFonts w:ascii="Carlito"/>
                <w:sz w:val="16"/>
              </w:rPr>
            </w:pPr>
            <w:r>
              <w:rPr>
                <w:rFonts w:ascii="Carlito"/>
                <w:sz w:val="16"/>
              </w:rPr>
              <w:t>1</w:t>
            </w:r>
          </w:p>
        </w:tc>
        <w:tc>
          <w:tcPr>
            <w:tcW w:w="1359" w:type="dxa"/>
          </w:tcPr>
          <w:p>
            <w:pPr>
              <w:pStyle w:val="TableParagraph"/>
              <w:spacing w:line="177" w:lineRule="exact"/>
              <w:ind w:left="130"/>
              <w:jc w:val="left"/>
              <w:rPr>
                <w:rFonts w:ascii="Carlito"/>
                <w:sz w:val="16"/>
              </w:rPr>
            </w:pPr>
            <w:r>
              <w:rPr>
                <w:rFonts w:ascii="Carlito"/>
                <w:sz w:val="16"/>
              </w:rPr>
              <w:t>$920,000.00</w:t>
            </w:r>
          </w:p>
        </w:tc>
        <w:tc>
          <w:tcPr>
            <w:tcW w:w="1001" w:type="dxa"/>
          </w:tcPr>
          <w:p>
            <w:pPr>
              <w:pStyle w:val="TableParagraph"/>
              <w:spacing w:line="177" w:lineRule="exact"/>
              <w:ind w:right="343"/>
              <w:rPr>
                <w:rFonts w:ascii="Carlito"/>
                <w:sz w:val="16"/>
              </w:rPr>
            </w:pPr>
            <w:r>
              <w:rPr>
                <w:rFonts w:ascii="Carlito"/>
                <w:sz w:val="16"/>
              </w:rPr>
              <w:t>450</w:t>
            </w:r>
          </w:p>
        </w:tc>
        <w:tc>
          <w:tcPr>
            <w:tcW w:w="1128" w:type="dxa"/>
          </w:tcPr>
          <w:p>
            <w:pPr>
              <w:pStyle w:val="TableParagraph"/>
              <w:spacing w:line="177" w:lineRule="exact"/>
              <w:ind w:left="316" w:right="444"/>
              <w:jc w:val="center"/>
              <w:rPr>
                <w:rFonts w:ascii="Carlito"/>
                <w:sz w:val="16"/>
              </w:rPr>
            </w:pPr>
            <w:r>
              <w:rPr>
                <w:rFonts w:ascii="Carlito"/>
                <w:sz w:val="16"/>
              </w:rPr>
              <w:t>2014</w:t>
            </w:r>
          </w:p>
        </w:tc>
        <w:tc>
          <w:tcPr>
            <w:tcW w:w="783" w:type="dxa"/>
          </w:tcPr>
          <w:p>
            <w:pPr>
              <w:pStyle w:val="TableParagraph"/>
              <w:spacing w:line="177" w:lineRule="exact"/>
              <w:ind w:right="240"/>
              <w:rPr>
                <w:rFonts w:ascii="Carlito"/>
                <w:sz w:val="16"/>
              </w:rPr>
            </w:pPr>
            <w:r>
              <w:rPr>
                <w:rFonts w:ascii="Carlito"/>
                <w:sz w:val="16"/>
              </w:rPr>
              <w:t>4</w:t>
            </w:r>
          </w:p>
        </w:tc>
        <w:tc>
          <w:tcPr>
            <w:tcW w:w="746" w:type="dxa"/>
          </w:tcPr>
          <w:p>
            <w:pPr>
              <w:pStyle w:val="TableParagraph"/>
              <w:spacing w:line="177" w:lineRule="exact"/>
              <w:ind w:right="305"/>
              <w:rPr>
                <w:rFonts w:ascii="Carlito"/>
                <w:sz w:val="16"/>
              </w:rPr>
            </w:pPr>
            <w:r>
              <w:rPr>
                <w:rFonts w:ascii="Carlito"/>
                <w:sz w:val="16"/>
              </w:rPr>
              <w:t>3</w:t>
            </w:r>
          </w:p>
        </w:tc>
        <w:tc>
          <w:tcPr>
            <w:tcW w:w="817" w:type="dxa"/>
          </w:tcPr>
          <w:p>
            <w:pPr>
              <w:pStyle w:val="TableParagraph"/>
              <w:spacing w:line="177" w:lineRule="exact"/>
              <w:ind w:left="295"/>
              <w:jc w:val="left"/>
              <w:rPr>
                <w:rFonts w:ascii="Carlito"/>
                <w:sz w:val="16"/>
              </w:rPr>
            </w:pPr>
            <w:r>
              <w:rPr>
                <w:rFonts w:ascii="Carlito"/>
                <w:sz w:val="16"/>
              </w:rPr>
              <w:t>2</w:t>
            </w:r>
          </w:p>
        </w:tc>
        <w:tc>
          <w:tcPr>
            <w:tcW w:w="1291" w:type="dxa"/>
          </w:tcPr>
          <w:p>
            <w:pPr>
              <w:pStyle w:val="TableParagraph"/>
              <w:spacing w:line="177" w:lineRule="exact"/>
              <w:ind w:right="581"/>
              <w:rPr>
                <w:rFonts w:ascii="Carlito"/>
                <w:sz w:val="16"/>
              </w:rPr>
            </w:pPr>
            <w:r>
              <w:rPr>
                <w:rFonts w:ascii="Carlito"/>
                <w:sz w:val="16"/>
              </w:rPr>
              <w:t>6.6</w:t>
            </w:r>
          </w:p>
        </w:tc>
        <w:tc>
          <w:tcPr>
            <w:tcW w:w="1141" w:type="dxa"/>
          </w:tcPr>
          <w:p>
            <w:pPr>
              <w:pStyle w:val="TableParagraph"/>
              <w:spacing w:line="177" w:lineRule="exact"/>
              <w:ind w:right="374"/>
              <w:rPr>
                <w:rFonts w:ascii="Carlito"/>
                <w:sz w:val="16"/>
              </w:rPr>
            </w:pPr>
            <w:r>
              <w:rPr>
                <w:rFonts w:ascii="Carlito"/>
                <w:sz w:val="16"/>
              </w:rPr>
              <w:t>5.8</w:t>
            </w:r>
          </w:p>
        </w:tc>
        <w:tc>
          <w:tcPr>
            <w:tcW w:w="827" w:type="dxa"/>
          </w:tcPr>
          <w:p>
            <w:pPr>
              <w:pStyle w:val="TableParagraph"/>
              <w:spacing w:line="177" w:lineRule="exact"/>
              <w:ind w:right="389"/>
              <w:rPr>
                <w:rFonts w:ascii="Carlito"/>
                <w:sz w:val="16"/>
              </w:rPr>
            </w:pPr>
            <w:r>
              <w:rPr>
                <w:rFonts w:ascii="Carlito"/>
                <w:sz w:val="16"/>
              </w:rPr>
              <w:t>0</w:t>
            </w:r>
          </w:p>
        </w:tc>
        <w:tc>
          <w:tcPr>
            <w:tcW w:w="531" w:type="dxa"/>
          </w:tcPr>
          <w:p>
            <w:pPr>
              <w:pStyle w:val="TableParagraph"/>
              <w:spacing w:line="177" w:lineRule="exact"/>
              <w:ind w:right="76"/>
              <w:rPr>
                <w:rFonts w:ascii="Carlito"/>
                <w:sz w:val="16"/>
              </w:rPr>
            </w:pPr>
            <w:r>
              <w:rPr>
                <w:rFonts w:ascii="Carlito"/>
                <w:sz w:val="16"/>
              </w:rPr>
              <w:t>1</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154</w:t>
            </w:r>
          </w:p>
        </w:tc>
        <w:tc>
          <w:tcPr>
            <w:tcW w:w="1938" w:type="dxa"/>
            <w:shd w:val="clear" w:color="auto" w:fill="D9D9D9"/>
          </w:tcPr>
          <w:p>
            <w:pPr>
              <w:pStyle w:val="TableParagraph"/>
              <w:ind w:left="143"/>
              <w:jc w:val="left"/>
              <w:rPr>
                <w:rFonts w:ascii="Carlito"/>
                <w:sz w:val="16"/>
              </w:rPr>
            </w:pPr>
            <w:r>
              <w:rPr>
                <w:rFonts w:ascii="Carlito"/>
                <w:sz w:val="16"/>
              </w:rPr>
              <w:t>Pinares</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left="130"/>
              <w:jc w:val="left"/>
              <w:rPr>
                <w:rFonts w:ascii="Carlito"/>
                <w:sz w:val="16"/>
              </w:rPr>
            </w:pPr>
            <w:r>
              <w:rPr>
                <w:rFonts w:ascii="Carlito"/>
                <w:sz w:val="16"/>
              </w:rPr>
              <w:t>$499,000.00</w:t>
            </w:r>
          </w:p>
        </w:tc>
        <w:tc>
          <w:tcPr>
            <w:tcW w:w="1001" w:type="dxa"/>
            <w:shd w:val="clear" w:color="auto" w:fill="D9D9D9"/>
          </w:tcPr>
          <w:p>
            <w:pPr>
              <w:pStyle w:val="TableParagraph"/>
              <w:ind w:right="343"/>
              <w:rPr>
                <w:rFonts w:ascii="Carlito"/>
                <w:sz w:val="16"/>
              </w:rPr>
            </w:pPr>
            <w:r>
              <w:rPr>
                <w:rFonts w:ascii="Carlito"/>
                <w:sz w:val="16"/>
              </w:rPr>
              <w:t>528</w:t>
            </w:r>
          </w:p>
        </w:tc>
        <w:tc>
          <w:tcPr>
            <w:tcW w:w="1128" w:type="dxa"/>
            <w:shd w:val="clear" w:color="auto" w:fill="D9D9D9"/>
          </w:tcPr>
          <w:p>
            <w:pPr>
              <w:pStyle w:val="TableParagraph"/>
              <w:ind w:left="316" w:right="444"/>
              <w:jc w:val="center"/>
              <w:rPr>
                <w:rFonts w:ascii="Carlito"/>
                <w:sz w:val="16"/>
              </w:rPr>
            </w:pPr>
            <w:r>
              <w:rPr>
                <w:rFonts w:ascii="Carlito"/>
                <w:sz w:val="16"/>
              </w:rPr>
              <w:t>2006</w:t>
            </w:r>
          </w:p>
        </w:tc>
        <w:tc>
          <w:tcPr>
            <w:tcW w:w="783" w:type="dxa"/>
            <w:shd w:val="clear" w:color="auto" w:fill="D9D9D9"/>
          </w:tcPr>
          <w:p>
            <w:pPr>
              <w:pStyle w:val="TableParagraph"/>
              <w:ind w:right="240"/>
              <w:rPr>
                <w:rFonts w:ascii="Carlito"/>
                <w:sz w:val="16"/>
              </w:rPr>
            </w:pPr>
            <w:r>
              <w:rPr>
                <w:rFonts w:ascii="Carlito"/>
                <w:sz w:val="16"/>
              </w:rPr>
              <w:t>5</w:t>
            </w:r>
          </w:p>
        </w:tc>
        <w:tc>
          <w:tcPr>
            <w:tcW w:w="746" w:type="dxa"/>
            <w:shd w:val="clear" w:color="auto" w:fill="D9D9D9"/>
          </w:tcPr>
          <w:p>
            <w:pPr>
              <w:pStyle w:val="TableParagraph"/>
              <w:ind w:right="310"/>
              <w:rPr>
                <w:rFonts w:ascii="Carlito"/>
                <w:sz w:val="16"/>
              </w:rPr>
            </w:pPr>
            <w:r>
              <w:rPr>
                <w:rFonts w:ascii="Carlito"/>
                <w:sz w:val="16"/>
              </w:rPr>
              <w:t>3.5</w:t>
            </w:r>
          </w:p>
        </w:tc>
        <w:tc>
          <w:tcPr>
            <w:tcW w:w="817" w:type="dxa"/>
            <w:shd w:val="clear" w:color="auto" w:fill="D9D9D9"/>
          </w:tcPr>
          <w:p>
            <w:pPr>
              <w:pStyle w:val="TableParagraph"/>
              <w:ind w:left="295"/>
              <w:jc w:val="left"/>
              <w:rPr>
                <w:rFonts w:ascii="Carlito"/>
                <w:sz w:val="16"/>
              </w:rPr>
            </w:pPr>
            <w:r>
              <w:rPr>
                <w:rFonts w:ascii="Carlito"/>
                <w:sz w:val="16"/>
              </w:rPr>
              <w:t>2</w:t>
            </w:r>
          </w:p>
        </w:tc>
        <w:tc>
          <w:tcPr>
            <w:tcW w:w="1291" w:type="dxa"/>
            <w:shd w:val="clear" w:color="auto" w:fill="D9D9D9"/>
          </w:tcPr>
          <w:p>
            <w:pPr>
              <w:pStyle w:val="TableParagraph"/>
              <w:ind w:right="581"/>
              <w:rPr>
                <w:rFonts w:ascii="Carlito"/>
                <w:sz w:val="16"/>
              </w:rPr>
            </w:pPr>
            <w:r>
              <w:rPr>
                <w:rFonts w:ascii="Carlito"/>
                <w:sz w:val="16"/>
              </w:rPr>
              <w:t>7.7</w:t>
            </w:r>
          </w:p>
        </w:tc>
        <w:tc>
          <w:tcPr>
            <w:tcW w:w="1141" w:type="dxa"/>
            <w:shd w:val="clear" w:color="auto" w:fill="D9D9D9"/>
          </w:tcPr>
          <w:p>
            <w:pPr>
              <w:pStyle w:val="TableParagraph"/>
              <w:ind w:right="370"/>
              <w:rPr>
                <w:rFonts w:ascii="Carlito"/>
                <w:sz w:val="16"/>
              </w:rPr>
            </w:pPr>
            <w:r>
              <w:rPr>
                <w:rFonts w:ascii="Carlito"/>
                <w:sz w:val="16"/>
              </w:rPr>
              <w:t>3</w:t>
            </w:r>
          </w:p>
        </w:tc>
        <w:tc>
          <w:tcPr>
            <w:tcW w:w="827" w:type="dxa"/>
            <w:shd w:val="clear" w:color="auto" w:fill="D9D9D9"/>
          </w:tcPr>
          <w:p>
            <w:pPr>
              <w:pStyle w:val="TableParagraph"/>
              <w:ind w:right="389"/>
              <w:rPr>
                <w:rFonts w:ascii="Carlito"/>
                <w:sz w:val="16"/>
              </w:rPr>
            </w:pPr>
            <w:r>
              <w:rPr>
                <w:rFonts w:ascii="Carlito"/>
                <w:sz w:val="16"/>
              </w:rPr>
              <w:t>1</w:t>
            </w:r>
          </w:p>
        </w:tc>
        <w:tc>
          <w:tcPr>
            <w:tcW w:w="531" w:type="dxa"/>
            <w:shd w:val="clear" w:color="auto" w:fill="D9D9D9"/>
          </w:tcPr>
          <w:p>
            <w:pPr>
              <w:pStyle w:val="TableParagraph"/>
              <w:ind w:right="76"/>
              <w:rPr>
                <w:rFonts w:ascii="Carlito"/>
                <w:sz w:val="16"/>
              </w:rPr>
            </w:pPr>
            <w:r>
              <w:rPr>
                <w:rFonts w:ascii="Carlito"/>
                <w:sz w:val="16"/>
              </w:rPr>
              <w:t>0</w:t>
            </w:r>
          </w:p>
        </w:tc>
      </w:tr>
    </w:tbl>
    <w:p>
      <w:pPr>
        <w:spacing w:after="0"/>
        <w:rPr>
          <w:rFonts w:ascii="Carlito"/>
          <w:sz w:val="16"/>
        </w:rPr>
        <w:sectPr>
          <w:pgSz w:w="15840" w:h="12240" w:orient="landscape"/>
          <w:pgMar w:header="0" w:footer="982" w:top="1140" w:bottom="1180" w:left="1340" w:right="1320"/>
        </w:sectPr>
      </w:pPr>
    </w:p>
    <w:p>
      <w:pPr>
        <w:pStyle w:val="BodyText"/>
        <w:rPr>
          <w:b/>
          <w:sz w:val="20"/>
        </w:rPr>
      </w:pPr>
    </w:p>
    <w:p>
      <w:pPr>
        <w:pStyle w:val="BodyText"/>
        <w:spacing w:before="10"/>
        <w:rPr>
          <w:b/>
          <w:sz w:val="16"/>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56"/>
        <w:gridCol w:w="1938"/>
        <w:gridCol w:w="595"/>
        <w:gridCol w:w="1378"/>
        <w:gridCol w:w="1040"/>
        <w:gridCol w:w="1126"/>
        <w:gridCol w:w="782"/>
        <w:gridCol w:w="744"/>
        <w:gridCol w:w="815"/>
        <w:gridCol w:w="1287"/>
        <w:gridCol w:w="1141"/>
        <w:gridCol w:w="825"/>
        <w:gridCol w:w="529"/>
      </w:tblGrid>
      <w:tr>
        <w:trPr>
          <w:trHeight w:val="163" w:hRule="atLeast"/>
        </w:trPr>
        <w:tc>
          <w:tcPr>
            <w:tcW w:w="756" w:type="dxa"/>
          </w:tcPr>
          <w:p>
            <w:pPr>
              <w:pStyle w:val="TableParagraph"/>
              <w:spacing w:line="144" w:lineRule="exact" w:before="0"/>
              <w:ind w:right="143"/>
              <w:rPr>
                <w:rFonts w:ascii="Carlito"/>
                <w:sz w:val="16"/>
              </w:rPr>
            </w:pPr>
            <w:r>
              <w:rPr>
                <w:rFonts w:ascii="Carlito"/>
                <w:sz w:val="16"/>
              </w:rPr>
              <w:t>155</w:t>
            </w:r>
          </w:p>
        </w:tc>
        <w:tc>
          <w:tcPr>
            <w:tcW w:w="1938" w:type="dxa"/>
          </w:tcPr>
          <w:p>
            <w:pPr>
              <w:pStyle w:val="TableParagraph"/>
              <w:spacing w:line="144" w:lineRule="exact" w:before="0"/>
              <w:ind w:left="143"/>
              <w:jc w:val="left"/>
              <w:rPr>
                <w:rFonts w:ascii="Carlito"/>
                <w:sz w:val="16"/>
              </w:rPr>
            </w:pPr>
            <w:r>
              <w:rPr>
                <w:rFonts w:ascii="Carlito"/>
                <w:sz w:val="16"/>
              </w:rPr>
              <w:t>Curridabat</w:t>
            </w:r>
          </w:p>
        </w:tc>
        <w:tc>
          <w:tcPr>
            <w:tcW w:w="595" w:type="dxa"/>
          </w:tcPr>
          <w:p>
            <w:pPr>
              <w:pStyle w:val="TableParagraph"/>
              <w:spacing w:line="144" w:lineRule="exact" w:before="0"/>
              <w:ind w:right="69"/>
              <w:rPr>
                <w:rFonts w:ascii="Carlito"/>
                <w:sz w:val="16"/>
              </w:rPr>
            </w:pPr>
            <w:r>
              <w:rPr>
                <w:rFonts w:ascii="Carlito"/>
                <w:sz w:val="16"/>
              </w:rPr>
              <w:t>1</w:t>
            </w:r>
          </w:p>
        </w:tc>
        <w:tc>
          <w:tcPr>
            <w:tcW w:w="1378" w:type="dxa"/>
          </w:tcPr>
          <w:p>
            <w:pPr>
              <w:pStyle w:val="TableParagraph"/>
              <w:spacing w:line="144" w:lineRule="exact" w:before="0"/>
              <w:ind w:right="375"/>
              <w:rPr>
                <w:rFonts w:ascii="Carlito"/>
                <w:sz w:val="16"/>
              </w:rPr>
            </w:pPr>
            <w:r>
              <w:rPr>
                <w:rFonts w:ascii="Carlito"/>
                <w:sz w:val="16"/>
              </w:rPr>
              <w:t>$450,000.00</w:t>
            </w:r>
          </w:p>
        </w:tc>
        <w:tc>
          <w:tcPr>
            <w:tcW w:w="1040" w:type="dxa"/>
          </w:tcPr>
          <w:p>
            <w:pPr>
              <w:pStyle w:val="TableParagraph"/>
              <w:spacing w:line="144" w:lineRule="exact" w:before="0"/>
              <w:ind w:right="340"/>
              <w:rPr>
                <w:rFonts w:ascii="Carlito"/>
                <w:sz w:val="16"/>
              </w:rPr>
            </w:pPr>
            <w:r>
              <w:rPr>
                <w:rFonts w:ascii="Carlito"/>
                <w:sz w:val="16"/>
              </w:rPr>
              <w:t>480</w:t>
            </w:r>
          </w:p>
        </w:tc>
        <w:tc>
          <w:tcPr>
            <w:tcW w:w="1126" w:type="dxa"/>
          </w:tcPr>
          <w:p>
            <w:pPr>
              <w:pStyle w:val="TableParagraph"/>
              <w:spacing w:line="144" w:lineRule="exact" w:before="0"/>
              <w:ind w:left="319" w:right="439"/>
              <w:jc w:val="center"/>
              <w:rPr>
                <w:rFonts w:ascii="Carlito"/>
                <w:sz w:val="16"/>
              </w:rPr>
            </w:pPr>
            <w:r>
              <w:rPr>
                <w:rFonts w:ascii="Carlito"/>
                <w:sz w:val="16"/>
              </w:rPr>
              <w:t>2006</w:t>
            </w:r>
          </w:p>
        </w:tc>
        <w:tc>
          <w:tcPr>
            <w:tcW w:w="782" w:type="dxa"/>
          </w:tcPr>
          <w:p>
            <w:pPr>
              <w:pStyle w:val="TableParagraph"/>
              <w:spacing w:line="144" w:lineRule="exact" w:before="0"/>
              <w:ind w:right="234"/>
              <w:rPr>
                <w:rFonts w:ascii="Carlito"/>
                <w:sz w:val="16"/>
              </w:rPr>
            </w:pPr>
            <w:r>
              <w:rPr>
                <w:rFonts w:ascii="Carlito"/>
                <w:sz w:val="16"/>
              </w:rPr>
              <w:t>4</w:t>
            </w:r>
          </w:p>
        </w:tc>
        <w:tc>
          <w:tcPr>
            <w:tcW w:w="744" w:type="dxa"/>
          </w:tcPr>
          <w:p>
            <w:pPr>
              <w:pStyle w:val="TableParagraph"/>
              <w:spacing w:line="144" w:lineRule="exact" w:before="0"/>
              <w:ind w:right="302"/>
              <w:rPr>
                <w:rFonts w:ascii="Carlito"/>
                <w:sz w:val="16"/>
              </w:rPr>
            </w:pPr>
            <w:r>
              <w:rPr>
                <w:rFonts w:ascii="Carlito"/>
                <w:sz w:val="16"/>
              </w:rPr>
              <w:t>3.5</w:t>
            </w:r>
          </w:p>
        </w:tc>
        <w:tc>
          <w:tcPr>
            <w:tcW w:w="815" w:type="dxa"/>
          </w:tcPr>
          <w:p>
            <w:pPr>
              <w:pStyle w:val="TableParagraph"/>
              <w:spacing w:line="144" w:lineRule="exact" w:before="0"/>
              <w:ind w:left="303"/>
              <w:jc w:val="left"/>
              <w:rPr>
                <w:rFonts w:ascii="Carlito"/>
                <w:sz w:val="16"/>
              </w:rPr>
            </w:pPr>
            <w:r>
              <w:rPr>
                <w:rFonts w:ascii="Carlito"/>
                <w:sz w:val="16"/>
              </w:rPr>
              <w:t>2</w:t>
            </w:r>
          </w:p>
        </w:tc>
        <w:tc>
          <w:tcPr>
            <w:tcW w:w="1287" w:type="dxa"/>
          </w:tcPr>
          <w:p>
            <w:pPr>
              <w:pStyle w:val="TableParagraph"/>
              <w:spacing w:line="144" w:lineRule="exact" w:before="0"/>
              <w:ind w:right="567"/>
              <w:rPr>
                <w:rFonts w:ascii="Carlito"/>
                <w:sz w:val="16"/>
              </w:rPr>
            </w:pPr>
            <w:r>
              <w:rPr>
                <w:rFonts w:ascii="Carlito"/>
                <w:sz w:val="16"/>
              </w:rPr>
              <w:t>5.7</w:t>
            </w:r>
          </w:p>
        </w:tc>
        <w:tc>
          <w:tcPr>
            <w:tcW w:w="1141" w:type="dxa"/>
          </w:tcPr>
          <w:p>
            <w:pPr>
              <w:pStyle w:val="TableParagraph"/>
              <w:spacing w:line="144" w:lineRule="exact" w:before="0"/>
              <w:ind w:right="360"/>
              <w:rPr>
                <w:rFonts w:ascii="Carlito"/>
                <w:sz w:val="16"/>
              </w:rPr>
            </w:pPr>
            <w:r>
              <w:rPr>
                <w:rFonts w:ascii="Carlito"/>
                <w:sz w:val="16"/>
              </w:rPr>
              <w:t>3.2</w:t>
            </w:r>
          </w:p>
        </w:tc>
        <w:tc>
          <w:tcPr>
            <w:tcW w:w="825" w:type="dxa"/>
          </w:tcPr>
          <w:p>
            <w:pPr>
              <w:pStyle w:val="TableParagraph"/>
              <w:spacing w:line="144" w:lineRule="exact" w:before="0"/>
              <w:ind w:right="373"/>
              <w:rPr>
                <w:rFonts w:ascii="Carlito"/>
                <w:sz w:val="16"/>
              </w:rPr>
            </w:pPr>
            <w:r>
              <w:rPr>
                <w:rFonts w:ascii="Carlito"/>
                <w:sz w:val="16"/>
              </w:rPr>
              <w:t>0</w:t>
            </w:r>
          </w:p>
        </w:tc>
        <w:tc>
          <w:tcPr>
            <w:tcW w:w="529" w:type="dxa"/>
          </w:tcPr>
          <w:p>
            <w:pPr>
              <w:pStyle w:val="TableParagraph"/>
              <w:spacing w:line="144" w:lineRule="exact" w:before="0"/>
              <w:ind w:right="58"/>
              <w:rPr>
                <w:rFonts w:ascii="Carlito"/>
                <w:sz w:val="16"/>
              </w:rPr>
            </w:pPr>
            <w:r>
              <w:rPr>
                <w:rFonts w:ascii="Carlito"/>
                <w:sz w:val="16"/>
              </w:rPr>
              <w:t>1</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156</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595" w:type="dxa"/>
            <w:shd w:val="clear" w:color="auto" w:fill="D9D9D9"/>
          </w:tcPr>
          <w:p>
            <w:pPr>
              <w:pStyle w:val="TableParagraph"/>
              <w:ind w:right="69"/>
              <w:rPr>
                <w:rFonts w:ascii="Carlito"/>
                <w:sz w:val="16"/>
              </w:rPr>
            </w:pPr>
            <w:r>
              <w:rPr>
                <w:rFonts w:ascii="Carlito"/>
                <w:sz w:val="16"/>
              </w:rPr>
              <w:t>0</w:t>
            </w:r>
          </w:p>
        </w:tc>
        <w:tc>
          <w:tcPr>
            <w:tcW w:w="1378" w:type="dxa"/>
            <w:shd w:val="clear" w:color="auto" w:fill="D9D9D9"/>
          </w:tcPr>
          <w:p>
            <w:pPr>
              <w:pStyle w:val="TableParagraph"/>
              <w:ind w:right="375"/>
              <w:rPr>
                <w:rFonts w:ascii="Carlito"/>
                <w:sz w:val="16"/>
              </w:rPr>
            </w:pPr>
            <w:r>
              <w:rPr>
                <w:rFonts w:ascii="Carlito"/>
                <w:sz w:val="16"/>
              </w:rPr>
              <w:t>$240,000.00</w:t>
            </w:r>
          </w:p>
        </w:tc>
        <w:tc>
          <w:tcPr>
            <w:tcW w:w="1040" w:type="dxa"/>
            <w:shd w:val="clear" w:color="auto" w:fill="D9D9D9"/>
          </w:tcPr>
          <w:p>
            <w:pPr>
              <w:pStyle w:val="TableParagraph"/>
              <w:ind w:right="340"/>
              <w:rPr>
                <w:rFonts w:ascii="Carlito"/>
                <w:sz w:val="16"/>
              </w:rPr>
            </w:pPr>
            <w:r>
              <w:rPr>
                <w:rFonts w:ascii="Carlito"/>
                <w:sz w:val="16"/>
              </w:rPr>
              <w:t>187</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302"/>
              <w:rPr>
                <w:rFonts w:ascii="Carlito"/>
                <w:sz w:val="16"/>
              </w:rPr>
            </w:pPr>
            <w:r>
              <w:rPr>
                <w:rFonts w:ascii="Carlito"/>
                <w:sz w:val="16"/>
              </w:rPr>
              <w:t>3.5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5.7</w:t>
            </w:r>
          </w:p>
        </w:tc>
        <w:tc>
          <w:tcPr>
            <w:tcW w:w="1141" w:type="dxa"/>
            <w:shd w:val="clear" w:color="auto" w:fill="D9D9D9"/>
          </w:tcPr>
          <w:p>
            <w:pPr>
              <w:pStyle w:val="TableParagraph"/>
              <w:ind w:right="360"/>
              <w:rPr>
                <w:rFonts w:ascii="Carlito"/>
                <w:sz w:val="16"/>
              </w:rPr>
            </w:pPr>
            <w:r>
              <w:rPr>
                <w:rFonts w:ascii="Carlito"/>
                <w:sz w:val="16"/>
              </w:rPr>
              <w:t>3.2</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157</w:t>
            </w:r>
          </w:p>
        </w:tc>
        <w:tc>
          <w:tcPr>
            <w:tcW w:w="1938" w:type="dxa"/>
          </w:tcPr>
          <w:p>
            <w:pPr>
              <w:pStyle w:val="TableParagraph"/>
              <w:ind w:left="143"/>
              <w:jc w:val="left"/>
              <w:rPr>
                <w:rFonts w:ascii="Carlito"/>
                <w:sz w:val="16"/>
              </w:rPr>
            </w:pPr>
            <w:r>
              <w:rPr>
                <w:rFonts w:ascii="Carlito"/>
                <w:sz w:val="16"/>
              </w:rPr>
              <w:t>Guayabos</w:t>
            </w:r>
          </w:p>
        </w:tc>
        <w:tc>
          <w:tcPr>
            <w:tcW w:w="595" w:type="dxa"/>
          </w:tcPr>
          <w:p>
            <w:pPr>
              <w:pStyle w:val="TableParagraph"/>
              <w:ind w:right="69"/>
              <w:rPr>
                <w:rFonts w:ascii="Carlito"/>
                <w:sz w:val="16"/>
              </w:rPr>
            </w:pPr>
            <w:r>
              <w:rPr>
                <w:rFonts w:ascii="Carlito"/>
                <w:sz w:val="16"/>
              </w:rPr>
              <w:t>0</w:t>
            </w:r>
          </w:p>
        </w:tc>
        <w:tc>
          <w:tcPr>
            <w:tcW w:w="1378" w:type="dxa"/>
          </w:tcPr>
          <w:p>
            <w:pPr>
              <w:pStyle w:val="TableParagraph"/>
              <w:ind w:right="375"/>
              <w:rPr>
                <w:rFonts w:ascii="Carlito"/>
                <w:sz w:val="16"/>
              </w:rPr>
            </w:pPr>
            <w:r>
              <w:rPr>
                <w:rFonts w:ascii="Carlito"/>
                <w:sz w:val="16"/>
              </w:rPr>
              <w:t>$241,500.00</w:t>
            </w:r>
          </w:p>
        </w:tc>
        <w:tc>
          <w:tcPr>
            <w:tcW w:w="1040" w:type="dxa"/>
          </w:tcPr>
          <w:p>
            <w:pPr>
              <w:pStyle w:val="TableParagraph"/>
              <w:ind w:right="340"/>
              <w:rPr>
                <w:rFonts w:ascii="Carlito"/>
                <w:sz w:val="16"/>
              </w:rPr>
            </w:pPr>
            <w:r>
              <w:rPr>
                <w:rFonts w:ascii="Carlito"/>
                <w:sz w:val="16"/>
              </w:rPr>
              <w:t>203</w:t>
            </w:r>
          </w:p>
        </w:tc>
        <w:tc>
          <w:tcPr>
            <w:tcW w:w="1126" w:type="dxa"/>
          </w:tcPr>
          <w:p>
            <w:pPr>
              <w:pStyle w:val="TableParagraph"/>
              <w:ind w:left="319" w:right="439"/>
              <w:jc w:val="center"/>
              <w:rPr>
                <w:rFonts w:ascii="Carlito"/>
                <w:sz w:val="16"/>
              </w:rPr>
            </w:pPr>
            <w:r>
              <w:rPr>
                <w:rFonts w:ascii="Carlito"/>
                <w:sz w:val="16"/>
              </w:rPr>
              <w:t>2006</w:t>
            </w:r>
          </w:p>
        </w:tc>
        <w:tc>
          <w:tcPr>
            <w:tcW w:w="782" w:type="dxa"/>
          </w:tcPr>
          <w:p>
            <w:pPr>
              <w:pStyle w:val="TableParagraph"/>
              <w:ind w:right="234"/>
              <w:rPr>
                <w:rFonts w:ascii="Carlito"/>
                <w:sz w:val="16"/>
              </w:rPr>
            </w:pPr>
            <w:r>
              <w:rPr>
                <w:rFonts w:ascii="Carlito"/>
                <w:sz w:val="16"/>
              </w:rPr>
              <w:t>3</w:t>
            </w:r>
          </w:p>
        </w:tc>
        <w:tc>
          <w:tcPr>
            <w:tcW w:w="744" w:type="dxa"/>
          </w:tcPr>
          <w:p>
            <w:pPr>
              <w:pStyle w:val="TableParagraph"/>
              <w:ind w:right="302"/>
              <w:rPr>
                <w:rFonts w:ascii="Carlito"/>
                <w:sz w:val="16"/>
              </w:rPr>
            </w:pPr>
            <w:r>
              <w:rPr>
                <w:rFonts w:ascii="Carlito"/>
                <w:sz w:val="16"/>
              </w:rPr>
              <w:t>2.5</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7.4</w:t>
            </w:r>
          </w:p>
        </w:tc>
        <w:tc>
          <w:tcPr>
            <w:tcW w:w="1141" w:type="dxa"/>
          </w:tcPr>
          <w:p>
            <w:pPr>
              <w:pStyle w:val="TableParagraph"/>
              <w:ind w:right="356"/>
              <w:rPr>
                <w:rFonts w:ascii="Carlito"/>
                <w:sz w:val="16"/>
              </w:rPr>
            </w:pPr>
            <w:r>
              <w:rPr>
                <w:rFonts w:ascii="Carlito"/>
                <w:sz w:val="16"/>
              </w:rPr>
              <w:t>5</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1</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158</w:t>
            </w:r>
          </w:p>
        </w:tc>
        <w:tc>
          <w:tcPr>
            <w:tcW w:w="1938" w:type="dxa"/>
            <w:shd w:val="clear" w:color="auto" w:fill="D9D9D9"/>
          </w:tcPr>
          <w:p>
            <w:pPr>
              <w:pStyle w:val="TableParagraph"/>
              <w:spacing w:before="92"/>
              <w:ind w:left="143"/>
              <w:jc w:val="left"/>
              <w:rPr>
                <w:rFonts w:ascii="Carlito"/>
                <w:sz w:val="16"/>
              </w:rPr>
            </w:pPr>
            <w:r>
              <w:rPr>
                <w:rFonts w:ascii="Carlito"/>
                <w:sz w:val="16"/>
              </w:rPr>
              <w:t>Lomas de Ayarco Sur</w:t>
            </w:r>
          </w:p>
        </w:tc>
        <w:tc>
          <w:tcPr>
            <w:tcW w:w="595" w:type="dxa"/>
            <w:shd w:val="clear" w:color="auto" w:fill="D9D9D9"/>
          </w:tcPr>
          <w:p>
            <w:pPr>
              <w:pStyle w:val="TableParagraph"/>
              <w:spacing w:before="92"/>
              <w:ind w:right="69"/>
              <w:rPr>
                <w:rFonts w:ascii="Carlito"/>
                <w:sz w:val="16"/>
              </w:rPr>
            </w:pPr>
            <w:r>
              <w:rPr>
                <w:rFonts w:ascii="Carlito"/>
                <w:sz w:val="16"/>
              </w:rPr>
              <w:t>0</w:t>
            </w:r>
          </w:p>
        </w:tc>
        <w:tc>
          <w:tcPr>
            <w:tcW w:w="1378" w:type="dxa"/>
            <w:shd w:val="clear" w:color="auto" w:fill="D9D9D9"/>
          </w:tcPr>
          <w:p>
            <w:pPr>
              <w:pStyle w:val="TableParagraph"/>
              <w:spacing w:before="92"/>
              <w:ind w:right="375"/>
              <w:rPr>
                <w:rFonts w:ascii="Carlito"/>
                <w:sz w:val="16"/>
              </w:rPr>
            </w:pPr>
            <w:r>
              <w:rPr>
                <w:rFonts w:ascii="Carlito"/>
                <w:sz w:val="16"/>
              </w:rPr>
              <w:t>$380,000.00</w:t>
            </w:r>
          </w:p>
        </w:tc>
        <w:tc>
          <w:tcPr>
            <w:tcW w:w="1040" w:type="dxa"/>
            <w:shd w:val="clear" w:color="auto" w:fill="D9D9D9"/>
          </w:tcPr>
          <w:p>
            <w:pPr>
              <w:pStyle w:val="TableParagraph"/>
              <w:spacing w:before="92"/>
              <w:ind w:right="340"/>
              <w:rPr>
                <w:rFonts w:ascii="Carlito"/>
                <w:sz w:val="16"/>
              </w:rPr>
            </w:pPr>
            <w:r>
              <w:rPr>
                <w:rFonts w:ascii="Carlito"/>
                <w:sz w:val="16"/>
              </w:rPr>
              <w:t>282</w:t>
            </w:r>
          </w:p>
        </w:tc>
        <w:tc>
          <w:tcPr>
            <w:tcW w:w="1126" w:type="dxa"/>
            <w:shd w:val="clear" w:color="auto" w:fill="D9D9D9"/>
          </w:tcPr>
          <w:p>
            <w:pPr>
              <w:pStyle w:val="TableParagraph"/>
              <w:spacing w:before="92"/>
              <w:ind w:left="319" w:right="439"/>
              <w:jc w:val="center"/>
              <w:rPr>
                <w:rFonts w:ascii="Carlito"/>
                <w:sz w:val="16"/>
              </w:rPr>
            </w:pPr>
            <w:r>
              <w:rPr>
                <w:rFonts w:ascii="Carlito"/>
                <w:sz w:val="16"/>
              </w:rPr>
              <w:t>2006</w:t>
            </w:r>
          </w:p>
        </w:tc>
        <w:tc>
          <w:tcPr>
            <w:tcW w:w="782" w:type="dxa"/>
            <w:shd w:val="clear" w:color="auto" w:fill="D9D9D9"/>
          </w:tcPr>
          <w:p>
            <w:pPr>
              <w:pStyle w:val="TableParagraph"/>
              <w:spacing w:before="92"/>
              <w:ind w:right="234"/>
              <w:rPr>
                <w:rFonts w:ascii="Carlito"/>
                <w:sz w:val="16"/>
              </w:rPr>
            </w:pPr>
            <w:r>
              <w:rPr>
                <w:rFonts w:ascii="Carlito"/>
                <w:sz w:val="16"/>
              </w:rPr>
              <w:t>4</w:t>
            </w:r>
          </w:p>
        </w:tc>
        <w:tc>
          <w:tcPr>
            <w:tcW w:w="744" w:type="dxa"/>
            <w:shd w:val="clear" w:color="auto" w:fill="D9D9D9"/>
          </w:tcPr>
          <w:p>
            <w:pPr>
              <w:pStyle w:val="TableParagraph"/>
              <w:spacing w:before="92"/>
              <w:ind w:right="302"/>
              <w:rPr>
                <w:rFonts w:ascii="Carlito"/>
                <w:sz w:val="16"/>
              </w:rPr>
            </w:pPr>
            <w:r>
              <w:rPr>
                <w:rFonts w:ascii="Carlito"/>
                <w:sz w:val="16"/>
              </w:rPr>
              <w:t>4.5</w:t>
            </w:r>
          </w:p>
        </w:tc>
        <w:tc>
          <w:tcPr>
            <w:tcW w:w="815" w:type="dxa"/>
            <w:shd w:val="clear" w:color="auto" w:fill="D9D9D9"/>
          </w:tcPr>
          <w:p>
            <w:pPr>
              <w:pStyle w:val="TableParagraph"/>
              <w:spacing w:before="92"/>
              <w:ind w:left="303"/>
              <w:jc w:val="left"/>
              <w:rPr>
                <w:rFonts w:ascii="Carlito"/>
                <w:sz w:val="16"/>
              </w:rPr>
            </w:pPr>
            <w:r>
              <w:rPr>
                <w:rFonts w:ascii="Carlito"/>
                <w:sz w:val="16"/>
              </w:rPr>
              <w:t>2</w:t>
            </w:r>
          </w:p>
        </w:tc>
        <w:tc>
          <w:tcPr>
            <w:tcW w:w="1287" w:type="dxa"/>
            <w:shd w:val="clear" w:color="auto" w:fill="D9D9D9"/>
          </w:tcPr>
          <w:p>
            <w:pPr>
              <w:pStyle w:val="TableParagraph"/>
              <w:spacing w:before="92"/>
              <w:ind w:right="567"/>
              <w:rPr>
                <w:rFonts w:ascii="Carlito"/>
                <w:sz w:val="16"/>
              </w:rPr>
            </w:pPr>
            <w:r>
              <w:rPr>
                <w:rFonts w:ascii="Carlito"/>
                <w:sz w:val="16"/>
              </w:rPr>
              <w:t>8.6</w:t>
            </w:r>
          </w:p>
        </w:tc>
        <w:tc>
          <w:tcPr>
            <w:tcW w:w="1141" w:type="dxa"/>
            <w:shd w:val="clear" w:color="auto" w:fill="D9D9D9"/>
          </w:tcPr>
          <w:p>
            <w:pPr>
              <w:pStyle w:val="TableParagraph"/>
              <w:spacing w:before="92"/>
              <w:ind w:right="360"/>
              <w:rPr>
                <w:rFonts w:ascii="Carlito"/>
                <w:sz w:val="16"/>
              </w:rPr>
            </w:pPr>
            <w:r>
              <w:rPr>
                <w:rFonts w:ascii="Carlito"/>
                <w:sz w:val="16"/>
              </w:rPr>
              <w:t>2.9</w:t>
            </w:r>
          </w:p>
        </w:tc>
        <w:tc>
          <w:tcPr>
            <w:tcW w:w="825" w:type="dxa"/>
            <w:shd w:val="clear" w:color="auto" w:fill="D9D9D9"/>
          </w:tcPr>
          <w:p>
            <w:pPr>
              <w:pStyle w:val="TableParagraph"/>
              <w:spacing w:before="92"/>
              <w:ind w:right="373"/>
              <w:rPr>
                <w:rFonts w:ascii="Carlito"/>
                <w:sz w:val="16"/>
              </w:rPr>
            </w:pPr>
            <w:r>
              <w:rPr>
                <w:rFonts w:ascii="Carlito"/>
                <w:sz w:val="16"/>
              </w:rPr>
              <w:t>0</w:t>
            </w:r>
          </w:p>
        </w:tc>
        <w:tc>
          <w:tcPr>
            <w:tcW w:w="529" w:type="dxa"/>
            <w:shd w:val="clear" w:color="auto" w:fill="D9D9D9"/>
          </w:tcPr>
          <w:p>
            <w:pPr>
              <w:pStyle w:val="TableParagraph"/>
              <w:spacing w:before="92"/>
              <w:ind w:right="58"/>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159</w:t>
            </w:r>
          </w:p>
        </w:tc>
        <w:tc>
          <w:tcPr>
            <w:tcW w:w="1938" w:type="dxa"/>
          </w:tcPr>
          <w:p>
            <w:pPr>
              <w:pStyle w:val="TableParagraph"/>
              <w:ind w:left="143"/>
              <w:jc w:val="left"/>
              <w:rPr>
                <w:rFonts w:ascii="Carlito"/>
                <w:sz w:val="16"/>
              </w:rPr>
            </w:pPr>
            <w:r>
              <w:rPr>
                <w:rFonts w:ascii="Carlito"/>
                <w:sz w:val="16"/>
              </w:rPr>
              <w:t>Guayabos</w:t>
            </w:r>
          </w:p>
        </w:tc>
        <w:tc>
          <w:tcPr>
            <w:tcW w:w="595" w:type="dxa"/>
          </w:tcPr>
          <w:p>
            <w:pPr>
              <w:pStyle w:val="TableParagraph"/>
              <w:ind w:right="69"/>
              <w:rPr>
                <w:rFonts w:ascii="Carlito"/>
                <w:sz w:val="16"/>
              </w:rPr>
            </w:pPr>
            <w:r>
              <w:rPr>
                <w:rFonts w:ascii="Carlito"/>
                <w:sz w:val="16"/>
              </w:rPr>
              <w:t>1</w:t>
            </w:r>
          </w:p>
        </w:tc>
        <w:tc>
          <w:tcPr>
            <w:tcW w:w="1378" w:type="dxa"/>
          </w:tcPr>
          <w:p>
            <w:pPr>
              <w:pStyle w:val="TableParagraph"/>
              <w:ind w:right="375"/>
              <w:rPr>
                <w:rFonts w:ascii="Carlito"/>
                <w:sz w:val="16"/>
              </w:rPr>
            </w:pPr>
            <w:r>
              <w:rPr>
                <w:rFonts w:ascii="Carlito"/>
                <w:sz w:val="16"/>
              </w:rPr>
              <w:t>$1,575,000.00</w:t>
            </w:r>
          </w:p>
        </w:tc>
        <w:tc>
          <w:tcPr>
            <w:tcW w:w="1040" w:type="dxa"/>
          </w:tcPr>
          <w:p>
            <w:pPr>
              <w:pStyle w:val="TableParagraph"/>
              <w:ind w:right="340"/>
              <w:rPr>
                <w:rFonts w:ascii="Carlito"/>
                <w:sz w:val="16"/>
              </w:rPr>
            </w:pPr>
            <w:r>
              <w:rPr>
                <w:rFonts w:ascii="Carlito"/>
                <w:sz w:val="16"/>
              </w:rPr>
              <w:t>1056</w:t>
            </w:r>
          </w:p>
        </w:tc>
        <w:tc>
          <w:tcPr>
            <w:tcW w:w="1126" w:type="dxa"/>
          </w:tcPr>
          <w:p>
            <w:pPr>
              <w:pStyle w:val="TableParagraph"/>
              <w:ind w:left="319" w:right="439"/>
              <w:jc w:val="center"/>
              <w:rPr>
                <w:rFonts w:ascii="Carlito"/>
                <w:sz w:val="16"/>
              </w:rPr>
            </w:pPr>
            <w:r>
              <w:rPr>
                <w:rFonts w:ascii="Carlito"/>
                <w:sz w:val="16"/>
              </w:rPr>
              <w:t>2006</w:t>
            </w:r>
          </w:p>
        </w:tc>
        <w:tc>
          <w:tcPr>
            <w:tcW w:w="782" w:type="dxa"/>
          </w:tcPr>
          <w:p>
            <w:pPr>
              <w:pStyle w:val="TableParagraph"/>
              <w:ind w:right="234"/>
              <w:rPr>
                <w:rFonts w:ascii="Carlito"/>
                <w:sz w:val="16"/>
              </w:rPr>
            </w:pPr>
            <w:r>
              <w:rPr>
                <w:rFonts w:ascii="Carlito"/>
                <w:sz w:val="16"/>
              </w:rPr>
              <w:t>5</w:t>
            </w:r>
          </w:p>
        </w:tc>
        <w:tc>
          <w:tcPr>
            <w:tcW w:w="744" w:type="dxa"/>
          </w:tcPr>
          <w:p>
            <w:pPr>
              <w:pStyle w:val="TableParagraph"/>
              <w:ind w:right="297"/>
              <w:rPr>
                <w:rFonts w:ascii="Carlito"/>
                <w:sz w:val="16"/>
              </w:rPr>
            </w:pPr>
            <w:r>
              <w:rPr>
                <w:rFonts w:ascii="Carlito"/>
                <w:sz w:val="16"/>
              </w:rPr>
              <w:t>6</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7.4</w:t>
            </w:r>
          </w:p>
        </w:tc>
        <w:tc>
          <w:tcPr>
            <w:tcW w:w="1141" w:type="dxa"/>
          </w:tcPr>
          <w:p>
            <w:pPr>
              <w:pStyle w:val="TableParagraph"/>
              <w:ind w:right="356"/>
              <w:rPr>
                <w:rFonts w:ascii="Carlito"/>
                <w:sz w:val="16"/>
              </w:rPr>
            </w:pPr>
            <w:r>
              <w:rPr>
                <w:rFonts w:ascii="Carlito"/>
                <w:sz w:val="16"/>
              </w:rPr>
              <w:t>5</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160</w:t>
            </w:r>
          </w:p>
        </w:tc>
        <w:tc>
          <w:tcPr>
            <w:tcW w:w="1938" w:type="dxa"/>
            <w:shd w:val="clear" w:color="auto" w:fill="D9D9D9"/>
          </w:tcPr>
          <w:p>
            <w:pPr>
              <w:pStyle w:val="TableParagraph"/>
              <w:ind w:left="143"/>
              <w:jc w:val="left"/>
              <w:rPr>
                <w:rFonts w:ascii="Carlito"/>
                <w:sz w:val="16"/>
              </w:rPr>
            </w:pPr>
            <w:r>
              <w:rPr>
                <w:rFonts w:ascii="Carlito"/>
                <w:sz w:val="16"/>
              </w:rPr>
              <w:t>Freses</w:t>
            </w:r>
          </w:p>
        </w:tc>
        <w:tc>
          <w:tcPr>
            <w:tcW w:w="595" w:type="dxa"/>
            <w:shd w:val="clear" w:color="auto" w:fill="D9D9D9"/>
          </w:tcPr>
          <w:p>
            <w:pPr>
              <w:pStyle w:val="TableParagraph"/>
              <w:ind w:right="69"/>
              <w:rPr>
                <w:rFonts w:ascii="Carlito"/>
                <w:sz w:val="16"/>
              </w:rPr>
            </w:pPr>
            <w:r>
              <w:rPr>
                <w:rFonts w:ascii="Carlito"/>
                <w:sz w:val="16"/>
              </w:rPr>
              <w:t>1</w:t>
            </w:r>
          </w:p>
        </w:tc>
        <w:tc>
          <w:tcPr>
            <w:tcW w:w="1378" w:type="dxa"/>
            <w:shd w:val="clear" w:color="auto" w:fill="D9D9D9"/>
          </w:tcPr>
          <w:p>
            <w:pPr>
              <w:pStyle w:val="TableParagraph"/>
              <w:ind w:right="375"/>
              <w:rPr>
                <w:rFonts w:ascii="Carlito"/>
                <w:sz w:val="16"/>
              </w:rPr>
            </w:pPr>
            <w:r>
              <w:rPr>
                <w:rFonts w:ascii="Carlito"/>
                <w:sz w:val="16"/>
              </w:rPr>
              <w:t>$219,000.00</w:t>
            </w:r>
          </w:p>
        </w:tc>
        <w:tc>
          <w:tcPr>
            <w:tcW w:w="1040" w:type="dxa"/>
            <w:shd w:val="clear" w:color="auto" w:fill="D9D9D9"/>
          </w:tcPr>
          <w:p>
            <w:pPr>
              <w:pStyle w:val="TableParagraph"/>
              <w:ind w:right="340"/>
              <w:rPr>
                <w:rFonts w:ascii="Carlito"/>
                <w:sz w:val="16"/>
              </w:rPr>
            </w:pPr>
            <w:r>
              <w:rPr>
                <w:rFonts w:ascii="Carlito"/>
                <w:sz w:val="16"/>
              </w:rPr>
              <w:t>175</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2</w:t>
            </w:r>
          </w:p>
        </w:tc>
        <w:tc>
          <w:tcPr>
            <w:tcW w:w="744" w:type="dxa"/>
            <w:shd w:val="clear" w:color="auto" w:fill="D9D9D9"/>
          </w:tcPr>
          <w:p>
            <w:pPr>
              <w:pStyle w:val="TableParagraph"/>
              <w:ind w:right="297"/>
              <w:rPr>
                <w:rFonts w:ascii="Carlito"/>
                <w:sz w:val="16"/>
              </w:rPr>
            </w:pPr>
            <w:r>
              <w:rPr>
                <w:rFonts w:ascii="Carlito"/>
                <w:sz w:val="16"/>
              </w:rPr>
              <w:t>2</w:t>
            </w:r>
          </w:p>
        </w:tc>
        <w:tc>
          <w:tcPr>
            <w:tcW w:w="815" w:type="dxa"/>
            <w:shd w:val="clear" w:color="auto" w:fill="D9D9D9"/>
          </w:tcPr>
          <w:p>
            <w:pPr>
              <w:pStyle w:val="TableParagraph"/>
              <w:ind w:left="303"/>
              <w:jc w:val="left"/>
              <w:rPr>
                <w:rFonts w:ascii="Carlito"/>
                <w:sz w:val="16"/>
              </w:rPr>
            </w:pPr>
            <w:r>
              <w:rPr>
                <w:rFonts w:ascii="Carlito"/>
                <w:sz w:val="16"/>
              </w:rPr>
              <w:t>1</w:t>
            </w:r>
          </w:p>
        </w:tc>
        <w:tc>
          <w:tcPr>
            <w:tcW w:w="1287" w:type="dxa"/>
            <w:shd w:val="clear" w:color="auto" w:fill="D9D9D9"/>
          </w:tcPr>
          <w:p>
            <w:pPr>
              <w:pStyle w:val="TableParagraph"/>
              <w:ind w:right="567"/>
              <w:rPr>
                <w:rFonts w:ascii="Carlito"/>
                <w:sz w:val="16"/>
              </w:rPr>
            </w:pPr>
            <w:r>
              <w:rPr>
                <w:rFonts w:ascii="Carlito"/>
                <w:sz w:val="16"/>
              </w:rPr>
              <w:t>5.2</w:t>
            </w:r>
          </w:p>
        </w:tc>
        <w:tc>
          <w:tcPr>
            <w:tcW w:w="1141" w:type="dxa"/>
            <w:shd w:val="clear" w:color="auto" w:fill="D9D9D9"/>
          </w:tcPr>
          <w:p>
            <w:pPr>
              <w:pStyle w:val="TableParagraph"/>
              <w:ind w:right="360"/>
              <w:rPr>
                <w:rFonts w:ascii="Carlito"/>
                <w:sz w:val="16"/>
              </w:rPr>
            </w:pPr>
            <w:r>
              <w:rPr>
                <w:rFonts w:ascii="Carlito"/>
                <w:sz w:val="16"/>
              </w:rPr>
              <w:t>5.2</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161</w:t>
            </w:r>
          </w:p>
        </w:tc>
        <w:tc>
          <w:tcPr>
            <w:tcW w:w="1938" w:type="dxa"/>
          </w:tcPr>
          <w:p>
            <w:pPr>
              <w:pStyle w:val="TableParagraph"/>
              <w:ind w:left="143"/>
              <w:jc w:val="left"/>
              <w:rPr>
                <w:rFonts w:ascii="Carlito"/>
                <w:sz w:val="16"/>
              </w:rPr>
            </w:pPr>
            <w:r>
              <w:rPr>
                <w:rFonts w:ascii="Carlito"/>
                <w:sz w:val="16"/>
              </w:rPr>
              <w:t>Curridabat</w:t>
            </w:r>
          </w:p>
        </w:tc>
        <w:tc>
          <w:tcPr>
            <w:tcW w:w="595" w:type="dxa"/>
          </w:tcPr>
          <w:p>
            <w:pPr>
              <w:pStyle w:val="TableParagraph"/>
              <w:ind w:right="69"/>
              <w:rPr>
                <w:rFonts w:ascii="Carlito"/>
                <w:sz w:val="16"/>
              </w:rPr>
            </w:pPr>
            <w:r>
              <w:rPr>
                <w:rFonts w:ascii="Carlito"/>
                <w:sz w:val="16"/>
              </w:rPr>
              <w:t>1</w:t>
            </w:r>
          </w:p>
        </w:tc>
        <w:tc>
          <w:tcPr>
            <w:tcW w:w="1378" w:type="dxa"/>
          </w:tcPr>
          <w:p>
            <w:pPr>
              <w:pStyle w:val="TableParagraph"/>
              <w:ind w:right="375"/>
              <w:rPr>
                <w:rFonts w:ascii="Carlito"/>
                <w:sz w:val="16"/>
              </w:rPr>
            </w:pPr>
            <w:r>
              <w:rPr>
                <w:rFonts w:ascii="Carlito"/>
                <w:sz w:val="16"/>
              </w:rPr>
              <w:t>$595,000.00</w:t>
            </w:r>
          </w:p>
        </w:tc>
        <w:tc>
          <w:tcPr>
            <w:tcW w:w="1040" w:type="dxa"/>
          </w:tcPr>
          <w:p>
            <w:pPr>
              <w:pStyle w:val="TableParagraph"/>
              <w:ind w:right="340"/>
              <w:rPr>
                <w:rFonts w:ascii="Carlito"/>
                <w:sz w:val="16"/>
              </w:rPr>
            </w:pPr>
            <w:r>
              <w:rPr>
                <w:rFonts w:ascii="Carlito"/>
                <w:sz w:val="16"/>
              </w:rPr>
              <w:t>545</w:t>
            </w:r>
          </w:p>
        </w:tc>
        <w:tc>
          <w:tcPr>
            <w:tcW w:w="1126" w:type="dxa"/>
          </w:tcPr>
          <w:p>
            <w:pPr>
              <w:pStyle w:val="TableParagraph"/>
              <w:ind w:left="319" w:right="439"/>
              <w:jc w:val="center"/>
              <w:rPr>
                <w:rFonts w:ascii="Carlito"/>
                <w:sz w:val="16"/>
              </w:rPr>
            </w:pPr>
            <w:r>
              <w:rPr>
                <w:rFonts w:ascii="Carlito"/>
                <w:sz w:val="16"/>
              </w:rPr>
              <w:t>2002</w:t>
            </w:r>
          </w:p>
        </w:tc>
        <w:tc>
          <w:tcPr>
            <w:tcW w:w="782" w:type="dxa"/>
          </w:tcPr>
          <w:p>
            <w:pPr>
              <w:pStyle w:val="TableParagraph"/>
              <w:ind w:right="234"/>
              <w:rPr>
                <w:rFonts w:ascii="Carlito"/>
                <w:sz w:val="16"/>
              </w:rPr>
            </w:pPr>
            <w:r>
              <w:rPr>
                <w:rFonts w:ascii="Carlito"/>
                <w:sz w:val="16"/>
              </w:rPr>
              <w:t>5</w:t>
            </w:r>
          </w:p>
        </w:tc>
        <w:tc>
          <w:tcPr>
            <w:tcW w:w="744" w:type="dxa"/>
          </w:tcPr>
          <w:p>
            <w:pPr>
              <w:pStyle w:val="TableParagraph"/>
              <w:ind w:right="302"/>
              <w:rPr>
                <w:rFonts w:ascii="Carlito"/>
                <w:sz w:val="16"/>
              </w:rPr>
            </w:pPr>
            <w:r>
              <w:rPr>
                <w:rFonts w:ascii="Carlito"/>
                <w:sz w:val="16"/>
              </w:rPr>
              <w:t>4.5</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5.7</w:t>
            </w:r>
          </w:p>
        </w:tc>
        <w:tc>
          <w:tcPr>
            <w:tcW w:w="1141" w:type="dxa"/>
          </w:tcPr>
          <w:p>
            <w:pPr>
              <w:pStyle w:val="TableParagraph"/>
              <w:ind w:right="360"/>
              <w:rPr>
                <w:rFonts w:ascii="Carlito"/>
                <w:sz w:val="16"/>
              </w:rPr>
            </w:pPr>
            <w:r>
              <w:rPr>
                <w:rFonts w:ascii="Carlito"/>
                <w:sz w:val="16"/>
              </w:rPr>
              <w:t>3.2</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162</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595" w:type="dxa"/>
            <w:shd w:val="clear" w:color="auto" w:fill="D9D9D9"/>
          </w:tcPr>
          <w:p>
            <w:pPr>
              <w:pStyle w:val="TableParagraph"/>
              <w:ind w:right="69"/>
              <w:rPr>
                <w:rFonts w:ascii="Carlito"/>
                <w:sz w:val="16"/>
              </w:rPr>
            </w:pPr>
            <w:r>
              <w:rPr>
                <w:rFonts w:ascii="Carlito"/>
                <w:sz w:val="16"/>
              </w:rPr>
              <w:t>0</w:t>
            </w:r>
          </w:p>
        </w:tc>
        <w:tc>
          <w:tcPr>
            <w:tcW w:w="1378" w:type="dxa"/>
            <w:shd w:val="clear" w:color="auto" w:fill="D9D9D9"/>
          </w:tcPr>
          <w:p>
            <w:pPr>
              <w:pStyle w:val="TableParagraph"/>
              <w:ind w:right="375"/>
              <w:rPr>
                <w:rFonts w:ascii="Carlito"/>
                <w:sz w:val="16"/>
              </w:rPr>
            </w:pPr>
            <w:r>
              <w:rPr>
                <w:rFonts w:ascii="Carlito"/>
                <w:sz w:val="16"/>
              </w:rPr>
              <w:t>$297,000.00</w:t>
            </w:r>
          </w:p>
        </w:tc>
        <w:tc>
          <w:tcPr>
            <w:tcW w:w="1040" w:type="dxa"/>
            <w:shd w:val="clear" w:color="auto" w:fill="D9D9D9"/>
          </w:tcPr>
          <w:p>
            <w:pPr>
              <w:pStyle w:val="TableParagraph"/>
              <w:ind w:right="340"/>
              <w:rPr>
                <w:rFonts w:ascii="Carlito"/>
                <w:sz w:val="16"/>
              </w:rPr>
            </w:pPr>
            <w:r>
              <w:rPr>
                <w:rFonts w:ascii="Carlito"/>
                <w:sz w:val="16"/>
              </w:rPr>
              <w:t>209</w:t>
            </w:r>
          </w:p>
        </w:tc>
        <w:tc>
          <w:tcPr>
            <w:tcW w:w="1126" w:type="dxa"/>
            <w:shd w:val="clear" w:color="auto" w:fill="D9D9D9"/>
          </w:tcPr>
          <w:p>
            <w:pPr>
              <w:pStyle w:val="TableParagraph"/>
              <w:ind w:left="319" w:right="439"/>
              <w:jc w:val="center"/>
              <w:rPr>
                <w:rFonts w:ascii="Carlito"/>
                <w:sz w:val="16"/>
              </w:rPr>
            </w:pPr>
            <w:r>
              <w:rPr>
                <w:rFonts w:ascii="Carlito"/>
                <w:sz w:val="16"/>
              </w:rPr>
              <w:t>2013</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297"/>
              <w:rPr>
                <w:rFonts w:ascii="Carlito"/>
                <w:sz w:val="16"/>
              </w:rPr>
            </w:pPr>
            <w:r>
              <w:rPr>
                <w:rFonts w:ascii="Carlito"/>
                <w:sz w:val="16"/>
              </w:rPr>
              <w:t>2</w:t>
            </w:r>
          </w:p>
        </w:tc>
        <w:tc>
          <w:tcPr>
            <w:tcW w:w="815" w:type="dxa"/>
            <w:shd w:val="clear" w:color="auto" w:fill="D9D9D9"/>
          </w:tcPr>
          <w:p>
            <w:pPr>
              <w:pStyle w:val="TableParagraph"/>
              <w:ind w:left="303"/>
              <w:jc w:val="left"/>
              <w:rPr>
                <w:rFonts w:ascii="Carlito"/>
                <w:sz w:val="16"/>
              </w:rPr>
            </w:pPr>
            <w:r>
              <w:rPr>
                <w:rFonts w:ascii="Carlito"/>
                <w:sz w:val="16"/>
              </w:rPr>
              <w:t>1</w:t>
            </w:r>
          </w:p>
        </w:tc>
        <w:tc>
          <w:tcPr>
            <w:tcW w:w="1287" w:type="dxa"/>
            <w:shd w:val="clear" w:color="auto" w:fill="D9D9D9"/>
          </w:tcPr>
          <w:p>
            <w:pPr>
              <w:pStyle w:val="TableParagraph"/>
              <w:ind w:right="567"/>
              <w:rPr>
                <w:rFonts w:ascii="Carlito"/>
                <w:sz w:val="16"/>
              </w:rPr>
            </w:pPr>
            <w:r>
              <w:rPr>
                <w:rFonts w:ascii="Carlito"/>
                <w:sz w:val="16"/>
              </w:rPr>
              <w:t>5.7</w:t>
            </w:r>
          </w:p>
        </w:tc>
        <w:tc>
          <w:tcPr>
            <w:tcW w:w="1141" w:type="dxa"/>
            <w:shd w:val="clear" w:color="auto" w:fill="D9D9D9"/>
          </w:tcPr>
          <w:p>
            <w:pPr>
              <w:pStyle w:val="TableParagraph"/>
              <w:ind w:right="360"/>
              <w:rPr>
                <w:rFonts w:ascii="Carlito"/>
                <w:sz w:val="16"/>
              </w:rPr>
            </w:pPr>
            <w:r>
              <w:rPr>
                <w:rFonts w:ascii="Carlito"/>
                <w:sz w:val="16"/>
              </w:rPr>
              <w:t>3.2</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163</w:t>
            </w:r>
          </w:p>
        </w:tc>
        <w:tc>
          <w:tcPr>
            <w:tcW w:w="1938" w:type="dxa"/>
          </w:tcPr>
          <w:p>
            <w:pPr>
              <w:pStyle w:val="TableParagraph"/>
              <w:spacing w:before="92"/>
              <w:ind w:left="143"/>
              <w:jc w:val="left"/>
              <w:rPr>
                <w:rFonts w:ascii="Carlito"/>
                <w:sz w:val="16"/>
              </w:rPr>
            </w:pPr>
            <w:r>
              <w:rPr>
                <w:rFonts w:ascii="Carlito"/>
                <w:sz w:val="16"/>
              </w:rPr>
              <w:t>Curridabat</w:t>
            </w:r>
          </w:p>
        </w:tc>
        <w:tc>
          <w:tcPr>
            <w:tcW w:w="595" w:type="dxa"/>
          </w:tcPr>
          <w:p>
            <w:pPr>
              <w:pStyle w:val="TableParagraph"/>
              <w:spacing w:before="92"/>
              <w:ind w:right="69"/>
              <w:rPr>
                <w:rFonts w:ascii="Carlito"/>
                <w:sz w:val="16"/>
              </w:rPr>
            </w:pPr>
            <w:r>
              <w:rPr>
                <w:rFonts w:ascii="Carlito"/>
                <w:sz w:val="16"/>
              </w:rPr>
              <w:t>1</w:t>
            </w:r>
          </w:p>
        </w:tc>
        <w:tc>
          <w:tcPr>
            <w:tcW w:w="1378" w:type="dxa"/>
          </w:tcPr>
          <w:p>
            <w:pPr>
              <w:pStyle w:val="TableParagraph"/>
              <w:spacing w:before="92"/>
              <w:ind w:right="375"/>
              <w:rPr>
                <w:rFonts w:ascii="Carlito"/>
                <w:sz w:val="16"/>
              </w:rPr>
            </w:pPr>
            <w:r>
              <w:rPr>
                <w:rFonts w:ascii="Carlito"/>
                <w:sz w:val="16"/>
              </w:rPr>
              <w:t>$1,390,000.00</w:t>
            </w:r>
          </w:p>
        </w:tc>
        <w:tc>
          <w:tcPr>
            <w:tcW w:w="1040" w:type="dxa"/>
          </w:tcPr>
          <w:p>
            <w:pPr>
              <w:pStyle w:val="TableParagraph"/>
              <w:spacing w:before="92"/>
              <w:ind w:right="340"/>
              <w:rPr>
                <w:rFonts w:ascii="Carlito"/>
                <w:sz w:val="16"/>
              </w:rPr>
            </w:pPr>
            <w:r>
              <w:rPr>
                <w:rFonts w:ascii="Carlito"/>
                <w:sz w:val="16"/>
              </w:rPr>
              <w:t>587</w:t>
            </w:r>
          </w:p>
        </w:tc>
        <w:tc>
          <w:tcPr>
            <w:tcW w:w="1126" w:type="dxa"/>
          </w:tcPr>
          <w:p>
            <w:pPr>
              <w:pStyle w:val="TableParagraph"/>
              <w:spacing w:before="92"/>
              <w:ind w:left="319" w:right="439"/>
              <w:jc w:val="center"/>
              <w:rPr>
                <w:rFonts w:ascii="Carlito"/>
                <w:sz w:val="16"/>
              </w:rPr>
            </w:pPr>
            <w:r>
              <w:rPr>
                <w:rFonts w:ascii="Carlito"/>
                <w:sz w:val="16"/>
              </w:rPr>
              <w:t>2010</w:t>
            </w:r>
          </w:p>
        </w:tc>
        <w:tc>
          <w:tcPr>
            <w:tcW w:w="782" w:type="dxa"/>
          </w:tcPr>
          <w:p>
            <w:pPr>
              <w:pStyle w:val="TableParagraph"/>
              <w:spacing w:before="92"/>
              <w:ind w:right="234"/>
              <w:rPr>
                <w:rFonts w:ascii="Carlito"/>
                <w:sz w:val="16"/>
              </w:rPr>
            </w:pPr>
            <w:r>
              <w:rPr>
                <w:rFonts w:ascii="Carlito"/>
                <w:sz w:val="16"/>
              </w:rPr>
              <w:t>6</w:t>
            </w:r>
          </w:p>
        </w:tc>
        <w:tc>
          <w:tcPr>
            <w:tcW w:w="744" w:type="dxa"/>
          </w:tcPr>
          <w:p>
            <w:pPr>
              <w:pStyle w:val="TableParagraph"/>
              <w:spacing w:before="92"/>
              <w:ind w:right="297"/>
              <w:rPr>
                <w:rFonts w:ascii="Carlito"/>
                <w:sz w:val="16"/>
              </w:rPr>
            </w:pPr>
            <w:r>
              <w:rPr>
                <w:rFonts w:ascii="Carlito"/>
                <w:sz w:val="16"/>
              </w:rPr>
              <w:t>5</w:t>
            </w:r>
          </w:p>
        </w:tc>
        <w:tc>
          <w:tcPr>
            <w:tcW w:w="815" w:type="dxa"/>
          </w:tcPr>
          <w:p>
            <w:pPr>
              <w:pStyle w:val="TableParagraph"/>
              <w:spacing w:before="92"/>
              <w:ind w:left="303"/>
              <w:jc w:val="left"/>
              <w:rPr>
                <w:rFonts w:ascii="Carlito"/>
                <w:sz w:val="16"/>
              </w:rPr>
            </w:pPr>
            <w:r>
              <w:rPr>
                <w:rFonts w:ascii="Carlito"/>
                <w:sz w:val="16"/>
              </w:rPr>
              <w:t>2</w:t>
            </w:r>
          </w:p>
        </w:tc>
        <w:tc>
          <w:tcPr>
            <w:tcW w:w="1287" w:type="dxa"/>
          </w:tcPr>
          <w:p>
            <w:pPr>
              <w:pStyle w:val="TableParagraph"/>
              <w:spacing w:before="92"/>
              <w:ind w:right="567"/>
              <w:rPr>
                <w:rFonts w:ascii="Carlito"/>
                <w:sz w:val="16"/>
              </w:rPr>
            </w:pPr>
            <w:r>
              <w:rPr>
                <w:rFonts w:ascii="Carlito"/>
                <w:sz w:val="16"/>
              </w:rPr>
              <w:t>5.7</w:t>
            </w:r>
          </w:p>
        </w:tc>
        <w:tc>
          <w:tcPr>
            <w:tcW w:w="1141" w:type="dxa"/>
          </w:tcPr>
          <w:p>
            <w:pPr>
              <w:pStyle w:val="TableParagraph"/>
              <w:spacing w:before="92"/>
              <w:ind w:right="360"/>
              <w:rPr>
                <w:rFonts w:ascii="Carlito"/>
                <w:sz w:val="16"/>
              </w:rPr>
            </w:pPr>
            <w:r>
              <w:rPr>
                <w:rFonts w:ascii="Carlito"/>
                <w:sz w:val="16"/>
              </w:rPr>
              <w:t>3.2</w:t>
            </w:r>
          </w:p>
        </w:tc>
        <w:tc>
          <w:tcPr>
            <w:tcW w:w="825" w:type="dxa"/>
          </w:tcPr>
          <w:p>
            <w:pPr>
              <w:pStyle w:val="TableParagraph"/>
              <w:spacing w:before="92"/>
              <w:ind w:right="373"/>
              <w:rPr>
                <w:rFonts w:ascii="Carlito"/>
                <w:sz w:val="16"/>
              </w:rPr>
            </w:pPr>
            <w:r>
              <w:rPr>
                <w:rFonts w:ascii="Carlito"/>
                <w:sz w:val="16"/>
              </w:rPr>
              <w:t>0</w:t>
            </w:r>
          </w:p>
        </w:tc>
        <w:tc>
          <w:tcPr>
            <w:tcW w:w="529" w:type="dxa"/>
          </w:tcPr>
          <w:p>
            <w:pPr>
              <w:pStyle w:val="TableParagraph"/>
              <w:spacing w:before="92"/>
              <w:ind w:right="58"/>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164</w:t>
            </w:r>
          </w:p>
        </w:tc>
        <w:tc>
          <w:tcPr>
            <w:tcW w:w="1938" w:type="dxa"/>
            <w:shd w:val="clear" w:color="auto" w:fill="D9D9D9"/>
          </w:tcPr>
          <w:p>
            <w:pPr>
              <w:pStyle w:val="TableParagraph"/>
              <w:ind w:left="143"/>
              <w:jc w:val="left"/>
              <w:rPr>
                <w:rFonts w:ascii="Carlito"/>
                <w:sz w:val="16"/>
              </w:rPr>
            </w:pPr>
            <w:r>
              <w:rPr>
                <w:rFonts w:ascii="Carlito"/>
                <w:sz w:val="16"/>
              </w:rPr>
              <w:t>Freses</w:t>
            </w:r>
          </w:p>
        </w:tc>
        <w:tc>
          <w:tcPr>
            <w:tcW w:w="595" w:type="dxa"/>
            <w:shd w:val="clear" w:color="auto" w:fill="D9D9D9"/>
          </w:tcPr>
          <w:p>
            <w:pPr>
              <w:pStyle w:val="TableParagraph"/>
              <w:ind w:right="69"/>
              <w:rPr>
                <w:rFonts w:ascii="Carlito"/>
                <w:sz w:val="16"/>
              </w:rPr>
            </w:pPr>
            <w:r>
              <w:rPr>
                <w:rFonts w:ascii="Carlito"/>
                <w:sz w:val="16"/>
              </w:rPr>
              <w:t>1</w:t>
            </w:r>
          </w:p>
        </w:tc>
        <w:tc>
          <w:tcPr>
            <w:tcW w:w="1378" w:type="dxa"/>
            <w:shd w:val="clear" w:color="auto" w:fill="D9D9D9"/>
          </w:tcPr>
          <w:p>
            <w:pPr>
              <w:pStyle w:val="TableParagraph"/>
              <w:ind w:right="375"/>
              <w:rPr>
                <w:rFonts w:ascii="Carlito"/>
                <w:sz w:val="16"/>
              </w:rPr>
            </w:pPr>
            <w:r>
              <w:rPr>
                <w:rFonts w:ascii="Carlito"/>
                <w:sz w:val="16"/>
              </w:rPr>
              <w:t>$213,000.00</w:t>
            </w:r>
          </w:p>
        </w:tc>
        <w:tc>
          <w:tcPr>
            <w:tcW w:w="1040" w:type="dxa"/>
            <w:shd w:val="clear" w:color="auto" w:fill="D9D9D9"/>
          </w:tcPr>
          <w:p>
            <w:pPr>
              <w:pStyle w:val="TableParagraph"/>
              <w:ind w:right="340"/>
              <w:rPr>
                <w:rFonts w:ascii="Carlito"/>
                <w:sz w:val="16"/>
              </w:rPr>
            </w:pPr>
            <w:r>
              <w:rPr>
                <w:rFonts w:ascii="Carlito"/>
                <w:sz w:val="16"/>
              </w:rPr>
              <w:t>246</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4</w:t>
            </w:r>
          </w:p>
        </w:tc>
        <w:tc>
          <w:tcPr>
            <w:tcW w:w="744" w:type="dxa"/>
            <w:shd w:val="clear" w:color="auto" w:fill="D9D9D9"/>
          </w:tcPr>
          <w:p>
            <w:pPr>
              <w:pStyle w:val="TableParagraph"/>
              <w:ind w:right="302"/>
              <w:rPr>
                <w:rFonts w:ascii="Carlito"/>
                <w:sz w:val="16"/>
              </w:rPr>
            </w:pPr>
            <w:r>
              <w:rPr>
                <w:rFonts w:ascii="Carlito"/>
                <w:sz w:val="16"/>
              </w:rPr>
              <w:t>3.5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4.8</w:t>
            </w:r>
          </w:p>
        </w:tc>
        <w:tc>
          <w:tcPr>
            <w:tcW w:w="1141" w:type="dxa"/>
            <w:shd w:val="clear" w:color="auto" w:fill="D9D9D9"/>
          </w:tcPr>
          <w:p>
            <w:pPr>
              <w:pStyle w:val="TableParagraph"/>
              <w:ind w:right="360"/>
              <w:rPr>
                <w:rFonts w:ascii="Carlito"/>
                <w:sz w:val="16"/>
              </w:rPr>
            </w:pPr>
            <w:r>
              <w:rPr>
                <w:rFonts w:ascii="Carlito"/>
                <w:sz w:val="16"/>
              </w:rPr>
              <w:t>4.7</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165</w:t>
            </w:r>
          </w:p>
        </w:tc>
        <w:tc>
          <w:tcPr>
            <w:tcW w:w="1938" w:type="dxa"/>
          </w:tcPr>
          <w:p>
            <w:pPr>
              <w:pStyle w:val="TableParagraph"/>
              <w:spacing w:before="92"/>
              <w:ind w:left="143"/>
              <w:jc w:val="left"/>
              <w:rPr>
                <w:rFonts w:ascii="Carlito"/>
                <w:sz w:val="16"/>
              </w:rPr>
            </w:pPr>
            <w:r>
              <w:rPr>
                <w:rFonts w:ascii="Carlito"/>
                <w:sz w:val="16"/>
              </w:rPr>
              <w:t>El Prado, Curridabat</w:t>
            </w:r>
          </w:p>
        </w:tc>
        <w:tc>
          <w:tcPr>
            <w:tcW w:w="595" w:type="dxa"/>
          </w:tcPr>
          <w:p>
            <w:pPr>
              <w:pStyle w:val="TableParagraph"/>
              <w:spacing w:before="92"/>
              <w:ind w:right="69"/>
              <w:rPr>
                <w:rFonts w:ascii="Carlito"/>
                <w:sz w:val="16"/>
              </w:rPr>
            </w:pPr>
            <w:r>
              <w:rPr>
                <w:rFonts w:ascii="Carlito"/>
                <w:sz w:val="16"/>
              </w:rPr>
              <w:t>1</w:t>
            </w:r>
          </w:p>
        </w:tc>
        <w:tc>
          <w:tcPr>
            <w:tcW w:w="1378" w:type="dxa"/>
          </w:tcPr>
          <w:p>
            <w:pPr>
              <w:pStyle w:val="TableParagraph"/>
              <w:spacing w:before="92"/>
              <w:ind w:right="375"/>
              <w:rPr>
                <w:rFonts w:ascii="Carlito"/>
                <w:sz w:val="16"/>
              </w:rPr>
            </w:pPr>
            <w:r>
              <w:rPr>
                <w:rFonts w:ascii="Carlito"/>
                <w:sz w:val="16"/>
              </w:rPr>
              <w:t>$330,000.00</w:t>
            </w:r>
          </w:p>
        </w:tc>
        <w:tc>
          <w:tcPr>
            <w:tcW w:w="1040" w:type="dxa"/>
          </w:tcPr>
          <w:p>
            <w:pPr>
              <w:pStyle w:val="TableParagraph"/>
              <w:spacing w:before="92"/>
              <w:ind w:right="340"/>
              <w:rPr>
                <w:rFonts w:ascii="Carlito"/>
                <w:sz w:val="16"/>
              </w:rPr>
            </w:pPr>
            <w:r>
              <w:rPr>
                <w:rFonts w:ascii="Carlito"/>
                <w:sz w:val="16"/>
              </w:rPr>
              <w:t>300</w:t>
            </w:r>
          </w:p>
        </w:tc>
        <w:tc>
          <w:tcPr>
            <w:tcW w:w="1126" w:type="dxa"/>
          </w:tcPr>
          <w:p>
            <w:pPr>
              <w:pStyle w:val="TableParagraph"/>
              <w:spacing w:before="92"/>
              <w:ind w:left="319" w:right="439"/>
              <w:jc w:val="center"/>
              <w:rPr>
                <w:rFonts w:ascii="Carlito"/>
                <w:sz w:val="16"/>
              </w:rPr>
            </w:pPr>
            <w:r>
              <w:rPr>
                <w:rFonts w:ascii="Carlito"/>
                <w:sz w:val="16"/>
              </w:rPr>
              <w:t>2006</w:t>
            </w:r>
          </w:p>
        </w:tc>
        <w:tc>
          <w:tcPr>
            <w:tcW w:w="782" w:type="dxa"/>
          </w:tcPr>
          <w:p>
            <w:pPr>
              <w:pStyle w:val="TableParagraph"/>
              <w:spacing w:before="92"/>
              <w:ind w:right="234"/>
              <w:rPr>
                <w:rFonts w:ascii="Carlito"/>
                <w:sz w:val="16"/>
              </w:rPr>
            </w:pPr>
            <w:r>
              <w:rPr>
                <w:rFonts w:ascii="Carlito"/>
                <w:sz w:val="16"/>
              </w:rPr>
              <w:t>6</w:t>
            </w:r>
          </w:p>
        </w:tc>
        <w:tc>
          <w:tcPr>
            <w:tcW w:w="744" w:type="dxa"/>
          </w:tcPr>
          <w:p>
            <w:pPr>
              <w:pStyle w:val="TableParagraph"/>
              <w:spacing w:before="92"/>
              <w:ind w:right="297"/>
              <w:rPr>
                <w:rFonts w:ascii="Carlito"/>
                <w:sz w:val="16"/>
              </w:rPr>
            </w:pPr>
            <w:r>
              <w:rPr>
                <w:rFonts w:ascii="Carlito"/>
                <w:sz w:val="16"/>
              </w:rPr>
              <w:t>3</w:t>
            </w:r>
          </w:p>
        </w:tc>
        <w:tc>
          <w:tcPr>
            <w:tcW w:w="815" w:type="dxa"/>
          </w:tcPr>
          <w:p>
            <w:pPr>
              <w:pStyle w:val="TableParagraph"/>
              <w:spacing w:before="92"/>
              <w:ind w:left="303"/>
              <w:jc w:val="left"/>
              <w:rPr>
                <w:rFonts w:ascii="Carlito"/>
                <w:sz w:val="16"/>
              </w:rPr>
            </w:pPr>
            <w:r>
              <w:rPr>
                <w:rFonts w:ascii="Carlito"/>
                <w:sz w:val="16"/>
              </w:rPr>
              <w:t>2</w:t>
            </w:r>
          </w:p>
        </w:tc>
        <w:tc>
          <w:tcPr>
            <w:tcW w:w="1287" w:type="dxa"/>
          </w:tcPr>
          <w:p>
            <w:pPr>
              <w:pStyle w:val="TableParagraph"/>
              <w:spacing w:before="92"/>
              <w:ind w:right="567"/>
              <w:rPr>
                <w:rFonts w:ascii="Carlito"/>
                <w:sz w:val="16"/>
              </w:rPr>
            </w:pPr>
            <w:r>
              <w:rPr>
                <w:rFonts w:ascii="Carlito"/>
                <w:sz w:val="16"/>
              </w:rPr>
              <w:t>4.8</w:t>
            </w:r>
          </w:p>
        </w:tc>
        <w:tc>
          <w:tcPr>
            <w:tcW w:w="1141" w:type="dxa"/>
          </w:tcPr>
          <w:p>
            <w:pPr>
              <w:pStyle w:val="TableParagraph"/>
              <w:spacing w:before="92"/>
              <w:ind w:right="360"/>
              <w:rPr>
                <w:rFonts w:ascii="Carlito"/>
                <w:sz w:val="16"/>
              </w:rPr>
            </w:pPr>
            <w:r>
              <w:rPr>
                <w:rFonts w:ascii="Carlito"/>
                <w:sz w:val="16"/>
              </w:rPr>
              <w:t>4.8</w:t>
            </w:r>
          </w:p>
        </w:tc>
        <w:tc>
          <w:tcPr>
            <w:tcW w:w="825" w:type="dxa"/>
          </w:tcPr>
          <w:p>
            <w:pPr>
              <w:pStyle w:val="TableParagraph"/>
              <w:spacing w:before="92"/>
              <w:ind w:right="373"/>
              <w:rPr>
                <w:rFonts w:ascii="Carlito"/>
                <w:sz w:val="16"/>
              </w:rPr>
            </w:pPr>
            <w:r>
              <w:rPr>
                <w:rFonts w:ascii="Carlito"/>
                <w:sz w:val="16"/>
              </w:rPr>
              <w:t>0</w:t>
            </w:r>
          </w:p>
        </w:tc>
        <w:tc>
          <w:tcPr>
            <w:tcW w:w="529" w:type="dxa"/>
          </w:tcPr>
          <w:p>
            <w:pPr>
              <w:pStyle w:val="TableParagraph"/>
              <w:spacing w:before="92"/>
              <w:ind w:right="58"/>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167</w:t>
            </w:r>
          </w:p>
        </w:tc>
        <w:tc>
          <w:tcPr>
            <w:tcW w:w="1938" w:type="dxa"/>
            <w:shd w:val="clear" w:color="auto" w:fill="D9D9D9"/>
          </w:tcPr>
          <w:p>
            <w:pPr>
              <w:pStyle w:val="TableParagraph"/>
              <w:ind w:left="143"/>
              <w:jc w:val="left"/>
              <w:rPr>
                <w:rFonts w:ascii="Carlito"/>
                <w:sz w:val="16"/>
              </w:rPr>
            </w:pPr>
            <w:r>
              <w:rPr>
                <w:rFonts w:ascii="Carlito"/>
                <w:sz w:val="16"/>
              </w:rPr>
              <w:t>Colinas Montealegre</w:t>
            </w:r>
          </w:p>
        </w:tc>
        <w:tc>
          <w:tcPr>
            <w:tcW w:w="595" w:type="dxa"/>
            <w:shd w:val="clear" w:color="auto" w:fill="D9D9D9"/>
          </w:tcPr>
          <w:p>
            <w:pPr>
              <w:pStyle w:val="TableParagraph"/>
              <w:ind w:right="69"/>
              <w:rPr>
                <w:rFonts w:ascii="Carlito"/>
                <w:sz w:val="16"/>
              </w:rPr>
            </w:pPr>
            <w:r>
              <w:rPr>
                <w:rFonts w:ascii="Carlito"/>
                <w:sz w:val="16"/>
              </w:rPr>
              <w:t>0</w:t>
            </w:r>
          </w:p>
        </w:tc>
        <w:tc>
          <w:tcPr>
            <w:tcW w:w="1378" w:type="dxa"/>
            <w:shd w:val="clear" w:color="auto" w:fill="D9D9D9"/>
          </w:tcPr>
          <w:p>
            <w:pPr>
              <w:pStyle w:val="TableParagraph"/>
              <w:ind w:right="375"/>
              <w:rPr>
                <w:rFonts w:ascii="Carlito"/>
                <w:sz w:val="16"/>
              </w:rPr>
            </w:pPr>
            <w:r>
              <w:rPr>
                <w:rFonts w:ascii="Carlito"/>
                <w:sz w:val="16"/>
              </w:rPr>
              <w:t>$600,000.00</w:t>
            </w:r>
          </w:p>
        </w:tc>
        <w:tc>
          <w:tcPr>
            <w:tcW w:w="1040" w:type="dxa"/>
            <w:shd w:val="clear" w:color="auto" w:fill="D9D9D9"/>
          </w:tcPr>
          <w:p>
            <w:pPr>
              <w:pStyle w:val="TableParagraph"/>
              <w:ind w:right="340"/>
              <w:rPr>
                <w:rFonts w:ascii="Carlito"/>
                <w:sz w:val="16"/>
              </w:rPr>
            </w:pPr>
            <w:r>
              <w:rPr>
                <w:rFonts w:ascii="Carlito"/>
                <w:sz w:val="16"/>
              </w:rPr>
              <w:t>360</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297"/>
              <w:rPr>
                <w:rFonts w:ascii="Carlito"/>
                <w:sz w:val="16"/>
              </w:rPr>
            </w:pPr>
            <w:r>
              <w:rPr>
                <w:rFonts w:ascii="Carlito"/>
                <w:sz w:val="16"/>
              </w:rPr>
              <w:t>4</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8.8</w:t>
            </w:r>
          </w:p>
        </w:tc>
        <w:tc>
          <w:tcPr>
            <w:tcW w:w="1141" w:type="dxa"/>
            <w:shd w:val="clear" w:color="auto" w:fill="D9D9D9"/>
          </w:tcPr>
          <w:p>
            <w:pPr>
              <w:pStyle w:val="TableParagraph"/>
              <w:ind w:right="360"/>
              <w:rPr>
                <w:rFonts w:ascii="Carlito"/>
                <w:sz w:val="16"/>
              </w:rPr>
            </w:pPr>
            <w:r>
              <w:rPr>
                <w:rFonts w:ascii="Carlito"/>
                <w:sz w:val="16"/>
              </w:rPr>
              <w:t>3.3</w:t>
            </w:r>
          </w:p>
        </w:tc>
        <w:tc>
          <w:tcPr>
            <w:tcW w:w="825" w:type="dxa"/>
            <w:shd w:val="clear" w:color="auto" w:fill="D9D9D9"/>
          </w:tcPr>
          <w:p>
            <w:pPr>
              <w:pStyle w:val="TableParagraph"/>
              <w:ind w:right="373"/>
              <w:rPr>
                <w:rFonts w:ascii="Carlito"/>
                <w:sz w:val="16"/>
              </w:rPr>
            </w:pPr>
            <w:r>
              <w:rPr>
                <w:rFonts w:ascii="Carlito"/>
                <w:sz w:val="16"/>
              </w:rPr>
              <w:t>1</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168</w:t>
            </w:r>
          </w:p>
        </w:tc>
        <w:tc>
          <w:tcPr>
            <w:tcW w:w="1938" w:type="dxa"/>
          </w:tcPr>
          <w:p>
            <w:pPr>
              <w:pStyle w:val="TableParagraph"/>
              <w:spacing w:before="92"/>
              <w:ind w:left="143"/>
              <w:jc w:val="left"/>
              <w:rPr>
                <w:rFonts w:ascii="Carlito"/>
                <w:sz w:val="16"/>
              </w:rPr>
            </w:pPr>
            <w:r>
              <w:rPr>
                <w:rFonts w:ascii="Carlito"/>
                <w:sz w:val="16"/>
              </w:rPr>
              <w:t>Granadilla</w:t>
            </w:r>
          </w:p>
        </w:tc>
        <w:tc>
          <w:tcPr>
            <w:tcW w:w="595" w:type="dxa"/>
          </w:tcPr>
          <w:p>
            <w:pPr>
              <w:pStyle w:val="TableParagraph"/>
              <w:spacing w:before="92"/>
              <w:ind w:right="69"/>
              <w:rPr>
                <w:rFonts w:ascii="Carlito"/>
                <w:sz w:val="16"/>
              </w:rPr>
            </w:pPr>
            <w:r>
              <w:rPr>
                <w:rFonts w:ascii="Carlito"/>
                <w:sz w:val="16"/>
              </w:rPr>
              <w:t>0</w:t>
            </w:r>
          </w:p>
        </w:tc>
        <w:tc>
          <w:tcPr>
            <w:tcW w:w="1378" w:type="dxa"/>
          </w:tcPr>
          <w:p>
            <w:pPr>
              <w:pStyle w:val="TableParagraph"/>
              <w:spacing w:before="92"/>
              <w:ind w:right="375"/>
              <w:rPr>
                <w:rFonts w:ascii="Carlito"/>
                <w:sz w:val="16"/>
              </w:rPr>
            </w:pPr>
            <w:r>
              <w:rPr>
                <w:rFonts w:ascii="Carlito"/>
                <w:sz w:val="16"/>
              </w:rPr>
              <w:t>$380,000.00</w:t>
            </w:r>
          </w:p>
        </w:tc>
        <w:tc>
          <w:tcPr>
            <w:tcW w:w="1040" w:type="dxa"/>
          </w:tcPr>
          <w:p>
            <w:pPr>
              <w:pStyle w:val="TableParagraph"/>
              <w:spacing w:before="92"/>
              <w:ind w:right="340"/>
              <w:rPr>
                <w:rFonts w:ascii="Carlito"/>
                <w:sz w:val="16"/>
              </w:rPr>
            </w:pPr>
            <w:r>
              <w:rPr>
                <w:rFonts w:ascii="Carlito"/>
                <w:sz w:val="16"/>
              </w:rPr>
              <w:t>280</w:t>
            </w:r>
          </w:p>
        </w:tc>
        <w:tc>
          <w:tcPr>
            <w:tcW w:w="1126" w:type="dxa"/>
          </w:tcPr>
          <w:p>
            <w:pPr>
              <w:pStyle w:val="TableParagraph"/>
              <w:spacing w:before="92"/>
              <w:ind w:left="319" w:right="439"/>
              <w:jc w:val="center"/>
              <w:rPr>
                <w:rFonts w:ascii="Carlito"/>
                <w:sz w:val="16"/>
              </w:rPr>
            </w:pPr>
            <w:r>
              <w:rPr>
                <w:rFonts w:ascii="Carlito"/>
                <w:sz w:val="16"/>
              </w:rPr>
              <w:t>2006</w:t>
            </w:r>
          </w:p>
        </w:tc>
        <w:tc>
          <w:tcPr>
            <w:tcW w:w="782" w:type="dxa"/>
          </w:tcPr>
          <w:p>
            <w:pPr>
              <w:pStyle w:val="TableParagraph"/>
              <w:spacing w:before="92"/>
              <w:ind w:right="234"/>
              <w:rPr>
                <w:rFonts w:ascii="Carlito"/>
                <w:sz w:val="16"/>
              </w:rPr>
            </w:pPr>
            <w:r>
              <w:rPr>
                <w:rFonts w:ascii="Carlito"/>
                <w:sz w:val="16"/>
              </w:rPr>
              <w:t>4</w:t>
            </w:r>
          </w:p>
        </w:tc>
        <w:tc>
          <w:tcPr>
            <w:tcW w:w="744" w:type="dxa"/>
          </w:tcPr>
          <w:p>
            <w:pPr>
              <w:pStyle w:val="TableParagraph"/>
              <w:spacing w:before="92"/>
              <w:ind w:right="302"/>
              <w:rPr>
                <w:rFonts w:ascii="Carlito"/>
                <w:sz w:val="16"/>
              </w:rPr>
            </w:pPr>
            <w:r>
              <w:rPr>
                <w:rFonts w:ascii="Carlito"/>
                <w:sz w:val="16"/>
              </w:rPr>
              <w:t>4.5</w:t>
            </w:r>
          </w:p>
        </w:tc>
        <w:tc>
          <w:tcPr>
            <w:tcW w:w="815" w:type="dxa"/>
          </w:tcPr>
          <w:p>
            <w:pPr>
              <w:pStyle w:val="TableParagraph"/>
              <w:spacing w:before="92"/>
              <w:ind w:left="303"/>
              <w:jc w:val="left"/>
              <w:rPr>
                <w:rFonts w:ascii="Carlito"/>
                <w:sz w:val="16"/>
              </w:rPr>
            </w:pPr>
            <w:r>
              <w:rPr>
                <w:rFonts w:ascii="Carlito"/>
                <w:sz w:val="16"/>
              </w:rPr>
              <w:t>2</w:t>
            </w:r>
          </w:p>
        </w:tc>
        <w:tc>
          <w:tcPr>
            <w:tcW w:w="1287" w:type="dxa"/>
          </w:tcPr>
          <w:p>
            <w:pPr>
              <w:pStyle w:val="TableParagraph"/>
              <w:spacing w:before="92"/>
              <w:ind w:right="567"/>
              <w:rPr>
                <w:rFonts w:ascii="Carlito"/>
                <w:sz w:val="16"/>
              </w:rPr>
            </w:pPr>
            <w:r>
              <w:rPr>
                <w:rFonts w:ascii="Carlito"/>
                <w:sz w:val="16"/>
              </w:rPr>
              <w:t>7.2</w:t>
            </w:r>
          </w:p>
        </w:tc>
        <w:tc>
          <w:tcPr>
            <w:tcW w:w="1141" w:type="dxa"/>
          </w:tcPr>
          <w:p>
            <w:pPr>
              <w:pStyle w:val="TableParagraph"/>
              <w:spacing w:before="92"/>
              <w:ind w:right="360"/>
              <w:rPr>
                <w:rFonts w:ascii="Carlito"/>
                <w:sz w:val="16"/>
              </w:rPr>
            </w:pPr>
            <w:r>
              <w:rPr>
                <w:rFonts w:ascii="Carlito"/>
                <w:sz w:val="16"/>
              </w:rPr>
              <w:t>5.6</w:t>
            </w:r>
          </w:p>
        </w:tc>
        <w:tc>
          <w:tcPr>
            <w:tcW w:w="825" w:type="dxa"/>
          </w:tcPr>
          <w:p>
            <w:pPr>
              <w:pStyle w:val="TableParagraph"/>
              <w:spacing w:before="92"/>
              <w:ind w:right="373"/>
              <w:rPr>
                <w:rFonts w:ascii="Carlito"/>
                <w:sz w:val="16"/>
              </w:rPr>
            </w:pPr>
            <w:r>
              <w:rPr>
                <w:rFonts w:ascii="Carlito"/>
                <w:sz w:val="16"/>
              </w:rPr>
              <w:t>1</w:t>
            </w:r>
          </w:p>
        </w:tc>
        <w:tc>
          <w:tcPr>
            <w:tcW w:w="529" w:type="dxa"/>
          </w:tcPr>
          <w:p>
            <w:pPr>
              <w:pStyle w:val="TableParagraph"/>
              <w:spacing w:before="92"/>
              <w:ind w:right="58"/>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169</w:t>
            </w:r>
          </w:p>
        </w:tc>
        <w:tc>
          <w:tcPr>
            <w:tcW w:w="1938" w:type="dxa"/>
            <w:shd w:val="clear" w:color="auto" w:fill="D9D9D9"/>
          </w:tcPr>
          <w:p>
            <w:pPr>
              <w:pStyle w:val="TableParagraph"/>
              <w:ind w:left="143"/>
              <w:jc w:val="left"/>
              <w:rPr>
                <w:rFonts w:ascii="Carlito"/>
                <w:sz w:val="16"/>
              </w:rPr>
            </w:pPr>
            <w:r>
              <w:rPr>
                <w:rFonts w:ascii="Carlito"/>
                <w:sz w:val="16"/>
              </w:rPr>
              <w:t>El Prado, Curridabat</w:t>
            </w:r>
          </w:p>
        </w:tc>
        <w:tc>
          <w:tcPr>
            <w:tcW w:w="595" w:type="dxa"/>
            <w:shd w:val="clear" w:color="auto" w:fill="D9D9D9"/>
          </w:tcPr>
          <w:p>
            <w:pPr>
              <w:pStyle w:val="TableParagraph"/>
              <w:ind w:right="69"/>
              <w:rPr>
                <w:rFonts w:ascii="Carlito"/>
                <w:sz w:val="16"/>
              </w:rPr>
            </w:pPr>
            <w:r>
              <w:rPr>
                <w:rFonts w:ascii="Carlito"/>
                <w:sz w:val="16"/>
              </w:rPr>
              <w:t>1</w:t>
            </w:r>
          </w:p>
        </w:tc>
        <w:tc>
          <w:tcPr>
            <w:tcW w:w="1378" w:type="dxa"/>
            <w:shd w:val="clear" w:color="auto" w:fill="D9D9D9"/>
          </w:tcPr>
          <w:p>
            <w:pPr>
              <w:pStyle w:val="TableParagraph"/>
              <w:ind w:right="375"/>
              <w:rPr>
                <w:rFonts w:ascii="Carlito"/>
                <w:sz w:val="16"/>
              </w:rPr>
            </w:pPr>
            <w:r>
              <w:rPr>
                <w:rFonts w:ascii="Carlito"/>
                <w:sz w:val="16"/>
              </w:rPr>
              <w:t>$550,000.00</w:t>
            </w:r>
          </w:p>
        </w:tc>
        <w:tc>
          <w:tcPr>
            <w:tcW w:w="1040" w:type="dxa"/>
            <w:shd w:val="clear" w:color="auto" w:fill="D9D9D9"/>
          </w:tcPr>
          <w:p>
            <w:pPr>
              <w:pStyle w:val="TableParagraph"/>
              <w:ind w:right="340"/>
              <w:rPr>
                <w:rFonts w:ascii="Carlito"/>
                <w:sz w:val="16"/>
              </w:rPr>
            </w:pPr>
            <w:r>
              <w:rPr>
                <w:rFonts w:ascii="Carlito"/>
                <w:sz w:val="16"/>
              </w:rPr>
              <w:t>315</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302"/>
              <w:rPr>
                <w:rFonts w:ascii="Carlito"/>
                <w:sz w:val="16"/>
              </w:rPr>
            </w:pPr>
            <w:r>
              <w:rPr>
                <w:rFonts w:ascii="Carlito"/>
                <w:sz w:val="16"/>
              </w:rPr>
              <w:t>2.5</w:t>
            </w:r>
          </w:p>
        </w:tc>
        <w:tc>
          <w:tcPr>
            <w:tcW w:w="815" w:type="dxa"/>
            <w:shd w:val="clear" w:color="auto" w:fill="D9D9D9"/>
          </w:tcPr>
          <w:p>
            <w:pPr>
              <w:pStyle w:val="TableParagraph"/>
              <w:ind w:left="303"/>
              <w:jc w:val="left"/>
              <w:rPr>
                <w:rFonts w:ascii="Carlito"/>
                <w:sz w:val="16"/>
              </w:rPr>
            </w:pPr>
            <w:r>
              <w:rPr>
                <w:rFonts w:ascii="Carlito"/>
                <w:sz w:val="16"/>
              </w:rPr>
              <w:t>1</w:t>
            </w:r>
          </w:p>
        </w:tc>
        <w:tc>
          <w:tcPr>
            <w:tcW w:w="1287" w:type="dxa"/>
            <w:shd w:val="clear" w:color="auto" w:fill="D9D9D9"/>
          </w:tcPr>
          <w:p>
            <w:pPr>
              <w:pStyle w:val="TableParagraph"/>
              <w:ind w:right="567"/>
              <w:rPr>
                <w:rFonts w:ascii="Carlito"/>
                <w:sz w:val="16"/>
              </w:rPr>
            </w:pPr>
            <w:r>
              <w:rPr>
                <w:rFonts w:ascii="Carlito"/>
                <w:sz w:val="16"/>
              </w:rPr>
              <w:t>4.8</w:t>
            </w:r>
          </w:p>
        </w:tc>
        <w:tc>
          <w:tcPr>
            <w:tcW w:w="1141" w:type="dxa"/>
            <w:shd w:val="clear" w:color="auto" w:fill="D9D9D9"/>
          </w:tcPr>
          <w:p>
            <w:pPr>
              <w:pStyle w:val="TableParagraph"/>
              <w:ind w:right="360"/>
              <w:rPr>
                <w:rFonts w:ascii="Carlito"/>
                <w:sz w:val="16"/>
              </w:rPr>
            </w:pPr>
            <w:r>
              <w:rPr>
                <w:rFonts w:ascii="Carlito"/>
                <w:sz w:val="16"/>
              </w:rPr>
              <w:t>4.8</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170</w:t>
            </w:r>
          </w:p>
        </w:tc>
        <w:tc>
          <w:tcPr>
            <w:tcW w:w="1938" w:type="dxa"/>
          </w:tcPr>
          <w:p>
            <w:pPr>
              <w:pStyle w:val="TableParagraph"/>
              <w:spacing w:before="92"/>
              <w:ind w:left="143"/>
              <w:jc w:val="left"/>
              <w:rPr>
                <w:rFonts w:ascii="Carlito"/>
                <w:sz w:val="16"/>
              </w:rPr>
            </w:pPr>
            <w:r>
              <w:rPr>
                <w:rFonts w:ascii="Carlito"/>
                <w:sz w:val="16"/>
              </w:rPr>
              <w:t>Pinares</w:t>
            </w:r>
          </w:p>
        </w:tc>
        <w:tc>
          <w:tcPr>
            <w:tcW w:w="595" w:type="dxa"/>
          </w:tcPr>
          <w:p>
            <w:pPr>
              <w:pStyle w:val="TableParagraph"/>
              <w:spacing w:before="92"/>
              <w:ind w:right="69"/>
              <w:rPr>
                <w:rFonts w:ascii="Carlito"/>
                <w:sz w:val="16"/>
              </w:rPr>
            </w:pPr>
            <w:r>
              <w:rPr>
                <w:rFonts w:ascii="Carlito"/>
                <w:sz w:val="16"/>
              </w:rPr>
              <w:t>1</w:t>
            </w:r>
          </w:p>
        </w:tc>
        <w:tc>
          <w:tcPr>
            <w:tcW w:w="1378" w:type="dxa"/>
          </w:tcPr>
          <w:p>
            <w:pPr>
              <w:pStyle w:val="TableParagraph"/>
              <w:spacing w:before="92"/>
              <w:ind w:right="375"/>
              <w:rPr>
                <w:rFonts w:ascii="Carlito"/>
                <w:sz w:val="16"/>
              </w:rPr>
            </w:pPr>
            <w:r>
              <w:rPr>
                <w:rFonts w:ascii="Carlito"/>
                <w:sz w:val="16"/>
              </w:rPr>
              <w:t>$300,000.00</w:t>
            </w:r>
          </w:p>
        </w:tc>
        <w:tc>
          <w:tcPr>
            <w:tcW w:w="1040" w:type="dxa"/>
          </w:tcPr>
          <w:p>
            <w:pPr>
              <w:pStyle w:val="TableParagraph"/>
              <w:spacing w:before="92"/>
              <w:ind w:right="340"/>
              <w:rPr>
                <w:rFonts w:ascii="Carlito"/>
                <w:sz w:val="16"/>
              </w:rPr>
            </w:pPr>
            <w:r>
              <w:rPr>
                <w:rFonts w:ascii="Carlito"/>
                <w:sz w:val="16"/>
              </w:rPr>
              <w:t>420</w:t>
            </w:r>
          </w:p>
        </w:tc>
        <w:tc>
          <w:tcPr>
            <w:tcW w:w="1126" w:type="dxa"/>
          </w:tcPr>
          <w:p>
            <w:pPr>
              <w:pStyle w:val="TableParagraph"/>
              <w:spacing w:before="92"/>
              <w:ind w:left="319" w:right="439"/>
              <w:jc w:val="center"/>
              <w:rPr>
                <w:rFonts w:ascii="Carlito"/>
                <w:sz w:val="16"/>
              </w:rPr>
            </w:pPr>
            <w:r>
              <w:rPr>
                <w:rFonts w:ascii="Carlito"/>
                <w:sz w:val="16"/>
              </w:rPr>
              <w:t>2006</w:t>
            </w:r>
          </w:p>
        </w:tc>
        <w:tc>
          <w:tcPr>
            <w:tcW w:w="782" w:type="dxa"/>
          </w:tcPr>
          <w:p>
            <w:pPr>
              <w:pStyle w:val="TableParagraph"/>
              <w:spacing w:before="92"/>
              <w:ind w:right="234"/>
              <w:rPr>
                <w:rFonts w:ascii="Carlito"/>
                <w:sz w:val="16"/>
              </w:rPr>
            </w:pPr>
            <w:r>
              <w:rPr>
                <w:rFonts w:ascii="Carlito"/>
                <w:sz w:val="16"/>
              </w:rPr>
              <w:t>4</w:t>
            </w:r>
          </w:p>
        </w:tc>
        <w:tc>
          <w:tcPr>
            <w:tcW w:w="744" w:type="dxa"/>
          </w:tcPr>
          <w:p>
            <w:pPr>
              <w:pStyle w:val="TableParagraph"/>
              <w:spacing w:before="92"/>
              <w:ind w:right="302"/>
              <w:rPr>
                <w:rFonts w:ascii="Carlito"/>
                <w:sz w:val="16"/>
              </w:rPr>
            </w:pPr>
            <w:r>
              <w:rPr>
                <w:rFonts w:ascii="Carlito"/>
                <w:sz w:val="16"/>
              </w:rPr>
              <w:t>2.5</w:t>
            </w:r>
          </w:p>
        </w:tc>
        <w:tc>
          <w:tcPr>
            <w:tcW w:w="815" w:type="dxa"/>
          </w:tcPr>
          <w:p>
            <w:pPr>
              <w:pStyle w:val="TableParagraph"/>
              <w:spacing w:before="92"/>
              <w:ind w:left="303"/>
              <w:jc w:val="left"/>
              <w:rPr>
                <w:rFonts w:ascii="Carlito"/>
                <w:sz w:val="16"/>
              </w:rPr>
            </w:pPr>
            <w:r>
              <w:rPr>
                <w:rFonts w:ascii="Carlito"/>
                <w:sz w:val="16"/>
              </w:rPr>
              <w:t>1</w:t>
            </w:r>
          </w:p>
        </w:tc>
        <w:tc>
          <w:tcPr>
            <w:tcW w:w="1287" w:type="dxa"/>
          </w:tcPr>
          <w:p>
            <w:pPr>
              <w:pStyle w:val="TableParagraph"/>
              <w:spacing w:before="92"/>
              <w:ind w:right="567"/>
              <w:rPr>
                <w:rFonts w:ascii="Carlito"/>
                <w:sz w:val="16"/>
              </w:rPr>
            </w:pPr>
            <w:r>
              <w:rPr>
                <w:rFonts w:ascii="Carlito"/>
                <w:sz w:val="16"/>
              </w:rPr>
              <w:t>7.4</w:t>
            </w:r>
          </w:p>
        </w:tc>
        <w:tc>
          <w:tcPr>
            <w:tcW w:w="1141" w:type="dxa"/>
          </w:tcPr>
          <w:p>
            <w:pPr>
              <w:pStyle w:val="TableParagraph"/>
              <w:spacing w:before="92"/>
              <w:ind w:right="360"/>
              <w:rPr>
                <w:rFonts w:ascii="Carlito"/>
                <w:sz w:val="16"/>
              </w:rPr>
            </w:pPr>
            <w:r>
              <w:rPr>
                <w:rFonts w:ascii="Carlito"/>
                <w:sz w:val="16"/>
              </w:rPr>
              <w:t>3.6</w:t>
            </w:r>
          </w:p>
        </w:tc>
        <w:tc>
          <w:tcPr>
            <w:tcW w:w="825" w:type="dxa"/>
          </w:tcPr>
          <w:p>
            <w:pPr>
              <w:pStyle w:val="TableParagraph"/>
              <w:spacing w:before="92"/>
              <w:ind w:right="373"/>
              <w:rPr>
                <w:rFonts w:ascii="Carlito"/>
                <w:sz w:val="16"/>
              </w:rPr>
            </w:pPr>
            <w:r>
              <w:rPr>
                <w:rFonts w:ascii="Carlito"/>
                <w:sz w:val="16"/>
              </w:rPr>
              <w:t>0</w:t>
            </w:r>
          </w:p>
        </w:tc>
        <w:tc>
          <w:tcPr>
            <w:tcW w:w="529" w:type="dxa"/>
          </w:tcPr>
          <w:p>
            <w:pPr>
              <w:pStyle w:val="TableParagraph"/>
              <w:spacing w:before="92"/>
              <w:ind w:right="58"/>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171</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595" w:type="dxa"/>
            <w:shd w:val="clear" w:color="auto" w:fill="D9D9D9"/>
          </w:tcPr>
          <w:p>
            <w:pPr>
              <w:pStyle w:val="TableParagraph"/>
              <w:ind w:right="69"/>
              <w:rPr>
                <w:rFonts w:ascii="Carlito"/>
                <w:sz w:val="16"/>
              </w:rPr>
            </w:pPr>
            <w:r>
              <w:rPr>
                <w:rFonts w:ascii="Carlito"/>
                <w:sz w:val="16"/>
              </w:rPr>
              <w:t>1</w:t>
            </w:r>
          </w:p>
        </w:tc>
        <w:tc>
          <w:tcPr>
            <w:tcW w:w="1378" w:type="dxa"/>
            <w:shd w:val="clear" w:color="auto" w:fill="D9D9D9"/>
          </w:tcPr>
          <w:p>
            <w:pPr>
              <w:pStyle w:val="TableParagraph"/>
              <w:ind w:right="375"/>
              <w:rPr>
                <w:rFonts w:ascii="Carlito"/>
                <w:sz w:val="16"/>
              </w:rPr>
            </w:pPr>
            <w:r>
              <w:rPr>
                <w:rFonts w:ascii="Carlito"/>
                <w:sz w:val="16"/>
              </w:rPr>
              <w:t>$270,000.00</w:t>
            </w:r>
          </w:p>
        </w:tc>
        <w:tc>
          <w:tcPr>
            <w:tcW w:w="1040" w:type="dxa"/>
            <w:shd w:val="clear" w:color="auto" w:fill="D9D9D9"/>
          </w:tcPr>
          <w:p>
            <w:pPr>
              <w:pStyle w:val="TableParagraph"/>
              <w:ind w:right="340"/>
              <w:rPr>
                <w:rFonts w:ascii="Carlito"/>
                <w:sz w:val="16"/>
              </w:rPr>
            </w:pPr>
            <w:r>
              <w:rPr>
                <w:rFonts w:ascii="Carlito"/>
                <w:sz w:val="16"/>
              </w:rPr>
              <w:t>265</w:t>
            </w:r>
          </w:p>
        </w:tc>
        <w:tc>
          <w:tcPr>
            <w:tcW w:w="1126" w:type="dxa"/>
            <w:shd w:val="clear" w:color="auto" w:fill="D9D9D9"/>
          </w:tcPr>
          <w:p>
            <w:pPr>
              <w:pStyle w:val="TableParagraph"/>
              <w:ind w:left="319" w:right="439"/>
              <w:jc w:val="center"/>
              <w:rPr>
                <w:rFonts w:ascii="Carlito"/>
                <w:sz w:val="16"/>
              </w:rPr>
            </w:pPr>
            <w:r>
              <w:rPr>
                <w:rFonts w:ascii="Carlito"/>
                <w:sz w:val="16"/>
              </w:rPr>
              <w:t>2014</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302"/>
              <w:rPr>
                <w:rFonts w:ascii="Carlito"/>
                <w:sz w:val="16"/>
              </w:rPr>
            </w:pPr>
            <w:r>
              <w:rPr>
                <w:rFonts w:ascii="Carlito"/>
                <w:sz w:val="16"/>
              </w:rPr>
              <w:t>2.5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7.4</w:t>
            </w:r>
          </w:p>
        </w:tc>
        <w:tc>
          <w:tcPr>
            <w:tcW w:w="1141" w:type="dxa"/>
            <w:shd w:val="clear" w:color="auto" w:fill="D9D9D9"/>
          </w:tcPr>
          <w:p>
            <w:pPr>
              <w:pStyle w:val="TableParagraph"/>
              <w:ind w:right="356"/>
              <w:rPr>
                <w:rFonts w:ascii="Carlito"/>
                <w:sz w:val="16"/>
              </w:rPr>
            </w:pPr>
            <w:r>
              <w:rPr>
                <w:rFonts w:ascii="Carlito"/>
                <w:sz w:val="16"/>
              </w:rPr>
              <w:t>5</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172</w:t>
            </w:r>
          </w:p>
        </w:tc>
        <w:tc>
          <w:tcPr>
            <w:tcW w:w="1938" w:type="dxa"/>
          </w:tcPr>
          <w:p>
            <w:pPr>
              <w:pStyle w:val="TableParagraph"/>
              <w:ind w:left="143"/>
              <w:jc w:val="left"/>
              <w:rPr>
                <w:rFonts w:ascii="Carlito"/>
                <w:sz w:val="16"/>
              </w:rPr>
            </w:pPr>
            <w:r>
              <w:rPr>
                <w:rFonts w:ascii="Carlito"/>
                <w:sz w:val="16"/>
              </w:rPr>
              <w:t>Altamonte</w:t>
            </w:r>
          </w:p>
        </w:tc>
        <w:tc>
          <w:tcPr>
            <w:tcW w:w="595" w:type="dxa"/>
          </w:tcPr>
          <w:p>
            <w:pPr>
              <w:pStyle w:val="TableParagraph"/>
              <w:ind w:right="69"/>
              <w:rPr>
                <w:rFonts w:ascii="Carlito"/>
                <w:sz w:val="16"/>
              </w:rPr>
            </w:pPr>
            <w:r>
              <w:rPr>
                <w:rFonts w:ascii="Carlito"/>
                <w:sz w:val="16"/>
              </w:rPr>
              <w:t>1</w:t>
            </w:r>
          </w:p>
        </w:tc>
        <w:tc>
          <w:tcPr>
            <w:tcW w:w="1378" w:type="dxa"/>
          </w:tcPr>
          <w:p>
            <w:pPr>
              <w:pStyle w:val="TableParagraph"/>
              <w:ind w:right="375"/>
              <w:rPr>
                <w:rFonts w:ascii="Carlito"/>
                <w:sz w:val="16"/>
              </w:rPr>
            </w:pPr>
            <w:r>
              <w:rPr>
                <w:rFonts w:ascii="Carlito"/>
                <w:sz w:val="16"/>
              </w:rPr>
              <w:t>$975,000.00</w:t>
            </w:r>
          </w:p>
        </w:tc>
        <w:tc>
          <w:tcPr>
            <w:tcW w:w="1040" w:type="dxa"/>
          </w:tcPr>
          <w:p>
            <w:pPr>
              <w:pStyle w:val="TableParagraph"/>
              <w:ind w:right="340"/>
              <w:rPr>
                <w:rFonts w:ascii="Carlito"/>
                <w:sz w:val="16"/>
              </w:rPr>
            </w:pPr>
            <w:r>
              <w:rPr>
                <w:rFonts w:ascii="Carlito"/>
                <w:sz w:val="16"/>
              </w:rPr>
              <w:t>600</w:t>
            </w:r>
          </w:p>
        </w:tc>
        <w:tc>
          <w:tcPr>
            <w:tcW w:w="1126" w:type="dxa"/>
          </w:tcPr>
          <w:p>
            <w:pPr>
              <w:pStyle w:val="TableParagraph"/>
              <w:ind w:left="319" w:right="439"/>
              <w:jc w:val="center"/>
              <w:rPr>
                <w:rFonts w:ascii="Carlito"/>
                <w:sz w:val="16"/>
              </w:rPr>
            </w:pPr>
            <w:r>
              <w:rPr>
                <w:rFonts w:ascii="Carlito"/>
                <w:sz w:val="16"/>
              </w:rPr>
              <w:t>2006</w:t>
            </w:r>
          </w:p>
        </w:tc>
        <w:tc>
          <w:tcPr>
            <w:tcW w:w="782" w:type="dxa"/>
          </w:tcPr>
          <w:p>
            <w:pPr>
              <w:pStyle w:val="TableParagraph"/>
              <w:ind w:right="234"/>
              <w:rPr>
                <w:rFonts w:ascii="Carlito"/>
                <w:sz w:val="16"/>
              </w:rPr>
            </w:pPr>
            <w:r>
              <w:rPr>
                <w:rFonts w:ascii="Carlito"/>
                <w:sz w:val="16"/>
              </w:rPr>
              <w:t>4</w:t>
            </w:r>
          </w:p>
        </w:tc>
        <w:tc>
          <w:tcPr>
            <w:tcW w:w="744" w:type="dxa"/>
          </w:tcPr>
          <w:p>
            <w:pPr>
              <w:pStyle w:val="TableParagraph"/>
              <w:ind w:right="302"/>
              <w:rPr>
                <w:rFonts w:ascii="Carlito"/>
                <w:sz w:val="16"/>
              </w:rPr>
            </w:pPr>
            <w:r>
              <w:rPr>
                <w:rFonts w:ascii="Carlito"/>
                <w:sz w:val="16"/>
              </w:rPr>
              <w:t>3.5</w:t>
            </w:r>
          </w:p>
        </w:tc>
        <w:tc>
          <w:tcPr>
            <w:tcW w:w="815" w:type="dxa"/>
          </w:tcPr>
          <w:p>
            <w:pPr>
              <w:pStyle w:val="TableParagraph"/>
              <w:ind w:left="303"/>
              <w:jc w:val="left"/>
              <w:rPr>
                <w:rFonts w:ascii="Carlito"/>
                <w:sz w:val="16"/>
              </w:rPr>
            </w:pPr>
            <w:r>
              <w:rPr>
                <w:rFonts w:ascii="Carlito"/>
                <w:sz w:val="16"/>
              </w:rPr>
              <w:t>1</w:t>
            </w:r>
          </w:p>
        </w:tc>
        <w:tc>
          <w:tcPr>
            <w:tcW w:w="1287" w:type="dxa"/>
          </w:tcPr>
          <w:p>
            <w:pPr>
              <w:pStyle w:val="TableParagraph"/>
              <w:ind w:right="567"/>
              <w:rPr>
                <w:rFonts w:ascii="Carlito"/>
                <w:sz w:val="16"/>
              </w:rPr>
            </w:pPr>
            <w:r>
              <w:rPr>
                <w:rFonts w:ascii="Carlito"/>
                <w:sz w:val="16"/>
              </w:rPr>
              <w:t>6.6</w:t>
            </w:r>
          </w:p>
        </w:tc>
        <w:tc>
          <w:tcPr>
            <w:tcW w:w="1141" w:type="dxa"/>
          </w:tcPr>
          <w:p>
            <w:pPr>
              <w:pStyle w:val="TableParagraph"/>
              <w:ind w:right="360"/>
              <w:rPr>
                <w:rFonts w:ascii="Carlito"/>
                <w:sz w:val="16"/>
              </w:rPr>
            </w:pPr>
            <w:r>
              <w:rPr>
                <w:rFonts w:ascii="Carlito"/>
                <w:sz w:val="16"/>
              </w:rPr>
              <w:t>5.8</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173</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595" w:type="dxa"/>
            <w:shd w:val="clear" w:color="auto" w:fill="D9D9D9"/>
          </w:tcPr>
          <w:p>
            <w:pPr>
              <w:pStyle w:val="TableParagraph"/>
              <w:ind w:right="69"/>
              <w:rPr>
                <w:rFonts w:ascii="Carlito"/>
                <w:sz w:val="16"/>
              </w:rPr>
            </w:pPr>
            <w:r>
              <w:rPr>
                <w:rFonts w:ascii="Carlito"/>
                <w:sz w:val="16"/>
              </w:rPr>
              <w:t>1</w:t>
            </w:r>
          </w:p>
        </w:tc>
        <w:tc>
          <w:tcPr>
            <w:tcW w:w="1378" w:type="dxa"/>
            <w:shd w:val="clear" w:color="auto" w:fill="D9D9D9"/>
          </w:tcPr>
          <w:p>
            <w:pPr>
              <w:pStyle w:val="TableParagraph"/>
              <w:ind w:right="375"/>
              <w:rPr>
                <w:rFonts w:ascii="Carlito"/>
                <w:sz w:val="16"/>
              </w:rPr>
            </w:pPr>
            <w:r>
              <w:rPr>
                <w:rFonts w:ascii="Carlito"/>
                <w:sz w:val="16"/>
              </w:rPr>
              <w:t>$130,000.00</w:t>
            </w:r>
          </w:p>
        </w:tc>
        <w:tc>
          <w:tcPr>
            <w:tcW w:w="1040" w:type="dxa"/>
            <w:shd w:val="clear" w:color="auto" w:fill="D9D9D9"/>
          </w:tcPr>
          <w:p>
            <w:pPr>
              <w:pStyle w:val="TableParagraph"/>
              <w:ind w:right="340"/>
              <w:rPr>
                <w:rFonts w:ascii="Carlito"/>
                <w:sz w:val="16"/>
              </w:rPr>
            </w:pPr>
            <w:r>
              <w:rPr>
                <w:rFonts w:ascii="Carlito"/>
                <w:sz w:val="16"/>
              </w:rPr>
              <w:t>120</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2</w:t>
            </w:r>
          </w:p>
        </w:tc>
        <w:tc>
          <w:tcPr>
            <w:tcW w:w="744" w:type="dxa"/>
            <w:shd w:val="clear" w:color="auto" w:fill="D9D9D9"/>
          </w:tcPr>
          <w:p>
            <w:pPr>
              <w:pStyle w:val="TableParagraph"/>
              <w:ind w:right="297"/>
              <w:rPr>
                <w:rFonts w:ascii="Carlito"/>
                <w:sz w:val="16"/>
              </w:rPr>
            </w:pPr>
            <w:r>
              <w:rPr>
                <w:rFonts w:ascii="Carlito"/>
                <w:sz w:val="16"/>
              </w:rPr>
              <w:t>1</w:t>
            </w:r>
          </w:p>
        </w:tc>
        <w:tc>
          <w:tcPr>
            <w:tcW w:w="815" w:type="dxa"/>
            <w:shd w:val="clear" w:color="auto" w:fill="D9D9D9"/>
          </w:tcPr>
          <w:p>
            <w:pPr>
              <w:pStyle w:val="TableParagraph"/>
              <w:ind w:left="303"/>
              <w:jc w:val="left"/>
              <w:rPr>
                <w:rFonts w:ascii="Carlito"/>
                <w:sz w:val="16"/>
              </w:rPr>
            </w:pPr>
            <w:r>
              <w:rPr>
                <w:rFonts w:ascii="Carlito"/>
                <w:sz w:val="16"/>
              </w:rPr>
              <w:t>1</w:t>
            </w:r>
          </w:p>
        </w:tc>
        <w:tc>
          <w:tcPr>
            <w:tcW w:w="1287" w:type="dxa"/>
            <w:shd w:val="clear" w:color="auto" w:fill="D9D9D9"/>
          </w:tcPr>
          <w:p>
            <w:pPr>
              <w:pStyle w:val="TableParagraph"/>
              <w:ind w:right="567"/>
              <w:rPr>
                <w:rFonts w:ascii="Carlito"/>
                <w:sz w:val="16"/>
              </w:rPr>
            </w:pPr>
            <w:r>
              <w:rPr>
                <w:rFonts w:ascii="Carlito"/>
                <w:sz w:val="16"/>
              </w:rPr>
              <w:t>7.4</w:t>
            </w:r>
          </w:p>
        </w:tc>
        <w:tc>
          <w:tcPr>
            <w:tcW w:w="1141" w:type="dxa"/>
            <w:shd w:val="clear" w:color="auto" w:fill="D9D9D9"/>
          </w:tcPr>
          <w:p>
            <w:pPr>
              <w:pStyle w:val="TableParagraph"/>
              <w:ind w:right="356"/>
              <w:rPr>
                <w:rFonts w:ascii="Carlito"/>
                <w:sz w:val="16"/>
              </w:rPr>
            </w:pPr>
            <w:r>
              <w:rPr>
                <w:rFonts w:ascii="Carlito"/>
                <w:sz w:val="16"/>
              </w:rPr>
              <w:t>5</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174</w:t>
            </w:r>
          </w:p>
        </w:tc>
        <w:tc>
          <w:tcPr>
            <w:tcW w:w="1938" w:type="dxa"/>
          </w:tcPr>
          <w:p>
            <w:pPr>
              <w:pStyle w:val="TableParagraph"/>
              <w:ind w:left="143"/>
              <w:jc w:val="left"/>
              <w:rPr>
                <w:rFonts w:ascii="Carlito"/>
                <w:sz w:val="16"/>
              </w:rPr>
            </w:pPr>
            <w:r>
              <w:rPr>
                <w:rFonts w:ascii="Carlito"/>
                <w:sz w:val="16"/>
              </w:rPr>
              <w:t>Lomas de Ayarco</w:t>
            </w:r>
          </w:p>
        </w:tc>
        <w:tc>
          <w:tcPr>
            <w:tcW w:w="595" w:type="dxa"/>
          </w:tcPr>
          <w:p>
            <w:pPr>
              <w:pStyle w:val="TableParagraph"/>
              <w:ind w:right="69"/>
              <w:rPr>
                <w:rFonts w:ascii="Carlito"/>
                <w:sz w:val="16"/>
              </w:rPr>
            </w:pPr>
            <w:r>
              <w:rPr>
                <w:rFonts w:ascii="Carlito"/>
                <w:sz w:val="16"/>
              </w:rPr>
              <w:t>0</w:t>
            </w:r>
          </w:p>
        </w:tc>
        <w:tc>
          <w:tcPr>
            <w:tcW w:w="1378" w:type="dxa"/>
          </w:tcPr>
          <w:p>
            <w:pPr>
              <w:pStyle w:val="TableParagraph"/>
              <w:ind w:right="375"/>
              <w:rPr>
                <w:rFonts w:ascii="Carlito"/>
                <w:sz w:val="16"/>
              </w:rPr>
            </w:pPr>
            <w:r>
              <w:rPr>
                <w:rFonts w:ascii="Carlito"/>
                <w:sz w:val="16"/>
              </w:rPr>
              <w:t>$360,000.00</w:t>
            </w:r>
          </w:p>
        </w:tc>
        <w:tc>
          <w:tcPr>
            <w:tcW w:w="1040" w:type="dxa"/>
          </w:tcPr>
          <w:p>
            <w:pPr>
              <w:pStyle w:val="TableParagraph"/>
              <w:ind w:right="340"/>
              <w:rPr>
                <w:rFonts w:ascii="Carlito"/>
                <w:sz w:val="16"/>
              </w:rPr>
            </w:pPr>
            <w:r>
              <w:rPr>
                <w:rFonts w:ascii="Carlito"/>
                <w:sz w:val="16"/>
              </w:rPr>
              <w:t>390</w:t>
            </w:r>
          </w:p>
        </w:tc>
        <w:tc>
          <w:tcPr>
            <w:tcW w:w="1126" w:type="dxa"/>
          </w:tcPr>
          <w:p>
            <w:pPr>
              <w:pStyle w:val="TableParagraph"/>
              <w:ind w:left="319" w:right="439"/>
              <w:jc w:val="center"/>
              <w:rPr>
                <w:rFonts w:ascii="Carlito"/>
                <w:sz w:val="16"/>
              </w:rPr>
            </w:pPr>
            <w:r>
              <w:rPr>
                <w:rFonts w:ascii="Carlito"/>
                <w:sz w:val="16"/>
              </w:rPr>
              <w:t>2006</w:t>
            </w:r>
          </w:p>
        </w:tc>
        <w:tc>
          <w:tcPr>
            <w:tcW w:w="782" w:type="dxa"/>
          </w:tcPr>
          <w:p>
            <w:pPr>
              <w:pStyle w:val="TableParagraph"/>
              <w:ind w:right="234"/>
              <w:rPr>
                <w:rFonts w:ascii="Carlito"/>
                <w:sz w:val="16"/>
              </w:rPr>
            </w:pPr>
            <w:r>
              <w:rPr>
                <w:rFonts w:ascii="Carlito"/>
                <w:sz w:val="16"/>
              </w:rPr>
              <w:t>3</w:t>
            </w:r>
          </w:p>
        </w:tc>
        <w:tc>
          <w:tcPr>
            <w:tcW w:w="744" w:type="dxa"/>
          </w:tcPr>
          <w:p>
            <w:pPr>
              <w:pStyle w:val="TableParagraph"/>
              <w:ind w:right="302"/>
              <w:rPr>
                <w:rFonts w:ascii="Carlito"/>
                <w:sz w:val="16"/>
              </w:rPr>
            </w:pPr>
            <w:r>
              <w:rPr>
                <w:rFonts w:ascii="Carlito"/>
                <w:sz w:val="16"/>
              </w:rPr>
              <w:t>2.5</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8.55</w:t>
            </w:r>
          </w:p>
        </w:tc>
        <w:tc>
          <w:tcPr>
            <w:tcW w:w="1141" w:type="dxa"/>
          </w:tcPr>
          <w:p>
            <w:pPr>
              <w:pStyle w:val="TableParagraph"/>
              <w:ind w:right="360"/>
              <w:rPr>
                <w:rFonts w:ascii="Carlito"/>
                <w:sz w:val="16"/>
              </w:rPr>
            </w:pPr>
            <w:r>
              <w:rPr>
                <w:rFonts w:ascii="Carlito"/>
                <w:sz w:val="16"/>
              </w:rPr>
              <w:t>2.9</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175</w:t>
            </w:r>
          </w:p>
        </w:tc>
        <w:tc>
          <w:tcPr>
            <w:tcW w:w="1938" w:type="dxa"/>
            <w:shd w:val="clear" w:color="auto" w:fill="D9D9D9"/>
          </w:tcPr>
          <w:p>
            <w:pPr>
              <w:pStyle w:val="TableParagraph"/>
              <w:spacing w:before="92"/>
              <w:ind w:left="143"/>
              <w:jc w:val="left"/>
              <w:rPr>
                <w:rFonts w:ascii="Carlito"/>
                <w:sz w:val="16"/>
              </w:rPr>
            </w:pPr>
            <w:r>
              <w:rPr>
                <w:rFonts w:ascii="Carlito"/>
                <w:sz w:val="16"/>
              </w:rPr>
              <w:t>Curridabat</w:t>
            </w:r>
          </w:p>
        </w:tc>
        <w:tc>
          <w:tcPr>
            <w:tcW w:w="595" w:type="dxa"/>
            <w:shd w:val="clear" w:color="auto" w:fill="D9D9D9"/>
          </w:tcPr>
          <w:p>
            <w:pPr>
              <w:pStyle w:val="TableParagraph"/>
              <w:spacing w:before="92"/>
              <w:ind w:right="69"/>
              <w:rPr>
                <w:rFonts w:ascii="Carlito"/>
                <w:sz w:val="16"/>
              </w:rPr>
            </w:pPr>
            <w:r>
              <w:rPr>
                <w:rFonts w:ascii="Carlito"/>
                <w:sz w:val="16"/>
              </w:rPr>
              <w:t>1</w:t>
            </w:r>
          </w:p>
        </w:tc>
        <w:tc>
          <w:tcPr>
            <w:tcW w:w="1378" w:type="dxa"/>
            <w:shd w:val="clear" w:color="auto" w:fill="D9D9D9"/>
          </w:tcPr>
          <w:p>
            <w:pPr>
              <w:pStyle w:val="TableParagraph"/>
              <w:spacing w:before="92"/>
              <w:ind w:right="375"/>
              <w:rPr>
                <w:rFonts w:ascii="Carlito"/>
                <w:sz w:val="16"/>
              </w:rPr>
            </w:pPr>
            <w:r>
              <w:rPr>
                <w:rFonts w:ascii="Carlito"/>
                <w:sz w:val="16"/>
              </w:rPr>
              <w:t>$395,000.00</w:t>
            </w:r>
          </w:p>
        </w:tc>
        <w:tc>
          <w:tcPr>
            <w:tcW w:w="1040" w:type="dxa"/>
            <w:shd w:val="clear" w:color="auto" w:fill="D9D9D9"/>
          </w:tcPr>
          <w:p>
            <w:pPr>
              <w:pStyle w:val="TableParagraph"/>
              <w:spacing w:before="92"/>
              <w:ind w:right="340"/>
              <w:rPr>
                <w:rFonts w:ascii="Carlito"/>
                <w:sz w:val="16"/>
              </w:rPr>
            </w:pPr>
            <w:r>
              <w:rPr>
                <w:rFonts w:ascii="Carlito"/>
                <w:sz w:val="16"/>
              </w:rPr>
              <w:t>410</w:t>
            </w:r>
          </w:p>
        </w:tc>
        <w:tc>
          <w:tcPr>
            <w:tcW w:w="1126" w:type="dxa"/>
            <w:shd w:val="clear" w:color="auto" w:fill="D9D9D9"/>
          </w:tcPr>
          <w:p>
            <w:pPr>
              <w:pStyle w:val="TableParagraph"/>
              <w:spacing w:before="92"/>
              <w:ind w:left="319" w:right="439"/>
              <w:jc w:val="center"/>
              <w:rPr>
                <w:rFonts w:ascii="Carlito"/>
                <w:sz w:val="16"/>
              </w:rPr>
            </w:pPr>
            <w:r>
              <w:rPr>
                <w:rFonts w:ascii="Carlito"/>
                <w:sz w:val="16"/>
              </w:rPr>
              <w:t>2006</w:t>
            </w:r>
          </w:p>
        </w:tc>
        <w:tc>
          <w:tcPr>
            <w:tcW w:w="782" w:type="dxa"/>
            <w:shd w:val="clear" w:color="auto" w:fill="D9D9D9"/>
          </w:tcPr>
          <w:p>
            <w:pPr>
              <w:pStyle w:val="TableParagraph"/>
              <w:spacing w:before="92"/>
              <w:ind w:right="234"/>
              <w:rPr>
                <w:rFonts w:ascii="Carlito"/>
                <w:sz w:val="16"/>
              </w:rPr>
            </w:pPr>
            <w:r>
              <w:rPr>
                <w:rFonts w:ascii="Carlito"/>
                <w:sz w:val="16"/>
              </w:rPr>
              <w:t>6</w:t>
            </w:r>
          </w:p>
        </w:tc>
        <w:tc>
          <w:tcPr>
            <w:tcW w:w="744" w:type="dxa"/>
            <w:shd w:val="clear" w:color="auto" w:fill="D9D9D9"/>
          </w:tcPr>
          <w:p>
            <w:pPr>
              <w:pStyle w:val="TableParagraph"/>
              <w:spacing w:before="92"/>
              <w:ind w:right="297"/>
              <w:rPr>
                <w:rFonts w:ascii="Carlito"/>
                <w:sz w:val="16"/>
              </w:rPr>
            </w:pPr>
            <w:r>
              <w:rPr>
                <w:rFonts w:ascii="Carlito"/>
                <w:sz w:val="16"/>
              </w:rPr>
              <w:t>5</w:t>
            </w:r>
          </w:p>
        </w:tc>
        <w:tc>
          <w:tcPr>
            <w:tcW w:w="815" w:type="dxa"/>
            <w:shd w:val="clear" w:color="auto" w:fill="D9D9D9"/>
          </w:tcPr>
          <w:p>
            <w:pPr>
              <w:pStyle w:val="TableParagraph"/>
              <w:spacing w:before="92"/>
              <w:ind w:left="303"/>
              <w:jc w:val="left"/>
              <w:rPr>
                <w:rFonts w:ascii="Carlito"/>
                <w:sz w:val="16"/>
              </w:rPr>
            </w:pPr>
            <w:r>
              <w:rPr>
                <w:rFonts w:ascii="Carlito"/>
                <w:sz w:val="16"/>
              </w:rPr>
              <w:t>2</w:t>
            </w:r>
          </w:p>
        </w:tc>
        <w:tc>
          <w:tcPr>
            <w:tcW w:w="1287" w:type="dxa"/>
            <w:shd w:val="clear" w:color="auto" w:fill="D9D9D9"/>
          </w:tcPr>
          <w:p>
            <w:pPr>
              <w:pStyle w:val="TableParagraph"/>
              <w:spacing w:before="92"/>
              <w:ind w:right="567"/>
              <w:rPr>
                <w:rFonts w:ascii="Carlito"/>
                <w:sz w:val="16"/>
              </w:rPr>
            </w:pPr>
            <w:r>
              <w:rPr>
                <w:rFonts w:ascii="Carlito"/>
                <w:sz w:val="16"/>
              </w:rPr>
              <w:t>4.7</w:t>
            </w:r>
          </w:p>
        </w:tc>
        <w:tc>
          <w:tcPr>
            <w:tcW w:w="1141" w:type="dxa"/>
            <w:shd w:val="clear" w:color="auto" w:fill="D9D9D9"/>
          </w:tcPr>
          <w:p>
            <w:pPr>
              <w:pStyle w:val="TableParagraph"/>
              <w:spacing w:before="92"/>
              <w:ind w:right="360"/>
              <w:rPr>
                <w:rFonts w:ascii="Carlito"/>
                <w:sz w:val="16"/>
              </w:rPr>
            </w:pPr>
            <w:r>
              <w:rPr>
                <w:rFonts w:ascii="Carlito"/>
                <w:sz w:val="16"/>
              </w:rPr>
              <w:t>3.8</w:t>
            </w:r>
          </w:p>
        </w:tc>
        <w:tc>
          <w:tcPr>
            <w:tcW w:w="825" w:type="dxa"/>
            <w:shd w:val="clear" w:color="auto" w:fill="D9D9D9"/>
          </w:tcPr>
          <w:p>
            <w:pPr>
              <w:pStyle w:val="TableParagraph"/>
              <w:spacing w:before="92"/>
              <w:ind w:right="373"/>
              <w:rPr>
                <w:rFonts w:ascii="Carlito"/>
                <w:sz w:val="16"/>
              </w:rPr>
            </w:pPr>
            <w:r>
              <w:rPr>
                <w:rFonts w:ascii="Carlito"/>
                <w:sz w:val="16"/>
              </w:rPr>
              <w:t>0</w:t>
            </w:r>
          </w:p>
        </w:tc>
        <w:tc>
          <w:tcPr>
            <w:tcW w:w="529" w:type="dxa"/>
            <w:shd w:val="clear" w:color="auto" w:fill="D9D9D9"/>
          </w:tcPr>
          <w:p>
            <w:pPr>
              <w:pStyle w:val="TableParagraph"/>
              <w:spacing w:before="92"/>
              <w:ind w:right="58"/>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176</w:t>
            </w:r>
          </w:p>
        </w:tc>
        <w:tc>
          <w:tcPr>
            <w:tcW w:w="1938" w:type="dxa"/>
          </w:tcPr>
          <w:p>
            <w:pPr>
              <w:pStyle w:val="TableParagraph"/>
              <w:spacing w:before="92"/>
              <w:ind w:left="143"/>
              <w:jc w:val="left"/>
              <w:rPr>
                <w:rFonts w:ascii="Carlito"/>
                <w:sz w:val="16"/>
              </w:rPr>
            </w:pPr>
            <w:r>
              <w:rPr>
                <w:rFonts w:ascii="Carlito"/>
                <w:sz w:val="16"/>
              </w:rPr>
              <w:t>Curridabat</w:t>
            </w:r>
          </w:p>
        </w:tc>
        <w:tc>
          <w:tcPr>
            <w:tcW w:w="595" w:type="dxa"/>
          </w:tcPr>
          <w:p>
            <w:pPr>
              <w:pStyle w:val="TableParagraph"/>
              <w:spacing w:before="92"/>
              <w:ind w:right="69"/>
              <w:rPr>
                <w:rFonts w:ascii="Carlito"/>
                <w:sz w:val="16"/>
              </w:rPr>
            </w:pPr>
            <w:r>
              <w:rPr>
                <w:rFonts w:ascii="Carlito"/>
                <w:sz w:val="16"/>
              </w:rPr>
              <w:t>1</w:t>
            </w:r>
          </w:p>
        </w:tc>
        <w:tc>
          <w:tcPr>
            <w:tcW w:w="1378" w:type="dxa"/>
          </w:tcPr>
          <w:p>
            <w:pPr>
              <w:pStyle w:val="TableParagraph"/>
              <w:spacing w:before="92"/>
              <w:ind w:right="375"/>
              <w:rPr>
                <w:rFonts w:ascii="Carlito"/>
                <w:sz w:val="16"/>
              </w:rPr>
            </w:pPr>
            <w:r>
              <w:rPr>
                <w:rFonts w:ascii="Carlito"/>
                <w:sz w:val="16"/>
              </w:rPr>
              <w:t>$190,000.00</w:t>
            </w:r>
          </w:p>
        </w:tc>
        <w:tc>
          <w:tcPr>
            <w:tcW w:w="1040" w:type="dxa"/>
          </w:tcPr>
          <w:p>
            <w:pPr>
              <w:pStyle w:val="TableParagraph"/>
              <w:spacing w:before="92"/>
              <w:ind w:right="340"/>
              <w:rPr>
                <w:rFonts w:ascii="Carlito"/>
                <w:sz w:val="16"/>
              </w:rPr>
            </w:pPr>
            <w:r>
              <w:rPr>
                <w:rFonts w:ascii="Carlito"/>
                <w:sz w:val="16"/>
              </w:rPr>
              <w:t>180</w:t>
            </w:r>
          </w:p>
        </w:tc>
        <w:tc>
          <w:tcPr>
            <w:tcW w:w="1126" w:type="dxa"/>
          </w:tcPr>
          <w:p>
            <w:pPr>
              <w:pStyle w:val="TableParagraph"/>
              <w:spacing w:before="92"/>
              <w:ind w:left="319" w:right="439"/>
              <w:jc w:val="center"/>
              <w:rPr>
                <w:rFonts w:ascii="Carlito"/>
                <w:sz w:val="16"/>
              </w:rPr>
            </w:pPr>
            <w:r>
              <w:rPr>
                <w:rFonts w:ascii="Carlito"/>
                <w:sz w:val="16"/>
              </w:rPr>
              <w:t>2016</w:t>
            </w:r>
          </w:p>
        </w:tc>
        <w:tc>
          <w:tcPr>
            <w:tcW w:w="782" w:type="dxa"/>
          </w:tcPr>
          <w:p>
            <w:pPr>
              <w:pStyle w:val="TableParagraph"/>
              <w:spacing w:before="92"/>
              <w:ind w:right="234"/>
              <w:rPr>
                <w:rFonts w:ascii="Carlito"/>
                <w:sz w:val="16"/>
              </w:rPr>
            </w:pPr>
            <w:r>
              <w:rPr>
                <w:rFonts w:ascii="Carlito"/>
                <w:sz w:val="16"/>
              </w:rPr>
              <w:t>3</w:t>
            </w:r>
          </w:p>
        </w:tc>
        <w:tc>
          <w:tcPr>
            <w:tcW w:w="744" w:type="dxa"/>
          </w:tcPr>
          <w:p>
            <w:pPr>
              <w:pStyle w:val="TableParagraph"/>
              <w:spacing w:before="92"/>
              <w:ind w:right="302"/>
              <w:rPr>
                <w:rFonts w:ascii="Carlito"/>
                <w:sz w:val="16"/>
              </w:rPr>
            </w:pPr>
            <w:r>
              <w:rPr>
                <w:rFonts w:ascii="Carlito"/>
                <w:sz w:val="16"/>
              </w:rPr>
              <w:t>2.5</w:t>
            </w:r>
          </w:p>
        </w:tc>
        <w:tc>
          <w:tcPr>
            <w:tcW w:w="815" w:type="dxa"/>
          </w:tcPr>
          <w:p>
            <w:pPr>
              <w:pStyle w:val="TableParagraph"/>
              <w:spacing w:before="92"/>
              <w:ind w:left="303"/>
              <w:jc w:val="left"/>
              <w:rPr>
                <w:rFonts w:ascii="Carlito"/>
                <w:sz w:val="16"/>
              </w:rPr>
            </w:pPr>
            <w:r>
              <w:rPr>
                <w:rFonts w:ascii="Carlito"/>
                <w:sz w:val="16"/>
              </w:rPr>
              <w:t>2</w:t>
            </w:r>
          </w:p>
        </w:tc>
        <w:tc>
          <w:tcPr>
            <w:tcW w:w="1287" w:type="dxa"/>
          </w:tcPr>
          <w:p>
            <w:pPr>
              <w:pStyle w:val="TableParagraph"/>
              <w:spacing w:before="92"/>
              <w:ind w:right="567"/>
              <w:rPr>
                <w:rFonts w:ascii="Carlito"/>
                <w:sz w:val="16"/>
              </w:rPr>
            </w:pPr>
            <w:r>
              <w:rPr>
                <w:rFonts w:ascii="Carlito"/>
                <w:sz w:val="16"/>
              </w:rPr>
              <w:t>5.7</w:t>
            </w:r>
          </w:p>
        </w:tc>
        <w:tc>
          <w:tcPr>
            <w:tcW w:w="1141" w:type="dxa"/>
          </w:tcPr>
          <w:p>
            <w:pPr>
              <w:pStyle w:val="TableParagraph"/>
              <w:spacing w:before="92"/>
              <w:ind w:right="360"/>
              <w:rPr>
                <w:rFonts w:ascii="Carlito"/>
                <w:sz w:val="16"/>
              </w:rPr>
            </w:pPr>
            <w:r>
              <w:rPr>
                <w:rFonts w:ascii="Carlito"/>
                <w:sz w:val="16"/>
              </w:rPr>
              <w:t>3.2</w:t>
            </w:r>
          </w:p>
        </w:tc>
        <w:tc>
          <w:tcPr>
            <w:tcW w:w="825" w:type="dxa"/>
          </w:tcPr>
          <w:p>
            <w:pPr>
              <w:pStyle w:val="TableParagraph"/>
              <w:spacing w:before="92"/>
              <w:ind w:right="373"/>
              <w:rPr>
                <w:rFonts w:ascii="Carlito"/>
                <w:sz w:val="16"/>
              </w:rPr>
            </w:pPr>
            <w:r>
              <w:rPr>
                <w:rFonts w:ascii="Carlito"/>
                <w:sz w:val="16"/>
              </w:rPr>
              <w:t>0</w:t>
            </w:r>
          </w:p>
        </w:tc>
        <w:tc>
          <w:tcPr>
            <w:tcW w:w="529" w:type="dxa"/>
          </w:tcPr>
          <w:p>
            <w:pPr>
              <w:pStyle w:val="TableParagraph"/>
              <w:spacing w:before="92"/>
              <w:ind w:right="58"/>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177</w:t>
            </w:r>
          </w:p>
        </w:tc>
        <w:tc>
          <w:tcPr>
            <w:tcW w:w="1938" w:type="dxa"/>
            <w:shd w:val="clear" w:color="auto" w:fill="D9D9D9"/>
          </w:tcPr>
          <w:p>
            <w:pPr>
              <w:pStyle w:val="TableParagraph"/>
              <w:ind w:left="143"/>
              <w:jc w:val="left"/>
              <w:rPr>
                <w:rFonts w:ascii="Carlito"/>
                <w:sz w:val="16"/>
              </w:rPr>
            </w:pPr>
            <w:r>
              <w:rPr>
                <w:rFonts w:ascii="Carlito"/>
                <w:sz w:val="16"/>
              </w:rPr>
              <w:t>Lomas de Ayarco Sur</w:t>
            </w:r>
          </w:p>
        </w:tc>
        <w:tc>
          <w:tcPr>
            <w:tcW w:w="595" w:type="dxa"/>
            <w:shd w:val="clear" w:color="auto" w:fill="D9D9D9"/>
          </w:tcPr>
          <w:p>
            <w:pPr>
              <w:pStyle w:val="TableParagraph"/>
              <w:ind w:right="69"/>
              <w:rPr>
                <w:rFonts w:ascii="Carlito"/>
                <w:sz w:val="16"/>
              </w:rPr>
            </w:pPr>
            <w:r>
              <w:rPr>
                <w:rFonts w:ascii="Carlito"/>
                <w:sz w:val="16"/>
              </w:rPr>
              <w:t>0</w:t>
            </w:r>
          </w:p>
        </w:tc>
        <w:tc>
          <w:tcPr>
            <w:tcW w:w="1378" w:type="dxa"/>
            <w:shd w:val="clear" w:color="auto" w:fill="D9D9D9"/>
          </w:tcPr>
          <w:p>
            <w:pPr>
              <w:pStyle w:val="TableParagraph"/>
              <w:ind w:right="375"/>
              <w:rPr>
                <w:rFonts w:ascii="Carlito"/>
                <w:sz w:val="16"/>
              </w:rPr>
            </w:pPr>
            <w:r>
              <w:rPr>
                <w:rFonts w:ascii="Carlito"/>
                <w:sz w:val="16"/>
              </w:rPr>
              <w:t>$170,000.00</w:t>
            </w:r>
          </w:p>
        </w:tc>
        <w:tc>
          <w:tcPr>
            <w:tcW w:w="1040" w:type="dxa"/>
            <w:shd w:val="clear" w:color="auto" w:fill="D9D9D9"/>
          </w:tcPr>
          <w:p>
            <w:pPr>
              <w:pStyle w:val="TableParagraph"/>
              <w:ind w:right="340"/>
              <w:rPr>
                <w:rFonts w:ascii="Carlito"/>
                <w:sz w:val="16"/>
              </w:rPr>
            </w:pPr>
            <w:r>
              <w:rPr>
                <w:rFonts w:ascii="Carlito"/>
                <w:sz w:val="16"/>
              </w:rPr>
              <w:t>166</w:t>
            </w:r>
          </w:p>
        </w:tc>
        <w:tc>
          <w:tcPr>
            <w:tcW w:w="1126" w:type="dxa"/>
            <w:shd w:val="clear" w:color="auto" w:fill="D9D9D9"/>
          </w:tcPr>
          <w:p>
            <w:pPr>
              <w:pStyle w:val="TableParagraph"/>
              <w:ind w:left="319" w:right="439"/>
              <w:jc w:val="center"/>
              <w:rPr>
                <w:rFonts w:ascii="Carlito"/>
                <w:sz w:val="16"/>
              </w:rPr>
            </w:pPr>
            <w:r>
              <w:rPr>
                <w:rFonts w:ascii="Carlito"/>
                <w:sz w:val="16"/>
              </w:rPr>
              <w:t>2016</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302"/>
              <w:rPr>
                <w:rFonts w:ascii="Carlito"/>
                <w:sz w:val="16"/>
              </w:rPr>
            </w:pPr>
            <w:r>
              <w:rPr>
                <w:rFonts w:ascii="Carlito"/>
                <w:sz w:val="16"/>
              </w:rPr>
              <w:t>2.5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7.7</w:t>
            </w:r>
          </w:p>
        </w:tc>
        <w:tc>
          <w:tcPr>
            <w:tcW w:w="1141" w:type="dxa"/>
            <w:shd w:val="clear" w:color="auto" w:fill="D9D9D9"/>
          </w:tcPr>
          <w:p>
            <w:pPr>
              <w:pStyle w:val="TableParagraph"/>
              <w:ind w:right="356"/>
              <w:rPr>
                <w:rFonts w:ascii="Carlito"/>
                <w:sz w:val="16"/>
              </w:rPr>
            </w:pPr>
            <w:r>
              <w:rPr>
                <w:rFonts w:ascii="Carlito"/>
                <w:sz w:val="16"/>
              </w:rPr>
              <w:t>3</w:t>
            </w:r>
          </w:p>
        </w:tc>
        <w:tc>
          <w:tcPr>
            <w:tcW w:w="825" w:type="dxa"/>
            <w:shd w:val="clear" w:color="auto" w:fill="D9D9D9"/>
          </w:tcPr>
          <w:p>
            <w:pPr>
              <w:pStyle w:val="TableParagraph"/>
              <w:ind w:right="373"/>
              <w:rPr>
                <w:rFonts w:ascii="Carlito"/>
                <w:sz w:val="16"/>
              </w:rPr>
            </w:pPr>
            <w:r>
              <w:rPr>
                <w:rFonts w:ascii="Carlito"/>
                <w:sz w:val="16"/>
              </w:rPr>
              <w:t>1</w:t>
            </w:r>
          </w:p>
        </w:tc>
        <w:tc>
          <w:tcPr>
            <w:tcW w:w="529" w:type="dxa"/>
            <w:shd w:val="clear" w:color="auto" w:fill="D9D9D9"/>
          </w:tcPr>
          <w:p>
            <w:pPr>
              <w:pStyle w:val="TableParagraph"/>
              <w:ind w:right="58"/>
              <w:rPr>
                <w:rFonts w:ascii="Carlito"/>
                <w:sz w:val="16"/>
              </w:rPr>
            </w:pPr>
            <w:r>
              <w:rPr>
                <w:rFonts w:ascii="Carlito"/>
                <w:sz w:val="16"/>
              </w:rPr>
              <w:t>1</w:t>
            </w:r>
          </w:p>
        </w:tc>
      </w:tr>
      <w:tr>
        <w:trPr>
          <w:trHeight w:val="287" w:hRule="atLeast"/>
        </w:trPr>
        <w:tc>
          <w:tcPr>
            <w:tcW w:w="756" w:type="dxa"/>
          </w:tcPr>
          <w:p>
            <w:pPr>
              <w:pStyle w:val="TableParagraph"/>
              <w:spacing w:line="177" w:lineRule="exact"/>
              <w:ind w:right="143"/>
              <w:rPr>
                <w:rFonts w:ascii="Carlito"/>
                <w:sz w:val="16"/>
              </w:rPr>
            </w:pPr>
            <w:r>
              <w:rPr>
                <w:rFonts w:ascii="Carlito"/>
                <w:sz w:val="16"/>
              </w:rPr>
              <w:t>178</w:t>
            </w:r>
          </w:p>
        </w:tc>
        <w:tc>
          <w:tcPr>
            <w:tcW w:w="1938" w:type="dxa"/>
          </w:tcPr>
          <w:p>
            <w:pPr>
              <w:pStyle w:val="TableParagraph"/>
              <w:spacing w:line="177" w:lineRule="exact"/>
              <w:ind w:left="143"/>
              <w:jc w:val="left"/>
              <w:rPr>
                <w:rFonts w:ascii="Carlito"/>
                <w:sz w:val="16"/>
              </w:rPr>
            </w:pPr>
            <w:r>
              <w:rPr>
                <w:rFonts w:ascii="Carlito"/>
                <w:sz w:val="16"/>
              </w:rPr>
              <w:t>Lomas de Ayarco Sur</w:t>
            </w:r>
          </w:p>
        </w:tc>
        <w:tc>
          <w:tcPr>
            <w:tcW w:w="595" w:type="dxa"/>
          </w:tcPr>
          <w:p>
            <w:pPr>
              <w:pStyle w:val="TableParagraph"/>
              <w:spacing w:line="177" w:lineRule="exact"/>
              <w:ind w:right="69"/>
              <w:rPr>
                <w:rFonts w:ascii="Carlito"/>
                <w:sz w:val="16"/>
              </w:rPr>
            </w:pPr>
            <w:r>
              <w:rPr>
                <w:rFonts w:ascii="Carlito"/>
                <w:sz w:val="16"/>
              </w:rPr>
              <w:t>1</w:t>
            </w:r>
          </w:p>
        </w:tc>
        <w:tc>
          <w:tcPr>
            <w:tcW w:w="1378" w:type="dxa"/>
          </w:tcPr>
          <w:p>
            <w:pPr>
              <w:pStyle w:val="TableParagraph"/>
              <w:spacing w:line="177" w:lineRule="exact"/>
              <w:ind w:right="375"/>
              <w:rPr>
                <w:rFonts w:ascii="Carlito"/>
                <w:sz w:val="16"/>
              </w:rPr>
            </w:pPr>
            <w:r>
              <w:rPr>
                <w:rFonts w:ascii="Carlito"/>
                <w:sz w:val="16"/>
              </w:rPr>
              <w:t>$475,000.00</w:t>
            </w:r>
          </w:p>
        </w:tc>
        <w:tc>
          <w:tcPr>
            <w:tcW w:w="1040" w:type="dxa"/>
          </w:tcPr>
          <w:p>
            <w:pPr>
              <w:pStyle w:val="TableParagraph"/>
              <w:spacing w:line="177" w:lineRule="exact"/>
              <w:ind w:right="340"/>
              <w:rPr>
                <w:rFonts w:ascii="Carlito"/>
                <w:sz w:val="16"/>
              </w:rPr>
            </w:pPr>
            <w:r>
              <w:rPr>
                <w:rFonts w:ascii="Carlito"/>
                <w:sz w:val="16"/>
              </w:rPr>
              <w:t>450</w:t>
            </w:r>
          </w:p>
        </w:tc>
        <w:tc>
          <w:tcPr>
            <w:tcW w:w="1126" w:type="dxa"/>
          </w:tcPr>
          <w:p>
            <w:pPr>
              <w:pStyle w:val="TableParagraph"/>
              <w:spacing w:line="177" w:lineRule="exact"/>
              <w:ind w:left="319" w:right="439"/>
              <w:jc w:val="center"/>
              <w:rPr>
                <w:rFonts w:ascii="Carlito"/>
                <w:sz w:val="16"/>
              </w:rPr>
            </w:pPr>
            <w:r>
              <w:rPr>
                <w:rFonts w:ascii="Carlito"/>
                <w:sz w:val="16"/>
              </w:rPr>
              <w:t>2006</w:t>
            </w:r>
          </w:p>
        </w:tc>
        <w:tc>
          <w:tcPr>
            <w:tcW w:w="782" w:type="dxa"/>
          </w:tcPr>
          <w:p>
            <w:pPr>
              <w:pStyle w:val="TableParagraph"/>
              <w:spacing w:line="177" w:lineRule="exact"/>
              <w:ind w:right="234"/>
              <w:rPr>
                <w:rFonts w:ascii="Carlito"/>
                <w:sz w:val="16"/>
              </w:rPr>
            </w:pPr>
            <w:r>
              <w:rPr>
                <w:rFonts w:ascii="Carlito"/>
                <w:sz w:val="16"/>
              </w:rPr>
              <w:t>4</w:t>
            </w:r>
          </w:p>
        </w:tc>
        <w:tc>
          <w:tcPr>
            <w:tcW w:w="744" w:type="dxa"/>
          </w:tcPr>
          <w:p>
            <w:pPr>
              <w:pStyle w:val="TableParagraph"/>
              <w:spacing w:line="177" w:lineRule="exact"/>
              <w:ind w:right="297"/>
              <w:rPr>
                <w:rFonts w:ascii="Carlito"/>
                <w:sz w:val="16"/>
              </w:rPr>
            </w:pPr>
            <w:r>
              <w:rPr>
                <w:rFonts w:ascii="Carlito"/>
                <w:sz w:val="16"/>
              </w:rPr>
              <w:t>3</w:t>
            </w:r>
          </w:p>
        </w:tc>
        <w:tc>
          <w:tcPr>
            <w:tcW w:w="815" w:type="dxa"/>
          </w:tcPr>
          <w:p>
            <w:pPr>
              <w:pStyle w:val="TableParagraph"/>
              <w:spacing w:line="177" w:lineRule="exact"/>
              <w:ind w:left="303"/>
              <w:jc w:val="left"/>
              <w:rPr>
                <w:rFonts w:ascii="Carlito"/>
                <w:sz w:val="16"/>
              </w:rPr>
            </w:pPr>
            <w:r>
              <w:rPr>
                <w:rFonts w:ascii="Carlito"/>
                <w:sz w:val="16"/>
              </w:rPr>
              <w:t>2</w:t>
            </w:r>
          </w:p>
        </w:tc>
        <w:tc>
          <w:tcPr>
            <w:tcW w:w="1287" w:type="dxa"/>
          </w:tcPr>
          <w:p>
            <w:pPr>
              <w:pStyle w:val="TableParagraph"/>
              <w:spacing w:line="177" w:lineRule="exact"/>
              <w:ind w:right="567"/>
              <w:rPr>
                <w:rFonts w:ascii="Carlito"/>
                <w:sz w:val="16"/>
              </w:rPr>
            </w:pPr>
            <w:r>
              <w:rPr>
                <w:rFonts w:ascii="Carlito"/>
                <w:sz w:val="16"/>
              </w:rPr>
              <w:t>8.8</w:t>
            </w:r>
          </w:p>
        </w:tc>
        <w:tc>
          <w:tcPr>
            <w:tcW w:w="1141" w:type="dxa"/>
          </w:tcPr>
          <w:p>
            <w:pPr>
              <w:pStyle w:val="TableParagraph"/>
              <w:spacing w:line="177" w:lineRule="exact"/>
              <w:ind w:right="360"/>
              <w:rPr>
                <w:rFonts w:ascii="Carlito"/>
                <w:sz w:val="16"/>
              </w:rPr>
            </w:pPr>
            <w:r>
              <w:rPr>
                <w:rFonts w:ascii="Carlito"/>
                <w:sz w:val="16"/>
              </w:rPr>
              <w:t>2.8</w:t>
            </w:r>
          </w:p>
        </w:tc>
        <w:tc>
          <w:tcPr>
            <w:tcW w:w="825" w:type="dxa"/>
          </w:tcPr>
          <w:p>
            <w:pPr>
              <w:pStyle w:val="TableParagraph"/>
              <w:spacing w:line="177" w:lineRule="exact"/>
              <w:ind w:right="373"/>
              <w:rPr>
                <w:rFonts w:ascii="Carlito"/>
                <w:sz w:val="16"/>
              </w:rPr>
            </w:pPr>
            <w:r>
              <w:rPr>
                <w:rFonts w:ascii="Carlito"/>
                <w:sz w:val="16"/>
              </w:rPr>
              <w:t>0</w:t>
            </w:r>
          </w:p>
        </w:tc>
        <w:tc>
          <w:tcPr>
            <w:tcW w:w="529" w:type="dxa"/>
          </w:tcPr>
          <w:p>
            <w:pPr>
              <w:pStyle w:val="TableParagraph"/>
              <w:spacing w:line="177" w:lineRule="exact"/>
              <w:ind w:right="58"/>
              <w:rPr>
                <w:rFonts w:ascii="Carlito"/>
                <w:sz w:val="16"/>
              </w:rPr>
            </w:pPr>
            <w:r>
              <w:rPr>
                <w:rFonts w:ascii="Carlito"/>
                <w:sz w:val="16"/>
              </w:rPr>
              <w:t>0</w:t>
            </w:r>
          </w:p>
        </w:tc>
      </w:tr>
      <w:tr>
        <w:trPr>
          <w:trHeight w:val="287" w:hRule="atLeast"/>
        </w:trPr>
        <w:tc>
          <w:tcPr>
            <w:tcW w:w="756" w:type="dxa"/>
            <w:shd w:val="clear" w:color="auto" w:fill="D9D9D9"/>
          </w:tcPr>
          <w:p>
            <w:pPr>
              <w:pStyle w:val="TableParagraph"/>
              <w:spacing w:line="177" w:lineRule="exact"/>
              <w:ind w:right="143"/>
              <w:rPr>
                <w:rFonts w:ascii="Carlito"/>
                <w:sz w:val="16"/>
              </w:rPr>
            </w:pPr>
            <w:r>
              <w:rPr>
                <w:rFonts w:ascii="Carlito"/>
                <w:sz w:val="16"/>
              </w:rPr>
              <w:t>179</w:t>
            </w:r>
          </w:p>
        </w:tc>
        <w:tc>
          <w:tcPr>
            <w:tcW w:w="1938" w:type="dxa"/>
            <w:shd w:val="clear" w:color="auto" w:fill="D9D9D9"/>
          </w:tcPr>
          <w:p>
            <w:pPr>
              <w:pStyle w:val="TableParagraph"/>
              <w:spacing w:line="177" w:lineRule="exact"/>
              <w:ind w:left="143"/>
              <w:jc w:val="left"/>
              <w:rPr>
                <w:rFonts w:ascii="Carlito"/>
                <w:sz w:val="16"/>
              </w:rPr>
            </w:pPr>
            <w:r>
              <w:rPr>
                <w:rFonts w:ascii="Carlito"/>
                <w:sz w:val="16"/>
              </w:rPr>
              <w:t>Curridabat</w:t>
            </w:r>
          </w:p>
        </w:tc>
        <w:tc>
          <w:tcPr>
            <w:tcW w:w="595" w:type="dxa"/>
            <w:shd w:val="clear" w:color="auto" w:fill="D9D9D9"/>
          </w:tcPr>
          <w:p>
            <w:pPr>
              <w:pStyle w:val="TableParagraph"/>
              <w:spacing w:line="177" w:lineRule="exact"/>
              <w:ind w:right="69"/>
              <w:rPr>
                <w:rFonts w:ascii="Carlito"/>
                <w:sz w:val="16"/>
              </w:rPr>
            </w:pPr>
            <w:r>
              <w:rPr>
                <w:rFonts w:ascii="Carlito"/>
                <w:sz w:val="16"/>
              </w:rPr>
              <w:t>1</w:t>
            </w:r>
          </w:p>
        </w:tc>
        <w:tc>
          <w:tcPr>
            <w:tcW w:w="1378" w:type="dxa"/>
            <w:shd w:val="clear" w:color="auto" w:fill="D9D9D9"/>
          </w:tcPr>
          <w:p>
            <w:pPr>
              <w:pStyle w:val="TableParagraph"/>
              <w:spacing w:line="177" w:lineRule="exact"/>
              <w:ind w:right="375"/>
              <w:rPr>
                <w:rFonts w:ascii="Carlito"/>
                <w:sz w:val="16"/>
              </w:rPr>
            </w:pPr>
            <w:r>
              <w:rPr>
                <w:rFonts w:ascii="Carlito"/>
                <w:sz w:val="16"/>
              </w:rPr>
              <w:t>$240,000.00</w:t>
            </w:r>
          </w:p>
        </w:tc>
        <w:tc>
          <w:tcPr>
            <w:tcW w:w="1040" w:type="dxa"/>
            <w:shd w:val="clear" w:color="auto" w:fill="D9D9D9"/>
          </w:tcPr>
          <w:p>
            <w:pPr>
              <w:pStyle w:val="TableParagraph"/>
              <w:spacing w:line="177" w:lineRule="exact"/>
              <w:ind w:right="340"/>
              <w:rPr>
                <w:rFonts w:ascii="Carlito"/>
                <w:sz w:val="16"/>
              </w:rPr>
            </w:pPr>
            <w:r>
              <w:rPr>
                <w:rFonts w:ascii="Carlito"/>
                <w:sz w:val="16"/>
              </w:rPr>
              <w:t>214</w:t>
            </w:r>
          </w:p>
        </w:tc>
        <w:tc>
          <w:tcPr>
            <w:tcW w:w="1126" w:type="dxa"/>
            <w:shd w:val="clear" w:color="auto" w:fill="D9D9D9"/>
          </w:tcPr>
          <w:p>
            <w:pPr>
              <w:pStyle w:val="TableParagraph"/>
              <w:spacing w:line="177" w:lineRule="exact"/>
              <w:ind w:left="319" w:right="439"/>
              <w:jc w:val="center"/>
              <w:rPr>
                <w:rFonts w:ascii="Carlito"/>
                <w:sz w:val="16"/>
              </w:rPr>
            </w:pPr>
            <w:r>
              <w:rPr>
                <w:rFonts w:ascii="Carlito"/>
                <w:sz w:val="16"/>
              </w:rPr>
              <w:t>2000</w:t>
            </w:r>
          </w:p>
        </w:tc>
        <w:tc>
          <w:tcPr>
            <w:tcW w:w="782" w:type="dxa"/>
            <w:shd w:val="clear" w:color="auto" w:fill="D9D9D9"/>
          </w:tcPr>
          <w:p>
            <w:pPr>
              <w:pStyle w:val="TableParagraph"/>
              <w:spacing w:line="177" w:lineRule="exact"/>
              <w:ind w:right="234"/>
              <w:rPr>
                <w:rFonts w:ascii="Carlito"/>
                <w:sz w:val="16"/>
              </w:rPr>
            </w:pPr>
            <w:r>
              <w:rPr>
                <w:rFonts w:ascii="Carlito"/>
                <w:sz w:val="16"/>
              </w:rPr>
              <w:t>3</w:t>
            </w:r>
          </w:p>
        </w:tc>
        <w:tc>
          <w:tcPr>
            <w:tcW w:w="744" w:type="dxa"/>
            <w:shd w:val="clear" w:color="auto" w:fill="D9D9D9"/>
          </w:tcPr>
          <w:p>
            <w:pPr>
              <w:pStyle w:val="TableParagraph"/>
              <w:spacing w:line="177" w:lineRule="exact"/>
              <w:ind w:right="302"/>
              <w:rPr>
                <w:rFonts w:ascii="Carlito"/>
                <w:sz w:val="16"/>
              </w:rPr>
            </w:pPr>
            <w:r>
              <w:rPr>
                <w:rFonts w:ascii="Carlito"/>
                <w:sz w:val="16"/>
              </w:rPr>
              <w:t>2.5</w:t>
            </w:r>
          </w:p>
        </w:tc>
        <w:tc>
          <w:tcPr>
            <w:tcW w:w="815" w:type="dxa"/>
            <w:shd w:val="clear" w:color="auto" w:fill="D9D9D9"/>
          </w:tcPr>
          <w:p>
            <w:pPr>
              <w:pStyle w:val="TableParagraph"/>
              <w:spacing w:line="177" w:lineRule="exact"/>
              <w:ind w:left="303"/>
              <w:jc w:val="left"/>
              <w:rPr>
                <w:rFonts w:ascii="Carlito"/>
                <w:sz w:val="16"/>
              </w:rPr>
            </w:pPr>
            <w:r>
              <w:rPr>
                <w:rFonts w:ascii="Carlito"/>
                <w:sz w:val="16"/>
              </w:rPr>
              <w:t>2</w:t>
            </w:r>
          </w:p>
        </w:tc>
        <w:tc>
          <w:tcPr>
            <w:tcW w:w="1287" w:type="dxa"/>
            <w:shd w:val="clear" w:color="auto" w:fill="D9D9D9"/>
          </w:tcPr>
          <w:p>
            <w:pPr>
              <w:pStyle w:val="TableParagraph"/>
              <w:spacing w:line="177" w:lineRule="exact"/>
              <w:ind w:right="567"/>
              <w:rPr>
                <w:rFonts w:ascii="Carlito"/>
                <w:sz w:val="16"/>
              </w:rPr>
            </w:pPr>
            <w:r>
              <w:rPr>
                <w:rFonts w:ascii="Carlito"/>
                <w:sz w:val="16"/>
              </w:rPr>
              <w:t>5.7</w:t>
            </w:r>
          </w:p>
        </w:tc>
        <w:tc>
          <w:tcPr>
            <w:tcW w:w="1141" w:type="dxa"/>
            <w:shd w:val="clear" w:color="auto" w:fill="D9D9D9"/>
          </w:tcPr>
          <w:p>
            <w:pPr>
              <w:pStyle w:val="TableParagraph"/>
              <w:spacing w:line="177" w:lineRule="exact"/>
              <w:ind w:right="360"/>
              <w:rPr>
                <w:rFonts w:ascii="Carlito"/>
                <w:sz w:val="16"/>
              </w:rPr>
            </w:pPr>
            <w:r>
              <w:rPr>
                <w:rFonts w:ascii="Carlito"/>
                <w:sz w:val="16"/>
              </w:rPr>
              <w:t>3.2</w:t>
            </w:r>
          </w:p>
        </w:tc>
        <w:tc>
          <w:tcPr>
            <w:tcW w:w="825" w:type="dxa"/>
            <w:shd w:val="clear" w:color="auto" w:fill="D9D9D9"/>
          </w:tcPr>
          <w:p>
            <w:pPr>
              <w:pStyle w:val="TableParagraph"/>
              <w:spacing w:line="177" w:lineRule="exact"/>
              <w:ind w:right="373"/>
              <w:rPr>
                <w:rFonts w:ascii="Carlito"/>
                <w:sz w:val="16"/>
              </w:rPr>
            </w:pPr>
            <w:r>
              <w:rPr>
                <w:rFonts w:ascii="Carlito"/>
                <w:sz w:val="16"/>
              </w:rPr>
              <w:t>0</w:t>
            </w:r>
          </w:p>
        </w:tc>
        <w:tc>
          <w:tcPr>
            <w:tcW w:w="529" w:type="dxa"/>
            <w:shd w:val="clear" w:color="auto" w:fill="D9D9D9"/>
          </w:tcPr>
          <w:p>
            <w:pPr>
              <w:pStyle w:val="TableParagraph"/>
              <w:spacing w:line="177" w:lineRule="exact"/>
              <w:ind w:right="58"/>
              <w:rPr>
                <w:rFonts w:ascii="Carlito"/>
                <w:sz w:val="16"/>
              </w:rPr>
            </w:pPr>
            <w:r>
              <w:rPr>
                <w:rFonts w:ascii="Carlito"/>
                <w:sz w:val="16"/>
              </w:rPr>
              <w:t>1</w:t>
            </w:r>
          </w:p>
        </w:tc>
      </w:tr>
      <w:tr>
        <w:trPr>
          <w:trHeight w:val="287" w:hRule="atLeast"/>
        </w:trPr>
        <w:tc>
          <w:tcPr>
            <w:tcW w:w="756" w:type="dxa"/>
          </w:tcPr>
          <w:p>
            <w:pPr>
              <w:pStyle w:val="TableParagraph"/>
              <w:ind w:right="143"/>
              <w:rPr>
                <w:rFonts w:ascii="Carlito"/>
                <w:sz w:val="16"/>
              </w:rPr>
            </w:pPr>
            <w:r>
              <w:rPr>
                <w:rFonts w:ascii="Carlito"/>
                <w:sz w:val="16"/>
              </w:rPr>
              <w:t>180</w:t>
            </w:r>
          </w:p>
        </w:tc>
        <w:tc>
          <w:tcPr>
            <w:tcW w:w="1938" w:type="dxa"/>
          </w:tcPr>
          <w:p>
            <w:pPr>
              <w:pStyle w:val="TableParagraph"/>
              <w:ind w:left="143"/>
              <w:jc w:val="left"/>
              <w:rPr>
                <w:rFonts w:ascii="Carlito"/>
                <w:sz w:val="16"/>
              </w:rPr>
            </w:pPr>
            <w:r>
              <w:rPr>
                <w:rFonts w:ascii="Carlito"/>
                <w:sz w:val="16"/>
              </w:rPr>
              <w:t>Hacienda Vieja</w:t>
            </w:r>
          </w:p>
        </w:tc>
        <w:tc>
          <w:tcPr>
            <w:tcW w:w="595" w:type="dxa"/>
          </w:tcPr>
          <w:p>
            <w:pPr>
              <w:pStyle w:val="TableParagraph"/>
              <w:ind w:right="69"/>
              <w:rPr>
                <w:rFonts w:ascii="Carlito"/>
                <w:sz w:val="16"/>
              </w:rPr>
            </w:pPr>
            <w:r>
              <w:rPr>
                <w:rFonts w:ascii="Carlito"/>
                <w:sz w:val="16"/>
              </w:rPr>
              <w:t>1</w:t>
            </w:r>
          </w:p>
        </w:tc>
        <w:tc>
          <w:tcPr>
            <w:tcW w:w="1378" w:type="dxa"/>
          </w:tcPr>
          <w:p>
            <w:pPr>
              <w:pStyle w:val="TableParagraph"/>
              <w:ind w:right="375"/>
              <w:rPr>
                <w:rFonts w:ascii="Carlito"/>
                <w:sz w:val="16"/>
              </w:rPr>
            </w:pPr>
            <w:r>
              <w:rPr>
                <w:rFonts w:ascii="Carlito"/>
                <w:sz w:val="16"/>
              </w:rPr>
              <w:t>$158,000.00</w:t>
            </w:r>
          </w:p>
        </w:tc>
        <w:tc>
          <w:tcPr>
            <w:tcW w:w="1040" w:type="dxa"/>
          </w:tcPr>
          <w:p>
            <w:pPr>
              <w:pStyle w:val="TableParagraph"/>
              <w:ind w:right="340"/>
              <w:rPr>
                <w:rFonts w:ascii="Carlito"/>
                <w:sz w:val="16"/>
              </w:rPr>
            </w:pPr>
            <w:r>
              <w:rPr>
                <w:rFonts w:ascii="Carlito"/>
                <w:sz w:val="16"/>
              </w:rPr>
              <w:t>240</w:t>
            </w:r>
          </w:p>
        </w:tc>
        <w:tc>
          <w:tcPr>
            <w:tcW w:w="1126" w:type="dxa"/>
          </w:tcPr>
          <w:p>
            <w:pPr>
              <w:pStyle w:val="TableParagraph"/>
              <w:ind w:left="319" w:right="439"/>
              <w:jc w:val="center"/>
              <w:rPr>
                <w:rFonts w:ascii="Carlito"/>
                <w:sz w:val="16"/>
              </w:rPr>
            </w:pPr>
            <w:r>
              <w:rPr>
                <w:rFonts w:ascii="Carlito"/>
                <w:sz w:val="16"/>
              </w:rPr>
              <w:t>2006</w:t>
            </w:r>
          </w:p>
        </w:tc>
        <w:tc>
          <w:tcPr>
            <w:tcW w:w="782" w:type="dxa"/>
          </w:tcPr>
          <w:p>
            <w:pPr>
              <w:pStyle w:val="TableParagraph"/>
              <w:ind w:right="234"/>
              <w:rPr>
                <w:rFonts w:ascii="Carlito"/>
                <w:sz w:val="16"/>
              </w:rPr>
            </w:pPr>
            <w:r>
              <w:rPr>
                <w:rFonts w:ascii="Carlito"/>
                <w:sz w:val="16"/>
              </w:rPr>
              <w:t>3</w:t>
            </w:r>
          </w:p>
        </w:tc>
        <w:tc>
          <w:tcPr>
            <w:tcW w:w="744" w:type="dxa"/>
          </w:tcPr>
          <w:p>
            <w:pPr>
              <w:pStyle w:val="TableParagraph"/>
              <w:ind w:right="297"/>
              <w:rPr>
                <w:rFonts w:ascii="Carlito"/>
                <w:sz w:val="16"/>
              </w:rPr>
            </w:pPr>
            <w:r>
              <w:rPr>
                <w:rFonts w:ascii="Carlito"/>
                <w:sz w:val="16"/>
              </w:rPr>
              <w:t>2</w:t>
            </w:r>
          </w:p>
        </w:tc>
        <w:tc>
          <w:tcPr>
            <w:tcW w:w="815" w:type="dxa"/>
          </w:tcPr>
          <w:p>
            <w:pPr>
              <w:pStyle w:val="TableParagraph"/>
              <w:ind w:left="303"/>
              <w:jc w:val="left"/>
              <w:rPr>
                <w:rFonts w:ascii="Carlito"/>
                <w:sz w:val="16"/>
              </w:rPr>
            </w:pPr>
            <w:r>
              <w:rPr>
                <w:rFonts w:ascii="Carlito"/>
                <w:sz w:val="16"/>
              </w:rPr>
              <w:t>1</w:t>
            </w:r>
          </w:p>
        </w:tc>
        <w:tc>
          <w:tcPr>
            <w:tcW w:w="1287" w:type="dxa"/>
          </w:tcPr>
          <w:p>
            <w:pPr>
              <w:pStyle w:val="TableParagraph"/>
              <w:ind w:right="567"/>
              <w:rPr>
                <w:rFonts w:ascii="Carlito"/>
                <w:sz w:val="16"/>
              </w:rPr>
            </w:pPr>
            <w:r>
              <w:rPr>
                <w:rFonts w:ascii="Carlito"/>
                <w:sz w:val="16"/>
              </w:rPr>
              <w:t>6.6</w:t>
            </w:r>
          </w:p>
        </w:tc>
        <w:tc>
          <w:tcPr>
            <w:tcW w:w="1141" w:type="dxa"/>
          </w:tcPr>
          <w:p>
            <w:pPr>
              <w:pStyle w:val="TableParagraph"/>
              <w:ind w:right="360"/>
              <w:rPr>
                <w:rFonts w:ascii="Carlito"/>
                <w:sz w:val="16"/>
              </w:rPr>
            </w:pPr>
            <w:r>
              <w:rPr>
                <w:rFonts w:ascii="Carlito"/>
                <w:sz w:val="16"/>
              </w:rPr>
              <w:t>2.8</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181</w:t>
            </w:r>
          </w:p>
        </w:tc>
        <w:tc>
          <w:tcPr>
            <w:tcW w:w="1938" w:type="dxa"/>
            <w:shd w:val="clear" w:color="auto" w:fill="D9D9D9"/>
          </w:tcPr>
          <w:p>
            <w:pPr>
              <w:pStyle w:val="TableParagraph"/>
              <w:spacing w:before="92"/>
              <w:ind w:left="143"/>
              <w:jc w:val="left"/>
              <w:rPr>
                <w:rFonts w:ascii="Carlito" w:hAnsi="Carlito"/>
                <w:sz w:val="16"/>
              </w:rPr>
            </w:pPr>
            <w:r>
              <w:rPr>
                <w:rFonts w:ascii="Carlito" w:hAnsi="Carlito"/>
                <w:sz w:val="16"/>
              </w:rPr>
              <w:t>Sánchez</w:t>
            </w:r>
          </w:p>
        </w:tc>
        <w:tc>
          <w:tcPr>
            <w:tcW w:w="595" w:type="dxa"/>
            <w:shd w:val="clear" w:color="auto" w:fill="D9D9D9"/>
          </w:tcPr>
          <w:p>
            <w:pPr>
              <w:pStyle w:val="TableParagraph"/>
              <w:spacing w:before="92"/>
              <w:ind w:right="69"/>
              <w:rPr>
                <w:rFonts w:ascii="Carlito"/>
                <w:sz w:val="16"/>
              </w:rPr>
            </w:pPr>
            <w:r>
              <w:rPr>
                <w:rFonts w:ascii="Carlito"/>
                <w:sz w:val="16"/>
              </w:rPr>
              <w:t>0</w:t>
            </w:r>
          </w:p>
        </w:tc>
        <w:tc>
          <w:tcPr>
            <w:tcW w:w="1378" w:type="dxa"/>
            <w:shd w:val="clear" w:color="auto" w:fill="D9D9D9"/>
          </w:tcPr>
          <w:p>
            <w:pPr>
              <w:pStyle w:val="TableParagraph"/>
              <w:spacing w:before="92"/>
              <w:ind w:right="375"/>
              <w:rPr>
                <w:rFonts w:ascii="Carlito"/>
                <w:sz w:val="16"/>
              </w:rPr>
            </w:pPr>
            <w:r>
              <w:rPr>
                <w:rFonts w:ascii="Carlito"/>
                <w:sz w:val="16"/>
              </w:rPr>
              <w:t>$167,000.00</w:t>
            </w:r>
          </w:p>
        </w:tc>
        <w:tc>
          <w:tcPr>
            <w:tcW w:w="1040" w:type="dxa"/>
            <w:shd w:val="clear" w:color="auto" w:fill="D9D9D9"/>
          </w:tcPr>
          <w:p>
            <w:pPr>
              <w:pStyle w:val="TableParagraph"/>
              <w:spacing w:before="92"/>
              <w:ind w:right="340"/>
              <w:rPr>
                <w:rFonts w:ascii="Carlito"/>
                <w:sz w:val="16"/>
              </w:rPr>
            </w:pPr>
            <w:r>
              <w:rPr>
                <w:rFonts w:ascii="Carlito"/>
                <w:sz w:val="16"/>
              </w:rPr>
              <w:t>155</w:t>
            </w:r>
          </w:p>
        </w:tc>
        <w:tc>
          <w:tcPr>
            <w:tcW w:w="1126" w:type="dxa"/>
            <w:shd w:val="clear" w:color="auto" w:fill="D9D9D9"/>
          </w:tcPr>
          <w:p>
            <w:pPr>
              <w:pStyle w:val="TableParagraph"/>
              <w:spacing w:before="92"/>
              <w:ind w:left="319" w:right="439"/>
              <w:jc w:val="center"/>
              <w:rPr>
                <w:rFonts w:ascii="Carlito"/>
                <w:sz w:val="16"/>
              </w:rPr>
            </w:pPr>
            <w:r>
              <w:rPr>
                <w:rFonts w:ascii="Carlito"/>
                <w:sz w:val="16"/>
              </w:rPr>
              <w:t>2006</w:t>
            </w:r>
          </w:p>
        </w:tc>
        <w:tc>
          <w:tcPr>
            <w:tcW w:w="782" w:type="dxa"/>
            <w:shd w:val="clear" w:color="auto" w:fill="D9D9D9"/>
          </w:tcPr>
          <w:p>
            <w:pPr>
              <w:pStyle w:val="TableParagraph"/>
              <w:spacing w:before="92"/>
              <w:ind w:right="234"/>
              <w:rPr>
                <w:rFonts w:ascii="Carlito"/>
                <w:sz w:val="16"/>
              </w:rPr>
            </w:pPr>
            <w:r>
              <w:rPr>
                <w:rFonts w:ascii="Carlito"/>
                <w:sz w:val="16"/>
              </w:rPr>
              <w:t>3</w:t>
            </w:r>
          </w:p>
        </w:tc>
        <w:tc>
          <w:tcPr>
            <w:tcW w:w="744" w:type="dxa"/>
            <w:shd w:val="clear" w:color="auto" w:fill="D9D9D9"/>
          </w:tcPr>
          <w:p>
            <w:pPr>
              <w:pStyle w:val="TableParagraph"/>
              <w:spacing w:before="92"/>
              <w:ind w:right="302"/>
              <w:rPr>
                <w:rFonts w:ascii="Carlito"/>
                <w:sz w:val="16"/>
              </w:rPr>
            </w:pPr>
            <w:r>
              <w:rPr>
                <w:rFonts w:ascii="Carlito"/>
                <w:sz w:val="16"/>
              </w:rPr>
              <w:t>2.5</w:t>
            </w:r>
          </w:p>
        </w:tc>
        <w:tc>
          <w:tcPr>
            <w:tcW w:w="815" w:type="dxa"/>
            <w:shd w:val="clear" w:color="auto" w:fill="D9D9D9"/>
          </w:tcPr>
          <w:p>
            <w:pPr>
              <w:pStyle w:val="TableParagraph"/>
              <w:spacing w:before="92"/>
              <w:ind w:left="303"/>
              <w:jc w:val="left"/>
              <w:rPr>
                <w:rFonts w:ascii="Carlito"/>
                <w:sz w:val="16"/>
              </w:rPr>
            </w:pPr>
            <w:r>
              <w:rPr>
                <w:rFonts w:ascii="Carlito"/>
                <w:sz w:val="16"/>
              </w:rPr>
              <w:t>2</w:t>
            </w:r>
          </w:p>
        </w:tc>
        <w:tc>
          <w:tcPr>
            <w:tcW w:w="1287" w:type="dxa"/>
            <w:shd w:val="clear" w:color="auto" w:fill="D9D9D9"/>
          </w:tcPr>
          <w:p>
            <w:pPr>
              <w:pStyle w:val="TableParagraph"/>
              <w:spacing w:before="92"/>
              <w:ind w:right="567"/>
              <w:rPr>
                <w:rFonts w:ascii="Carlito"/>
                <w:sz w:val="16"/>
              </w:rPr>
            </w:pPr>
            <w:r>
              <w:rPr>
                <w:rFonts w:ascii="Carlito"/>
                <w:sz w:val="16"/>
              </w:rPr>
              <w:t>8.1</w:t>
            </w:r>
          </w:p>
        </w:tc>
        <w:tc>
          <w:tcPr>
            <w:tcW w:w="1141" w:type="dxa"/>
            <w:shd w:val="clear" w:color="auto" w:fill="D9D9D9"/>
          </w:tcPr>
          <w:p>
            <w:pPr>
              <w:pStyle w:val="TableParagraph"/>
              <w:spacing w:before="92"/>
              <w:ind w:right="356"/>
              <w:rPr>
                <w:rFonts w:ascii="Carlito"/>
                <w:sz w:val="16"/>
              </w:rPr>
            </w:pPr>
            <w:r>
              <w:rPr>
                <w:rFonts w:ascii="Carlito"/>
                <w:sz w:val="16"/>
              </w:rPr>
              <w:t>3</w:t>
            </w:r>
          </w:p>
        </w:tc>
        <w:tc>
          <w:tcPr>
            <w:tcW w:w="825" w:type="dxa"/>
            <w:shd w:val="clear" w:color="auto" w:fill="D9D9D9"/>
          </w:tcPr>
          <w:p>
            <w:pPr>
              <w:pStyle w:val="TableParagraph"/>
              <w:spacing w:before="92"/>
              <w:ind w:right="373"/>
              <w:rPr>
                <w:rFonts w:ascii="Carlito"/>
                <w:sz w:val="16"/>
              </w:rPr>
            </w:pPr>
            <w:r>
              <w:rPr>
                <w:rFonts w:ascii="Carlito"/>
                <w:sz w:val="16"/>
              </w:rPr>
              <w:t>1</w:t>
            </w:r>
          </w:p>
        </w:tc>
        <w:tc>
          <w:tcPr>
            <w:tcW w:w="529" w:type="dxa"/>
            <w:shd w:val="clear" w:color="auto" w:fill="D9D9D9"/>
          </w:tcPr>
          <w:p>
            <w:pPr>
              <w:pStyle w:val="TableParagraph"/>
              <w:spacing w:before="92"/>
              <w:ind w:right="58"/>
              <w:rPr>
                <w:rFonts w:ascii="Carlito"/>
                <w:sz w:val="16"/>
              </w:rPr>
            </w:pPr>
            <w:r>
              <w:rPr>
                <w:rFonts w:ascii="Carlito"/>
                <w:sz w:val="16"/>
              </w:rPr>
              <w:t>1</w:t>
            </w:r>
          </w:p>
        </w:tc>
      </w:tr>
      <w:tr>
        <w:trPr>
          <w:trHeight w:val="287" w:hRule="atLeast"/>
        </w:trPr>
        <w:tc>
          <w:tcPr>
            <w:tcW w:w="756" w:type="dxa"/>
          </w:tcPr>
          <w:p>
            <w:pPr>
              <w:pStyle w:val="TableParagraph"/>
              <w:ind w:right="143"/>
              <w:rPr>
                <w:rFonts w:ascii="Carlito"/>
                <w:sz w:val="16"/>
              </w:rPr>
            </w:pPr>
            <w:r>
              <w:rPr>
                <w:rFonts w:ascii="Carlito"/>
                <w:sz w:val="16"/>
              </w:rPr>
              <w:t>182</w:t>
            </w:r>
          </w:p>
        </w:tc>
        <w:tc>
          <w:tcPr>
            <w:tcW w:w="1938" w:type="dxa"/>
          </w:tcPr>
          <w:p>
            <w:pPr>
              <w:pStyle w:val="TableParagraph"/>
              <w:ind w:left="143"/>
              <w:jc w:val="left"/>
              <w:rPr>
                <w:rFonts w:ascii="Carlito"/>
                <w:sz w:val="16"/>
              </w:rPr>
            </w:pPr>
            <w:r>
              <w:rPr>
                <w:rFonts w:ascii="Carlito"/>
                <w:sz w:val="16"/>
              </w:rPr>
              <w:t>Freses</w:t>
            </w:r>
          </w:p>
        </w:tc>
        <w:tc>
          <w:tcPr>
            <w:tcW w:w="595" w:type="dxa"/>
          </w:tcPr>
          <w:p>
            <w:pPr>
              <w:pStyle w:val="TableParagraph"/>
              <w:ind w:right="69"/>
              <w:rPr>
                <w:rFonts w:ascii="Carlito"/>
                <w:sz w:val="16"/>
              </w:rPr>
            </w:pPr>
            <w:r>
              <w:rPr>
                <w:rFonts w:ascii="Carlito"/>
                <w:sz w:val="16"/>
              </w:rPr>
              <w:t>0</w:t>
            </w:r>
          </w:p>
        </w:tc>
        <w:tc>
          <w:tcPr>
            <w:tcW w:w="1378" w:type="dxa"/>
          </w:tcPr>
          <w:p>
            <w:pPr>
              <w:pStyle w:val="TableParagraph"/>
              <w:ind w:right="375"/>
              <w:rPr>
                <w:rFonts w:ascii="Carlito"/>
                <w:sz w:val="16"/>
              </w:rPr>
            </w:pPr>
            <w:r>
              <w:rPr>
                <w:rFonts w:ascii="Carlito"/>
                <w:sz w:val="16"/>
              </w:rPr>
              <w:t>$230,000.00</w:t>
            </w:r>
          </w:p>
        </w:tc>
        <w:tc>
          <w:tcPr>
            <w:tcW w:w="1040" w:type="dxa"/>
          </w:tcPr>
          <w:p>
            <w:pPr>
              <w:pStyle w:val="TableParagraph"/>
              <w:ind w:right="340"/>
              <w:rPr>
                <w:rFonts w:ascii="Carlito"/>
                <w:sz w:val="16"/>
              </w:rPr>
            </w:pPr>
            <w:r>
              <w:rPr>
                <w:rFonts w:ascii="Carlito"/>
                <w:sz w:val="16"/>
              </w:rPr>
              <w:t>220</w:t>
            </w:r>
          </w:p>
        </w:tc>
        <w:tc>
          <w:tcPr>
            <w:tcW w:w="1126" w:type="dxa"/>
          </w:tcPr>
          <w:p>
            <w:pPr>
              <w:pStyle w:val="TableParagraph"/>
              <w:ind w:left="319" w:right="439"/>
              <w:jc w:val="center"/>
              <w:rPr>
                <w:rFonts w:ascii="Carlito"/>
                <w:sz w:val="16"/>
              </w:rPr>
            </w:pPr>
            <w:r>
              <w:rPr>
                <w:rFonts w:ascii="Carlito"/>
                <w:sz w:val="16"/>
              </w:rPr>
              <w:t>1992</w:t>
            </w:r>
          </w:p>
        </w:tc>
        <w:tc>
          <w:tcPr>
            <w:tcW w:w="782" w:type="dxa"/>
          </w:tcPr>
          <w:p>
            <w:pPr>
              <w:pStyle w:val="TableParagraph"/>
              <w:ind w:right="234"/>
              <w:rPr>
                <w:rFonts w:ascii="Carlito"/>
                <w:sz w:val="16"/>
              </w:rPr>
            </w:pPr>
            <w:r>
              <w:rPr>
                <w:rFonts w:ascii="Carlito"/>
                <w:sz w:val="16"/>
              </w:rPr>
              <w:t>3</w:t>
            </w:r>
          </w:p>
        </w:tc>
        <w:tc>
          <w:tcPr>
            <w:tcW w:w="744" w:type="dxa"/>
          </w:tcPr>
          <w:p>
            <w:pPr>
              <w:pStyle w:val="TableParagraph"/>
              <w:ind w:right="302"/>
              <w:rPr>
                <w:rFonts w:ascii="Carlito"/>
                <w:sz w:val="16"/>
              </w:rPr>
            </w:pPr>
            <w:r>
              <w:rPr>
                <w:rFonts w:ascii="Carlito"/>
                <w:sz w:val="16"/>
              </w:rPr>
              <w:t>2.5</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5.2</w:t>
            </w:r>
          </w:p>
        </w:tc>
        <w:tc>
          <w:tcPr>
            <w:tcW w:w="1141" w:type="dxa"/>
          </w:tcPr>
          <w:p>
            <w:pPr>
              <w:pStyle w:val="TableParagraph"/>
              <w:ind w:right="360"/>
              <w:rPr>
                <w:rFonts w:ascii="Carlito"/>
                <w:sz w:val="16"/>
              </w:rPr>
            </w:pPr>
            <w:r>
              <w:rPr>
                <w:rFonts w:ascii="Carlito"/>
                <w:sz w:val="16"/>
              </w:rPr>
              <w:t>5.2</w:t>
            </w:r>
          </w:p>
        </w:tc>
        <w:tc>
          <w:tcPr>
            <w:tcW w:w="825" w:type="dxa"/>
          </w:tcPr>
          <w:p>
            <w:pPr>
              <w:pStyle w:val="TableParagraph"/>
              <w:ind w:right="373"/>
              <w:rPr>
                <w:rFonts w:ascii="Carlito"/>
                <w:sz w:val="16"/>
              </w:rPr>
            </w:pPr>
            <w:r>
              <w:rPr>
                <w:rFonts w:ascii="Carlito"/>
                <w:sz w:val="16"/>
              </w:rPr>
              <w:t>0</w:t>
            </w:r>
          </w:p>
        </w:tc>
        <w:tc>
          <w:tcPr>
            <w:tcW w:w="529" w:type="dxa"/>
          </w:tcPr>
          <w:p>
            <w:pPr>
              <w:pStyle w:val="TableParagraph"/>
              <w:ind w:right="58"/>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183</w:t>
            </w:r>
          </w:p>
        </w:tc>
        <w:tc>
          <w:tcPr>
            <w:tcW w:w="1938" w:type="dxa"/>
            <w:shd w:val="clear" w:color="auto" w:fill="D9D9D9"/>
          </w:tcPr>
          <w:p>
            <w:pPr>
              <w:pStyle w:val="TableParagraph"/>
              <w:ind w:left="143"/>
              <w:jc w:val="left"/>
              <w:rPr>
                <w:rFonts w:ascii="Carlito"/>
                <w:sz w:val="16"/>
              </w:rPr>
            </w:pPr>
            <w:r>
              <w:rPr>
                <w:rFonts w:ascii="Carlito"/>
                <w:sz w:val="16"/>
              </w:rPr>
              <w:t>Freses</w:t>
            </w:r>
          </w:p>
        </w:tc>
        <w:tc>
          <w:tcPr>
            <w:tcW w:w="595" w:type="dxa"/>
            <w:shd w:val="clear" w:color="auto" w:fill="D9D9D9"/>
          </w:tcPr>
          <w:p>
            <w:pPr>
              <w:pStyle w:val="TableParagraph"/>
              <w:ind w:right="69"/>
              <w:rPr>
                <w:rFonts w:ascii="Carlito"/>
                <w:sz w:val="16"/>
              </w:rPr>
            </w:pPr>
            <w:r>
              <w:rPr>
                <w:rFonts w:ascii="Carlito"/>
                <w:sz w:val="16"/>
              </w:rPr>
              <w:t>1</w:t>
            </w:r>
          </w:p>
        </w:tc>
        <w:tc>
          <w:tcPr>
            <w:tcW w:w="1378" w:type="dxa"/>
            <w:shd w:val="clear" w:color="auto" w:fill="D9D9D9"/>
          </w:tcPr>
          <w:p>
            <w:pPr>
              <w:pStyle w:val="TableParagraph"/>
              <w:ind w:right="375"/>
              <w:rPr>
                <w:rFonts w:ascii="Carlito"/>
                <w:sz w:val="16"/>
              </w:rPr>
            </w:pPr>
            <w:r>
              <w:rPr>
                <w:rFonts w:ascii="Carlito"/>
                <w:sz w:val="16"/>
              </w:rPr>
              <w:t>$500,000.00</w:t>
            </w:r>
          </w:p>
        </w:tc>
        <w:tc>
          <w:tcPr>
            <w:tcW w:w="1040" w:type="dxa"/>
            <w:shd w:val="clear" w:color="auto" w:fill="D9D9D9"/>
          </w:tcPr>
          <w:p>
            <w:pPr>
              <w:pStyle w:val="TableParagraph"/>
              <w:ind w:right="340"/>
              <w:rPr>
                <w:rFonts w:ascii="Carlito"/>
                <w:sz w:val="16"/>
              </w:rPr>
            </w:pPr>
            <w:r>
              <w:rPr>
                <w:rFonts w:ascii="Carlito"/>
                <w:sz w:val="16"/>
              </w:rPr>
              <w:t>350</w:t>
            </w:r>
          </w:p>
        </w:tc>
        <w:tc>
          <w:tcPr>
            <w:tcW w:w="1126" w:type="dxa"/>
            <w:shd w:val="clear" w:color="auto" w:fill="D9D9D9"/>
          </w:tcPr>
          <w:p>
            <w:pPr>
              <w:pStyle w:val="TableParagraph"/>
              <w:ind w:left="319" w:right="439"/>
              <w:jc w:val="center"/>
              <w:rPr>
                <w:rFonts w:ascii="Carlito"/>
                <w:sz w:val="16"/>
              </w:rPr>
            </w:pPr>
            <w:r>
              <w:rPr>
                <w:rFonts w:ascii="Carlito"/>
                <w:sz w:val="16"/>
              </w:rPr>
              <w:t>1980</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302"/>
              <w:rPr>
                <w:rFonts w:ascii="Carlito"/>
                <w:sz w:val="16"/>
              </w:rPr>
            </w:pPr>
            <w:r>
              <w:rPr>
                <w:rFonts w:ascii="Carlito"/>
                <w:sz w:val="16"/>
              </w:rPr>
              <w:t>2.5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5.2</w:t>
            </w:r>
          </w:p>
        </w:tc>
        <w:tc>
          <w:tcPr>
            <w:tcW w:w="1141" w:type="dxa"/>
            <w:shd w:val="clear" w:color="auto" w:fill="D9D9D9"/>
          </w:tcPr>
          <w:p>
            <w:pPr>
              <w:pStyle w:val="TableParagraph"/>
              <w:ind w:right="360"/>
              <w:rPr>
                <w:rFonts w:ascii="Carlito"/>
                <w:sz w:val="16"/>
              </w:rPr>
            </w:pPr>
            <w:r>
              <w:rPr>
                <w:rFonts w:ascii="Carlito"/>
                <w:sz w:val="16"/>
              </w:rPr>
              <w:t>5.2</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184</w:t>
            </w:r>
          </w:p>
        </w:tc>
        <w:tc>
          <w:tcPr>
            <w:tcW w:w="1938" w:type="dxa"/>
          </w:tcPr>
          <w:p>
            <w:pPr>
              <w:pStyle w:val="TableParagraph"/>
              <w:ind w:left="143"/>
              <w:jc w:val="left"/>
              <w:rPr>
                <w:rFonts w:ascii="Carlito"/>
                <w:sz w:val="16"/>
              </w:rPr>
            </w:pPr>
            <w:r>
              <w:rPr>
                <w:rFonts w:ascii="Carlito"/>
                <w:sz w:val="16"/>
              </w:rPr>
              <w:t>Granadilla</w:t>
            </w:r>
          </w:p>
        </w:tc>
        <w:tc>
          <w:tcPr>
            <w:tcW w:w="595" w:type="dxa"/>
          </w:tcPr>
          <w:p>
            <w:pPr>
              <w:pStyle w:val="TableParagraph"/>
              <w:ind w:right="69"/>
              <w:rPr>
                <w:rFonts w:ascii="Carlito"/>
                <w:sz w:val="16"/>
              </w:rPr>
            </w:pPr>
            <w:r>
              <w:rPr>
                <w:rFonts w:ascii="Carlito"/>
                <w:sz w:val="16"/>
              </w:rPr>
              <w:t>1</w:t>
            </w:r>
          </w:p>
        </w:tc>
        <w:tc>
          <w:tcPr>
            <w:tcW w:w="1378" w:type="dxa"/>
          </w:tcPr>
          <w:p>
            <w:pPr>
              <w:pStyle w:val="TableParagraph"/>
              <w:ind w:right="375"/>
              <w:rPr>
                <w:rFonts w:ascii="Carlito"/>
                <w:sz w:val="16"/>
              </w:rPr>
            </w:pPr>
            <w:r>
              <w:rPr>
                <w:rFonts w:ascii="Carlito"/>
                <w:sz w:val="16"/>
              </w:rPr>
              <w:t>$136,000.00</w:t>
            </w:r>
          </w:p>
        </w:tc>
        <w:tc>
          <w:tcPr>
            <w:tcW w:w="1040" w:type="dxa"/>
          </w:tcPr>
          <w:p>
            <w:pPr>
              <w:pStyle w:val="TableParagraph"/>
              <w:ind w:right="340"/>
              <w:rPr>
                <w:rFonts w:ascii="Carlito"/>
                <w:sz w:val="16"/>
              </w:rPr>
            </w:pPr>
            <w:r>
              <w:rPr>
                <w:rFonts w:ascii="Carlito"/>
                <w:sz w:val="16"/>
              </w:rPr>
              <w:t>150</w:t>
            </w:r>
          </w:p>
        </w:tc>
        <w:tc>
          <w:tcPr>
            <w:tcW w:w="1126" w:type="dxa"/>
          </w:tcPr>
          <w:p>
            <w:pPr>
              <w:pStyle w:val="TableParagraph"/>
              <w:ind w:left="319" w:right="439"/>
              <w:jc w:val="center"/>
              <w:rPr>
                <w:rFonts w:ascii="Carlito"/>
                <w:sz w:val="16"/>
              </w:rPr>
            </w:pPr>
            <w:r>
              <w:rPr>
                <w:rFonts w:ascii="Carlito"/>
                <w:sz w:val="16"/>
              </w:rPr>
              <w:t>2017</w:t>
            </w:r>
          </w:p>
        </w:tc>
        <w:tc>
          <w:tcPr>
            <w:tcW w:w="782" w:type="dxa"/>
          </w:tcPr>
          <w:p>
            <w:pPr>
              <w:pStyle w:val="TableParagraph"/>
              <w:ind w:right="234"/>
              <w:rPr>
                <w:rFonts w:ascii="Carlito"/>
                <w:sz w:val="16"/>
              </w:rPr>
            </w:pPr>
            <w:r>
              <w:rPr>
                <w:rFonts w:ascii="Carlito"/>
                <w:sz w:val="16"/>
              </w:rPr>
              <w:t>3</w:t>
            </w:r>
          </w:p>
        </w:tc>
        <w:tc>
          <w:tcPr>
            <w:tcW w:w="744" w:type="dxa"/>
          </w:tcPr>
          <w:p>
            <w:pPr>
              <w:pStyle w:val="TableParagraph"/>
              <w:ind w:right="302"/>
              <w:rPr>
                <w:rFonts w:ascii="Carlito"/>
                <w:sz w:val="16"/>
              </w:rPr>
            </w:pPr>
            <w:r>
              <w:rPr>
                <w:rFonts w:ascii="Carlito"/>
                <w:sz w:val="16"/>
              </w:rPr>
              <w:t>2.5</w:t>
            </w:r>
          </w:p>
        </w:tc>
        <w:tc>
          <w:tcPr>
            <w:tcW w:w="815" w:type="dxa"/>
          </w:tcPr>
          <w:p>
            <w:pPr>
              <w:pStyle w:val="TableParagraph"/>
              <w:ind w:left="303"/>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7.2</w:t>
            </w:r>
          </w:p>
        </w:tc>
        <w:tc>
          <w:tcPr>
            <w:tcW w:w="1141" w:type="dxa"/>
          </w:tcPr>
          <w:p>
            <w:pPr>
              <w:pStyle w:val="TableParagraph"/>
              <w:ind w:right="360"/>
              <w:rPr>
                <w:rFonts w:ascii="Carlito"/>
                <w:sz w:val="16"/>
              </w:rPr>
            </w:pPr>
            <w:r>
              <w:rPr>
                <w:rFonts w:ascii="Carlito"/>
                <w:sz w:val="16"/>
              </w:rPr>
              <w:t>5.6</w:t>
            </w:r>
          </w:p>
        </w:tc>
        <w:tc>
          <w:tcPr>
            <w:tcW w:w="825" w:type="dxa"/>
          </w:tcPr>
          <w:p>
            <w:pPr>
              <w:pStyle w:val="TableParagraph"/>
              <w:ind w:right="373"/>
              <w:rPr>
                <w:rFonts w:ascii="Carlito"/>
                <w:sz w:val="16"/>
              </w:rPr>
            </w:pPr>
            <w:r>
              <w:rPr>
                <w:rFonts w:ascii="Carlito"/>
                <w:sz w:val="16"/>
              </w:rPr>
              <w:t>1</w:t>
            </w:r>
          </w:p>
        </w:tc>
        <w:tc>
          <w:tcPr>
            <w:tcW w:w="529" w:type="dxa"/>
          </w:tcPr>
          <w:p>
            <w:pPr>
              <w:pStyle w:val="TableParagraph"/>
              <w:ind w:right="58"/>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185</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595" w:type="dxa"/>
            <w:shd w:val="clear" w:color="auto" w:fill="D9D9D9"/>
          </w:tcPr>
          <w:p>
            <w:pPr>
              <w:pStyle w:val="TableParagraph"/>
              <w:ind w:right="69"/>
              <w:rPr>
                <w:rFonts w:ascii="Carlito"/>
                <w:sz w:val="16"/>
              </w:rPr>
            </w:pPr>
            <w:r>
              <w:rPr>
                <w:rFonts w:ascii="Carlito"/>
                <w:sz w:val="16"/>
              </w:rPr>
              <w:t>1</w:t>
            </w:r>
          </w:p>
        </w:tc>
        <w:tc>
          <w:tcPr>
            <w:tcW w:w="1378" w:type="dxa"/>
            <w:shd w:val="clear" w:color="auto" w:fill="D9D9D9"/>
          </w:tcPr>
          <w:p>
            <w:pPr>
              <w:pStyle w:val="TableParagraph"/>
              <w:ind w:right="375"/>
              <w:rPr>
                <w:rFonts w:ascii="Carlito"/>
                <w:sz w:val="16"/>
              </w:rPr>
            </w:pPr>
            <w:r>
              <w:rPr>
                <w:rFonts w:ascii="Carlito"/>
                <w:sz w:val="16"/>
              </w:rPr>
              <w:t>$650,000.00</w:t>
            </w:r>
          </w:p>
        </w:tc>
        <w:tc>
          <w:tcPr>
            <w:tcW w:w="1040" w:type="dxa"/>
            <w:shd w:val="clear" w:color="auto" w:fill="D9D9D9"/>
          </w:tcPr>
          <w:p>
            <w:pPr>
              <w:pStyle w:val="TableParagraph"/>
              <w:ind w:right="340"/>
              <w:rPr>
                <w:rFonts w:ascii="Carlito"/>
                <w:sz w:val="16"/>
              </w:rPr>
            </w:pPr>
            <w:r>
              <w:rPr>
                <w:rFonts w:ascii="Carlito"/>
                <w:sz w:val="16"/>
              </w:rPr>
              <w:t>650</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4</w:t>
            </w:r>
          </w:p>
        </w:tc>
        <w:tc>
          <w:tcPr>
            <w:tcW w:w="744" w:type="dxa"/>
            <w:shd w:val="clear" w:color="auto" w:fill="D9D9D9"/>
          </w:tcPr>
          <w:p>
            <w:pPr>
              <w:pStyle w:val="TableParagraph"/>
              <w:ind w:right="297"/>
              <w:rPr>
                <w:rFonts w:ascii="Carlito"/>
                <w:sz w:val="16"/>
              </w:rPr>
            </w:pPr>
            <w:r>
              <w:rPr>
                <w:rFonts w:ascii="Carlito"/>
                <w:sz w:val="16"/>
              </w:rPr>
              <w:t>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5.7</w:t>
            </w:r>
          </w:p>
        </w:tc>
        <w:tc>
          <w:tcPr>
            <w:tcW w:w="1141" w:type="dxa"/>
            <w:shd w:val="clear" w:color="auto" w:fill="D9D9D9"/>
          </w:tcPr>
          <w:p>
            <w:pPr>
              <w:pStyle w:val="TableParagraph"/>
              <w:ind w:right="360"/>
              <w:rPr>
                <w:rFonts w:ascii="Carlito"/>
                <w:sz w:val="16"/>
              </w:rPr>
            </w:pPr>
            <w:r>
              <w:rPr>
                <w:rFonts w:ascii="Carlito"/>
                <w:sz w:val="16"/>
              </w:rPr>
              <w:t>3.2</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r>
        <w:trPr>
          <w:trHeight w:val="288" w:hRule="atLeast"/>
        </w:trPr>
        <w:tc>
          <w:tcPr>
            <w:tcW w:w="756" w:type="dxa"/>
          </w:tcPr>
          <w:p>
            <w:pPr>
              <w:pStyle w:val="TableParagraph"/>
              <w:spacing w:line="177" w:lineRule="exact"/>
              <w:ind w:right="143"/>
              <w:rPr>
                <w:rFonts w:ascii="Carlito"/>
                <w:sz w:val="16"/>
              </w:rPr>
            </w:pPr>
            <w:r>
              <w:rPr>
                <w:rFonts w:ascii="Carlito"/>
                <w:sz w:val="16"/>
              </w:rPr>
              <w:t>186</w:t>
            </w:r>
          </w:p>
        </w:tc>
        <w:tc>
          <w:tcPr>
            <w:tcW w:w="1938" w:type="dxa"/>
          </w:tcPr>
          <w:p>
            <w:pPr>
              <w:pStyle w:val="TableParagraph"/>
              <w:spacing w:line="177" w:lineRule="exact"/>
              <w:ind w:left="143"/>
              <w:jc w:val="left"/>
              <w:rPr>
                <w:rFonts w:ascii="Carlito"/>
                <w:sz w:val="16"/>
              </w:rPr>
            </w:pPr>
            <w:r>
              <w:rPr>
                <w:rFonts w:ascii="Carlito"/>
                <w:sz w:val="16"/>
              </w:rPr>
              <w:t>Curridabat</w:t>
            </w:r>
          </w:p>
        </w:tc>
        <w:tc>
          <w:tcPr>
            <w:tcW w:w="595" w:type="dxa"/>
          </w:tcPr>
          <w:p>
            <w:pPr>
              <w:pStyle w:val="TableParagraph"/>
              <w:spacing w:line="177" w:lineRule="exact"/>
              <w:ind w:right="69"/>
              <w:rPr>
                <w:rFonts w:ascii="Carlito"/>
                <w:sz w:val="16"/>
              </w:rPr>
            </w:pPr>
            <w:r>
              <w:rPr>
                <w:rFonts w:ascii="Carlito"/>
                <w:sz w:val="16"/>
              </w:rPr>
              <w:t>1</w:t>
            </w:r>
          </w:p>
        </w:tc>
        <w:tc>
          <w:tcPr>
            <w:tcW w:w="1378" w:type="dxa"/>
          </w:tcPr>
          <w:p>
            <w:pPr>
              <w:pStyle w:val="TableParagraph"/>
              <w:spacing w:line="177" w:lineRule="exact"/>
              <w:ind w:right="375"/>
              <w:rPr>
                <w:rFonts w:ascii="Carlito"/>
                <w:sz w:val="16"/>
              </w:rPr>
            </w:pPr>
            <w:r>
              <w:rPr>
                <w:rFonts w:ascii="Carlito"/>
                <w:sz w:val="16"/>
              </w:rPr>
              <w:t>$245,454.55</w:t>
            </w:r>
          </w:p>
        </w:tc>
        <w:tc>
          <w:tcPr>
            <w:tcW w:w="1040" w:type="dxa"/>
          </w:tcPr>
          <w:p>
            <w:pPr>
              <w:pStyle w:val="TableParagraph"/>
              <w:spacing w:line="177" w:lineRule="exact"/>
              <w:ind w:right="340"/>
              <w:rPr>
                <w:rFonts w:ascii="Carlito"/>
                <w:sz w:val="16"/>
              </w:rPr>
            </w:pPr>
            <w:r>
              <w:rPr>
                <w:rFonts w:ascii="Carlito"/>
                <w:sz w:val="16"/>
              </w:rPr>
              <w:t>290</w:t>
            </w:r>
          </w:p>
        </w:tc>
        <w:tc>
          <w:tcPr>
            <w:tcW w:w="1126" w:type="dxa"/>
          </w:tcPr>
          <w:p>
            <w:pPr>
              <w:pStyle w:val="TableParagraph"/>
              <w:spacing w:line="177" w:lineRule="exact"/>
              <w:ind w:left="319" w:right="439"/>
              <w:jc w:val="center"/>
              <w:rPr>
                <w:rFonts w:ascii="Carlito"/>
                <w:sz w:val="16"/>
              </w:rPr>
            </w:pPr>
            <w:r>
              <w:rPr>
                <w:rFonts w:ascii="Carlito"/>
                <w:sz w:val="16"/>
              </w:rPr>
              <w:t>2006</w:t>
            </w:r>
          </w:p>
        </w:tc>
        <w:tc>
          <w:tcPr>
            <w:tcW w:w="782" w:type="dxa"/>
          </w:tcPr>
          <w:p>
            <w:pPr>
              <w:pStyle w:val="TableParagraph"/>
              <w:spacing w:line="177" w:lineRule="exact"/>
              <w:ind w:right="234"/>
              <w:rPr>
                <w:rFonts w:ascii="Carlito"/>
                <w:sz w:val="16"/>
              </w:rPr>
            </w:pPr>
            <w:r>
              <w:rPr>
                <w:rFonts w:ascii="Carlito"/>
                <w:sz w:val="16"/>
              </w:rPr>
              <w:t>3</w:t>
            </w:r>
          </w:p>
        </w:tc>
        <w:tc>
          <w:tcPr>
            <w:tcW w:w="744" w:type="dxa"/>
          </w:tcPr>
          <w:p>
            <w:pPr>
              <w:pStyle w:val="TableParagraph"/>
              <w:spacing w:line="177" w:lineRule="exact"/>
              <w:ind w:right="297"/>
              <w:rPr>
                <w:rFonts w:ascii="Carlito"/>
                <w:sz w:val="16"/>
              </w:rPr>
            </w:pPr>
            <w:r>
              <w:rPr>
                <w:rFonts w:ascii="Carlito"/>
                <w:sz w:val="16"/>
              </w:rPr>
              <w:t>2</w:t>
            </w:r>
          </w:p>
        </w:tc>
        <w:tc>
          <w:tcPr>
            <w:tcW w:w="815" w:type="dxa"/>
          </w:tcPr>
          <w:p>
            <w:pPr>
              <w:pStyle w:val="TableParagraph"/>
              <w:spacing w:line="240" w:lineRule="auto" w:before="0"/>
              <w:jc w:val="left"/>
              <w:rPr>
                <w:rFonts w:ascii="Times New Roman"/>
                <w:sz w:val="16"/>
              </w:rPr>
            </w:pPr>
          </w:p>
        </w:tc>
        <w:tc>
          <w:tcPr>
            <w:tcW w:w="1287" w:type="dxa"/>
          </w:tcPr>
          <w:p>
            <w:pPr>
              <w:pStyle w:val="TableParagraph"/>
              <w:spacing w:line="177" w:lineRule="exact"/>
              <w:ind w:right="567"/>
              <w:rPr>
                <w:rFonts w:ascii="Carlito"/>
                <w:sz w:val="16"/>
              </w:rPr>
            </w:pPr>
            <w:r>
              <w:rPr>
                <w:rFonts w:ascii="Carlito"/>
                <w:sz w:val="16"/>
              </w:rPr>
              <w:t>5.7</w:t>
            </w:r>
          </w:p>
        </w:tc>
        <w:tc>
          <w:tcPr>
            <w:tcW w:w="1141" w:type="dxa"/>
          </w:tcPr>
          <w:p>
            <w:pPr>
              <w:pStyle w:val="TableParagraph"/>
              <w:spacing w:line="177" w:lineRule="exact"/>
              <w:ind w:right="360"/>
              <w:rPr>
                <w:rFonts w:ascii="Carlito"/>
                <w:sz w:val="16"/>
              </w:rPr>
            </w:pPr>
            <w:r>
              <w:rPr>
                <w:rFonts w:ascii="Carlito"/>
                <w:sz w:val="16"/>
              </w:rPr>
              <w:t>3.2</w:t>
            </w:r>
          </w:p>
        </w:tc>
        <w:tc>
          <w:tcPr>
            <w:tcW w:w="825" w:type="dxa"/>
          </w:tcPr>
          <w:p>
            <w:pPr>
              <w:pStyle w:val="TableParagraph"/>
              <w:spacing w:line="177" w:lineRule="exact"/>
              <w:ind w:right="373"/>
              <w:rPr>
                <w:rFonts w:ascii="Carlito"/>
                <w:sz w:val="16"/>
              </w:rPr>
            </w:pPr>
            <w:r>
              <w:rPr>
                <w:rFonts w:ascii="Carlito"/>
                <w:sz w:val="16"/>
              </w:rPr>
              <w:t>0</w:t>
            </w:r>
          </w:p>
        </w:tc>
        <w:tc>
          <w:tcPr>
            <w:tcW w:w="529" w:type="dxa"/>
          </w:tcPr>
          <w:p>
            <w:pPr>
              <w:pStyle w:val="TableParagraph"/>
              <w:spacing w:line="177" w:lineRule="exact"/>
              <w:ind w:right="58"/>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187</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595" w:type="dxa"/>
            <w:shd w:val="clear" w:color="auto" w:fill="D9D9D9"/>
          </w:tcPr>
          <w:p>
            <w:pPr>
              <w:pStyle w:val="TableParagraph"/>
              <w:ind w:right="69"/>
              <w:rPr>
                <w:rFonts w:ascii="Carlito"/>
                <w:sz w:val="16"/>
              </w:rPr>
            </w:pPr>
            <w:r>
              <w:rPr>
                <w:rFonts w:ascii="Carlito"/>
                <w:sz w:val="16"/>
              </w:rPr>
              <w:t>1</w:t>
            </w:r>
          </w:p>
        </w:tc>
        <w:tc>
          <w:tcPr>
            <w:tcW w:w="1378" w:type="dxa"/>
            <w:shd w:val="clear" w:color="auto" w:fill="D9D9D9"/>
          </w:tcPr>
          <w:p>
            <w:pPr>
              <w:pStyle w:val="TableParagraph"/>
              <w:ind w:right="375"/>
              <w:rPr>
                <w:rFonts w:ascii="Carlito"/>
                <w:sz w:val="16"/>
              </w:rPr>
            </w:pPr>
            <w:r>
              <w:rPr>
                <w:rFonts w:ascii="Carlito"/>
                <w:sz w:val="16"/>
              </w:rPr>
              <w:t>$215,000.00</w:t>
            </w:r>
          </w:p>
        </w:tc>
        <w:tc>
          <w:tcPr>
            <w:tcW w:w="1040" w:type="dxa"/>
            <w:shd w:val="clear" w:color="auto" w:fill="D9D9D9"/>
          </w:tcPr>
          <w:p>
            <w:pPr>
              <w:pStyle w:val="TableParagraph"/>
              <w:ind w:right="340"/>
              <w:rPr>
                <w:rFonts w:ascii="Carlito"/>
                <w:sz w:val="16"/>
              </w:rPr>
            </w:pPr>
            <w:r>
              <w:rPr>
                <w:rFonts w:ascii="Carlito"/>
                <w:sz w:val="16"/>
              </w:rPr>
              <w:t>190</w:t>
            </w:r>
          </w:p>
        </w:tc>
        <w:tc>
          <w:tcPr>
            <w:tcW w:w="1126" w:type="dxa"/>
            <w:shd w:val="clear" w:color="auto" w:fill="D9D9D9"/>
          </w:tcPr>
          <w:p>
            <w:pPr>
              <w:pStyle w:val="TableParagraph"/>
              <w:ind w:left="319" w:right="439"/>
              <w:jc w:val="center"/>
              <w:rPr>
                <w:rFonts w:ascii="Carlito"/>
                <w:sz w:val="16"/>
              </w:rPr>
            </w:pPr>
            <w:r>
              <w:rPr>
                <w:rFonts w:ascii="Carlito"/>
                <w:sz w:val="16"/>
              </w:rPr>
              <w:t>2006</w:t>
            </w:r>
          </w:p>
        </w:tc>
        <w:tc>
          <w:tcPr>
            <w:tcW w:w="782" w:type="dxa"/>
            <w:shd w:val="clear" w:color="auto" w:fill="D9D9D9"/>
          </w:tcPr>
          <w:p>
            <w:pPr>
              <w:pStyle w:val="TableParagraph"/>
              <w:ind w:right="234"/>
              <w:rPr>
                <w:rFonts w:ascii="Carlito"/>
                <w:sz w:val="16"/>
              </w:rPr>
            </w:pPr>
            <w:r>
              <w:rPr>
                <w:rFonts w:ascii="Carlito"/>
                <w:sz w:val="16"/>
              </w:rPr>
              <w:t>3</w:t>
            </w:r>
          </w:p>
        </w:tc>
        <w:tc>
          <w:tcPr>
            <w:tcW w:w="744" w:type="dxa"/>
            <w:shd w:val="clear" w:color="auto" w:fill="D9D9D9"/>
          </w:tcPr>
          <w:p>
            <w:pPr>
              <w:pStyle w:val="TableParagraph"/>
              <w:ind w:right="302"/>
              <w:rPr>
                <w:rFonts w:ascii="Carlito"/>
                <w:sz w:val="16"/>
              </w:rPr>
            </w:pPr>
            <w:r>
              <w:rPr>
                <w:rFonts w:ascii="Carlito"/>
                <w:sz w:val="16"/>
              </w:rPr>
              <w:t>2.5</w:t>
            </w:r>
          </w:p>
        </w:tc>
        <w:tc>
          <w:tcPr>
            <w:tcW w:w="815" w:type="dxa"/>
            <w:shd w:val="clear" w:color="auto" w:fill="D9D9D9"/>
          </w:tcPr>
          <w:p>
            <w:pPr>
              <w:pStyle w:val="TableParagraph"/>
              <w:ind w:left="303"/>
              <w:jc w:val="left"/>
              <w:rPr>
                <w:rFonts w:ascii="Carlito"/>
                <w:sz w:val="16"/>
              </w:rPr>
            </w:pPr>
            <w:r>
              <w:rPr>
                <w:rFonts w:ascii="Carlito"/>
                <w:sz w:val="16"/>
              </w:rPr>
              <w:t>2</w:t>
            </w:r>
          </w:p>
        </w:tc>
        <w:tc>
          <w:tcPr>
            <w:tcW w:w="1287" w:type="dxa"/>
            <w:shd w:val="clear" w:color="auto" w:fill="D9D9D9"/>
          </w:tcPr>
          <w:p>
            <w:pPr>
              <w:pStyle w:val="TableParagraph"/>
              <w:ind w:right="567"/>
              <w:rPr>
                <w:rFonts w:ascii="Carlito"/>
                <w:sz w:val="16"/>
              </w:rPr>
            </w:pPr>
            <w:r>
              <w:rPr>
                <w:rFonts w:ascii="Carlito"/>
                <w:sz w:val="16"/>
              </w:rPr>
              <w:t>5.7</w:t>
            </w:r>
          </w:p>
        </w:tc>
        <w:tc>
          <w:tcPr>
            <w:tcW w:w="1141" w:type="dxa"/>
            <w:shd w:val="clear" w:color="auto" w:fill="D9D9D9"/>
          </w:tcPr>
          <w:p>
            <w:pPr>
              <w:pStyle w:val="TableParagraph"/>
              <w:ind w:right="360"/>
              <w:rPr>
                <w:rFonts w:ascii="Carlito"/>
                <w:sz w:val="16"/>
              </w:rPr>
            </w:pPr>
            <w:r>
              <w:rPr>
                <w:rFonts w:ascii="Carlito"/>
                <w:sz w:val="16"/>
              </w:rPr>
              <w:t>3.2</w:t>
            </w:r>
          </w:p>
        </w:tc>
        <w:tc>
          <w:tcPr>
            <w:tcW w:w="825" w:type="dxa"/>
            <w:shd w:val="clear" w:color="auto" w:fill="D9D9D9"/>
          </w:tcPr>
          <w:p>
            <w:pPr>
              <w:pStyle w:val="TableParagraph"/>
              <w:ind w:right="373"/>
              <w:rPr>
                <w:rFonts w:ascii="Carlito"/>
                <w:sz w:val="16"/>
              </w:rPr>
            </w:pPr>
            <w:r>
              <w:rPr>
                <w:rFonts w:ascii="Carlito"/>
                <w:sz w:val="16"/>
              </w:rPr>
              <w:t>0</w:t>
            </w:r>
          </w:p>
        </w:tc>
        <w:tc>
          <w:tcPr>
            <w:tcW w:w="529" w:type="dxa"/>
            <w:shd w:val="clear" w:color="auto" w:fill="D9D9D9"/>
          </w:tcPr>
          <w:p>
            <w:pPr>
              <w:pStyle w:val="TableParagraph"/>
              <w:ind w:right="58"/>
              <w:rPr>
                <w:rFonts w:ascii="Carlito"/>
                <w:sz w:val="16"/>
              </w:rPr>
            </w:pPr>
            <w:r>
              <w:rPr>
                <w:rFonts w:ascii="Carlito"/>
                <w:sz w:val="16"/>
              </w:rPr>
              <w:t>0</w:t>
            </w:r>
          </w:p>
        </w:tc>
      </w:tr>
    </w:tbl>
    <w:p>
      <w:pPr>
        <w:spacing w:after="0"/>
        <w:rPr>
          <w:rFonts w:ascii="Carlito"/>
          <w:sz w:val="16"/>
        </w:rPr>
        <w:sectPr>
          <w:pgSz w:w="15840" w:h="12240" w:orient="landscape"/>
          <w:pgMar w:header="0" w:footer="982" w:top="1140" w:bottom="1180" w:left="1340" w:right="1320"/>
        </w:sectPr>
      </w:pPr>
    </w:p>
    <w:p>
      <w:pPr>
        <w:pStyle w:val="BodyText"/>
        <w:rPr>
          <w:b/>
          <w:sz w:val="20"/>
        </w:rPr>
      </w:pPr>
    </w:p>
    <w:p>
      <w:pPr>
        <w:pStyle w:val="BodyText"/>
        <w:spacing w:before="10"/>
        <w:rPr>
          <w:b/>
          <w:sz w:val="16"/>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56"/>
        <w:gridCol w:w="1958"/>
        <w:gridCol w:w="575"/>
        <w:gridCol w:w="1358"/>
        <w:gridCol w:w="1061"/>
        <w:gridCol w:w="1126"/>
        <w:gridCol w:w="783"/>
        <w:gridCol w:w="745"/>
        <w:gridCol w:w="856"/>
        <w:gridCol w:w="1210"/>
        <w:gridCol w:w="1180"/>
        <w:gridCol w:w="826"/>
        <w:gridCol w:w="530"/>
      </w:tblGrid>
      <w:tr>
        <w:trPr>
          <w:trHeight w:val="163" w:hRule="atLeast"/>
        </w:trPr>
        <w:tc>
          <w:tcPr>
            <w:tcW w:w="756" w:type="dxa"/>
          </w:tcPr>
          <w:p>
            <w:pPr>
              <w:pStyle w:val="TableParagraph"/>
              <w:spacing w:line="144" w:lineRule="exact" w:before="0"/>
              <w:ind w:right="143"/>
              <w:rPr>
                <w:rFonts w:ascii="Carlito"/>
                <w:sz w:val="16"/>
              </w:rPr>
            </w:pPr>
            <w:r>
              <w:rPr>
                <w:rFonts w:ascii="Carlito"/>
                <w:sz w:val="16"/>
              </w:rPr>
              <w:t>188</w:t>
            </w:r>
          </w:p>
        </w:tc>
        <w:tc>
          <w:tcPr>
            <w:tcW w:w="1958" w:type="dxa"/>
          </w:tcPr>
          <w:p>
            <w:pPr>
              <w:pStyle w:val="TableParagraph"/>
              <w:spacing w:line="144" w:lineRule="exact" w:before="0"/>
              <w:ind w:left="143"/>
              <w:jc w:val="left"/>
              <w:rPr>
                <w:rFonts w:ascii="Carlito"/>
                <w:sz w:val="16"/>
              </w:rPr>
            </w:pPr>
            <w:r>
              <w:rPr>
                <w:rFonts w:ascii="Carlito"/>
                <w:sz w:val="16"/>
              </w:rPr>
              <w:t>Pinares</w:t>
            </w:r>
          </w:p>
        </w:tc>
        <w:tc>
          <w:tcPr>
            <w:tcW w:w="575" w:type="dxa"/>
          </w:tcPr>
          <w:p>
            <w:pPr>
              <w:pStyle w:val="TableParagraph"/>
              <w:spacing w:line="144" w:lineRule="exact" w:before="0"/>
              <w:ind w:right="69"/>
              <w:rPr>
                <w:rFonts w:ascii="Carlito"/>
                <w:sz w:val="16"/>
              </w:rPr>
            </w:pPr>
            <w:r>
              <w:rPr>
                <w:rFonts w:ascii="Carlito"/>
                <w:sz w:val="16"/>
              </w:rPr>
              <w:t>1</w:t>
            </w:r>
          </w:p>
        </w:tc>
        <w:tc>
          <w:tcPr>
            <w:tcW w:w="1358" w:type="dxa"/>
          </w:tcPr>
          <w:p>
            <w:pPr>
              <w:pStyle w:val="TableParagraph"/>
              <w:spacing w:line="144" w:lineRule="exact" w:before="0"/>
              <w:ind w:right="355"/>
              <w:rPr>
                <w:rFonts w:ascii="Carlito"/>
                <w:sz w:val="16"/>
              </w:rPr>
            </w:pPr>
            <w:r>
              <w:rPr>
                <w:rFonts w:ascii="Carlito"/>
                <w:sz w:val="16"/>
              </w:rPr>
              <w:t>$215,000.00</w:t>
            </w:r>
          </w:p>
        </w:tc>
        <w:tc>
          <w:tcPr>
            <w:tcW w:w="1061" w:type="dxa"/>
          </w:tcPr>
          <w:p>
            <w:pPr>
              <w:pStyle w:val="TableParagraph"/>
              <w:spacing w:line="144" w:lineRule="exact" w:before="0"/>
              <w:ind w:right="341"/>
              <w:rPr>
                <w:rFonts w:ascii="Carlito"/>
                <w:sz w:val="16"/>
              </w:rPr>
            </w:pPr>
            <w:r>
              <w:rPr>
                <w:rFonts w:ascii="Carlito"/>
                <w:sz w:val="16"/>
              </w:rPr>
              <w:t>170</w:t>
            </w:r>
          </w:p>
        </w:tc>
        <w:tc>
          <w:tcPr>
            <w:tcW w:w="1126" w:type="dxa"/>
          </w:tcPr>
          <w:p>
            <w:pPr>
              <w:pStyle w:val="TableParagraph"/>
              <w:spacing w:line="144" w:lineRule="exact" w:before="0"/>
              <w:ind w:left="318" w:right="440"/>
              <w:jc w:val="center"/>
              <w:rPr>
                <w:rFonts w:ascii="Carlito"/>
                <w:sz w:val="16"/>
              </w:rPr>
            </w:pPr>
            <w:r>
              <w:rPr>
                <w:rFonts w:ascii="Carlito"/>
                <w:sz w:val="16"/>
              </w:rPr>
              <w:t>2006</w:t>
            </w:r>
          </w:p>
        </w:tc>
        <w:tc>
          <w:tcPr>
            <w:tcW w:w="783" w:type="dxa"/>
          </w:tcPr>
          <w:p>
            <w:pPr>
              <w:pStyle w:val="TableParagraph"/>
              <w:spacing w:line="144" w:lineRule="exact" w:before="0"/>
              <w:ind w:right="236"/>
              <w:rPr>
                <w:rFonts w:ascii="Carlito"/>
                <w:sz w:val="16"/>
              </w:rPr>
            </w:pPr>
            <w:r>
              <w:rPr>
                <w:rFonts w:ascii="Carlito"/>
                <w:sz w:val="16"/>
              </w:rPr>
              <w:t>3</w:t>
            </w:r>
          </w:p>
        </w:tc>
        <w:tc>
          <w:tcPr>
            <w:tcW w:w="745" w:type="dxa"/>
          </w:tcPr>
          <w:p>
            <w:pPr>
              <w:pStyle w:val="TableParagraph"/>
              <w:spacing w:line="144" w:lineRule="exact" w:before="0"/>
              <w:ind w:right="305"/>
              <w:rPr>
                <w:rFonts w:ascii="Carlito"/>
                <w:sz w:val="16"/>
              </w:rPr>
            </w:pPr>
            <w:r>
              <w:rPr>
                <w:rFonts w:ascii="Carlito"/>
                <w:sz w:val="16"/>
              </w:rPr>
              <w:t>2.5</w:t>
            </w:r>
          </w:p>
        </w:tc>
        <w:tc>
          <w:tcPr>
            <w:tcW w:w="856" w:type="dxa"/>
          </w:tcPr>
          <w:p>
            <w:pPr>
              <w:pStyle w:val="TableParagraph"/>
              <w:spacing w:line="144" w:lineRule="exact" w:before="0"/>
              <w:ind w:left="300"/>
              <w:jc w:val="left"/>
              <w:rPr>
                <w:rFonts w:ascii="Carlito"/>
                <w:sz w:val="16"/>
              </w:rPr>
            </w:pPr>
            <w:r>
              <w:rPr>
                <w:rFonts w:ascii="Carlito"/>
                <w:sz w:val="16"/>
              </w:rPr>
              <w:t>2</w:t>
            </w:r>
          </w:p>
        </w:tc>
        <w:tc>
          <w:tcPr>
            <w:tcW w:w="1210" w:type="dxa"/>
          </w:tcPr>
          <w:p>
            <w:pPr>
              <w:pStyle w:val="TableParagraph"/>
              <w:spacing w:line="144" w:lineRule="exact" w:before="0"/>
              <w:ind w:right="534"/>
              <w:rPr>
                <w:rFonts w:ascii="Carlito"/>
                <w:sz w:val="16"/>
              </w:rPr>
            </w:pPr>
            <w:r>
              <w:rPr>
                <w:rFonts w:ascii="Carlito"/>
                <w:sz w:val="16"/>
              </w:rPr>
              <w:t>7.7</w:t>
            </w:r>
          </w:p>
        </w:tc>
        <w:tc>
          <w:tcPr>
            <w:tcW w:w="1180" w:type="dxa"/>
          </w:tcPr>
          <w:p>
            <w:pPr>
              <w:pStyle w:val="TableParagraph"/>
              <w:spacing w:line="144" w:lineRule="exact" w:before="0"/>
              <w:ind w:right="366"/>
              <w:rPr>
                <w:rFonts w:ascii="Carlito"/>
                <w:sz w:val="16"/>
              </w:rPr>
            </w:pPr>
            <w:r>
              <w:rPr>
                <w:rFonts w:ascii="Carlito"/>
                <w:sz w:val="16"/>
              </w:rPr>
              <w:t>2.6</w:t>
            </w:r>
          </w:p>
        </w:tc>
        <w:tc>
          <w:tcPr>
            <w:tcW w:w="826" w:type="dxa"/>
          </w:tcPr>
          <w:p>
            <w:pPr>
              <w:pStyle w:val="TableParagraph"/>
              <w:spacing w:line="144" w:lineRule="exact" w:before="0"/>
              <w:ind w:right="380"/>
              <w:rPr>
                <w:rFonts w:ascii="Carlito"/>
                <w:sz w:val="16"/>
              </w:rPr>
            </w:pPr>
            <w:r>
              <w:rPr>
                <w:rFonts w:ascii="Carlito"/>
                <w:sz w:val="16"/>
              </w:rPr>
              <w:t>0</w:t>
            </w:r>
          </w:p>
        </w:tc>
        <w:tc>
          <w:tcPr>
            <w:tcW w:w="530" w:type="dxa"/>
          </w:tcPr>
          <w:p>
            <w:pPr>
              <w:pStyle w:val="TableParagraph"/>
              <w:spacing w:line="144" w:lineRule="exact" w:before="0"/>
              <w:ind w:right="66"/>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189</w:t>
            </w:r>
          </w:p>
        </w:tc>
        <w:tc>
          <w:tcPr>
            <w:tcW w:w="1958" w:type="dxa"/>
            <w:shd w:val="clear" w:color="auto" w:fill="D9D9D9"/>
          </w:tcPr>
          <w:p>
            <w:pPr>
              <w:pStyle w:val="TableParagraph"/>
              <w:ind w:left="143"/>
              <w:jc w:val="left"/>
              <w:rPr>
                <w:rFonts w:ascii="Carlito"/>
                <w:sz w:val="16"/>
              </w:rPr>
            </w:pPr>
            <w:r>
              <w:rPr>
                <w:rFonts w:ascii="Carlito"/>
                <w:sz w:val="16"/>
              </w:rPr>
              <w:t>Curridabat</w:t>
            </w:r>
          </w:p>
        </w:tc>
        <w:tc>
          <w:tcPr>
            <w:tcW w:w="575" w:type="dxa"/>
            <w:shd w:val="clear" w:color="auto" w:fill="D9D9D9"/>
          </w:tcPr>
          <w:p>
            <w:pPr>
              <w:pStyle w:val="TableParagraph"/>
              <w:ind w:right="69"/>
              <w:rPr>
                <w:rFonts w:ascii="Carlito"/>
                <w:sz w:val="16"/>
              </w:rPr>
            </w:pPr>
            <w:r>
              <w:rPr>
                <w:rFonts w:ascii="Carlito"/>
                <w:sz w:val="16"/>
              </w:rPr>
              <w:t>1</w:t>
            </w:r>
          </w:p>
        </w:tc>
        <w:tc>
          <w:tcPr>
            <w:tcW w:w="1358" w:type="dxa"/>
            <w:shd w:val="clear" w:color="auto" w:fill="D9D9D9"/>
          </w:tcPr>
          <w:p>
            <w:pPr>
              <w:pStyle w:val="TableParagraph"/>
              <w:ind w:right="355"/>
              <w:rPr>
                <w:rFonts w:ascii="Carlito"/>
                <w:sz w:val="16"/>
              </w:rPr>
            </w:pPr>
            <w:r>
              <w:rPr>
                <w:rFonts w:ascii="Carlito"/>
                <w:sz w:val="16"/>
              </w:rPr>
              <w:t>$189,000.00</w:t>
            </w:r>
          </w:p>
        </w:tc>
        <w:tc>
          <w:tcPr>
            <w:tcW w:w="1061" w:type="dxa"/>
            <w:shd w:val="clear" w:color="auto" w:fill="D9D9D9"/>
          </w:tcPr>
          <w:p>
            <w:pPr>
              <w:pStyle w:val="TableParagraph"/>
              <w:ind w:right="341"/>
              <w:rPr>
                <w:rFonts w:ascii="Carlito"/>
                <w:sz w:val="16"/>
              </w:rPr>
            </w:pPr>
            <w:r>
              <w:rPr>
                <w:rFonts w:ascii="Carlito"/>
                <w:sz w:val="16"/>
              </w:rPr>
              <w:t>185</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3" w:type="dxa"/>
            <w:shd w:val="clear" w:color="auto" w:fill="D9D9D9"/>
          </w:tcPr>
          <w:p>
            <w:pPr>
              <w:pStyle w:val="TableParagraph"/>
              <w:ind w:right="236"/>
              <w:rPr>
                <w:rFonts w:ascii="Carlito"/>
                <w:sz w:val="16"/>
              </w:rPr>
            </w:pPr>
            <w:r>
              <w:rPr>
                <w:rFonts w:ascii="Carlito"/>
                <w:sz w:val="16"/>
              </w:rPr>
              <w:t>3</w:t>
            </w:r>
          </w:p>
        </w:tc>
        <w:tc>
          <w:tcPr>
            <w:tcW w:w="745" w:type="dxa"/>
            <w:shd w:val="clear" w:color="auto" w:fill="D9D9D9"/>
          </w:tcPr>
          <w:p>
            <w:pPr>
              <w:pStyle w:val="TableParagraph"/>
              <w:ind w:right="300"/>
              <w:rPr>
                <w:rFonts w:ascii="Carlito"/>
                <w:sz w:val="16"/>
              </w:rPr>
            </w:pPr>
            <w:r>
              <w:rPr>
                <w:rFonts w:ascii="Carlito"/>
                <w:sz w:val="16"/>
              </w:rPr>
              <w:t>3</w:t>
            </w:r>
          </w:p>
        </w:tc>
        <w:tc>
          <w:tcPr>
            <w:tcW w:w="856" w:type="dxa"/>
            <w:shd w:val="clear" w:color="auto" w:fill="D9D9D9"/>
          </w:tcPr>
          <w:p>
            <w:pPr>
              <w:pStyle w:val="TableParagraph"/>
              <w:ind w:left="300"/>
              <w:jc w:val="left"/>
              <w:rPr>
                <w:rFonts w:ascii="Carlito"/>
                <w:sz w:val="16"/>
              </w:rPr>
            </w:pPr>
            <w:r>
              <w:rPr>
                <w:rFonts w:ascii="Carlito"/>
                <w:sz w:val="16"/>
              </w:rPr>
              <w:t>2</w:t>
            </w:r>
          </w:p>
        </w:tc>
        <w:tc>
          <w:tcPr>
            <w:tcW w:w="1210" w:type="dxa"/>
            <w:shd w:val="clear" w:color="auto" w:fill="D9D9D9"/>
          </w:tcPr>
          <w:p>
            <w:pPr>
              <w:pStyle w:val="TableParagraph"/>
              <w:ind w:right="534"/>
              <w:rPr>
                <w:rFonts w:ascii="Carlito"/>
                <w:sz w:val="16"/>
              </w:rPr>
            </w:pPr>
            <w:r>
              <w:rPr>
                <w:rFonts w:ascii="Carlito"/>
                <w:sz w:val="16"/>
              </w:rPr>
              <w:t>5.7</w:t>
            </w:r>
          </w:p>
        </w:tc>
        <w:tc>
          <w:tcPr>
            <w:tcW w:w="1180" w:type="dxa"/>
            <w:shd w:val="clear" w:color="auto" w:fill="D9D9D9"/>
          </w:tcPr>
          <w:p>
            <w:pPr>
              <w:pStyle w:val="TableParagraph"/>
              <w:ind w:right="366"/>
              <w:rPr>
                <w:rFonts w:ascii="Carlito"/>
                <w:sz w:val="16"/>
              </w:rPr>
            </w:pPr>
            <w:r>
              <w:rPr>
                <w:rFonts w:ascii="Carlito"/>
                <w:sz w:val="16"/>
              </w:rPr>
              <w:t>3.2</w:t>
            </w:r>
          </w:p>
        </w:tc>
        <w:tc>
          <w:tcPr>
            <w:tcW w:w="826" w:type="dxa"/>
            <w:shd w:val="clear" w:color="auto" w:fill="D9D9D9"/>
          </w:tcPr>
          <w:p>
            <w:pPr>
              <w:pStyle w:val="TableParagraph"/>
              <w:ind w:right="380"/>
              <w:rPr>
                <w:rFonts w:ascii="Carlito"/>
                <w:sz w:val="16"/>
              </w:rPr>
            </w:pPr>
            <w:r>
              <w:rPr>
                <w:rFonts w:ascii="Carlito"/>
                <w:sz w:val="16"/>
              </w:rPr>
              <w:t>0</w:t>
            </w:r>
          </w:p>
        </w:tc>
        <w:tc>
          <w:tcPr>
            <w:tcW w:w="530" w:type="dxa"/>
            <w:shd w:val="clear" w:color="auto" w:fill="D9D9D9"/>
          </w:tcPr>
          <w:p>
            <w:pPr>
              <w:pStyle w:val="TableParagraph"/>
              <w:ind w:right="66"/>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190</w:t>
            </w:r>
          </w:p>
        </w:tc>
        <w:tc>
          <w:tcPr>
            <w:tcW w:w="1958" w:type="dxa"/>
          </w:tcPr>
          <w:p>
            <w:pPr>
              <w:pStyle w:val="TableParagraph"/>
              <w:ind w:left="143"/>
              <w:jc w:val="left"/>
              <w:rPr>
                <w:rFonts w:ascii="Carlito"/>
                <w:sz w:val="16"/>
              </w:rPr>
            </w:pPr>
            <w:r>
              <w:rPr>
                <w:rFonts w:ascii="Carlito"/>
                <w:sz w:val="16"/>
              </w:rPr>
              <w:t>Curridabat</w:t>
            </w:r>
          </w:p>
        </w:tc>
        <w:tc>
          <w:tcPr>
            <w:tcW w:w="575" w:type="dxa"/>
          </w:tcPr>
          <w:p>
            <w:pPr>
              <w:pStyle w:val="TableParagraph"/>
              <w:ind w:right="69"/>
              <w:rPr>
                <w:rFonts w:ascii="Carlito"/>
                <w:sz w:val="16"/>
              </w:rPr>
            </w:pPr>
            <w:r>
              <w:rPr>
                <w:rFonts w:ascii="Carlito"/>
                <w:sz w:val="16"/>
              </w:rPr>
              <w:t>0</w:t>
            </w:r>
          </w:p>
        </w:tc>
        <w:tc>
          <w:tcPr>
            <w:tcW w:w="1358" w:type="dxa"/>
          </w:tcPr>
          <w:p>
            <w:pPr>
              <w:pStyle w:val="TableParagraph"/>
              <w:ind w:right="355"/>
              <w:rPr>
                <w:rFonts w:ascii="Carlito"/>
                <w:sz w:val="16"/>
              </w:rPr>
            </w:pPr>
            <w:r>
              <w:rPr>
                <w:rFonts w:ascii="Carlito"/>
                <w:sz w:val="16"/>
              </w:rPr>
              <w:t>$380,000.00</w:t>
            </w:r>
          </w:p>
        </w:tc>
        <w:tc>
          <w:tcPr>
            <w:tcW w:w="1061" w:type="dxa"/>
          </w:tcPr>
          <w:p>
            <w:pPr>
              <w:pStyle w:val="TableParagraph"/>
              <w:ind w:right="341"/>
              <w:rPr>
                <w:rFonts w:ascii="Carlito"/>
                <w:sz w:val="16"/>
              </w:rPr>
            </w:pPr>
            <w:r>
              <w:rPr>
                <w:rFonts w:ascii="Carlito"/>
                <w:sz w:val="16"/>
              </w:rPr>
              <w:t>290</w:t>
            </w:r>
          </w:p>
        </w:tc>
        <w:tc>
          <w:tcPr>
            <w:tcW w:w="1126" w:type="dxa"/>
          </w:tcPr>
          <w:p>
            <w:pPr>
              <w:pStyle w:val="TableParagraph"/>
              <w:ind w:left="318" w:right="440"/>
              <w:jc w:val="center"/>
              <w:rPr>
                <w:rFonts w:ascii="Carlito"/>
                <w:sz w:val="16"/>
              </w:rPr>
            </w:pPr>
            <w:r>
              <w:rPr>
                <w:rFonts w:ascii="Carlito"/>
                <w:sz w:val="16"/>
              </w:rPr>
              <w:t>2006</w:t>
            </w:r>
          </w:p>
        </w:tc>
        <w:tc>
          <w:tcPr>
            <w:tcW w:w="783" w:type="dxa"/>
          </w:tcPr>
          <w:p>
            <w:pPr>
              <w:pStyle w:val="TableParagraph"/>
              <w:ind w:right="236"/>
              <w:rPr>
                <w:rFonts w:ascii="Carlito"/>
                <w:sz w:val="16"/>
              </w:rPr>
            </w:pPr>
            <w:r>
              <w:rPr>
                <w:rFonts w:ascii="Carlito"/>
                <w:sz w:val="16"/>
              </w:rPr>
              <w:t>4</w:t>
            </w:r>
          </w:p>
        </w:tc>
        <w:tc>
          <w:tcPr>
            <w:tcW w:w="745" w:type="dxa"/>
          </w:tcPr>
          <w:p>
            <w:pPr>
              <w:pStyle w:val="TableParagraph"/>
              <w:ind w:right="305"/>
              <w:rPr>
                <w:rFonts w:ascii="Carlito"/>
                <w:sz w:val="16"/>
              </w:rPr>
            </w:pPr>
            <w:r>
              <w:rPr>
                <w:rFonts w:ascii="Carlito"/>
                <w:sz w:val="16"/>
              </w:rPr>
              <w:t>4.5</w:t>
            </w:r>
          </w:p>
        </w:tc>
        <w:tc>
          <w:tcPr>
            <w:tcW w:w="856" w:type="dxa"/>
          </w:tcPr>
          <w:p>
            <w:pPr>
              <w:pStyle w:val="TableParagraph"/>
              <w:ind w:left="300"/>
              <w:jc w:val="left"/>
              <w:rPr>
                <w:rFonts w:ascii="Carlito"/>
                <w:sz w:val="16"/>
              </w:rPr>
            </w:pPr>
            <w:r>
              <w:rPr>
                <w:rFonts w:ascii="Carlito"/>
                <w:sz w:val="16"/>
              </w:rPr>
              <w:t>2</w:t>
            </w:r>
          </w:p>
        </w:tc>
        <w:tc>
          <w:tcPr>
            <w:tcW w:w="1210" w:type="dxa"/>
          </w:tcPr>
          <w:p>
            <w:pPr>
              <w:pStyle w:val="TableParagraph"/>
              <w:ind w:right="534"/>
              <w:rPr>
                <w:rFonts w:ascii="Carlito"/>
                <w:sz w:val="16"/>
              </w:rPr>
            </w:pPr>
            <w:r>
              <w:rPr>
                <w:rFonts w:ascii="Carlito"/>
                <w:sz w:val="16"/>
              </w:rPr>
              <w:t>5.7</w:t>
            </w:r>
          </w:p>
        </w:tc>
        <w:tc>
          <w:tcPr>
            <w:tcW w:w="1180" w:type="dxa"/>
          </w:tcPr>
          <w:p>
            <w:pPr>
              <w:pStyle w:val="TableParagraph"/>
              <w:ind w:right="366"/>
              <w:rPr>
                <w:rFonts w:ascii="Carlito"/>
                <w:sz w:val="16"/>
              </w:rPr>
            </w:pPr>
            <w:r>
              <w:rPr>
                <w:rFonts w:ascii="Carlito"/>
                <w:sz w:val="16"/>
              </w:rPr>
              <w:t>3.2</w:t>
            </w:r>
          </w:p>
        </w:tc>
        <w:tc>
          <w:tcPr>
            <w:tcW w:w="826" w:type="dxa"/>
          </w:tcPr>
          <w:p>
            <w:pPr>
              <w:pStyle w:val="TableParagraph"/>
              <w:ind w:right="380"/>
              <w:rPr>
                <w:rFonts w:ascii="Carlito"/>
                <w:sz w:val="16"/>
              </w:rPr>
            </w:pPr>
            <w:r>
              <w:rPr>
                <w:rFonts w:ascii="Carlito"/>
                <w:sz w:val="16"/>
              </w:rPr>
              <w:t>0</w:t>
            </w:r>
          </w:p>
        </w:tc>
        <w:tc>
          <w:tcPr>
            <w:tcW w:w="530" w:type="dxa"/>
          </w:tcPr>
          <w:p>
            <w:pPr>
              <w:pStyle w:val="TableParagraph"/>
              <w:ind w:right="66"/>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191</w:t>
            </w:r>
          </w:p>
        </w:tc>
        <w:tc>
          <w:tcPr>
            <w:tcW w:w="1958" w:type="dxa"/>
            <w:shd w:val="clear" w:color="auto" w:fill="D9D9D9"/>
          </w:tcPr>
          <w:p>
            <w:pPr>
              <w:pStyle w:val="TableParagraph"/>
              <w:spacing w:before="92"/>
              <w:ind w:left="143"/>
              <w:jc w:val="left"/>
              <w:rPr>
                <w:rFonts w:ascii="Carlito"/>
                <w:sz w:val="16"/>
              </w:rPr>
            </w:pPr>
            <w:r>
              <w:rPr>
                <w:rFonts w:ascii="Carlito"/>
                <w:sz w:val="16"/>
              </w:rPr>
              <w:t>Cipreses</w:t>
            </w:r>
          </w:p>
        </w:tc>
        <w:tc>
          <w:tcPr>
            <w:tcW w:w="575" w:type="dxa"/>
            <w:shd w:val="clear" w:color="auto" w:fill="D9D9D9"/>
          </w:tcPr>
          <w:p>
            <w:pPr>
              <w:pStyle w:val="TableParagraph"/>
              <w:spacing w:before="92"/>
              <w:ind w:right="69"/>
              <w:rPr>
                <w:rFonts w:ascii="Carlito"/>
                <w:sz w:val="16"/>
              </w:rPr>
            </w:pPr>
            <w:r>
              <w:rPr>
                <w:rFonts w:ascii="Carlito"/>
                <w:sz w:val="16"/>
              </w:rPr>
              <w:t>0</w:t>
            </w:r>
          </w:p>
        </w:tc>
        <w:tc>
          <w:tcPr>
            <w:tcW w:w="1358" w:type="dxa"/>
            <w:shd w:val="clear" w:color="auto" w:fill="D9D9D9"/>
          </w:tcPr>
          <w:p>
            <w:pPr>
              <w:pStyle w:val="TableParagraph"/>
              <w:spacing w:before="92"/>
              <w:ind w:right="355"/>
              <w:rPr>
                <w:rFonts w:ascii="Carlito"/>
                <w:sz w:val="16"/>
              </w:rPr>
            </w:pPr>
            <w:r>
              <w:rPr>
                <w:rFonts w:ascii="Carlito"/>
                <w:sz w:val="16"/>
              </w:rPr>
              <w:t>$215,000.00</w:t>
            </w:r>
          </w:p>
        </w:tc>
        <w:tc>
          <w:tcPr>
            <w:tcW w:w="1061" w:type="dxa"/>
            <w:shd w:val="clear" w:color="auto" w:fill="D9D9D9"/>
          </w:tcPr>
          <w:p>
            <w:pPr>
              <w:pStyle w:val="TableParagraph"/>
              <w:spacing w:before="92"/>
              <w:ind w:right="341"/>
              <w:rPr>
                <w:rFonts w:ascii="Carlito"/>
                <w:sz w:val="16"/>
              </w:rPr>
            </w:pPr>
            <w:r>
              <w:rPr>
                <w:rFonts w:ascii="Carlito"/>
                <w:sz w:val="16"/>
              </w:rPr>
              <w:t>190</w:t>
            </w:r>
          </w:p>
        </w:tc>
        <w:tc>
          <w:tcPr>
            <w:tcW w:w="1126" w:type="dxa"/>
            <w:shd w:val="clear" w:color="auto" w:fill="D9D9D9"/>
          </w:tcPr>
          <w:p>
            <w:pPr>
              <w:pStyle w:val="TableParagraph"/>
              <w:spacing w:before="92"/>
              <w:ind w:left="318" w:right="440"/>
              <w:jc w:val="center"/>
              <w:rPr>
                <w:rFonts w:ascii="Carlito"/>
                <w:sz w:val="16"/>
              </w:rPr>
            </w:pPr>
            <w:r>
              <w:rPr>
                <w:rFonts w:ascii="Carlito"/>
                <w:sz w:val="16"/>
              </w:rPr>
              <w:t>2005</w:t>
            </w:r>
          </w:p>
        </w:tc>
        <w:tc>
          <w:tcPr>
            <w:tcW w:w="783" w:type="dxa"/>
            <w:shd w:val="clear" w:color="auto" w:fill="D9D9D9"/>
          </w:tcPr>
          <w:p>
            <w:pPr>
              <w:pStyle w:val="TableParagraph"/>
              <w:spacing w:before="92"/>
              <w:ind w:right="236"/>
              <w:rPr>
                <w:rFonts w:ascii="Carlito"/>
                <w:sz w:val="16"/>
              </w:rPr>
            </w:pPr>
            <w:r>
              <w:rPr>
                <w:rFonts w:ascii="Carlito"/>
                <w:sz w:val="16"/>
              </w:rPr>
              <w:t>3</w:t>
            </w:r>
          </w:p>
        </w:tc>
        <w:tc>
          <w:tcPr>
            <w:tcW w:w="745" w:type="dxa"/>
            <w:shd w:val="clear" w:color="auto" w:fill="D9D9D9"/>
          </w:tcPr>
          <w:p>
            <w:pPr>
              <w:pStyle w:val="TableParagraph"/>
              <w:spacing w:before="92"/>
              <w:ind w:right="305"/>
              <w:rPr>
                <w:rFonts w:ascii="Carlito"/>
                <w:sz w:val="16"/>
              </w:rPr>
            </w:pPr>
            <w:r>
              <w:rPr>
                <w:rFonts w:ascii="Carlito"/>
                <w:sz w:val="16"/>
              </w:rPr>
              <w:t>2.5</w:t>
            </w:r>
          </w:p>
        </w:tc>
        <w:tc>
          <w:tcPr>
            <w:tcW w:w="856" w:type="dxa"/>
            <w:shd w:val="clear" w:color="auto" w:fill="D9D9D9"/>
          </w:tcPr>
          <w:p>
            <w:pPr>
              <w:pStyle w:val="TableParagraph"/>
              <w:spacing w:before="92"/>
              <w:ind w:left="300"/>
              <w:jc w:val="left"/>
              <w:rPr>
                <w:rFonts w:ascii="Carlito"/>
                <w:sz w:val="16"/>
              </w:rPr>
            </w:pPr>
            <w:r>
              <w:rPr>
                <w:rFonts w:ascii="Carlito"/>
                <w:sz w:val="16"/>
              </w:rPr>
              <w:t>2</w:t>
            </w:r>
          </w:p>
        </w:tc>
        <w:tc>
          <w:tcPr>
            <w:tcW w:w="1210" w:type="dxa"/>
            <w:shd w:val="clear" w:color="auto" w:fill="D9D9D9"/>
          </w:tcPr>
          <w:p>
            <w:pPr>
              <w:pStyle w:val="TableParagraph"/>
              <w:spacing w:before="92"/>
              <w:ind w:right="534"/>
              <w:rPr>
                <w:rFonts w:ascii="Carlito"/>
                <w:sz w:val="16"/>
              </w:rPr>
            </w:pPr>
            <w:r>
              <w:rPr>
                <w:rFonts w:ascii="Carlito"/>
                <w:sz w:val="16"/>
              </w:rPr>
              <w:t>6.9</w:t>
            </w:r>
          </w:p>
        </w:tc>
        <w:tc>
          <w:tcPr>
            <w:tcW w:w="1180" w:type="dxa"/>
            <w:shd w:val="clear" w:color="auto" w:fill="D9D9D9"/>
          </w:tcPr>
          <w:p>
            <w:pPr>
              <w:pStyle w:val="TableParagraph"/>
              <w:spacing w:before="92"/>
              <w:ind w:right="366"/>
              <w:rPr>
                <w:rFonts w:ascii="Carlito"/>
                <w:sz w:val="16"/>
              </w:rPr>
            </w:pPr>
            <w:r>
              <w:rPr>
                <w:rFonts w:ascii="Carlito"/>
                <w:sz w:val="16"/>
              </w:rPr>
              <w:t>4.4</w:t>
            </w:r>
          </w:p>
        </w:tc>
        <w:tc>
          <w:tcPr>
            <w:tcW w:w="826" w:type="dxa"/>
            <w:shd w:val="clear" w:color="auto" w:fill="D9D9D9"/>
          </w:tcPr>
          <w:p>
            <w:pPr>
              <w:pStyle w:val="TableParagraph"/>
              <w:spacing w:before="92"/>
              <w:ind w:right="380"/>
              <w:rPr>
                <w:rFonts w:ascii="Carlito"/>
                <w:sz w:val="16"/>
              </w:rPr>
            </w:pPr>
            <w:r>
              <w:rPr>
                <w:rFonts w:ascii="Carlito"/>
                <w:sz w:val="16"/>
              </w:rPr>
              <w:t>0</w:t>
            </w:r>
          </w:p>
        </w:tc>
        <w:tc>
          <w:tcPr>
            <w:tcW w:w="530" w:type="dxa"/>
            <w:shd w:val="clear" w:color="auto" w:fill="D9D9D9"/>
          </w:tcPr>
          <w:p>
            <w:pPr>
              <w:pStyle w:val="TableParagraph"/>
              <w:spacing w:before="92"/>
              <w:ind w:right="66"/>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192</w:t>
            </w:r>
          </w:p>
        </w:tc>
        <w:tc>
          <w:tcPr>
            <w:tcW w:w="1958" w:type="dxa"/>
          </w:tcPr>
          <w:p>
            <w:pPr>
              <w:pStyle w:val="TableParagraph"/>
              <w:ind w:left="143"/>
              <w:jc w:val="left"/>
              <w:rPr>
                <w:rFonts w:ascii="Carlito"/>
                <w:sz w:val="16"/>
              </w:rPr>
            </w:pPr>
            <w:r>
              <w:rPr>
                <w:rFonts w:ascii="Carlito"/>
                <w:sz w:val="16"/>
              </w:rPr>
              <w:t>Curridabat</w:t>
            </w:r>
          </w:p>
        </w:tc>
        <w:tc>
          <w:tcPr>
            <w:tcW w:w="575" w:type="dxa"/>
          </w:tcPr>
          <w:p>
            <w:pPr>
              <w:pStyle w:val="TableParagraph"/>
              <w:ind w:right="69"/>
              <w:rPr>
                <w:rFonts w:ascii="Carlito"/>
                <w:sz w:val="16"/>
              </w:rPr>
            </w:pPr>
            <w:r>
              <w:rPr>
                <w:rFonts w:ascii="Carlito"/>
                <w:sz w:val="16"/>
              </w:rPr>
              <w:t>0</w:t>
            </w:r>
          </w:p>
        </w:tc>
        <w:tc>
          <w:tcPr>
            <w:tcW w:w="1358" w:type="dxa"/>
          </w:tcPr>
          <w:p>
            <w:pPr>
              <w:pStyle w:val="TableParagraph"/>
              <w:ind w:right="355"/>
              <w:rPr>
                <w:rFonts w:ascii="Carlito"/>
                <w:sz w:val="16"/>
              </w:rPr>
            </w:pPr>
            <w:r>
              <w:rPr>
                <w:rFonts w:ascii="Carlito"/>
                <w:sz w:val="16"/>
              </w:rPr>
              <w:t>$850,000.00</w:t>
            </w:r>
          </w:p>
        </w:tc>
        <w:tc>
          <w:tcPr>
            <w:tcW w:w="1061" w:type="dxa"/>
          </w:tcPr>
          <w:p>
            <w:pPr>
              <w:pStyle w:val="TableParagraph"/>
              <w:ind w:right="341"/>
              <w:rPr>
                <w:rFonts w:ascii="Carlito"/>
                <w:sz w:val="16"/>
              </w:rPr>
            </w:pPr>
            <w:r>
              <w:rPr>
                <w:rFonts w:ascii="Carlito"/>
                <w:sz w:val="16"/>
              </w:rPr>
              <w:t>650</w:t>
            </w:r>
          </w:p>
        </w:tc>
        <w:tc>
          <w:tcPr>
            <w:tcW w:w="1126" w:type="dxa"/>
          </w:tcPr>
          <w:p>
            <w:pPr>
              <w:pStyle w:val="TableParagraph"/>
              <w:ind w:left="318" w:right="440"/>
              <w:jc w:val="center"/>
              <w:rPr>
                <w:rFonts w:ascii="Carlito"/>
                <w:sz w:val="16"/>
              </w:rPr>
            </w:pPr>
            <w:r>
              <w:rPr>
                <w:rFonts w:ascii="Carlito"/>
                <w:sz w:val="16"/>
              </w:rPr>
              <w:t>2006</w:t>
            </w:r>
          </w:p>
        </w:tc>
        <w:tc>
          <w:tcPr>
            <w:tcW w:w="783" w:type="dxa"/>
          </w:tcPr>
          <w:p>
            <w:pPr>
              <w:pStyle w:val="TableParagraph"/>
              <w:ind w:right="236"/>
              <w:rPr>
                <w:rFonts w:ascii="Carlito"/>
                <w:sz w:val="16"/>
              </w:rPr>
            </w:pPr>
            <w:r>
              <w:rPr>
                <w:rFonts w:ascii="Carlito"/>
                <w:sz w:val="16"/>
              </w:rPr>
              <w:t>5</w:t>
            </w:r>
          </w:p>
        </w:tc>
        <w:tc>
          <w:tcPr>
            <w:tcW w:w="745" w:type="dxa"/>
          </w:tcPr>
          <w:p>
            <w:pPr>
              <w:pStyle w:val="TableParagraph"/>
              <w:ind w:right="300"/>
              <w:rPr>
                <w:rFonts w:ascii="Carlito"/>
                <w:sz w:val="16"/>
              </w:rPr>
            </w:pPr>
            <w:r>
              <w:rPr>
                <w:rFonts w:ascii="Carlito"/>
                <w:sz w:val="16"/>
              </w:rPr>
              <w:t>5</w:t>
            </w:r>
          </w:p>
        </w:tc>
        <w:tc>
          <w:tcPr>
            <w:tcW w:w="856" w:type="dxa"/>
          </w:tcPr>
          <w:p>
            <w:pPr>
              <w:pStyle w:val="TableParagraph"/>
              <w:ind w:left="300"/>
              <w:jc w:val="left"/>
              <w:rPr>
                <w:rFonts w:ascii="Carlito"/>
                <w:sz w:val="16"/>
              </w:rPr>
            </w:pPr>
            <w:r>
              <w:rPr>
                <w:rFonts w:ascii="Carlito"/>
                <w:sz w:val="16"/>
              </w:rPr>
              <w:t>2</w:t>
            </w:r>
          </w:p>
        </w:tc>
        <w:tc>
          <w:tcPr>
            <w:tcW w:w="1210" w:type="dxa"/>
          </w:tcPr>
          <w:p>
            <w:pPr>
              <w:pStyle w:val="TableParagraph"/>
              <w:ind w:right="534"/>
              <w:rPr>
                <w:rFonts w:ascii="Carlito"/>
                <w:sz w:val="16"/>
              </w:rPr>
            </w:pPr>
            <w:r>
              <w:rPr>
                <w:rFonts w:ascii="Carlito"/>
                <w:sz w:val="16"/>
              </w:rPr>
              <w:t>5.7</w:t>
            </w:r>
          </w:p>
        </w:tc>
        <w:tc>
          <w:tcPr>
            <w:tcW w:w="1180" w:type="dxa"/>
          </w:tcPr>
          <w:p>
            <w:pPr>
              <w:pStyle w:val="TableParagraph"/>
              <w:ind w:right="366"/>
              <w:rPr>
                <w:rFonts w:ascii="Carlito"/>
                <w:sz w:val="16"/>
              </w:rPr>
            </w:pPr>
            <w:r>
              <w:rPr>
                <w:rFonts w:ascii="Carlito"/>
                <w:sz w:val="16"/>
              </w:rPr>
              <w:t>3.2</w:t>
            </w:r>
          </w:p>
        </w:tc>
        <w:tc>
          <w:tcPr>
            <w:tcW w:w="826" w:type="dxa"/>
          </w:tcPr>
          <w:p>
            <w:pPr>
              <w:pStyle w:val="TableParagraph"/>
              <w:ind w:right="380"/>
              <w:rPr>
                <w:rFonts w:ascii="Carlito"/>
                <w:sz w:val="16"/>
              </w:rPr>
            </w:pPr>
            <w:r>
              <w:rPr>
                <w:rFonts w:ascii="Carlito"/>
                <w:sz w:val="16"/>
              </w:rPr>
              <w:t>0</w:t>
            </w:r>
          </w:p>
        </w:tc>
        <w:tc>
          <w:tcPr>
            <w:tcW w:w="530" w:type="dxa"/>
          </w:tcPr>
          <w:p>
            <w:pPr>
              <w:pStyle w:val="TableParagraph"/>
              <w:ind w:right="66"/>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193</w:t>
            </w:r>
          </w:p>
        </w:tc>
        <w:tc>
          <w:tcPr>
            <w:tcW w:w="1958" w:type="dxa"/>
            <w:shd w:val="clear" w:color="auto" w:fill="D9D9D9"/>
          </w:tcPr>
          <w:p>
            <w:pPr>
              <w:pStyle w:val="TableParagraph"/>
              <w:ind w:left="143"/>
              <w:jc w:val="left"/>
              <w:rPr>
                <w:rFonts w:ascii="Carlito"/>
                <w:sz w:val="16"/>
              </w:rPr>
            </w:pPr>
            <w:r>
              <w:rPr>
                <w:rFonts w:ascii="Carlito"/>
                <w:sz w:val="16"/>
              </w:rPr>
              <w:t>Pinares</w:t>
            </w:r>
          </w:p>
        </w:tc>
        <w:tc>
          <w:tcPr>
            <w:tcW w:w="575" w:type="dxa"/>
            <w:shd w:val="clear" w:color="auto" w:fill="D9D9D9"/>
          </w:tcPr>
          <w:p>
            <w:pPr>
              <w:pStyle w:val="TableParagraph"/>
              <w:ind w:right="69"/>
              <w:rPr>
                <w:rFonts w:ascii="Carlito"/>
                <w:sz w:val="16"/>
              </w:rPr>
            </w:pPr>
            <w:r>
              <w:rPr>
                <w:rFonts w:ascii="Carlito"/>
                <w:sz w:val="16"/>
              </w:rPr>
              <w:t>0</w:t>
            </w:r>
          </w:p>
        </w:tc>
        <w:tc>
          <w:tcPr>
            <w:tcW w:w="1358" w:type="dxa"/>
            <w:shd w:val="clear" w:color="auto" w:fill="D9D9D9"/>
          </w:tcPr>
          <w:p>
            <w:pPr>
              <w:pStyle w:val="TableParagraph"/>
              <w:ind w:right="355"/>
              <w:rPr>
                <w:rFonts w:ascii="Carlito"/>
                <w:sz w:val="16"/>
              </w:rPr>
            </w:pPr>
            <w:r>
              <w:rPr>
                <w:rFonts w:ascii="Carlito"/>
                <w:sz w:val="16"/>
              </w:rPr>
              <w:t>$600,000.00</w:t>
            </w:r>
          </w:p>
        </w:tc>
        <w:tc>
          <w:tcPr>
            <w:tcW w:w="1061" w:type="dxa"/>
            <w:shd w:val="clear" w:color="auto" w:fill="D9D9D9"/>
          </w:tcPr>
          <w:p>
            <w:pPr>
              <w:pStyle w:val="TableParagraph"/>
              <w:ind w:right="341"/>
              <w:rPr>
                <w:rFonts w:ascii="Carlito"/>
                <w:sz w:val="16"/>
              </w:rPr>
            </w:pPr>
            <w:r>
              <w:rPr>
                <w:rFonts w:ascii="Carlito"/>
                <w:sz w:val="16"/>
              </w:rPr>
              <w:t>500</w:t>
            </w:r>
          </w:p>
        </w:tc>
        <w:tc>
          <w:tcPr>
            <w:tcW w:w="1126" w:type="dxa"/>
            <w:shd w:val="clear" w:color="auto" w:fill="D9D9D9"/>
          </w:tcPr>
          <w:p>
            <w:pPr>
              <w:pStyle w:val="TableParagraph"/>
              <w:ind w:left="318" w:right="440"/>
              <w:jc w:val="center"/>
              <w:rPr>
                <w:rFonts w:ascii="Carlito"/>
                <w:sz w:val="16"/>
              </w:rPr>
            </w:pPr>
            <w:r>
              <w:rPr>
                <w:rFonts w:ascii="Carlito"/>
                <w:sz w:val="16"/>
              </w:rPr>
              <w:t>1996</w:t>
            </w:r>
          </w:p>
        </w:tc>
        <w:tc>
          <w:tcPr>
            <w:tcW w:w="783" w:type="dxa"/>
            <w:shd w:val="clear" w:color="auto" w:fill="D9D9D9"/>
          </w:tcPr>
          <w:p>
            <w:pPr>
              <w:pStyle w:val="TableParagraph"/>
              <w:ind w:right="236"/>
              <w:rPr>
                <w:rFonts w:ascii="Carlito"/>
                <w:sz w:val="16"/>
              </w:rPr>
            </w:pPr>
            <w:r>
              <w:rPr>
                <w:rFonts w:ascii="Carlito"/>
                <w:sz w:val="16"/>
              </w:rPr>
              <w:t>4</w:t>
            </w:r>
          </w:p>
        </w:tc>
        <w:tc>
          <w:tcPr>
            <w:tcW w:w="745" w:type="dxa"/>
            <w:shd w:val="clear" w:color="auto" w:fill="D9D9D9"/>
          </w:tcPr>
          <w:p>
            <w:pPr>
              <w:pStyle w:val="TableParagraph"/>
              <w:ind w:right="305"/>
              <w:rPr>
                <w:rFonts w:ascii="Carlito"/>
                <w:sz w:val="16"/>
              </w:rPr>
            </w:pPr>
            <w:r>
              <w:rPr>
                <w:rFonts w:ascii="Carlito"/>
                <w:sz w:val="16"/>
              </w:rPr>
              <w:t>3.5</w:t>
            </w:r>
          </w:p>
        </w:tc>
        <w:tc>
          <w:tcPr>
            <w:tcW w:w="856" w:type="dxa"/>
            <w:shd w:val="clear" w:color="auto" w:fill="D9D9D9"/>
          </w:tcPr>
          <w:p>
            <w:pPr>
              <w:pStyle w:val="TableParagraph"/>
              <w:ind w:left="300"/>
              <w:jc w:val="left"/>
              <w:rPr>
                <w:rFonts w:ascii="Carlito"/>
                <w:sz w:val="16"/>
              </w:rPr>
            </w:pPr>
            <w:r>
              <w:rPr>
                <w:rFonts w:ascii="Carlito"/>
                <w:sz w:val="16"/>
              </w:rPr>
              <w:t>1</w:t>
            </w:r>
          </w:p>
        </w:tc>
        <w:tc>
          <w:tcPr>
            <w:tcW w:w="1210" w:type="dxa"/>
            <w:shd w:val="clear" w:color="auto" w:fill="D9D9D9"/>
          </w:tcPr>
          <w:p>
            <w:pPr>
              <w:pStyle w:val="TableParagraph"/>
              <w:ind w:right="534"/>
              <w:rPr>
                <w:rFonts w:ascii="Carlito"/>
                <w:sz w:val="16"/>
              </w:rPr>
            </w:pPr>
            <w:r>
              <w:rPr>
                <w:rFonts w:ascii="Carlito"/>
                <w:sz w:val="16"/>
              </w:rPr>
              <w:t>7.4</w:t>
            </w:r>
          </w:p>
        </w:tc>
        <w:tc>
          <w:tcPr>
            <w:tcW w:w="1180" w:type="dxa"/>
            <w:shd w:val="clear" w:color="auto" w:fill="D9D9D9"/>
          </w:tcPr>
          <w:p>
            <w:pPr>
              <w:pStyle w:val="TableParagraph"/>
              <w:ind w:right="366"/>
              <w:rPr>
                <w:rFonts w:ascii="Carlito"/>
                <w:sz w:val="16"/>
              </w:rPr>
            </w:pPr>
            <w:r>
              <w:rPr>
                <w:rFonts w:ascii="Carlito"/>
                <w:sz w:val="16"/>
              </w:rPr>
              <w:t>3.6</w:t>
            </w:r>
          </w:p>
        </w:tc>
        <w:tc>
          <w:tcPr>
            <w:tcW w:w="826" w:type="dxa"/>
            <w:shd w:val="clear" w:color="auto" w:fill="D9D9D9"/>
          </w:tcPr>
          <w:p>
            <w:pPr>
              <w:pStyle w:val="TableParagraph"/>
              <w:ind w:right="380"/>
              <w:rPr>
                <w:rFonts w:ascii="Carlito"/>
                <w:sz w:val="16"/>
              </w:rPr>
            </w:pPr>
            <w:r>
              <w:rPr>
                <w:rFonts w:ascii="Carlito"/>
                <w:sz w:val="16"/>
              </w:rPr>
              <w:t>0</w:t>
            </w:r>
          </w:p>
        </w:tc>
        <w:tc>
          <w:tcPr>
            <w:tcW w:w="530" w:type="dxa"/>
            <w:shd w:val="clear" w:color="auto" w:fill="D9D9D9"/>
          </w:tcPr>
          <w:p>
            <w:pPr>
              <w:pStyle w:val="TableParagraph"/>
              <w:ind w:right="66"/>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194</w:t>
            </w:r>
          </w:p>
        </w:tc>
        <w:tc>
          <w:tcPr>
            <w:tcW w:w="1958" w:type="dxa"/>
          </w:tcPr>
          <w:p>
            <w:pPr>
              <w:pStyle w:val="TableParagraph"/>
              <w:ind w:left="143"/>
              <w:jc w:val="left"/>
              <w:rPr>
                <w:rFonts w:ascii="Carlito"/>
                <w:sz w:val="16"/>
              </w:rPr>
            </w:pPr>
            <w:r>
              <w:rPr>
                <w:rFonts w:ascii="Carlito"/>
                <w:sz w:val="16"/>
              </w:rPr>
              <w:t>Curridabat</w:t>
            </w:r>
          </w:p>
        </w:tc>
        <w:tc>
          <w:tcPr>
            <w:tcW w:w="575" w:type="dxa"/>
          </w:tcPr>
          <w:p>
            <w:pPr>
              <w:pStyle w:val="TableParagraph"/>
              <w:ind w:right="69"/>
              <w:rPr>
                <w:rFonts w:ascii="Carlito"/>
                <w:sz w:val="16"/>
              </w:rPr>
            </w:pPr>
            <w:r>
              <w:rPr>
                <w:rFonts w:ascii="Carlito"/>
                <w:sz w:val="16"/>
              </w:rPr>
              <w:t>0</w:t>
            </w:r>
          </w:p>
        </w:tc>
        <w:tc>
          <w:tcPr>
            <w:tcW w:w="1358" w:type="dxa"/>
          </w:tcPr>
          <w:p>
            <w:pPr>
              <w:pStyle w:val="TableParagraph"/>
              <w:ind w:right="355"/>
              <w:rPr>
                <w:rFonts w:ascii="Carlito"/>
                <w:sz w:val="16"/>
              </w:rPr>
            </w:pPr>
            <w:r>
              <w:rPr>
                <w:rFonts w:ascii="Carlito"/>
                <w:sz w:val="16"/>
              </w:rPr>
              <w:t>$297,000.00</w:t>
            </w:r>
          </w:p>
        </w:tc>
        <w:tc>
          <w:tcPr>
            <w:tcW w:w="1061" w:type="dxa"/>
          </w:tcPr>
          <w:p>
            <w:pPr>
              <w:pStyle w:val="TableParagraph"/>
              <w:ind w:right="340"/>
              <w:rPr>
                <w:rFonts w:ascii="Carlito"/>
                <w:sz w:val="16"/>
              </w:rPr>
            </w:pPr>
            <w:r>
              <w:rPr>
                <w:rFonts w:ascii="Carlito"/>
                <w:sz w:val="16"/>
              </w:rPr>
              <w:t>202</w:t>
            </w:r>
          </w:p>
        </w:tc>
        <w:tc>
          <w:tcPr>
            <w:tcW w:w="1126" w:type="dxa"/>
          </w:tcPr>
          <w:p>
            <w:pPr>
              <w:pStyle w:val="TableParagraph"/>
              <w:ind w:left="318" w:right="440"/>
              <w:jc w:val="center"/>
              <w:rPr>
                <w:rFonts w:ascii="Carlito"/>
                <w:sz w:val="16"/>
              </w:rPr>
            </w:pPr>
            <w:r>
              <w:rPr>
                <w:rFonts w:ascii="Carlito"/>
                <w:sz w:val="16"/>
              </w:rPr>
              <w:t>2013</w:t>
            </w:r>
          </w:p>
        </w:tc>
        <w:tc>
          <w:tcPr>
            <w:tcW w:w="783" w:type="dxa"/>
          </w:tcPr>
          <w:p>
            <w:pPr>
              <w:pStyle w:val="TableParagraph"/>
              <w:ind w:right="236"/>
              <w:rPr>
                <w:rFonts w:ascii="Carlito"/>
                <w:sz w:val="16"/>
              </w:rPr>
            </w:pPr>
            <w:r>
              <w:rPr>
                <w:rFonts w:ascii="Carlito"/>
                <w:sz w:val="16"/>
              </w:rPr>
              <w:t>3</w:t>
            </w:r>
          </w:p>
        </w:tc>
        <w:tc>
          <w:tcPr>
            <w:tcW w:w="745" w:type="dxa"/>
          </w:tcPr>
          <w:p>
            <w:pPr>
              <w:pStyle w:val="TableParagraph"/>
              <w:ind w:right="300"/>
              <w:rPr>
                <w:rFonts w:ascii="Carlito"/>
                <w:sz w:val="16"/>
              </w:rPr>
            </w:pPr>
            <w:r>
              <w:rPr>
                <w:rFonts w:ascii="Carlito"/>
                <w:sz w:val="16"/>
              </w:rPr>
              <w:t>2</w:t>
            </w:r>
          </w:p>
        </w:tc>
        <w:tc>
          <w:tcPr>
            <w:tcW w:w="856" w:type="dxa"/>
          </w:tcPr>
          <w:p>
            <w:pPr>
              <w:pStyle w:val="TableParagraph"/>
              <w:ind w:left="300"/>
              <w:jc w:val="left"/>
              <w:rPr>
                <w:rFonts w:ascii="Carlito"/>
                <w:sz w:val="16"/>
              </w:rPr>
            </w:pPr>
            <w:r>
              <w:rPr>
                <w:rFonts w:ascii="Carlito"/>
                <w:sz w:val="16"/>
              </w:rPr>
              <w:t>1</w:t>
            </w:r>
          </w:p>
        </w:tc>
        <w:tc>
          <w:tcPr>
            <w:tcW w:w="1210" w:type="dxa"/>
          </w:tcPr>
          <w:p>
            <w:pPr>
              <w:pStyle w:val="TableParagraph"/>
              <w:ind w:right="534"/>
              <w:rPr>
                <w:rFonts w:ascii="Carlito"/>
                <w:sz w:val="16"/>
              </w:rPr>
            </w:pPr>
            <w:r>
              <w:rPr>
                <w:rFonts w:ascii="Carlito"/>
                <w:sz w:val="16"/>
              </w:rPr>
              <w:t>5.7</w:t>
            </w:r>
          </w:p>
        </w:tc>
        <w:tc>
          <w:tcPr>
            <w:tcW w:w="1180" w:type="dxa"/>
          </w:tcPr>
          <w:p>
            <w:pPr>
              <w:pStyle w:val="TableParagraph"/>
              <w:ind w:right="366"/>
              <w:rPr>
                <w:rFonts w:ascii="Carlito"/>
                <w:sz w:val="16"/>
              </w:rPr>
            </w:pPr>
            <w:r>
              <w:rPr>
                <w:rFonts w:ascii="Carlito"/>
                <w:sz w:val="16"/>
              </w:rPr>
              <w:t>3.2</w:t>
            </w:r>
          </w:p>
        </w:tc>
        <w:tc>
          <w:tcPr>
            <w:tcW w:w="826" w:type="dxa"/>
          </w:tcPr>
          <w:p>
            <w:pPr>
              <w:pStyle w:val="TableParagraph"/>
              <w:ind w:right="380"/>
              <w:rPr>
                <w:rFonts w:ascii="Carlito"/>
                <w:sz w:val="16"/>
              </w:rPr>
            </w:pPr>
            <w:r>
              <w:rPr>
                <w:rFonts w:ascii="Carlito"/>
                <w:sz w:val="16"/>
              </w:rPr>
              <w:t>0</w:t>
            </w:r>
          </w:p>
        </w:tc>
        <w:tc>
          <w:tcPr>
            <w:tcW w:w="530" w:type="dxa"/>
          </w:tcPr>
          <w:p>
            <w:pPr>
              <w:pStyle w:val="TableParagraph"/>
              <w:ind w:right="6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195</w:t>
            </w:r>
          </w:p>
        </w:tc>
        <w:tc>
          <w:tcPr>
            <w:tcW w:w="1958" w:type="dxa"/>
            <w:shd w:val="clear" w:color="auto" w:fill="D9D9D9"/>
          </w:tcPr>
          <w:p>
            <w:pPr>
              <w:pStyle w:val="TableParagraph"/>
              <w:ind w:left="143"/>
              <w:jc w:val="left"/>
              <w:rPr>
                <w:rFonts w:ascii="Carlito"/>
                <w:sz w:val="16"/>
              </w:rPr>
            </w:pPr>
            <w:r>
              <w:rPr>
                <w:rFonts w:ascii="Carlito"/>
                <w:sz w:val="16"/>
              </w:rPr>
              <w:t>Curridabat</w:t>
            </w:r>
          </w:p>
        </w:tc>
        <w:tc>
          <w:tcPr>
            <w:tcW w:w="575" w:type="dxa"/>
            <w:shd w:val="clear" w:color="auto" w:fill="D9D9D9"/>
          </w:tcPr>
          <w:p>
            <w:pPr>
              <w:pStyle w:val="TableParagraph"/>
              <w:ind w:right="69"/>
              <w:rPr>
                <w:rFonts w:ascii="Carlito"/>
                <w:sz w:val="16"/>
              </w:rPr>
            </w:pPr>
            <w:r>
              <w:rPr>
                <w:rFonts w:ascii="Carlito"/>
                <w:sz w:val="16"/>
              </w:rPr>
              <w:t>1</w:t>
            </w:r>
          </w:p>
        </w:tc>
        <w:tc>
          <w:tcPr>
            <w:tcW w:w="1358" w:type="dxa"/>
            <w:shd w:val="clear" w:color="auto" w:fill="D9D9D9"/>
          </w:tcPr>
          <w:p>
            <w:pPr>
              <w:pStyle w:val="TableParagraph"/>
              <w:ind w:right="355"/>
              <w:rPr>
                <w:rFonts w:ascii="Carlito"/>
                <w:sz w:val="16"/>
              </w:rPr>
            </w:pPr>
            <w:r>
              <w:rPr>
                <w:rFonts w:ascii="Carlito"/>
                <w:sz w:val="16"/>
              </w:rPr>
              <w:t>$295,000.00</w:t>
            </w:r>
          </w:p>
        </w:tc>
        <w:tc>
          <w:tcPr>
            <w:tcW w:w="1061" w:type="dxa"/>
            <w:shd w:val="clear" w:color="auto" w:fill="D9D9D9"/>
          </w:tcPr>
          <w:p>
            <w:pPr>
              <w:pStyle w:val="TableParagraph"/>
              <w:ind w:right="341"/>
              <w:rPr>
                <w:rFonts w:ascii="Carlito"/>
                <w:sz w:val="16"/>
              </w:rPr>
            </w:pPr>
            <w:r>
              <w:rPr>
                <w:rFonts w:ascii="Carlito"/>
                <w:sz w:val="16"/>
              </w:rPr>
              <w:t>300</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3" w:type="dxa"/>
            <w:shd w:val="clear" w:color="auto" w:fill="D9D9D9"/>
          </w:tcPr>
          <w:p>
            <w:pPr>
              <w:pStyle w:val="TableParagraph"/>
              <w:ind w:right="236"/>
              <w:rPr>
                <w:rFonts w:ascii="Carlito"/>
                <w:sz w:val="16"/>
              </w:rPr>
            </w:pPr>
            <w:r>
              <w:rPr>
                <w:rFonts w:ascii="Carlito"/>
                <w:sz w:val="16"/>
              </w:rPr>
              <w:t>3</w:t>
            </w:r>
          </w:p>
        </w:tc>
        <w:tc>
          <w:tcPr>
            <w:tcW w:w="745" w:type="dxa"/>
            <w:shd w:val="clear" w:color="auto" w:fill="D9D9D9"/>
          </w:tcPr>
          <w:p>
            <w:pPr>
              <w:pStyle w:val="TableParagraph"/>
              <w:ind w:right="305"/>
              <w:rPr>
                <w:rFonts w:ascii="Carlito"/>
                <w:sz w:val="16"/>
              </w:rPr>
            </w:pPr>
            <w:r>
              <w:rPr>
                <w:rFonts w:ascii="Carlito"/>
                <w:sz w:val="16"/>
              </w:rPr>
              <w:t>2.5</w:t>
            </w:r>
          </w:p>
        </w:tc>
        <w:tc>
          <w:tcPr>
            <w:tcW w:w="856" w:type="dxa"/>
            <w:shd w:val="clear" w:color="auto" w:fill="D9D9D9"/>
          </w:tcPr>
          <w:p>
            <w:pPr>
              <w:pStyle w:val="TableParagraph"/>
              <w:ind w:left="300"/>
              <w:jc w:val="left"/>
              <w:rPr>
                <w:rFonts w:ascii="Carlito"/>
                <w:sz w:val="16"/>
              </w:rPr>
            </w:pPr>
            <w:r>
              <w:rPr>
                <w:rFonts w:ascii="Carlito"/>
                <w:sz w:val="16"/>
              </w:rPr>
              <w:t>1</w:t>
            </w:r>
          </w:p>
        </w:tc>
        <w:tc>
          <w:tcPr>
            <w:tcW w:w="1210" w:type="dxa"/>
            <w:shd w:val="clear" w:color="auto" w:fill="D9D9D9"/>
          </w:tcPr>
          <w:p>
            <w:pPr>
              <w:pStyle w:val="TableParagraph"/>
              <w:ind w:right="534"/>
              <w:rPr>
                <w:rFonts w:ascii="Carlito"/>
                <w:sz w:val="16"/>
              </w:rPr>
            </w:pPr>
            <w:r>
              <w:rPr>
                <w:rFonts w:ascii="Carlito"/>
                <w:sz w:val="16"/>
              </w:rPr>
              <w:t>4.9</w:t>
            </w:r>
          </w:p>
        </w:tc>
        <w:tc>
          <w:tcPr>
            <w:tcW w:w="1180" w:type="dxa"/>
            <w:shd w:val="clear" w:color="auto" w:fill="D9D9D9"/>
          </w:tcPr>
          <w:p>
            <w:pPr>
              <w:pStyle w:val="TableParagraph"/>
              <w:ind w:right="366"/>
              <w:rPr>
                <w:rFonts w:ascii="Carlito"/>
                <w:sz w:val="16"/>
              </w:rPr>
            </w:pPr>
            <w:r>
              <w:rPr>
                <w:rFonts w:ascii="Carlito"/>
                <w:sz w:val="16"/>
              </w:rPr>
              <w:t>4.5</w:t>
            </w:r>
          </w:p>
        </w:tc>
        <w:tc>
          <w:tcPr>
            <w:tcW w:w="826" w:type="dxa"/>
            <w:shd w:val="clear" w:color="auto" w:fill="D9D9D9"/>
          </w:tcPr>
          <w:p>
            <w:pPr>
              <w:pStyle w:val="TableParagraph"/>
              <w:ind w:right="380"/>
              <w:rPr>
                <w:rFonts w:ascii="Carlito"/>
                <w:sz w:val="16"/>
              </w:rPr>
            </w:pPr>
            <w:r>
              <w:rPr>
                <w:rFonts w:ascii="Carlito"/>
                <w:sz w:val="16"/>
              </w:rPr>
              <w:t>0</w:t>
            </w:r>
          </w:p>
        </w:tc>
        <w:tc>
          <w:tcPr>
            <w:tcW w:w="530" w:type="dxa"/>
            <w:shd w:val="clear" w:color="auto" w:fill="D9D9D9"/>
          </w:tcPr>
          <w:p>
            <w:pPr>
              <w:pStyle w:val="TableParagraph"/>
              <w:ind w:right="66"/>
              <w:rPr>
                <w:rFonts w:ascii="Carlito"/>
                <w:sz w:val="16"/>
              </w:rPr>
            </w:pPr>
            <w:r>
              <w:rPr>
                <w:rFonts w:ascii="Carlito"/>
                <w:sz w:val="16"/>
              </w:rPr>
              <w:t>1</w:t>
            </w:r>
          </w:p>
        </w:tc>
      </w:tr>
      <w:tr>
        <w:trPr>
          <w:trHeight w:val="288" w:hRule="atLeast"/>
        </w:trPr>
        <w:tc>
          <w:tcPr>
            <w:tcW w:w="756" w:type="dxa"/>
          </w:tcPr>
          <w:p>
            <w:pPr>
              <w:pStyle w:val="TableParagraph"/>
              <w:spacing w:before="92"/>
              <w:ind w:right="143"/>
              <w:rPr>
                <w:rFonts w:ascii="Carlito"/>
                <w:sz w:val="16"/>
              </w:rPr>
            </w:pPr>
            <w:r>
              <w:rPr>
                <w:rFonts w:ascii="Carlito"/>
                <w:sz w:val="16"/>
              </w:rPr>
              <w:t>196</w:t>
            </w:r>
          </w:p>
        </w:tc>
        <w:tc>
          <w:tcPr>
            <w:tcW w:w="1958" w:type="dxa"/>
          </w:tcPr>
          <w:p>
            <w:pPr>
              <w:pStyle w:val="TableParagraph"/>
              <w:spacing w:before="92"/>
              <w:ind w:left="143"/>
              <w:jc w:val="left"/>
              <w:rPr>
                <w:rFonts w:ascii="Carlito"/>
                <w:sz w:val="16"/>
              </w:rPr>
            </w:pPr>
            <w:r>
              <w:rPr>
                <w:rFonts w:ascii="Carlito"/>
                <w:sz w:val="16"/>
              </w:rPr>
              <w:t>Residencial Paso Real</w:t>
            </w:r>
          </w:p>
        </w:tc>
        <w:tc>
          <w:tcPr>
            <w:tcW w:w="575" w:type="dxa"/>
          </w:tcPr>
          <w:p>
            <w:pPr>
              <w:pStyle w:val="TableParagraph"/>
              <w:spacing w:before="92"/>
              <w:ind w:right="69"/>
              <w:rPr>
                <w:rFonts w:ascii="Carlito"/>
                <w:sz w:val="16"/>
              </w:rPr>
            </w:pPr>
            <w:r>
              <w:rPr>
                <w:rFonts w:ascii="Carlito"/>
                <w:sz w:val="16"/>
              </w:rPr>
              <w:t>1</w:t>
            </w:r>
          </w:p>
        </w:tc>
        <w:tc>
          <w:tcPr>
            <w:tcW w:w="1358" w:type="dxa"/>
          </w:tcPr>
          <w:p>
            <w:pPr>
              <w:pStyle w:val="TableParagraph"/>
              <w:spacing w:before="92"/>
              <w:ind w:right="355"/>
              <w:rPr>
                <w:rFonts w:ascii="Carlito"/>
                <w:sz w:val="16"/>
              </w:rPr>
            </w:pPr>
            <w:r>
              <w:rPr>
                <w:rFonts w:ascii="Carlito"/>
                <w:sz w:val="16"/>
              </w:rPr>
              <w:t>$112,727.27</w:t>
            </w:r>
          </w:p>
        </w:tc>
        <w:tc>
          <w:tcPr>
            <w:tcW w:w="1061" w:type="dxa"/>
          </w:tcPr>
          <w:p>
            <w:pPr>
              <w:pStyle w:val="TableParagraph"/>
              <w:spacing w:before="92"/>
              <w:ind w:right="341"/>
              <w:rPr>
                <w:rFonts w:ascii="Carlito"/>
                <w:sz w:val="16"/>
              </w:rPr>
            </w:pPr>
            <w:r>
              <w:rPr>
                <w:rFonts w:ascii="Carlito"/>
                <w:sz w:val="16"/>
              </w:rPr>
              <w:t>134</w:t>
            </w:r>
          </w:p>
        </w:tc>
        <w:tc>
          <w:tcPr>
            <w:tcW w:w="1126" w:type="dxa"/>
          </w:tcPr>
          <w:p>
            <w:pPr>
              <w:pStyle w:val="TableParagraph"/>
              <w:spacing w:before="92"/>
              <w:ind w:left="318" w:right="440"/>
              <w:jc w:val="center"/>
              <w:rPr>
                <w:rFonts w:ascii="Carlito"/>
                <w:sz w:val="16"/>
              </w:rPr>
            </w:pPr>
            <w:r>
              <w:rPr>
                <w:rFonts w:ascii="Carlito"/>
                <w:sz w:val="16"/>
              </w:rPr>
              <w:t>2012</w:t>
            </w:r>
          </w:p>
        </w:tc>
        <w:tc>
          <w:tcPr>
            <w:tcW w:w="783" w:type="dxa"/>
          </w:tcPr>
          <w:p>
            <w:pPr>
              <w:pStyle w:val="TableParagraph"/>
              <w:spacing w:before="92"/>
              <w:ind w:right="236"/>
              <w:rPr>
                <w:rFonts w:ascii="Carlito"/>
                <w:sz w:val="16"/>
              </w:rPr>
            </w:pPr>
            <w:r>
              <w:rPr>
                <w:rFonts w:ascii="Carlito"/>
                <w:sz w:val="16"/>
              </w:rPr>
              <w:t>2</w:t>
            </w:r>
          </w:p>
        </w:tc>
        <w:tc>
          <w:tcPr>
            <w:tcW w:w="745" w:type="dxa"/>
          </w:tcPr>
          <w:p>
            <w:pPr>
              <w:pStyle w:val="TableParagraph"/>
              <w:spacing w:before="92"/>
              <w:ind w:right="300"/>
              <w:rPr>
                <w:rFonts w:ascii="Carlito"/>
                <w:sz w:val="16"/>
              </w:rPr>
            </w:pPr>
            <w:r>
              <w:rPr>
                <w:rFonts w:ascii="Carlito"/>
                <w:sz w:val="16"/>
              </w:rPr>
              <w:t>2</w:t>
            </w:r>
          </w:p>
        </w:tc>
        <w:tc>
          <w:tcPr>
            <w:tcW w:w="856" w:type="dxa"/>
          </w:tcPr>
          <w:p>
            <w:pPr>
              <w:pStyle w:val="TableParagraph"/>
              <w:spacing w:before="92"/>
              <w:ind w:left="300"/>
              <w:jc w:val="left"/>
              <w:rPr>
                <w:rFonts w:ascii="Carlito"/>
                <w:sz w:val="16"/>
              </w:rPr>
            </w:pPr>
            <w:r>
              <w:rPr>
                <w:rFonts w:ascii="Carlito"/>
                <w:sz w:val="16"/>
              </w:rPr>
              <w:t>1</w:t>
            </w:r>
          </w:p>
        </w:tc>
        <w:tc>
          <w:tcPr>
            <w:tcW w:w="1210" w:type="dxa"/>
          </w:tcPr>
          <w:p>
            <w:pPr>
              <w:pStyle w:val="TableParagraph"/>
              <w:spacing w:before="92"/>
              <w:ind w:right="534"/>
              <w:rPr>
                <w:rFonts w:ascii="Carlito"/>
                <w:sz w:val="16"/>
              </w:rPr>
            </w:pPr>
            <w:r>
              <w:rPr>
                <w:rFonts w:ascii="Carlito"/>
                <w:sz w:val="16"/>
              </w:rPr>
              <w:t>9.3</w:t>
            </w:r>
          </w:p>
        </w:tc>
        <w:tc>
          <w:tcPr>
            <w:tcW w:w="1180" w:type="dxa"/>
          </w:tcPr>
          <w:p>
            <w:pPr>
              <w:pStyle w:val="TableParagraph"/>
              <w:spacing w:before="92"/>
              <w:ind w:right="366"/>
              <w:rPr>
                <w:rFonts w:ascii="Carlito"/>
                <w:sz w:val="16"/>
              </w:rPr>
            </w:pPr>
            <w:r>
              <w:rPr>
                <w:rFonts w:ascii="Carlito"/>
                <w:sz w:val="16"/>
              </w:rPr>
              <w:t>0.85</w:t>
            </w:r>
          </w:p>
        </w:tc>
        <w:tc>
          <w:tcPr>
            <w:tcW w:w="826" w:type="dxa"/>
          </w:tcPr>
          <w:p>
            <w:pPr>
              <w:pStyle w:val="TableParagraph"/>
              <w:spacing w:before="92"/>
              <w:ind w:right="380"/>
              <w:rPr>
                <w:rFonts w:ascii="Carlito"/>
                <w:sz w:val="16"/>
              </w:rPr>
            </w:pPr>
            <w:r>
              <w:rPr>
                <w:rFonts w:ascii="Carlito"/>
                <w:sz w:val="16"/>
              </w:rPr>
              <w:t>0</w:t>
            </w:r>
          </w:p>
        </w:tc>
        <w:tc>
          <w:tcPr>
            <w:tcW w:w="530" w:type="dxa"/>
          </w:tcPr>
          <w:p>
            <w:pPr>
              <w:pStyle w:val="TableParagraph"/>
              <w:spacing w:before="92"/>
              <w:ind w:right="66"/>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197</w:t>
            </w:r>
          </w:p>
        </w:tc>
        <w:tc>
          <w:tcPr>
            <w:tcW w:w="1958" w:type="dxa"/>
            <w:shd w:val="clear" w:color="auto" w:fill="D9D9D9"/>
          </w:tcPr>
          <w:p>
            <w:pPr>
              <w:pStyle w:val="TableParagraph"/>
              <w:ind w:left="143"/>
              <w:jc w:val="left"/>
              <w:rPr>
                <w:rFonts w:ascii="Carlito"/>
                <w:sz w:val="16"/>
              </w:rPr>
            </w:pPr>
            <w:r>
              <w:rPr>
                <w:rFonts w:ascii="Carlito"/>
                <w:sz w:val="16"/>
              </w:rPr>
              <w:t>Freses</w:t>
            </w:r>
          </w:p>
        </w:tc>
        <w:tc>
          <w:tcPr>
            <w:tcW w:w="575" w:type="dxa"/>
            <w:shd w:val="clear" w:color="auto" w:fill="D9D9D9"/>
          </w:tcPr>
          <w:p>
            <w:pPr>
              <w:pStyle w:val="TableParagraph"/>
              <w:ind w:right="69"/>
              <w:rPr>
                <w:rFonts w:ascii="Carlito"/>
                <w:sz w:val="16"/>
              </w:rPr>
            </w:pPr>
            <w:r>
              <w:rPr>
                <w:rFonts w:ascii="Carlito"/>
                <w:sz w:val="16"/>
              </w:rPr>
              <w:t>0</w:t>
            </w:r>
          </w:p>
        </w:tc>
        <w:tc>
          <w:tcPr>
            <w:tcW w:w="1358" w:type="dxa"/>
            <w:shd w:val="clear" w:color="auto" w:fill="D9D9D9"/>
          </w:tcPr>
          <w:p>
            <w:pPr>
              <w:pStyle w:val="TableParagraph"/>
              <w:ind w:right="355"/>
              <w:rPr>
                <w:rFonts w:ascii="Carlito"/>
                <w:sz w:val="16"/>
              </w:rPr>
            </w:pPr>
            <w:r>
              <w:rPr>
                <w:rFonts w:ascii="Carlito"/>
                <w:sz w:val="16"/>
              </w:rPr>
              <w:t>$125,000.00</w:t>
            </w:r>
          </w:p>
        </w:tc>
        <w:tc>
          <w:tcPr>
            <w:tcW w:w="1061" w:type="dxa"/>
            <w:shd w:val="clear" w:color="auto" w:fill="D9D9D9"/>
          </w:tcPr>
          <w:p>
            <w:pPr>
              <w:pStyle w:val="TableParagraph"/>
              <w:ind w:right="341"/>
              <w:rPr>
                <w:rFonts w:ascii="Carlito"/>
                <w:sz w:val="16"/>
              </w:rPr>
            </w:pPr>
            <w:r>
              <w:rPr>
                <w:rFonts w:ascii="Carlito"/>
                <w:sz w:val="16"/>
              </w:rPr>
              <w:t>150</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3" w:type="dxa"/>
            <w:shd w:val="clear" w:color="auto" w:fill="D9D9D9"/>
          </w:tcPr>
          <w:p>
            <w:pPr>
              <w:pStyle w:val="TableParagraph"/>
              <w:ind w:right="236"/>
              <w:rPr>
                <w:rFonts w:ascii="Carlito"/>
                <w:sz w:val="16"/>
              </w:rPr>
            </w:pPr>
            <w:r>
              <w:rPr>
                <w:rFonts w:ascii="Carlito"/>
                <w:sz w:val="16"/>
              </w:rPr>
              <w:t>3</w:t>
            </w:r>
          </w:p>
        </w:tc>
        <w:tc>
          <w:tcPr>
            <w:tcW w:w="745" w:type="dxa"/>
            <w:shd w:val="clear" w:color="auto" w:fill="D9D9D9"/>
          </w:tcPr>
          <w:p>
            <w:pPr>
              <w:pStyle w:val="TableParagraph"/>
              <w:ind w:right="305"/>
              <w:rPr>
                <w:rFonts w:ascii="Carlito"/>
                <w:sz w:val="16"/>
              </w:rPr>
            </w:pPr>
            <w:r>
              <w:rPr>
                <w:rFonts w:ascii="Carlito"/>
                <w:sz w:val="16"/>
              </w:rPr>
              <w:t>1.5</w:t>
            </w:r>
          </w:p>
        </w:tc>
        <w:tc>
          <w:tcPr>
            <w:tcW w:w="856" w:type="dxa"/>
            <w:shd w:val="clear" w:color="auto" w:fill="D9D9D9"/>
          </w:tcPr>
          <w:p>
            <w:pPr>
              <w:pStyle w:val="TableParagraph"/>
              <w:ind w:left="300"/>
              <w:jc w:val="left"/>
              <w:rPr>
                <w:rFonts w:ascii="Carlito"/>
                <w:sz w:val="16"/>
              </w:rPr>
            </w:pPr>
            <w:r>
              <w:rPr>
                <w:rFonts w:ascii="Carlito"/>
                <w:sz w:val="16"/>
              </w:rPr>
              <w:t>2</w:t>
            </w:r>
          </w:p>
        </w:tc>
        <w:tc>
          <w:tcPr>
            <w:tcW w:w="1210" w:type="dxa"/>
            <w:shd w:val="clear" w:color="auto" w:fill="D9D9D9"/>
          </w:tcPr>
          <w:p>
            <w:pPr>
              <w:pStyle w:val="TableParagraph"/>
              <w:ind w:right="534"/>
              <w:rPr>
                <w:rFonts w:ascii="Carlito"/>
                <w:sz w:val="16"/>
              </w:rPr>
            </w:pPr>
            <w:r>
              <w:rPr>
                <w:rFonts w:ascii="Carlito"/>
                <w:sz w:val="16"/>
              </w:rPr>
              <w:t>5.2</w:t>
            </w:r>
          </w:p>
        </w:tc>
        <w:tc>
          <w:tcPr>
            <w:tcW w:w="1180" w:type="dxa"/>
            <w:shd w:val="clear" w:color="auto" w:fill="D9D9D9"/>
          </w:tcPr>
          <w:p>
            <w:pPr>
              <w:pStyle w:val="TableParagraph"/>
              <w:ind w:right="366"/>
              <w:rPr>
                <w:rFonts w:ascii="Carlito"/>
                <w:sz w:val="16"/>
              </w:rPr>
            </w:pPr>
            <w:r>
              <w:rPr>
                <w:rFonts w:ascii="Carlito"/>
                <w:sz w:val="16"/>
              </w:rPr>
              <w:t>5.2</w:t>
            </w:r>
          </w:p>
        </w:tc>
        <w:tc>
          <w:tcPr>
            <w:tcW w:w="826" w:type="dxa"/>
            <w:shd w:val="clear" w:color="auto" w:fill="D9D9D9"/>
          </w:tcPr>
          <w:p>
            <w:pPr>
              <w:pStyle w:val="TableParagraph"/>
              <w:ind w:right="380"/>
              <w:rPr>
                <w:rFonts w:ascii="Carlito"/>
                <w:sz w:val="16"/>
              </w:rPr>
            </w:pPr>
            <w:r>
              <w:rPr>
                <w:rFonts w:ascii="Carlito"/>
                <w:sz w:val="16"/>
              </w:rPr>
              <w:t>0</w:t>
            </w:r>
          </w:p>
        </w:tc>
        <w:tc>
          <w:tcPr>
            <w:tcW w:w="530" w:type="dxa"/>
            <w:shd w:val="clear" w:color="auto" w:fill="D9D9D9"/>
          </w:tcPr>
          <w:p>
            <w:pPr>
              <w:pStyle w:val="TableParagraph"/>
              <w:ind w:right="66"/>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198</w:t>
            </w:r>
          </w:p>
        </w:tc>
        <w:tc>
          <w:tcPr>
            <w:tcW w:w="1958" w:type="dxa"/>
          </w:tcPr>
          <w:p>
            <w:pPr>
              <w:pStyle w:val="TableParagraph"/>
              <w:spacing w:before="92"/>
              <w:ind w:left="143"/>
              <w:jc w:val="left"/>
              <w:rPr>
                <w:rFonts w:ascii="Carlito"/>
                <w:sz w:val="16"/>
              </w:rPr>
            </w:pPr>
            <w:r>
              <w:rPr>
                <w:rFonts w:ascii="Carlito"/>
                <w:sz w:val="16"/>
              </w:rPr>
              <w:t>Lomas de Ayarco Sur</w:t>
            </w:r>
          </w:p>
        </w:tc>
        <w:tc>
          <w:tcPr>
            <w:tcW w:w="575" w:type="dxa"/>
          </w:tcPr>
          <w:p>
            <w:pPr>
              <w:pStyle w:val="TableParagraph"/>
              <w:spacing w:before="92"/>
              <w:ind w:right="69"/>
              <w:rPr>
                <w:rFonts w:ascii="Carlito"/>
                <w:sz w:val="16"/>
              </w:rPr>
            </w:pPr>
            <w:r>
              <w:rPr>
                <w:rFonts w:ascii="Carlito"/>
                <w:sz w:val="16"/>
              </w:rPr>
              <w:t>0</w:t>
            </w:r>
          </w:p>
        </w:tc>
        <w:tc>
          <w:tcPr>
            <w:tcW w:w="1358" w:type="dxa"/>
          </w:tcPr>
          <w:p>
            <w:pPr>
              <w:pStyle w:val="TableParagraph"/>
              <w:spacing w:before="92"/>
              <w:ind w:right="355"/>
              <w:rPr>
                <w:rFonts w:ascii="Carlito"/>
                <w:sz w:val="16"/>
              </w:rPr>
            </w:pPr>
            <w:r>
              <w:rPr>
                <w:rFonts w:ascii="Carlito"/>
                <w:sz w:val="16"/>
              </w:rPr>
              <w:t>$180,000.00</w:t>
            </w:r>
          </w:p>
        </w:tc>
        <w:tc>
          <w:tcPr>
            <w:tcW w:w="1061" w:type="dxa"/>
          </w:tcPr>
          <w:p>
            <w:pPr>
              <w:pStyle w:val="TableParagraph"/>
              <w:spacing w:before="92"/>
              <w:ind w:right="341"/>
              <w:rPr>
                <w:rFonts w:ascii="Carlito"/>
                <w:sz w:val="16"/>
              </w:rPr>
            </w:pPr>
            <w:r>
              <w:rPr>
                <w:rFonts w:ascii="Carlito"/>
                <w:sz w:val="16"/>
              </w:rPr>
              <w:t>150</w:t>
            </w:r>
          </w:p>
        </w:tc>
        <w:tc>
          <w:tcPr>
            <w:tcW w:w="1126" w:type="dxa"/>
          </w:tcPr>
          <w:p>
            <w:pPr>
              <w:pStyle w:val="TableParagraph"/>
              <w:spacing w:before="92"/>
              <w:ind w:left="318" w:right="440"/>
              <w:jc w:val="center"/>
              <w:rPr>
                <w:rFonts w:ascii="Carlito"/>
                <w:sz w:val="16"/>
              </w:rPr>
            </w:pPr>
            <w:r>
              <w:rPr>
                <w:rFonts w:ascii="Carlito"/>
                <w:sz w:val="16"/>
              </w:rPr>
              <w:t>2016</w:t>
            </w:r>
          </w:p>
        </w:tc>
        <w:tc>
          <w:tcPr>
            <w:tcW w:w="783" w:type="dxa"/>
          </w:tcPr>
          <w:p>
            <w:pPr>
              <w:pStyle w:val="TableParagraph"/>
              <w:spacing w:before="92"/>
              <w:ind w:right="236"/>
              <w:rPr>
                <w:rFonts w:ascii="Carlito"/>
                <w:sz w:val="16"/>
              </w:rPr>
            </w:pPr>
            <w:r>
              <w:rPr>
                <w:rFonts w:ascii="Carlito"/>
                <w:sz w:val="16"/>
              </w:rPr>
              <w:t>3</w:t>
            </w:r>
          </w:p>
        </w:tc>
        <w:tc>
          <w:tcPr>
            <w:tcW w:w="745" w:type="dxa"/>
          </w:tcPr>
          <w:p>
            <w:pPr>
              <w:pStyle w:val="TableParagraph"/>
              <w:spacing w:before="92"/>
              <w:ind w:right="305"/>
              <w:rPr>
                <w:rFonts w:ascii="Carlito"/>
                <w:sz w:val="16"/>
              </w:rPr>
            </w:pPr>
            <w:r>
              <w:rPr>
                <w:rFonts w:ascii="Carlito"/>
                <w:sz w:val="16"/>
              </w:rPr>
              <w:t>2.5</w:t>
            </w:r>
          </w:p>
        </w:tc>
        <w:tc>
          <w:tcPr>
            <w:tcW w:w="856" w:type="dxa"/>
          </w:tcPr>
          <w:p>
            <w:pPr>
              <w:pStyle w:val="TableParagraph"/>
              <w:spacing w:before="92"/>
              <w:ind w:left="300"/>
              <w:jc w:val="left"/>
              <w:rPr>
                <w:rFonts w:ascii="Carlito"/>
                <w:sz w:val="16"/>
              </w:rPr>
            </w:pPr>
            <w:r>
              <w:rPr>
                <w:rFonts w:ascii="Carlito"/>
                <w:sz w:val="16"/>
              </w:rPr>
              <w:t>2</w:t>
            </w:r>
          </w:p>
        </w:tc>
        <w:tc>
          <w:tcPr>
            <w:tcW w:w="1210" w:type="dxa"/>
          </w:tcPr>
          <w:p>
            <w:pPr>
              <w:pStyle w:val="TableParagraph"/>
              <w:spacing w:before="92"/>
              <w:ind w:right="534"/>
              <w:rPr>
                <w:rFonts w:ascii="Carlito"/>
                <w:sz w:val="16"/>
              </w:rPr>
            </w:pPr>
            <w:r>
              <w:rPr>
                <w:rFonts w:ascii="Carlito"/>
                <w:sz w:val="16"/>
              </w:rPr>
              <w:t>8.8</w:t>
            </w:r>
          </w:p>
        </w:tc>
        <w:tc>
          <w:tcPr>
            <w:tcW w:w="1180" w:type="dxa"/>
          </w:tcPr>
          <w:p>
            <w:pPr>
              <w:pStyle w:val="TableParagraph"/>
              <w:spacing w:before="92"/>
              <w:ind w:right="366"/>
              <w:rPr>
                <w:rFonts w:ascii="Carlito"/>
                <w:sz w:val="16"/>
              </w:rPr>
            </w:pPr>
            <w:r>
              <w:rPr>
                <w:rFonts w:ascii="Carlito"/>
                <w:sz w:val="16"/>
              </w:rPr>
              <w:t>2.8</w:t>
            </w:r>
          </w:p>
        </w:tc>
        <w:tc>
          <w:tcPr>
            <w:tcW w:w="826" w:type="dxa"/>
          </w:tcPr>
          <w:p>
            <w:pPr>
              <w:pStyle w:val="TableParagraph"/>
              <w:spacing w:before="92"/>
              <w:ind w:right="380"/>
              <w:rPr>
                <w:rFonts w:ascii="Carlito"/>
                <w:sz w:val="16"/>
              </w:rPr>
            </w:pPr>
            <w:r>
              <w:rPr>
                <w:rFonts w:ascii="Carlito"/>
                <w:sz w:val="16"/>
              </w:rPr>
              <w:t>0</w:t>
            </w:r>
          </w:p>
        </w:tc>
        <w:tc>
          <w:tcPr>
            <w:tcW w:w="530" w:type="dxa"/>
          </w:tcPr>
          <w:p>
            <w:pPr>
              <w:pStyle w:val="TableParagraph"/>
              <w:spacing w:before="92"/>
              <w:ind w:right="6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199</w:t>
            </w:r>
          </w:p>
        </w:tc>
        <w:tc>
          <w:tcPr>
            <w:tcW w:w="1958" w:type="dxa"/>
            <w:shd w:val="clear" w:color="auto" w:fill="D9D9D9"/>
          </w:tcPr>
          <w:p>
            <w:pPr>
              <w:pStyle w:val="TableParagraph"/>
              <w:ind w:left="143"/>
              <w:jc w:val="left"/>
              <w:rPr>
                <w:rFonts w:ascii="Carlito"/>
                <w:sz w:val="16"/>
              </w:rPr>
            </w:pPr>
            <w:r>
              <w:rPr>
                <w:rFonts w:ascii="Carlito"/>
                <w:sz w:val="16"/>
              </w:rPr>
              <w:t>Colinas Montealegre</w:t>
            </w:r>
          </w:p>
        </w:tc>
        <w:tc>
          <w:tcPr>
            <w:tcW w:w="575" w:type="dxa"/>
            <w:shd w:val="clear" w:color="auto" w:fill="D9D9D9"/>
          </w:tcPr>
          <w:p>
            <w:pPr>
              <w:pStyle w:val="TableParagraph"/>
              <w:ind w:right="69"/>
              <w:rPr>
                <w:rFonts w:ascii="Carlito"/>
                <w:sz w:val="16"/>
              </w:rPr>
            </w:pPr>
            <w:r>
              <w:rPr>
                <w:rFonts w:ascii="Carlito"/>
                <w:sz w:val="16"/>
              </w:rPr>
              <w:t>0</w:t>
            </w:r>
          </w:p>
        </w:tc>
        <w:tc>
          <w:tcPr>
            <w:tcW w:w="1358" w:type="dxa"/>
            <w:shd w:val="clear" w:color="auto" w:fill="D9D9D9"/>
          </w:tcPr>
          <w:p>
            <w:pPr>
              <w:pStyle w:val="TableParagraph"/>
              <w:ind w:right="355"/>
              <w:rPr>
                <w:rFonts w:ascii="Carlito"/>
                <w:sz w:val="16"/>
              </w:rPr>
            </w:pPr>
            <w:r>
              <w:rPr>
                <w:rFonts w:ascii="Carlito"/>
                <w:sz w:val="16"/>
              </w:rPr>
              <w:t>$795,000.00</w:t>
            </w:r>
          </w:p>
        </w:tc>
        <w:tc>
          <w:tcPr>
            <w:tcW w:w="1061" w:type="dxa"/>
            <w:shd w:val="clear" w:color="auto" w:fill="D9D9D9"/>
          </w:tcPr>
          <w:p>
            <w:pPr>
              <w:pStyle w:val="TableParagraph"/>
              <w:ind w:right="339"/>
              <w:rPr>
                <w:rFonts w:ascii="Carlito"/>
                <w:sz w:val="16"/>
              </w:rPr>
            </w:pPr>
            <w:r>
              <w:rPr>
                <w:rFonts w:ascii="Carlito"/>
                <w:sz w:val="16"/>
              </w:rPr>
              <w:t>508.3</w:t>
            </w:r>
          </w:p>
        </w:tc>
        <w:tc>
          <w:tcPr>
            <w:tcW w:w="1126" w:type="dxa"/>
            <w:shd w:val="clear" w:color="auto" w:fill="D9D9D9"/>
          </w:tcPr>
          <w:p>
            <w:pPr>
              <w:pStyle w:val="TableParagraph"/>
              <w:ind w:left="318" w:right="440"/>
              <w:jc w:val="center"/>
              <w:rPr>
                <w:rFonts w:ascii="Carlito"/>
                <w:sz w:val="16"/>
              </w:rPr>
            </w:pPr>
            <w:r>
              <w:rPr>
                <w:rFonts w:ascii="Carlito"/>
                <w:sz w:val="16"/>
              </w:rPr>
              <w:t>2011</w:t>
            </w:r>
          </w:p>
        </w:tc>
        <w:tc>
          <w:tcPr>
            <w:tcW w:w="783" w:type="dxa"/>
            <w:shd w:val="clear" w:color="auto" w:fill="D9D9D9"/>
          </w:tcPr>
          <w:p>
            <w:pPr>
              <w:pStyle w:val="TableParagraph"/>
              <w:ind w:right="236"/>
              <w:rPr>
                <w:rFonts w:ascii="Carlito"/>
                <w:sz w:val="16"/>
              </w:rPr>
            </w:pPr>
            <w:r>
              <w:rPr>
                <w:rFonts w:ascii="Carlito"/>
                <w:sz w:val="16"/>
              </w:rPr>
              <w:t>5</w:t>
            </w:r>
          </w:p>
        </w:tc>
        <w:tc>
          <w:tcPr>
            <w:tcW w:w="745" w:type="dxa"/>
            <w:shd w:val="clear" w:color="auto" w:fill="D9D9D9"/>
          </w:tcPr>
          <w:p>
            <w:pPr>
              <w:pStyle w:val="TableParagraph"/>
              <w:ind w:right="305"/>
              <w:rPr>
                <w:rFonts w:ascii="Carlito"/>
                <w:sz w:val="16"/>
              </w:rPr>
            </w:pPr>
            <w:r>
              <w:rPr>
                <w:rFonts w:ascii="Carlito"/>
                <w:sz w:val="16"/>
              </w:rPr>
              <w:t>4.5</w:t>
            </w:r>
          </w:p>
        </w:tc>
        <w:tc>
          <w:tcPr>
            <w:tcW w:w="856" w:type="dxa"/>
            <w:shd w:val="clear" w:color="auto" w:fill="D9D9D9"/>
          </w:tcPr>
          <w:p>
            <w:pPr>
              <w:pStyle w:val="TableParagraph"/>
              <w:ind w:left="300"/>
              <w:jc w:val="left"/>
              <w:rPr>
                <w:rFonts w:ascii="Carlito"/>
                <w:sz w:val="16"/>
              </w:rPr>
            </w:pPr>
            <w:r>
              <w:rPr>
                <w:rFonts w:ascii="Carlito"/>
                <w:sz w:val="16"/>
              </w:rPr>
              <w:t>2</w:t>
            </w:r>
          </w:p>
        </w:tc>
        <w:tc>
          <w:tcPr>
            <w:tcW w:w="1210" w:type="dxa"/>
            <w:shd w:val="clear" w:color="auto" w:fill="D9D9D9"/>
          </w:tcPr>
          <w:p>
            <w:pPr>
              <w:pStyle w:val="TableParagraph"/>
              <w:ind w:right="534"/>
              <w:rPr>
                <w:rFonts w:ascii="Carlito"/>
                <w:sz w:val="16"/>
              </w:rPr>
            </w:pPr>
            <w:r>
              <w:rPr>
                <w:rFonts w:ascii="Carlito"/>
                <w:sz w:val="16"/>
              </w:rPr>
              <w:t>8.8</w:t>
            </w:r>
          </w:p>
        </w:tc>
        <w:tc>
          <w:tcPr>
            <w:tcW w:w="1180" w:type="dxa"/>
            <w:shd w:val="clear" w:color="auto" w:fill="D9D9D9"/>
          </w:tcPr>
          <w:p>
            <w:pPr>
              <w:pStyle w:val="TableParagraph"/>
              <w:ind w:right="366"/>
              <w:rPr>
                <w:rFonts w:ascii="Carlito"/>
                <w:sz w:val="16"/>
              </w:rPr>
            </w:pPr>
            <w:r>
              <w:rPr>
                <w:rFonts w:ascii="Carlito"/>
                <w:sz w:val="16"/>
              </w:rPr>
              <w:t>3.3</w:t>
            </w:r>
          </w:p>
        </w:tc>
        <w:tc>
          <w:tcPr>
            <w:tcW w:w="826" w:type="dxa"/>
            <w:shd w:val="clear" w:color="auto" w:fill="D9D9D9"/>
          </w:tcPr>
          <w:p>
            <w:pPr>
              <w:pStyle w:val="TableParagraph"/>
              <w:ind w:right="380"/>
              <w:rPr>
                <w:rFonts w:ascii="Carlito"/>
                <w:sz w:val="16"/>
              </w:rPr>
            </w:pPr>
            <w:r>
              <w:rPr>
                <w:rFonts w:ascii="Carlito"/>
                <w:sz w:val="16"/>
              </w:rPr>
              <w:t>1</w:t>
            </w:r>
          </w:p>
        </w:tc>
        <w:tc>
          <w:tcPr>
            <w:tcW w:w="530" w:type="dxa"/>
            <w:shd w:val="clear" w:color="auto" w:fill="D9D9D9"/>
          </w:tcPr>
          <w:p>
            <w:pPr>
              <w:pStyle w:val="TableParagraph"/>
              <w:ind w:right="66"/>
              <w:rPr>
                <w:rFonts w:ascii="Carlito"/>
                <w:sz w:val="16"/>
              </w:rPr>
            </w:pPr>
            <w:r>
              <w:rPr>
                <w:rFonts w:ascii="Carlito"/>
                <w:sz w:val="16"/>
              </w:rPr>
              <w:t>1</w:t>
            </w:r>
          </w:p>
        </w:tc>
      </w:tr>
      <w:tr>
        <w:trPr>
          <w:trHeight w:val="288" w:hRule="atLeast"/>
        </w:trPr>
        <w:tc>
          <w:tcPr>
            <w:tcW w:w="756" w:type="dxa"/>
          </w:tcPr>
          <w:p>
            <w:pPr>
              <w:pStyle w:val="TableParagraph"/>
              <w:spacing w:before="92"/>
              <w:ind w:right="143"/>
              <w:rPr>
                <w:rFonts w:ascii="Carlito"/>
                <w:sz w:val="16"/>
              </w:rPr>
            </w:pPr>
            <w:r>
              <w:rPr>
                <w:rFonts w:ascii="Carlito"/>
                <w:sz w:val="16"/>
              </w:rPr>
              <w:t>200</w:t>
            </w:r>
          </w:p>
        </w:tc>
        <w:tc>
          <w:tcPr>
            <w:tcW w:w="1958" w:type="dxa"/>
          </w:tcPr>
          <w:p>
            <w:pPr>
              <w:pStyle w:val="TableParagraph"/>
              <w:spacing w:before="92"/>
              <w:ind w:left="143"/>
              <w:jc w:val="left"/>
              <w:rPr>
                <w:rFonts w:ascii="Carlito"/>
                <w:sz w:val="16"/>
              </w:rPr>
            </w:pPr>
            <w:r>
              <w:rPr>
                <w:rFonts w:ascii="Carlito"/>
                <w:sz w:val="16"/>
              </w:rPr>
              <w:t>Granadilla</w:t>
            </w:r>
          </w:p>
        </w:tc>
        <w:tc>
          <w:tcPr>
            <w:tcW w:w="575" w:type="dxa"/>
          </w:tcPr>
          <w:p>
            <w:pPr>
              <w:pStyle w:val="TableParagraph"/>
              <w:spacing w:before="92"/>
              <w:ind w:right="69"/>
              <w:rPr>
                <w:rFonts w:ascii="Carlito"/>
                <w:sz w:val="16"/>
              </w:rPr>
            </w:pPr>
            <w:r>
              <w:rPr>
                <w:rFonts w:ascii="Carlito"/>
                <w:sz w:val="16"/>
              </w:rPr>
              <w:t>1</w:t>
            </w:r>
          </w:p>
        </w:tc>
        <w:tc>
          <w:tcPr>
            <w:tcW w:w="1358" w:type="dxa"/>
          </w:tcPr>
          <w:p>
            <w:pPr>
              <w:pStyle w:val="TableParagraph"/>
              <w:spacing w:before="92"/>
              <w:ind w:right="355"/>
              <w:rPr>
                <w:rFonts w:ascii="Carlito"/>
                <w:sz w:val="16"/>
              </w:rPr>
            </w:pPr>
            <w:r>
              <w:rPr>
                <w:rFonts w:ascii="Carlito"/>
                <w:sz w:val="16"/>
              </w:rPr>
              <w:t>$499,000.00</w:t>
            </w:r>
          </w:p>
        </w:tc>
        <w:tc>
          <w:tcPr>
            <w:tcW w:w="1061" w:type="dxa"/>
          </w:tcPr>
          <w:p>
            <w:pPr>
              <w:pStyle w:val="TableParagraph"/>
              <w:spacing w:before="92"/>
              <w:ind w:right="341"/>
              <w:rPr>
                <w:rFonts w:ascii="Carlito"/>
                <w:sz w:val="16"/>
              </w:rPr>
            </w:pPr>
            <w:r>
              <w:rPr>
                <w:rFonts w:ascii="Carlito"/>
                <w:sz w:val="16"/>
              </w:rPr>
              <w:t>500</w:t>
            </w:r>
          </w:p>
        </w:tc>
        <w:tc>
          <w:tcPr>
            <w:tcW w:w="1126" w:type="dxa"/>
          </w:tcPr>
          <w:p>
            <w:pPr>
              <w:pStyle w:val="TableParagraph"/>
              <w:spacing w:before="92"/>
              <w:ind w:left="318" w:right="440"/>
              <w:jc w:val="center"/>
              <w:rPr>
                <w:rFonts w:ascii="Carlito"/>
                <w:sz w:val="16"/>
              </w:rPr>
            </w:pPr>
            <w:r>
              <w:rPr>
                <w:rFonts w:ascii="Carlito"/>
                <w:sz w:val="16"/>
              </w:rPr>
              <w:t>2006</w:t>
            </w:r>
          </w:p>
        </w:tc>
        <w:tc>
          <w:tcPr>
            <w:tcW w:w="783" w:type="dxa"/>
          </w:tcPr>
          <w:p>
            <w:pPr>
              <w:pStyle w:val="TableParagraph"/>
              <w:spacing w:before="92"/>
              <w:ind w:right="236"/>
              <w:rPr>
                <w:rFonts w:ascii="Carlito"/>
                <w:sz w:val="16"/>
              </w:rPr>
            </w:pPr>
            <w:r>
              <w:rPr>
                <w:rFonts w:ascii="Carlito"/>
                <w:sz w:val="16"/>
              </w:rPr>
              <w:t>2</w:t>
            </w:r>
          </w:p>
        </w:tc>
        <w:tc>
          <w:tcPr>
            <w:tcW w:w="745" w:type="dxa"/>
          </w:tcPr>
          <w:p>
            <w:pPr>
              <w:pStyle w:val="TableParagraph"/>
              <w:spacing w:before="92"/>
              <w:ind w:right="300"/>
              <w:rPr>
                <w:rFonts w:ascii="Carlito"/>
                <w:sz w:val="16"/>
              </w:rPr>
            </w:pPr>
            <w:r>
              <w:rPr>
                <w:rFonts w:ascii="Carlito"/>
                <w:sz w:val="16"/>
              </w:rPr>
              <w:t>3</w:t>
            </w:r>
          </w:p>
        </w:tc>
        <w:tc>
          <w:tcPr>
            <w:tcW w:w="856" w:type="dxa"/>
          </w:tcPr>
          <w:p>
            <w:pPr>
              <w:pStyle w:val="TableParagraph"/>
              <w:spacing w:before="92"/>
              <w:ind w:left="300"/>
              <w:jc w:val="left"/>
              <w:rPr>
                <w:rFonts w:ascii="Carlito"/>
                <w:sz w:val="16"/>
              </w:rPr>
            </w:pPr>
            <w:r>
              <w:rPr>
                <w:rFonts w:ascii="Carlito"/>
                <w:sz w:val="16"/>
              </w:rPr>
              <w:t>2</w:t>
            </w:r>
          </w:p>
        </w:tc>
        <w:tc>
          <w:tcPr>
            <w:tcW w:w="1210" w:type="dxa"/>
          </w:tcPr>
          <w:p>
            <w:pPr>
              <w:pStyle w:val="TableParagraph"/>
              <w:spacing w:before="92"/>
              <w:ind w:right="534"/>
              <w:rPr>
                <w:rFonts w:ascii="Carlito"/>
                <w:sz w:val="16"/>
              </w:rPr>
            </w:pPr>
            <w:r>
              <w:rPr>
                <w:rFonts w:ascii="Carlito"/>
                <w:sz w:val="16"/>
              </w:rPr>
              <w:t>7.2</w:t>
            </w:r>
          </w:p>
        </w:tc>
        <w:tc>
          <w:tcPr>
            <w:tcW w:w="1180" w:type="dxa"/>
          </w:tcPr>
          <w:p>
            <w:pPr>
              <w:pStyle w:val="TableParagraph"/>
              <w:spacing w:before="92"/>
              <w:ind w:right="366"/>
              <w:rPr>
                <w:rFonts w:ascii="Carlito"/>
                <w:sz w:val="16"/>
              </w:rPr>
            </w:pPr>
            <w:r>
              <w:rPr>
                <w:rFonts w:ascii="Carlito"/>
                <w:sz w:val="16"/>
              </w:rPr>
              <w:t>5.6</w:t>
            </w:r>
          </w:p>
        </w:tc>
        <w:tc>
          <w:tcPr>
            <w:tcW w:w="826" w:type="dxa"/>
          </w:tcPr>
          <w:p>
            <w:pPr>
              <w:pStyle w:val="TableParagraph"/>
              <w:spacing w:before="92"/>
              <w:ind w:right="380"/>
              <w:rPr>
                <w:rFonts w:ascii="Carlito"/>
                <w:sz w:val="16"/>
              </w:rPr>
            </w:pPr>
            <w:r>
              <w:rPr>
                <w:rFonts w:ascii="Carlito"/>
                <w:sz w:val="16"/>
              </w:rPr>
              <w:t>1</w:t>
            </w:r>
          </w:p>
        </w:tc>
        <w:tc>
          <w:tcPr>
            <w:tcW w:w="530" w:type="dxa"/>
          </w:tcPr>
          <w:p>
            <w:pPr>
              <w:pStyle w:val="TableParagraph"/>
              <w:spacing w:before="92"/>
              <w:ind w:right="66"/>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201</w:t>
            </w:r>
          </w:p>
        </w:tc>
        <w:tc>
          <w:tcPr>
            <w:tcW w:w="1958" w:type="dxa"/>
            <w:shd w:val="clear" w:color="auto" w:fill="D9D9D9"/>
          </w:tcPr>
          <w:p>
            <w:pPr>
              <w:pStyle w:val="TableParagraph"/>
              <w:ind w:left="143"/>
              <w:jc w:val="left"/>
              <w:rPr>
                <w:rFonts w:ascii="Carlito"/>
                <w:sz w:val="16"/>
              </w:rPr>
            </w:pPr>
            <w:r>
              <w:rPr>
                <w:rFonts w:ascii="Carlito"/>
                <w:sz w:val="16"/>
              </w:rPr>
              <w:t>Curridabat</w:t>
            </w:r>
          </w:p>
        </w:tc>
        <w:tc>
          <w:tcPr>
            <w:tcW w:w="575" w:type="dxa"/>
            <w:shd w:val="clear" w:color="auto" w:fill="D9D9D9"/>
          </w:tcPr>
          <w:p>
            <w:pPr>
              <w:pStyle w:val="TableParagraph"/>
              <w:ind w:right="69"/>
              <w:rPr>
                <w:rFonts w:ascii="Carlito"/>
                <w:sz w:val="16"/>
              </w:rPr>
            </w:pPr>
            <w:r>
              <w:rPr>
                <w:rFonts w:ascii="Carlito"/>
                <w:sz w:val="16"/>
              </w:rPr>
              <w:t>0</w:t>
            </w:r>
          </w:p>
        </w:tc>
        <w:tc>
          <w:tcPr>
            <w:tcW w:w="1358" w:type="dxa"/>
            <w:shd w:val="clear" w:color="auto" w:fill="D9D9D9"/>
          </w:tcPr>
          <w:p>
            <w:pPr>
              <w:pStyle w:val="TableParagraph"/>
              <w:ind w:right="355"/>
              <w:rPr>
                <w:rFonts w:ascii="Carlito"/>
                <w:sz w:val="16"/>
              </w:rPr>
            </w:pPr>
            <w:r>
              <w:rPr>
                <w:rFonts w:ascii="Carlito"/>
                <w:sz w:val="16"/>
              </w:rPr>
              <w:t>$1,150,000.00</w:t>
            </w:r>
          </w:p>
        </w:tc>
        <w:tc>
          <w:tcPr>
            <w:tcW w:w="1061" w:type="dxa"/>
            <w:shd w:val="clear" w:color="auto" w:fill="D9D9D9"/>
          </w:tcPr>
          <w:p>
            <w:pPr>
              <w:pStyle w:val="TableParagraph"/>
              <w:ind w:right="341"/>
              <w:rPr>
                <w:rFonts w:ascii="Carlito"/>
                <w:sz w:val="16"/>
              </w:rPr>
            </w:pPr>
            <w:r>
              <w:rPr>
                <w:rFonts w:ascii="Carlito"/>
                <w:sz w:val="16"/>
              </w:rPr>
              <w:t>550</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3" w:type="dxa"/>
            <w:shd w:val="clear" w:color="auto" w:fill="D9D9D9"/>
          </w:tcPr>
          <w:p>
            <w:pPr>
              <w:pStyle w:val="TableParagraph"/>
              <w:ind w:right="236"/>
              <w:rPr>
                <w:rFonts w:ascii="Carlito"/>
                <w:sz w:val="16"/>
              </w:rPr>
            </w:pPr>
            <w:r>
              <w:rPr>
                <w:rFonts w:ascii="Carlito"/>
                <w:sz w:val="16"/>
              </w:rPr>
              <w:t>4</w:t>
            </w:r>
          </w:p>
        </w:tc>
        <w:tc>
          <w:tcPr>
            <w:tcW w:w="745" w:type="dxa"/>
            <w:shd w:val="clear" w:color="auto" w:fill="D9D9D9"/>
          </w:tcPr>
          <w:p>
            <w:pPr>
              <w:pStyle w:val="TableParagraph"/>
              <w:ind w:right="305"/>
              <w:rPr>
                <w:rFonts w:ascii="Carlito"/>
                <w:sz w:val="16"/>
              </w:rPr>
            </w:pPr>
            <w:r>
              <w:rPr>
                <w:rFonts w:ascii="Carlito"/>
                <w:sz w:val="16"/>
              </w:rPr>
              <w:t>4.5</w:t>
            </w:r>
          </w:p>
        </w:tc>
        <w:tc>
          <w:tcPr>
            <w:tcW w:w="856" w:type="dxa"/>
            <w:shd w:val="clear" w:color="auto" w:fill="D9D9D9"/>
          </w:tcPr>
          <w:p>
            <w:pPr>
              <w:pStyle w:val="TableParagraph"/>
              <w:ind w:left="300"/>
              <w:jc w:val="left"/>
              <w:rPr>
                <w:rFonts w:ascii="Carlito"/>
                <w:sz w:val="16"/>
              </w:rPr>
            </w:pPr>
            <w:r>
              <w:rPr>
                <w:rFonts w:ascii="Carlito"/>
                <w:sz w:val="16"/>
              </w:rPr>
              <w:t>2</w:t>
            </w:r>
          </w:p>
        </w:tc>
        <w:tc>
          <w:tcPr>
            <w:tcW w:w="1210" w:type="dxa"/>
            <w:shd w:val="clear" w:color="auto" w:fill="D9D9D9"/>
          </w:tcPr>
          <w:p>
            <w:pPr>
              <w:pStyle w:val="TableParagraph"/>
              <w:ind w:right="534"/>
              <w:rPr>
                <w:rFonts w:ascii="Carlito"/>
                <w:sz w:val="16"/>
              </w:rPr>
            </w:pPr>
            <w:r>
              <w:rPr>
                <w:rFonts w:ascii="Carlito"/>
                <w:sz w:val="16"/>
              </w:rPr>
              <w:t>5.7</w:t>
            </w:r>
          </w:p>
        </w:tc>
        <w:tc>
          <w:tcPr>
            <w:tcW w:w="1180" w:type="dxa"/>
            <w:shd w:val="clear" w:color="auto" w:fill="D9D9D9"/>
          </w:tcPr>
          <w:p>
            <w:pPr>
              <w:pStyle w:val="TableParagraph"/>
              <w:ind w:right="366"/>
              <w:rPr>
                <w:rFonts w:ascii="Carlito"/>
                <w:sz w:val="16"/>
              </w:rPr>
            </w:pPr>
            <w:r>
              <w:rPr>
                <w:rFonts w:ascii="Carlito"/>
                <w:sz w:val="16"/>
              </w:rPr>
              <w:t>3.2</w:t>
            </w:r>
          </w:p>
        </w:tc>
        <w:tc>
          <w:tcPr>
            <w:tcW w:w="826" w:type="dxa"/>
            <w:shd w:val="clear" w:color="auto" w:fill="D9D9D9"/>
          </w:tcPr>
          <w:p>
            <w:pPr>
              <w:pStyle w:val="TableParagraph"/>
              <w:ind w:right="380"/>
              <w:rPr>
                <w:rFonts w:ascii="Carlito"/>
                <w:sz w:val="16"/>
              </w:rPr>
            </w:pPr>
            <w:r>
              <w:rPr>
                <w:rFonts w:ascii="Carlito"/>
                <w:sz w:val="16"/>
              </w:rPr>
              <w:t>0</w:t>
            </w:r>
          </w:p>
        </w:tc>
        <w:tc>
          <w:tcPr>
            <w:tcW w:w="530" w:type="dxa"/>
            <w:shd w:val="clear" w:color="auto" w:fill="D9D9D9"/>
          </w:tcPr>
          <w:p>
            <w:pPr>
              <w:pStyle w:val="TableParagraph"/>
              <w:ind w:right="66"/>
              <w:rPr>
                <w:rFonts w:ascii="Carlito"/>
                <w:sz w:val="16"/>
              </w:rPr>
            </w:pPr>
            <w:r>
              <w:rPr>
                <w:rFonts w:ascii="Carlito"/>
                <w:sz w:val="16"/>
              </w:rPr>
              <w:t>1</w:t>
            </w:r>
          </w:p>
        </w:tc>
      </w:tr>
      <w:tr>
        <w:trPr>
          <w:trHeight w:val="288" w:hRule="atLeast"/>
        </w:trPr>
        <w:tc>
          <w:tcPr>
            <w:tcW w:w="756" w:type="dxa"/>
          </w:tcPr>
          <w:p>
            <w:pPr>
              <w:pStyle w:val="TableParagraph"/>
              <w:spacing w:before="92"/>
              <w:ind w:right="143"/>
              <w:rPr>
                <w:rFonts w:ascii="Carlito"/>
                <w:sz w:val="16"/>
              </w:rPr>
            </w:pPr>
            <w:r>
              <w:rPr>
                <w:rFonts w:ascii="Carlito"/>
                <w:sz w:val="16"/>
              </w:rPr>
              <w:t>202</w:t>
            </w:r>
          </w:p>
        </w:tc>
        <w:tc>
          <w:tcPr>
            <w:tcW w:w="1958" w:type="dxa"/>
          </w:tcPr>
          <w:p>
            <w:pPr>
              <w:pStyle w:val="TableParagraph"/>
              <w:spacing w:before="92"/>
              <w:ind w:left="143"/>
              <w:jc w:val="left"/>
              <w:rPr>
                <w:rFonts w:ascii="Carlito"/>
                <w:sz w:val="16"/>
              </w:rPr>
            </w:pPr>
            <w:r>
              <w:rPr>
                <w:rFonts w:ascii="Carlito"/>
                <w:sz w:val="16"/>
              </w:rPr>
              <w:t>Cipreses</w:t>
            </w:r>
          </w:p>
        </w:tc>
        <w:tc>
          <w:tcPr>
            <w:tcW w:w="575" w:type="dxa"/>
          </w:tcPr>
          <w:p>
            <w:pPr>
              <w:pStyle w:val="TableParagraph"/>
              <w:spacing w:before="92"/>
              <w:ind w:right="69"/>
              <w:rPr>
                <w:rFonts w:ascii="Carlito"/>
                <w:sz w:val="16"/>
              </w:rPr>
            </w:pPr>
            <w:r>
              <w:rPr>
                <w:rFonts w:ascii="Carlito"/>
                <w:sz w:val="16"/>
              </w:rPr>
              <w:t>0</w:t>
            </w:r>
          </w:p>
        </w:tc>
        <w:tc>
          <w:tcPr>
            <w:tcW w:w="1358" w:type="dxa"/>
          </w:tcPr>
          <w:p>
            <w:pPr>
              <w:pStyle w:val="TableParagraph"/>
              <w:spacing w:before="92"/>
              <w:ind w:right="355"/>
              <w:rPr>
                <w:rFonts w:ascii="Carlito"/>
                <w:sz w:val="16"/>
              </w:rPr>
            </w:pPr>
            <w:r>
              <w:rPr>
                <w:rFonts w:ascii="Carlito"/>
                <w:sz w:val="16"/>
              </w:rPr>
              <w:t>$230,000.00</w:t>
            </w:r>
          </w:p>
        </w:tc>
        <w:tc>
          <w:tcPr>
            <w:tcW w:w="1061" w:type="dxa"/>
          </w:tcPr>
          <w:p>
            <w:pPr>
              <w:pStyle w:val="TableParagraph"/>
              <w:spacing w:before="92"/>
              <w:ind w:right="341"/>
              <w:rPr>
                <w:rFonts w:ascii="Carlito"/>
                <w:sz w:val="16"/>
              </w:rPr>
            </w:pPr>
            <w:r>
              <w:rPr>
                <w:rFonts w:ascii="Carlito"/>
                <w:sz w:val="16"/>
              </w:rPr>
              <w:t>195</w:t>
            </w:r>
          </w:p>
        </w:tc>
        <w:tc>
          <w:tcPr>
            <w:tcW w:w="1126" w:type="dxa"/>
          </w:tcPr>
          <w:p>
            <w:pPr>
              <w:pStyle w:val="TableParagraph"/>
              <w:spacing w:before="92"/>
              <w:ind w:left="318" w:right="440"/>
              <w:jc w:val="center"/>
              <w:rPr>
                <w:rFonts w:ascii="Carlito"/>
                <w:sz w:val="16"/>
              </w:rPr>
            </w:pPr>
            <w:r>
              <w:rPr>
                <w:rFonts w:ascii="Carlito"/>
                <w:sz w:val="16"/>
              </w:rPr>
              <w:t>2006</w:t>
            </w:r>
          </w:p>
        </w:tc>
        <w:tc>
          <w:tcPr>
            <w:tcW w:w="783" w:type="dxa"/>
          </w:tcPr>
          <w:p>
            <w:pPr>
              <w:pStyle w:val="TableParagraph"/>
              <w:spacing w:before="92"/>
              <w:ind w:right="236"/>
              <w:rPr>
                <w:rFonts w:ascii="Carlito"/>
                <w:sz w:val="16"/>
              </w:rPr>
            </w:pPr>
            <w:r>
              <w:rPr>
                <w:rFonts w:ascii="Carlito"/>
                <w:sz w:val="16"/>
              </w:rPr>
              <w:t>3</w:t>
            </w:r>
          </w:p>
        </w:tc>
        <w:tc>
          <w:tcPr>
            <w:tcW w:w="745" w:type="dxa"/>
          </w:tcPr>
          <w:p>
            <w:pPr>
              <w:pStyle w:val="TableParagraph"/>
              <w:spacing w:before="92"/>
              <w:ind w:right="305"/>
              <w:rPr>
                <w:rFonts w:ascii="Carlito"/>
                <w:sz w:val="16"/>
              </w:rPr>
            </w:pPr>
            <w:r>
              <w:rPr>
                <w:rFonts w:ascii="Carlito"/>
                <w:sz w:val="16"/>
              </w:rPr>
              <w:t>2.5</w:t>
            </w:r>
          </w:p>
        </w:tc>
        <w:tc>
          <w:tcPr>
            <w:tcW w:w="856" w:type="dxa"/>
          </w:tcPr>
          <w:p>
            <w:pPr>
              <w:pStyle w:val="TableParagraph"/>
              <w:spacing w:before="92"/>
              <w:ind w:left="300"/>
              <w:jc w:val="left"/>
              <w:rPr>
                <w:rFonts w:ascii="Carlito"/>
                <w:sz w:val="16"/>
              </w:rPr>
            </w:pPr>
            <w:r>
              <w:rPr>
                <w:rFonts w:ascii="Carlito"/>
                <w:sz w:val="16"/>
              </w:rPr>
              <w:t>2</w:t>
            </w:r>
          </w:p>
        </w:tc>
        <w:tc>
          <w:tcPr>
            <w:tcW w:w="1210" w:type="dxa"/>
          </w:tcPr>
          <w:p>
            <w:pPr>
              <w:pStyle w:val="TableParagraph"/>
              <w:spacing w:before="92"/>
              <w:ind w:right="534"/>
              <w:rPr>
                <w:rFonts w:ascii="Carlito"/>
                <w:sz w:val="16"/>
              </w:rPr>
            </w:pPr>
            <w:r>
              <w:rPr>
                <w:rFonts w:ascii="Carlito"/>
                <w:sz w:val="16"/>
              </w:rPr>
              <w:t>6.9</w:t>
            </w:r>
          </w:p>
        </w:tc>
        <w:tc>
          <w:tcPr>
            <w:tcW w:w="1180" w:type="dxa"/>
          </w:tcPr>
          <w:p>
            <w:pPr>
              <w:pStyle w:val="TableParagraph"/>
              <w:spacing w:before="92"/>
              <w:ind w:right="366"/>
              <w:rPr>
                <w:rFonts w:ascii="Carlito"/>
                <w:sz w:val="16"/>
              </w:rPr>
            </w:pPr>
            <w:r>
              <w:rPr>
                <w:rFonts w:ascii="Carlito"/>
                <w:sz w:val="16"/>
              </w:rPr>
              <w:t>4.4</w:t>
            </w:r>
          </w:p>
        </w:tc>
        <w:tc>
          <w:tcPr>
            <w:tcW w:w="826" w:type="dxa"/>
          </w:tcPr>
          <w:p>
            <w:pPr>
              <w:pStyle w:val="TableParagraph"/>
              <w:spacing w:before="92"/>
              <w:ind w:right="380"/>
              <w:rPr>
                <w:rFonts w:ascii="Carlito"/>
                <w:sz w:val="16"/>
              </w:rPr>
            </w:pPr>
            <w:r>
              <w:rPr>
                <w:rFonts w:ascii="Carlito"/>
                <w:sz w:val="16"/>
              </w:rPr>
              <w:t>0</w:t>
            </w:r>
          </w:p>
        </w:tc>
        <w:tc>
          <w:tcPr>
            <w:tcW w:w="530" w:type="dxa"/>
          </w:tcPr>
          <w:p>
            <w:pPr>
              <w:pStyle w:val="TableParagraph"/>
              <w:spacing w:before="92"/>
              <w:ind w:right="6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203</w:t>
            </w:r>
          </w:p>
        </w:tc>
        <w:tc>
          <w:tcPr>
            <w:tcW w:w="1958" w:type="dxa"/>
            <w:shd w:val="clear" w:color="auto" w:fill="D9D9D9"/>
          </w:tcPr>
          <w:p>
            <w:pPr>
              <w:pStyle w:val="TableParagraph"/>
              <w:ind w:left="143"/>
              <w:jc w:val="left"/>
              <w:rPr>
                <w:rFonts w:ascii="Carlito"/>
                <w:sz w:val="16"/>
              </w:rPr>
            </w:pPr>
            <w:r>
              <w:rPr>
                <w:rFonts w:ascii="Carlito"/>
                <w:sz w:val="16"/>
              </w:rPr>
              <w:t>Lomas de Ayarco Sur</w:t>
            </w:r>
          </w:p>
        </w:tc>
        <w:tc>
          <w:tcPr>
            <w:tcW w:w="575" w:type="dxa"/>
            <w:shd w:val="clear" w:color="auto" w:fill="D9D9D9"/>
          </w:tcPr>
          <w:p>
            <w:pPr>
              <w:pStyle w:val="TableParagraph"/>
              <w:ind w:right="69"/>
              <w:rPr>
                <w:rFonts w:ascii="Carlito"/>
                <w:sz w:val="16"/>
              </w:rPr>
            </w:pPr>
            <w:r>
              <w:rPr>
                <w:rFonts w:ascii="Carlito"/>
                <w:sz w:val="16"/>
              </w:rPr>
              <w:t>1</w:t>
            </w:r>
          </w:p>
        </w:tc>
        <w:tc>
          <w:tcPr>
            <w:tcW w:w="1358" w:type="dxa"/>
            <w:shd w:val="clear" w:color="auto" w:fill="D9D9D9"/>
          </w:tcPr>
          <w:p>
            <w:pPr>
              <w:pStyle w:val="TableParagraph"/>
              <w:ind w:right="355"/>
              <w:rPr>
                <w:rFonts w:ascii="Carlito"/>
                <w:sz w:val="16"/>
              </w:rPr>
            </w:pPr>
            <w:r>
              <w:rPr>
                <w:rFonts w:ascii="Carlito"/>
                <w:sz w:val="16"/>
              </w:rPr>
              <w:t>$265,000.00</w:t>
            </w:r>
          </w:p>
        </w:tc>
        <w:tc>
          <w:tcPr>
            <w:tcW w:w="1061" w:type="dxa"/>
            <w:shd w:val="clear" w:color="auto" w:fill="D9D9D9"/>
          </w:tcPr>
          <w:p>
            <w:pPr>
              <w:pStyle w:val="TableParagraph"/>
              <w:ind w:right="341"/>
              <w:rPr>
                <w:rFonts w:ascii="Carlito"/>
                <w:sz w:val="16"/>
              </w:rPr>
            </w:pPr>
            <w:r>
              <w:rPr>
                <w:rFonts w:ascii="Carlito"/>
                <w:sz w:val="16"/>
              </w:rPr>
              <w:t>250</w:t>
            </w:r>
          </w:p>
        </w:tc>
        <w:tc>
          <w:tcPr>
            <w:tcW w:w="1126" w:type="dxa"/>
            <w:shd w:val="clear" w:color="auto" w:fill="D9D9D9"/>
          </w:tcPr>
          <w:p>
            <w:pPr>
              <w:pStyle w:val="TableParagraph"/>
              <w:ind w:left="318" w:right="440"/>
              <w:jc w:val="center"/>
              <w:rPr>
                <w:rFonts w:ascii="Carlito"/>
                <w:sz w:val="16"/>
              </w:rPr>
            </w:pPr>
            <w:r>
              <w:rPr>
                <w:rFonts w:ascii="Carlito"/>
                <w:sz w:val="16"/>
              </w:rPr>
              <w:t>2002</w:t>
            </w:r>
          </w:p>
        </w:tc>
        <w:tc>
          <w:tcPr>
            <w:tcW w:w="783" w:type="dxa"/>
            <w:shd w:val="clear" w:color="auto" w:fill="D9D9D9"/>
          </w:tcPr>
          <w:p>
            <w:pPr>
              <w:pStyle w:val="TableParagraph"/>
              <w:ind w:right="236"/>
              <w:rPr>
                <w:rFonts w:ascii="Carlito"/>
                <w:sz w:val="16"/>
              </w:rPr>
            </w:pPr>
            <w:r>
              <w:rPr>
                <w:rFonts w:ascii="Carlito"/>
                <w:sz w:val="16"/>
              </w:rPr>
              <w:t>3</w:t>
            </w:r>
          </w:p>
        </w:tc>
        <w:tc>
          <w:tcPr>
            <w:tcW w:w="745" w:type="dxa"/>
            <w:shd w:val="clear" w:color="auto" w:fill="D9D9D9"/>
          </w:tcPr>
          <w:p>
            <w:pPr>
              <w:pStyle w:val="TableParagraph"/>
              <w:ind w:right="305"/>
              <w:rPr>
                <w:rFonts w:ascii="Carlito"/>
                <w:sz w:val="16"/>
              </w:rPr>
            </w:pPr>
            <w:r>
              <w:rPr>
                <w:rFonts w:ascii="Carlito"/>
                <w:sz w:val="16"/>
              </w:rPr>
              <w:t>2.5</w:t>
            </w:r>
          </w:p>
        </w:tc>
        <w:tc>
          <w:tcPr>
            <w:tcW w:w="856" w:type="dxa"/>
            <w:shd w:val="clear" w:color="auto" w:fill="D9D9D9"/>
          </w:tcPr>
          <w:p>
            <w:pPr>
              <w:pStyle w:val="TableParagraph"/>
              <w:ind w:left="300"/>
              <w:jc w:val="left"/>
              <w:rPr>
                <w:rFonts w:ascii="Carlito"/>
                <w:sz w:val="16"/>
              </w:rPr>
            </w:pPr>
            <w:r>
              <w:rPr>
                <w:rFonts w:ascii="Carlito"/>
                <w:sz w:val="16"/>
              </w:rPr>
              <w:t>2</w:t>
            </w:r>
          </w:p>
        </w:tc>
        <w:tc>
          <w:tcPr>
            <w:tcW w:w="1210" w:type="dxa"/>
            <w:shd w:val="clear" w:color="auto" w:fill="D9D9D9"/>
          </w:tcPr>
          <w:p>
            <w:pPr>
              <w:pStyle w:val="TableParagraph"/>
              <w:ind w:right="534"/>
              <w:rPr>
                <w:rFonts w:ascii="Carlito"/>
                <w:sz w:val="16"/>
              </w:rPr>
            </w:pPr>
            <w:r>
              <w:rPr>
                <w:rFonts w:ascii="Carlito"/>
                <w:sz w:val="16"/>
              </w:rPr>
              <w:t>8.8</w:t>
            </w:r>
          </w:p>
        </w:tc>
        <w:tc>
          <w:tcPr>
            <w:tcW w:w="1180" w:type="dxa"/>
            <w:shd w:val="clear" w:color="auto" w:fill="D9D9D9"/>
          </w:tcPr>
          <w:p>
            <w:pPr>
              <w:pStyle w:val="TableParagraph"/>
              <w:ind w:right="366"/>
              <w:rPr>
                <w:rFonts w:ascii="Carlito"/>
                <w:sz w:val="16"/>
              </w:rPr>
            </w:pPr>
            <w:r>
              <w:rPr>
                <w:rFonts w:ascii="Carlito"/>
                <w:sz w:val="16"/>
              </w:rPr>
              <w:t>2.8</w:t>
            </w:r>
          </w:p>
        </w:tc>
        <w:tc>
          <w:tcPr>
            <w:tcW w:w="826" w:type="dxa"/>
            <w:shd w:val="clear" w:color="auto" w:fill="D9D9D9"/>
          </w:tcPr>
          <w:p>
            <w:pPr>
              <w:pStyle w:val="TableParagraph"/>
              <w:ind w:right="380"/>
              <w:rPr>
                <w:rFonts w:ascii="Carlito"/>
                <w:sz w:val="16"/>
              </w:rPr>
            </w:pPr>
            <w:r>
              <w:rPr>
                <w:rFonts w:ascii="Carlito"/>
                <w:sz w:val="16"/>
              </w:rPr>
              <w:t>0</w:t>
            </w:r>
          </w:p>
        </w:tc>
        <w:tc>
          <w:tcPr>
            <w:tcW w:w="530" w:type="dxa"/>
            <w:shd w:val="clear" w:color="auto" w:fill="D9D9D9"/>
          </w:tcPr>
          <w:p>
            <w:pPr>
              <w:pStyle w:val="TableParagraph"/>
              <w:ind w:right="66"/>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204</w:t>
            </w:r>
          </w:p>
        </w:tc>
        <w:tc>
          <w:tcPr>
            <w:tcW w:w="1958" w:type="dxa"/>
          </w:tcPr>
          <w:p>
            <w:pPr>
              <w:pStyle w:val="TableParagraph"/>
              <w:ind w:left="143"/>
              <w:jc w:val="left"/>
              <w:rPr>
                <w:rFonts w:ascii="Carlito"/>
                <w:sz w:val="16"/>
              </w:rPr>
            </w:pPr>
            <w:r>
              <w:rPr>
                <w:rFonts w:ascii="Carlito"/>
                <w:sz w:val="16"/>
              </w:rPr>
              <w:t>Curridabat</w:t>
            </w:r>
          </w:p>
        </w:tc>
        <w:tc>
          <w:tcPr>
            <w:tcW w:w="575" w:type="dxa"/>
          </w:tcPr>
          <w:p>
            <w:pPr>
              <w:pStyle w:val="TableParagraph"/>
              <w:ind w:right="69"/>
              <w:rPr>
                <w:rFonts w:ascii="Carlito"/>
                <w:sz w:val="16"/>
              </w:rPr>
            </w:pPr>
            <w:r>
              <w:rPr>
                <w:rFonts w:ascii="Carlito"/>
                <w:sz w:val="16"/>
              </w:rPr>
              <w:t>0</w:t>
            </w:r>
          </w:p>
        </w:tc>
        <w:tc>
          <w:tcPr>
            <w:tcW w:w="1358" w:type="dxa"/>
          </w:tcPr>
          <w:p>
            <w:pPr>
              <w:pStyle w:val="TableParagraph"/>
              <w:ind w:right="355"/>
              <w:rPr>
                <w:rFonts w:ascii="Carlito"/>
                <w:sz w:val="16"/>
              </w:rPr>
            </w:pPr>
            <w:r>
              <w:rPr>
                <w:rFonts w:ascii="Carlito"/>
                <w:sz w:val="16"/>
              </w:rPr>
              <w:t>$449,000.00</w:t>
            </w:r>
          </w:p>
        </w:tc>
        <w:tc>
          <w:tcPr>
            <w:tcW w:w="1061" w:type="dxa"/>
          </w:tcPr>
          <w:p>
            <w:pPr>
              <w:pStyle w:val="TableParagraph"/>
              <w:ind w:right="341"/>
              <w:rPr>
                <w:rFonts w:ascii="Carlito"/>
                <w:sz w:val="16"/>
              </w:rPr>
            </w:pPr>
            <w:r>
              <w:rPr>
                <w:rFonts w:ascii="Carlito"/>
                <w:sz w:val="16"/>
              </w:rPr>
              <w:t>389</w:t>
            </w:r>
          </w:p>
        </w:tc>
        <w:tc>
          <w:tcPr>
            <w:tcW w:w="1126" w:type="dxa"/>
          </w:tcPr>
          <w:p>
            <w:pPr>
              <w:pStyle w:val="TableParagraph"/>
              <w:ind w:left="318" w:right="440"/>
              <w:jc w:val="center"/>
              <w:rPr>
                <w:rFonts w:ascii="Carlito"/>
                <w:sz w:val="16"/>
              </w:rPr>
            </w:pPr>
            <w:r>
              <w:rPr>
                <w:rFonts w:ascii="Carlito"/>
                <w:sz w:val="16"/>
              </w:rPr>
              <w:t>2006</w:t>
            </w:r>
          </w:p>
        </w:tc>
        <w:tc>
          <w:tcPr>
            <w:tcW w:w="783" w:type="dxa"/>
          </w:tcPr>
          <w:p>
            <w:pPr>
              <w:pStyle w:val="TableParagraph"/>
              <w:ind w:right="236"/>
              <w:rPr>
                <w:rFonts w:ascii="Carlito"/>
                <w:sz w:val="16"/>
              </w:rPr>
            </w:pPr>
            <w:r>
              <w:rPr>
                <w:rFonts w:ascii="Carlito"/>
                <w:sz w:val="16"/>
              </w:rPr>
              <w:t>4</w:t>
            </w:r>
          </w:p>
        </w:tc>
        <w:tc>
          <w:tcPr>
            <w:tcW w:w="745" w:type="dxa"/>
          </w:tcPr>
          <w:p>
            <w:pPr>
              <w:pStyle w:val="TableParagraph"/>
              <w:ind w:right="305"/>
              <w:rPr>
                <w:rFonts w:ascii="Carlito"/>
                <w:sz w:val="16"/>
              </w:rPr>
            </w:pPr>
            <w:r>
              <w:rPr>
                <w:rFonts w:ascii="Carlito"/>
                <w:sz w:val="16"/>
              </w:rPr>
              <w:t>4.5</w:t>
            </w:r>
          </w:p>
        </w:tc>
        <w:tc>
          <w:tcPr>
            <w:tcW w:w="856" w:type="dxa"/>
          </w:tcPr>
          <w:p>
            <w:pPr>
              <w:pStyle w:val="TableParagraph"/>
              <w:ind w:left="300"/>
              <w:jc w:val="left"/>
              <w:rPr>
                <w:rFonts w:ascii="Carlito"/>
                <w:sz w:val="16"/>
              </w:rPr>
            </w:pPr>
            <w:r>
              <w:rPr>
                <w:rFonts w:ascii="Carlito"/>
                <w:sz w:val="16"/>
              </w:rPr>
              <w:t>2</w:t>
            </w:r>
          </w:p>
        </w:tc>
        <w:tc>
          <w:tcPr>
            <w:tcW w:w="1210" w:type="dxa"/>
          </w:tcPr>
          <w:p>
            <w:pPr>
              <w:pStyle w:val="TableParagraph"/>
              <w:ind w:right="534"/>
              <w:rPr>
                <w:rFonts w:ascii="Carlito"/>
                <w:sz w:val="16"/>
              </w:rPr>
            </w:pPr>
            <w:r>
              <w:rPr>
                <w:rFonts w:ascii="Carlito"/>
                <w:sz w:val="16"/>
              </w:rPr>
              <w:t>5.7</w:t>
            </w:r>
          </w:p>
        </w:tc>
        <w:tc>
          <w:tcPr>
            <w:tcW w:w="1180" w:type="dxa"/>
          </w:tcPr>
          <w:p>
            <w:pPr>
              <w:pStyle w:val="TableParagraph"/>
              <w:ind w:right="366"/>
              <w:rPr>
                <w:rFonts w:ascii="Carlito"/>
                <w:sz w:val="16"/>
              </w:rPr>
            </w:pPr>
            <w:r>
              <w:rPr>
                <w:rFonts w:ascii="Carlito"/>
                <w:sz w:val="16"/>
              </w:rPr>
              <w:t>3.2</w:t>
            </w:r>
          </w:p>
        </w:tc>
        <w:tc>
          <w:tcPr>
            <w:tcW w:w="826" w:type="dxa"/>
          </w:tcPr>
          <w:p>
            <w:pPr>
              <w:pStyle w:val="TableParagraph"/>
              <w:ind w:right="380"/>
              <w:rPr>
                <w:rFonts w:ascii="Carlito"/>
                <w:sz w:val="16"/>
              </w:rPr>
            </w:pPr>
            <w:r>
              <w:rPr>
                <w:rFonts w:ascii="Carlito"/>
                <w:sz w:val="16"/>
              </w:rPr>
              <w:t>0</w:t>
            </w:r>
          </w:p>
        </w:tc>
        <w:tc>
          <w:tcPr>
            <w:tcW w:w="530" w:type="dxa"/>
          </w:tcPr>
          <w:p>
            <w:pPr>
              <w:pStyle w:val="TableParagraph"/>
              <w:ind w:right="6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205</w:t>
            </w:r>
          </w:p>
        </w:tc>
        <w:tc>
          <w:tcPr>
            <w:tcW w:w="1958" w:type="dxa"/>
            <w:shd w:val="clear" w:color="auto" w:fill="D9D9D9"/>
          </w:tcPr>
          <w:p>
            <w:pPr>
              <w:pStyle w:val="TableParagraph"/>
              <w:ind w:left="143"/>
              <w:jc w:val="left"/>
              <w:rPr>
                <w:rFonts w:ascii="Carlito"/>
                <w:sz w:val="16"/>
              </w:rPr>
            </w:pPr>
            <w:r>
              <w:rPr>
                <w:rFonts w:ascii="Carlito"/>
                <w:sz w:val="16"/>
              </w:rPr>
              <w:t>Barlovento</w:t>
            </w:r>
          </w:p>
        </w:tc>
        <w:tc>
          <w:tcPr>
            <w:tcW w:w="575" w:type="dxa"/>
            <w:shd w:val="clear" w:color="auto" w:fill="D9D9D9"/>
          </w:tcPr>
          <w:p>
            <w:pPr>
              <w:pStyle w:val="TableParagraph"/>
              <w:ind w:right="69"/>
              <w:rPr>
                <w:rFonts w:ascii="Carlito"/>
                <w:sz w:val="16"/>
              </w:rPr>
            </w:pPr>
            <w:r>
              <w:rPr>
                <w:rFonts w:ascii="Carlito"/>
                <w:sz w:val="16"/>
              </w:rPr>
              <w:t>0</w:t>
            </w:r>
          </w:p>
        </w:tc>
        <w:tc>
          <w:tcPr>
            <w:tcW w:w="1358" w:type="dxa"/>
            <w:shd w:val="clear" w:color="auto" w:fill="D9D9D9"/>
          </w:tcPr>
          <w:p>
            <w:pPr>
              <w:pStyle w:val="TableParagraph"/>
              <w:ind w:right="355"/>
              <w:rPr>
                <w:rFonts w:ascii="Carlito"/>
                <w:sz w:val="16"/>
              </w:rPr>
            </w:pPr>
            <w:r>
              <w:rPr>
                <w:rFonts w:ascii="Carlito"/>
                <w:sz w:val="16"/>
              </w:rPr>
              <w:t>$210,000.00</w:t>
            </w:r>
          </w:p>
        </w:tc>
        <w:tc>
          <w:tcPr>
            <w:tcW w:w="1061" w:type="dxa"/>
            <w:shd w:val="clear" w:color="auto" w:fill="D9D9D9"/>
          </w:tcPr>
          <w:p>
            <w:pPr>
              <w:pStyle w:val="TableParagraph"/>
              <w:ind w:right="341"/>
              <w:rPr>
                <w:rFonts w:ascii="Carlito"/>
                <w:sz w:val="16"/>
              </w:rPr>
            </w:pPr>
            <w:r>
              <w:rPr>
                <w:rFonts w:ascii="Carlito"/>
                <w:sz w:val="16"/>
              </w:rPr>
              <w:t>144</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3" w:type="dxa"/>
            <w:shd w:val="clear" w:color="auto" w:fill="D9D9D9"/>
          </w:tcPr>
          <w:p>
            <w:pPr>
              <w:pStyle w:val="TableParagraph"/>
              <w:ind w:right="236"/>
              <w:rPr>
                <w:rFonts w:ascii="Carlito"/>
                <w:sz w:val="16"/>
              </w:rPr>
            </w:pPr>
            <w:r>
              <w:rPr>
                <w:rFonts w:ascii="Carlito"/>
                <w:sz w:val="16"/>
              </w:rPr>
              <w:t>2</w:t>
            </w:r>
          </w:p>
        </w:tc>
        <w:tc>
          <w:tcPr>
            <w:tcW w:w="745" w:type="dxa"/>
            <w:shd w:val="clear" w:color="auto" w:fill="D9D9D9"/>
          </w:tcPr>
          <w:p>
            <w:pPr>
              <w:pStyle w:val="TableParagraph"/>
              <w:ind w:right="305"/>
              <w:rPr>
                <w:rFonts w:ascii="Carlito"/>
                <w:sz w:val="16"/>
              </w:rPr>
            </w:pPr>
            <w:r>
              <w:rPr>
                <w:rFonts w:ascii="Carlito"/>
                <w:sz w:val="16"/>
              </w:rPr>
              <w:t>2.5</w:t>
            </w:r>
          </w:p>
        </w:tc>
        <w:tc>
          <w:tcPr>
            <w:tcW w:w="856" w:type="dxa"/>
            <w:shd w:val="clear" w:color="auto" w:fill="D9D9D9"/>
          </w:tcPr>
          <w:p>
            <w:pPr>
              <w:pStyle w:val="TableParagraph"/>
              <w:ind w:left="300"/>
              <w:jc w:val="left"/>
              <w:rPr>
                <w:rFonts w:ascii="Carlito"/>
                <w:sz w:val="16"/>
              </w:rPr>
            </w:pPr>
            <w:r>
              <w:rPr>
                <w:rFonts w:ascii="Carlito"/>
                <w:sz w:val="16"/>
              </w:rPr>
              <w:t>2</w:t>
            </w:r>
          </w:p>
        </w:tc>
        <w:tc>
          <w:tcPr>
            <w:tcW w:w="1210" w:type="dxa"/>
            <w:shd w:val="clear" w:color="auto" w:fill="D9D9D9"/>
          </w:tcPr>
          <w:p>
            <w:pPr>
              <w:pStyle w:val="TableParagraph"/>
              <w:ind w:right="535"/>
              <w:rPr>
                <w:rFonts w:ascii="Carlito"/>
                <w:sz w:val="16"/>
              </w:rPr>
            </w:pPr>
            <w:r>
              <w:rPr>
                <w:rFonts w:ascii="Carlito"/>
                <w:sz w:val="16"/>
              </w:rPr>
              <w:t>10</w:t>
            </w:r>
          </w:p>
        </w:tc>
        <w:tc>
          <w:tcPr>
            <w:tcW w:w="1180" w:type="dxa"/>
            <w:shd w:val="clear" w:color="auto" w:fill="D9D9D9"/>
          </w:tcPr>
          <w:p>
            <w:pPr>
              <w:pStyle w:val="TableParagraph"/>
              <w:ind w:right="366"/>
              <w:rPr>
                <w:rFonts w:ascii="Carlito"/>
                <w:sz w:val="16"/>
              </w:rPr>
            </w:pPr>
            <w:r>
              <w:rPr>
                <w:rFonts w:ascii="Carlito"/>
                <w:sz w:val="16"/>
              </w:rPr>
              <w:t>5.7</w:t>
            </w:r>
          </w:p>
        </w:tc>
        <w:tc>
          <w:tcPr>
            <w:tcW w:w="826" w:type="dxa"/>
            <w:shd w:val="clear" w:color="auto" w:fill="D9D9D9"/>
          </w:tcPr>
          <w:p>
            <w:pPr>
              <w:pStyle w:val="TableParagraph"/>
              <w:ind w:right="380"/>
              <w:rPr>
                <w:rFonts w:ascii="Carlito"/>
                <w:sz w:val="16"/>
              </w:rPr>
            </w:pPr>
            <w:r>
              <w:rPr>
                <w:rFonts w:ascii="Carlito"/>
                <w:sz w:val="16"/>
              </w:rPr>
              <w:t>0</w:t>
            </w:r>
          </w:p>
        </w:tc>
        <w:tc>
          <w:tcPr>
            <w:tcW w:w="530" w:type="dxa"/>
            <w:shd w:val="clear" w:color="auto" w:fill="D9D9D9"/>
          </w:tcPr>
          <w:p>
            <w:pPr>
              <w:pStyle w:val="TableParagraph"/>
              <w:ind w:right="66"/>
              <w:rPr>
                <w:rFonts w:ascii="Carlito"/>
                <w:sz w:val="16"/>
              </w:rPr>
            </w:pPr>
            <w:r>
              <w:rPr>
                <w:rFonts w:ascii="Carlito"/>
                <w:sz w:val="16"/>
              </w:rPr>
              <w:t>1</w:t>
            </w:r>
          </w:p>
        </w:tc>
      </w:tr>
      <w:tr>
        <w:trPr>
          <w:trHeight w:val="287" w:hRule="atLeast"/>
        </w:trPr>
        <w:tc>
          <w:tcPr>
            <w:tcW w:w="756" w:type="dxa"/>
          </w:tcPr>
          <w:p>
            <w:pPr>
              <w:pStyle w:val="TableParagraph"/>
              <w:ind w:right="143"/>
              <w:rPr>
                <w:rFonts w:ascii="Carlito"/>
                <w:sz w:val="16"/>
              </w:rPr>
            </w:pPr>
            <w:r>
              <w:rPr>
                <w:rFonts w:ascii="Carlito"/>
                <w:sz w:val="16"/>
              </w:rPr>
              <w:t>206</w:t>
            </w:r>
          </w:p>
        </w:tc>
        <w:tc>
          <w:tcPr>
            <w:tcW w:w="1958" w:type="dxa"/>
          </w:tcPr>
          <w:p>
            <w:pPr>
              <w:pStyle w:val="TableParagraph"/>
              <w:ind w:left="143"/>
              <w:jc w:val="left"/>
              <w:rPr>
                <w:rFonts w:ascii="Carlito"/>
                <w:sz w:val="16"/>
              </w:rPr>
            </w:pPr>
            <w:r>
              <w:rPr>
                <w:rFonts w:ascii="Carlito"/>
                <w:sz w:val="16"/>
              </w:rPr>
              <w:t>Curridabat</w:t>
            </w:r>
          </w:p>
        </w:tc>
        <w:tc>
          <w:tcPr>
            <w:tcW w:w="575" w:type="dxa"/>
          </w:tcPr>
          <w:p>
            <w:pPr>
              <w:pStyle w:val="TableParagraph"/>
              <w:ind w:right="69"/>
              <w:rPr>
                <w:rFonts w:ascii="Carlito"/>
                <w:sz w:val="16"/>
              </w:rPr>
            </w:pPr>
            <w:r>
              <w:rPr>
                <w:rFonts w:ascii="Carlito"/>
                <w:sz w:val="16"/>
              </w:rPr>
              <w:t>1</w:t>
            </w:r>
          </w:p>
        </w:tc>
        <w:tc>
          <w:tcPr>
            <w:tcW w:w="1358" w:type="dxa"/>
          </w:tcPr>
          <w:p>
            <w:pPr>
              <w:pStyle w:val="TableParagraph"/>
              <w:ind w:right="355"/>
              <w:rPr>
                <w:rFonts w:ascii="Carlito"/>
                <w:sz w:val="16"/>
              </w:rPr>
            </w:pPr>
            <w:r>
              <w:rPr>
                <w:rFonts w:ascii="Carlito"/>
                <w:sz w:val="16"/>
              </w:rPr>
              <w:t>$850,000.00</w:t>
            </w:r>
          </w:p>
        </w:tc>
        <w:tc>
          <w:tcPr>
            <w:tcW w:w="1061" w:type="dxa"/>
          </w:tcPr>
          <w:p>
            <w:pPr>
              <w:pStyle w:val="TableParagraph"/>
              <w:ind w:right="341"/>
              <w:rPr>
                <w:rFonts w:ascii="Carlito"/>
                <w:sz w:val="16"/>
              </w:rPr>
            </w:pPr>
            <w:r>
              <w:rPr>
                <w:rFonts w:ascii="Carlito"/>
                <w:sz w:val="16"/>
              </w:rPr>
              <w:t>460</w:t>
            </w:r>
          </w:p>
        </w:tc>
        <w:tc>
          <w:tcPr>
            <w:tcW w:w="1126" w:type="dxa"/>
          </w:tcPr>
          <w:p>
            <w:pPr>
              <w:pStyle w:val="TableParagraph"/>
              <w:ind w:left="318" w:right="440"/>
              <w:jc w:val="center"/>
              <w:rPr>
                <w:rFonts w:ascii="Carlito"/>
                <w:sz w:val="16"/>
              </w:rPr>
            </w:pPr>
            <w:r>
              <w:rPr>
                <w:rFonts w:ascii="Carlito"/>
                <w:sz w:val="16"/>
              </w:rPr>
              <w:t>2014</w:t>
            </w:r>
          </w:p>
        </w:tc>
        <w:tc>
          <w:tcPr>
            <w:tcW w:w="783" w:type="dxa"/>
          </w:tcPr>
          <w:p>
            <w:pPr>
              <w:pStyle w:val="TableParagraph"/>
              <w:ind w:right="236"/>
              <w:rPr>
                <w:rFonts w:ascii="Carlito"/>
                <w:sz w:val="16"/>
              </w:rPr>
            </w:pPr>
            <w:r>
              <w:rPr>
                <w:rFonts w:ascii="Carlito"/>
                <w:sz w:val="16"/>
              </w:rPr>
              <w:t>4</w:t>
            </w:r>
          </w:p>
        </w:tc>
        <w:tc>
          <w:tcPr>
            <w:tcW w:w="745" w:type="dxa"/>
          </w:tcPr>
          <w:p>
            <w:pPr>
              <w:pStyle w:val="TableParagraph"/>
              <w:ind w:right="300"/>
              <w:rPr>
                <w:rFonts w:ascii="Carlito"/>
                <w:sz w:val="16"/>
              </w:rPr>
            </w:pPr>
            <w:r>
              <w:rPr>
                <w:rFonts w:ascii="Carlito"/>
                <w:sz w:val="16"/>
              </w:rPr>
              <w:t>5</w:t>
            </w:r>
          </w:p>
        </w:tc>
        <w:tc>
          <w:tcPr>
            <w:tcW w:w="856" w:type="dxa"/>
          </w:tcPr>
          <w:p>
            <w:pPr>
              <w:pStyle w:val="TableParagraph"/>
              <w:ind w:left="300"/>
              <w:jc w:val="left"/>
              <w:rPr>
                <w:rFonts w:ascii="Carlito"/>
                <w:sz w:val="16"/>
              </w:rPr>
            </w:pPr>
            <w:r>
              <w:rPr>
                <w:rFonts w:ascii="Carlito"/>
                <w:sz w:val="16"/>
              </w:rPr>
              <w:t>2</w:t>
            </w:r>
          </w:p>
        </w:tc>
        <w:tc>
          <w:tcPr>
            <w:tcW w:w="1210" w:type="dxa"/>
          </w:tcPr>
          <w:p>
            <w:pPr>
              <w:pStyle w:val="TableParagraph"/>
              <w:ind w:right="534"/>
              <w:rPr>
                <w:rFonts w:ascii="Carlito"/>
                <w:sz w:val="16"/>
              </w:rPr>
            </w:pPr>
            <w:r>
              <w:rPr>
                <w:rFonts w:ascii="Carlito"/>
                <w:sz w:val="16"/>
              </w:rPr>
              <w:t>5.7</w:t>
            </w:r>
          </w:p>
        </w:tc>
        <w:tc>
          <w:tcPr>
            <w:tcW w:w="1180" w:type="dxa"/>
          </w:tcPr>
          <w:p>
            <w:pPr>
              <w:pStyle w:val="TableParagraph"/>
              <w:ind w:right="366"/>
              <w:rPr>
                <w:rFonts w:ascii="Carlito"/>
                <w:sz w:val="16"/>
              </w:rPr>
            </w:pPr>
            <w:r>
              <w:rPr>
                <w:rFonts w:ascii="Carlito"/>
                <w:sz w:val="16"/>
              </w:rPr>
              <w:t>3.2</w:t>
            </w:r>
          </w:p>
        </w:tc>
        <w:tc>
          <w:tcPr>
            <w:tcW w:w="826" w:type="dxa"/>
          </w:tcPr>
          <w:p>
            <w:pPr>
              <w:pStyle w:val="TableParagraph"/>
              <w:ind w:right="380"/>
              <w:rPr>
                <w:rFonts w:ascii="Carlito"/>
                <w:sz w:val="16"/>
              </w:rPr>
            </w:pPr>
            <w:r>
              <w:rPr>
                <w:rFonts w:ascii="Carlito"/>
                <w:sz w:val="16"/>
              </w:rPr>
              <w:t>0</w:t>
            </w:r>
          </w:p>
        </w:tc>
        <w:tc>
          <w:tcPr>
            <w:tcW w:w="530" w:type="dxa"/>
          </w:tcPr>
          <w:p>
            <w:pPr>
              <w:pStyle w:val="TableParagraph"/>
              <w:ind w:right="66"/>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208</w:t>
            </w:r>
          </w:p>
        </w:tc>
        <w:tc>
          <w:tcPr>
            <w:tcW w:w="1958" w:type="dxa"/>
            <w:shd w:val="clear" w:color="auto" w:fill="D9D9D9"/>
          </w:tcPr>
          <w:p>
            <w:pPr>
              <w:pStyle w:val="TableParagraph"/>
              <w:spacing w:before="92"/>
              <w:ind w:left="143"/>
              <w:jc w:val="left"/>
              <w:rPr>
                <w:rFonts w:ascii="Carlito"/>
                <w:sz w:val="16"/>
              </w:rPr>
            </w:pPr>
            <w:r>
              <w:rPr>
                <w:rFonts w:ascii="Carlito"/>
                <w:sz w:val="16"/>
              </w:rPr>
              <w:t>Granadilla</w:t>
            </w:r>
          </w:p>
        </w:tc>
        <w:tc>
          <w:tcPr>
            <w:tcW w:w="575" w:type="dxa"/>
            <w:shd w:val="clear" w:color="auto" w:fill="D9D9D9"/>
          </w:tcPr>
          <w:p>
            <w:pPr>
              <w:pStyle w:val="TableParagraph"/>
              <w:spacing w:before="92"/>
              <w:ind w:right="69"/>
              <w:rPr>
                <w:rFonts w:ascii="Carlito"/>
                <w:sz w:val="16"/>
              </w:rPr>
            </w:pPr>
            <w:r>
              <w:rPr>
                <w:rFonts w:ascii="Carlito"/>
                <w:sz w:val="16"/>
              </w:rPr>
              <w:t>0</w:t>
            </w:r>
          </w:p>
        </w:tc>
        <w:tc>
          <w:tcPr>
            <w:tcW w:w="1358" w:type="dxa"/>
            <w:shd w:val="clear" w:color="auto" w:fill="D9D9D9"/>
          </w:tcPr>
          <w:p>
            <w:pPr>
              <w:pStyle w:val="TableParagraph"/>
              <w:spacing w:before="92"/>
              <w:ind w:right="355"/>
              <w:rPr>
                <w:rFonts w:ascii="Carlito"/>
                <w:sz w:val="16"/>
              </w:rPr>
            </w:pPr>
            <w:r>
              <w:rPr>
                <w:rFonts w:ascii="Carlito"/>
                <w:sz w:val="16"/>
              </w:rPr>
              <w:t>$199,900.00</w:t>
            </w:r>
          </w:p>
        </w:tc>
        <w:tc>
          <w:tcPr>
            <w:tcW w:w="1061" w:type="dxa"/>
            <w:shd w:val="clear" w:color="auto" w:fill="D9D9D9"/>
          </w:tcPr>
          <w:p>
            <w:pPr>
              <w:pStyle w:val="TableParagraph"/>
              <w:spacing w:before="92"/>
              <w:ind w:right="341"/>
              <w:rPr>
                <w:rFonts w:ascii="Carlito"/>
                <w:sz w:val="16"/>
              </w:rPr>
            </w:pPr>
            <w:r>
              <w:rPr>
                <w:rFonts w:ascii="Carlito"/>
                <w:sz w:val="16"/>
              </w:rPr>
              <w:t>120</w:t>
            </w:r>
          </w:p>
        </w:tc>
        <w:tc>
          <w:tcPr>
            <w:tcW w:w="1126" w:type="dxa"/>
            <w:shd w:val="clear" w:color="auto" w:fill="D9D9D9"/>
          </w:tcPr>
          <w:p>
            <w:pPr>
              <w:pStyle w:val="TableParagraph"/>
              <w:spacing w:before="92"/>
              <w:ind w:left="318" w:right="440"/>
              <w:jc w:val="center"/>
              <w:rPr>
                <w:rFonts w:ascii="Carlito"/>
                <w:sz w:val="16"/>
              </w:rPr>
            </w:pPr>
            <w:r>
              <w:rPr>
                <w:rFonts w:ascii="Carlito"/>
                <w:sz w:val="16"/>
              </w:rPr>
              <w:t>2006</w:t>
            </w:r>
          </w:p>
        </w:tc>
        <w:tc>
          <w:tcPr>
            <w:tcW w:w="783" w:type="dxa"/>
            <w:shd w:val="clear" w:color="auto" w:fill="D9D9D9"/>
          </w:tcPr>
          <w:p>
            <w:pPr>
              <w:pStyle w:val="TableParagraph"/>
              <w:spacing w:before="92"/>
              <w:ind w:right="236"/>
              <w:rPr>
                <w:rFonts w:ascii="Carlito"/>
                <w:sz w:val="16"/>
              </w:rPr>
            </w:pPr>
            <w:r>
              <w:rPr>
                <w:rFonts w:ascii="Carlito"/>
                <w:sz w:val="16"/>
              </w:rPr>
              <w:t>3</w:t>
            </w:r>
          </w:p>
        </w:tc>
        <w:tc>
          <w:tcPr>
            <w:tcW w:w="745" w:type="dxa"/>
            <w:shd w:val="clear" w:color="auto" w:fill="D9D9D9"/>
          </w:tcPr>
          <w:p>
            <w:pPr>
              <w:pStyle w:val="TableParagraph"/>
              <w:spacing w:before="92"/>
              <w:ind w:right="300"/>
              <w:rPr>
                <w:rFonts w:ascii="Carlito"/>
                <w:sz w:val="16"/>
              </w:rPr>
            </w:pPr>
            <w:r>
              <w:rPr>
                <w:rFonts w:ascii="Carlito"/>
                <w:sz w:val="16"/>
              </w:rPr>
              <w:t>2</w:t>
            </w:r>
          </w:p>
        </w:tc>
        <w:tc>
          <w:tcPr>
            <w:tcW w:w="856" w:type="dxa"/>
            <w:shd w:val="clear" w:color="auto" w:fill="D9D9D9"/>
          </w:tcPr>
          <w:p>
            <w:pPr>
              <w:pStyle w:val="TableParagraph"/>
              <w:spacing w:before="92"/>
              <w:ind w:left="300"/>
              <w:jc w:val="left"/>
              <w:rPr>
                <w:rFonts w:ascii="Carlito"/>
                <w:sz w:val="16"/>
              </w:rPr>
            </w:pPr>
            <w:r>
              <w:rPr>
                <w:rFonts w:ascii="Carlito"/>
                <w:sz w:val="16"/>
              </w:rPr>
              <w:t>2</w:t>
            </w:r>
          </w:p>
        </w:tc>
        <w:tc>
          <w:tcPr>
            <w:tcW w:w="1210" w:type="dxa"/>
            <w:shd w:val="clear" w:color="auto" w:fill="D9D9D9"/>
          </w:tcPr>
          <w:p>
            <w:pPr>
              <w:pStyle w:val="TableParagraph"/>
              <w:spacing w:before="92"/>
              <w:ind w:right="534"/>
              <w:rPr>
                <w:rFonts w:ascii="Carlito"/>
                <w:sz w:val="16"/>
              </w:rPr>
            </w:pPr>
            <w:r>
              <w:rPr>
                <w:rFonts w:ascii="Carlito"/>
                <w:sz w:val="16"/>
              </w:rPr>
              <w:t>7.2</w:t>
            </w:r>
          </w:p>
        </w:tc>
        <w:tc>
          <w:tcPr>
            <w:tcW w:w="1180" w:type="dxa"/>
            <w:shd w:val="clear" w:color="auto" w:fill="D9D9D9"/>
          </w:tcPr>
          <w:p>
            <w:pPr>
              <w:pStyle w:val="TableParagraph"/>
              <w:spacing w:before="92"/>
              <w:ind w:right="366"/>
              <w:rPr>
                <w:rFonts w:ascii="Carlito"/>
                <w:sz w:val="16"/>
              </w:rPr>
            </w:pPr>
            <w:r>
              <w:rPr>
                <w:rFonts w:ascii="Carlito"/>
                <w:sz w:val="16"/>
              </w:rPr>
              <w:t>5.6</w:t>
            </w:r>
          </w:p>
        </w:tc>
        <w:tc>
          <w:tcPr>
            <w:tcW w:w="826" w:type="dxa"/>
            <w:shd w:val="clear" w:color="auto" w:fill="D9D9D9"/>
          </w:tcPr>
          <w:p>
            <w:pPr>
              <w:pStyle w:val="TableParagraph"/>
              <w:spacing w:before="92"/>
              <w:ind w:right="380"/>
              <w:rPr>
                <w:rFonts w:ascii="Carlito"/>
                <w:sz w:val="16"/>
              </w:rPr>
            </w:pPr>
            <w:r>
              <w:rPr>
                <w:rFonts w:ascii="Carlito"/>
                <w:sz w:val="16"/>
              </w:rPr>
              <w:t>1</w:t>
            </w:r>
          </w:p>
        </w:tc>
        <w:tc>
          <w:tcPr>
            <w:tcW w:w="530" w:type="dxa"/>
            <w:shd w:val="clear" w:color="auto" w:fill="D9D9D9"/>
          </w:tcPr>
          <w:p>
            <w:pPr>
              <w:pStyle w:val="TableParagraph"/>
              <w:spacing w:before="92"/>
              <w:ind w:right="66"/>
              <w:rPr>
                <w:rFonts w:ascii="Carlito"/>
                <w:sz w:val="16"/>
              </w:rPr>
            </w:pPr>
            <w:r>
              <w:rPr>
                <w:rFonts w:ascii="Carlito"/>
                <w:sz w:val="16"/>
              </w:rPr>
              <w:t>1</w:t>
            </w:r>
          </w:p>
        </w:tc>
      </w:tr>
      <w:tr>
        <w:trPr>
          <w:trHeight w:val="288" w:hRule="atLeast"/>
        </w:trPr>
        <w:tc>
          <w:tcPr>
            <w:tcW w:w="756" w:type="dxa"/>
          </w:tcPr>
          <w:p>
            <w:pPr>
              <w:pStyle w:val="TableParagraph"/>
              <w:spacing w:before="92"/>
              <w:ind w:right="143"/>
              <w:rPr>
                <w:rFonts w:ascii="Carlito"/>
                <w:sz w:val="16"/>
              </w:rPr>
            </w:pPr>
            <w:r>
              <w:rPr>
                <w:rFonts w:ascii="Carlito"/>
                <w:sz w:val="16"/>
              </w:rPr>
              <w:t>209</w:t>
            </w:r>
          </w:p>
        </w:tc>
        <w:tc>
          <w:tcPr>
            <w:tcW w:w="1958" w:type="dxa"/>
          </w:tcPr>
          <w:p>
            <w:pPr>
              <w:pStyle w:val="TableParagraph"/>
              <w:spacing w:before="92"/>
              <w:ind w:left="143"/>
              <w:jc w:val="left"/>
              <w:rPr>
                <w:rFonts w:ascii="Carlito"/>
                <w:sz w:val="16"/>
              </w:rPr>
            </w:pPr>
            <w:r>
              <w:rPr>
                <w:rFonts w:ascii="Carlito"/>
                <w:sz w:val="16"/>
              </w:rPr>
              <w:t>Curridabat</w:t>
            </w:r>
          </w:p>
        </w:tc>
        <w:tc>
          <w:tcPr>
            <w:tcW w:w="575" w:type="dxa"/>
          </w:tcPr>
          <w:p>
            <w:pPr>
              <w:pStyle w:val="TableParagraph"/>
              <w:spacing w:before="92"/>
              <w:ind w:right="69"/>
              <w:rPr>
                <w:rFonts w:ascii="Carlito"/>
                <w:sz w:val="16"/>
              </w:rPr>
            </w:pPr>
            <w:r>
              <w:rPr>
                <w:rFonts w:ascii="Carlito"/>
                <w:sz w:val="16"/>
              </w:rPr>
              <w:t>0</w:t>
            </w:r>
          </w:p>
        </w:tc>
        <w:tc>
          <w:tcPr>
            <w:tcW w:w="1358" w:type="dxa"/>
          </w:tcPr>
          <w:p>
            <w:pPr>
              <w:pStyle w:val="TableParagraph"/>
              <w:spacing w:before="92"/>
              <w:ind w:right="355"/>
              <w:rPr>
                <w:rFonts w:ascii="Carlito"/>
                <w:sz w:val="16"/>
              </w:rPr>
            </w:pPr>
            <w:r>
              <w:rPr>
                <w:rFonts w:ascii="Carlito"/>
                <w:sz w:val="16"/>
              </w:rPr>
              <w:t>$240,000.00</w:t>
            </w:r>
          </w:p>
        </w:tc>
        <w:tc>
          <w:tcPr>
            <w:tcW w:w="1061" w:type="dxa"/>
          </w:tcPr>
          <w:p>
            <w:pPr>
              <w:pStyle w:val="TableParagraph"/>
              <w:spacing w:before="92"/>
              <w:ind w:right="341"/>
              <w:rPr>
                <w:rFonts w:ascii="Carlito"/>
                <w:sz w:val="16"/>
              </w:rPr>
            </w:pPr>
            <w:r>
              <w:rPr>
                <w:rFonts w:ascii="Carlito"/>
                <w:sz w:val="16"/>
              </w:rPr>
              <w:t>230</w:t>
            </w:r>
          </w:p>
        </w:tc>
        <w:tc>
          <w:tcPr>
            <w:tcW w:w="1126" w:type="dxa"/>
          </w:tcPr>
          <w:p>
            <w:pPr>
              <w:pStyle w:val="TableParagraph"/>
              <w:spacing w:before="92"/>
              <w:ind w:left="318" w:right="440"/>
              <w:jc w:val="center"/>
              <w:rPr>
                <w:rFonts w:ascii="Carlito"/>
                <w:sz w:val="16"/>
              </w:rPr>
            </w:pPr>
            <w:r>
              <w:rPr>
                <w:rFonts w:ascii="Carlito"/>
                <w:sz w:val="16"/>
              </w:rPr>
              <w:t>2006</w:t>
            </w:r>
          </w:p>
        </w:tc>
        <w:tc>
          <w:tcPr>
            <w:tcW w:w="783" w:type="dxa"/>
          </w:tcPr>
          <w:p>
            <w:pPr>
              <w:pStyle w:val="TableParagraph"/>
              <w:spacing w:before="92"/>
              <w:ind w:right="236"/>
              <w:rPr>
                <w:rFonts w:ascii="Carlito"/>
                <w:sz w:val="16"/>
              </w:rPr>
            </w:pPr>
            <w:r>
              <w:rPr>
                <w:rFonts w:ascii="Carlito"/>
                <w:sz w:val="16"/>
              </w:rPr>
              <w:t>4</w:t>
            </w:r>
          </w:p>
        </w:tc>
        <w:tc>
          <w:tcPr>
            <w:tcW w:w="745" w:type="dxa"/>
          </w:tcPr>
          <w:p>
            <w:pPr>
              <w:pStyle w:val="TableParagraph"/>
              <w:spacing w:before="92"/>
              <w:ind w:right="305"/>
              <w:rPr>
                <w:rFonts w:ascii="Carlito"/>
                <w:sz w:val="16"/>
              </w:rPr>
            </w:pPr>
            <w:r>
              <w:rPr>
                <w:rFonts w:ascii="Carlito"/>
                <w:sz w:val="16"/>
              </w:rPr>
              <w:t>3.5</w:t>
            </w:r>
          </w:p>
        </w:tc>
        <w:tc>
          <w:tcPr>
            <w:tcW w:w="856" w:type="dxa"/>
          </w:tcPr>
          <w:p>
            <w:pPr>
              <w:pStyle w:val="TableParagraph"/>
              <w:spacing w:before="92"/>
              <w:ind w:left="300"/>
              <w:jc w:val="left"/>
              <w:rPr>
                <w:rFonts w:ascii="Carlito"/>
                <w:sz w:val="16"/>
              </w:rPr>
            </w:pPr>
            <w:r>
              <w:rPr>
                <w:rFonts w:ascii="Carlito"/>
                <w:sz w:val="16"/>
              </w:rPr>
              <w:t>2</w:t>
            </w:r>
          </w:p>
        </w:tc>
        <w:tc>
          <w:tcPr>
            <w:tcW w:w="1210" w:type="dxa"/>
          </w:tcPr>
          <w:p>
            <w:pPr>
              <w:pStyle w:val="TableParagraph"/>
              <w:spacing w:before="92"/>
              <w:ind w:right="534"/>
              <w:rPr>
                <w:rFonts w:ascii="Carlito"/>
                <w:sz w:val="16"/>
              </w:rPr>
            </w:pPr>
            <w:r>
              <w:rPr>
                <w:rFonts w:ascii="Carlito"/>
                <w:sz w:val="16"/>
              </w:rPr>
              <w:t>5.7</w:t>
            </w:r>
          </w:p>
        </w:tc>
        <w:tc>
          <w:tcPr>
            <w:tcW w:w="1180" w:type="dxa"/>
          </w:tcPr>
          <w:p>
            <w:pPr>
              <w:pStyle w:val="TableParagraph"/>
              <w:spacing w:before="92"/>
              <w:ind w:right="366"/>
              <w:rPr>
                <w:rFonts w:ascii="Carlito"/>
                <w:sz w:val="16"/>
              </w:rPr>
            </w:pPr>
            <w:r>
              <w:rPr>
                <w:rFonts w:ascii="Carlito"/>
                <w:sz w:val="16"/>
              </w:rPr>
              <w:t>3.2</w:t>
            </w:r>
          </w:p>
        </w:tc>
        <w:tc>
          <w:tcPr>
            <w:tcW w:w="826" w:type="dxa"/>
          </w:tcPr>
          <w:p>
            <w:pPr>
              <w:pStyle w:val="TableParagraph"/>
              <w:spacing w:before="92"/>
              <w:ind w:right="380"/>
              <w:rPr>
                <w:rFonts w:ascii="Carlito"/>
                <w:sz w:val="16"/>
              </w:rPr>
            </w:pPr>
            <w:r>
              <w:rPr>
                <w:rFonts w:ascii="Carlito"/>
                <w:sz w:val="16"/>
              </w:rPr>
              <w:t>0</w:t>
            </w:r>
          </w:p>
        </w:tc>
        <w:tc>
          <w:tcPr>
            <w:tcW w:w="530" w:type="dxa"/>
          </w:tcPr>
          <w:p>
            <w:pPr>
              <w:pStyle w:val="TableParagraph"/>
              <w:spacing w:before="92"/>
              <w:ind w:right="66"/>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210</w:t>
            </w:r>
          </w:p>
        </w:tc>
        <w:tc>
          <w:tcPr>
            <w:tcW w:w="1958" w:type="dxa"/>
            <w:shd w:val="clear" w:color="auto" w:fill="D9D9D9"/>
          </w:tcPr>
          <w:p>
            <w:pPr>
              <w:pStyle w:val="TableParagraph"/>
              <w:ind w:left="143"/>
              <w:jc w:val="left"/>
              <w:rPr>
                <w:rFonts w:ascii="Carlito"/>
                <w:sz w:val="16"/>
              </w:rPr>
            </w:pPr>
            <w:r>
              <w:rPr>
                <w:rFonts w:ascii="Carlito"/>
                <w:sz w:val="16"/>
              </w:rPr>
              <w:t>Guayabos</w:t>
            </w:r>
          </w:p>
        </w:tc>
        <w:tc>
          <w:tcPr>
            <w:tcW w:w="575" w:type="dxa"/>
            <w:shd w:val="clear" w:color="auto" w:fill="D9D9D9"/>
          </w:tcPr>
          <w:p>
            <w:pPr>
              <w:pStyle w:val="TableParagraph"/>
              <w:ind w:right="69"/>
              <w:rPr>
                <w:rFonts w:ascii="Carlito"/>
                <w:sz w:val="16"/>
              </w:rPr>
            </w:pPr>
            <w:r>
              <w:rPr>
                <w:rFonts w:ascii="Carlito"/>
                <w:sz w:val="16"/>
              </w:rPr>
              <w:t>1</w:t>
            </w:r>
          </w:p>
        </w:tc>
        <w:tc>
          <w:tcPr>
            <w:tcW w:w="1358" w:type="dxa"/>
            <w:shd w:val="clear" w:color="auto" w:fill="D9D9D9"/>
          </w:tcPr>
          <w:p>
            <w:pPr>
              <w:pStyle w:val="TableParagraph"/>
              <w:ind w:right="355"/>
              <w:rPr>
                <w:rFonts w:ascii="Carlito"/>
                <w:sz w:val="16"/>
              </w:rPr>
            </w:pPr>
            <w:r>
              <w:rPr>
                <w:rFonts w:ascii="Carlito"/>
                <w:sz w:val="16"/>
              </w:rPr>
              <w:t>$200,000.00</w:t>
            </w:r>
          </w:p>
        </w:tc>
        <w:tc>
          <w:tcPr>
            <w:tcW w:w="1061" w:type="dxa"/>
            <w:shd w:val="clear" w:color="auto" w:fill="D9D9D9"/>
          </w:tcPr>
          <w:p>
            <w:pPr>
              <w:pStyle w:val="TableParagraph"/>
              <w:ind w:right="341"/>
              <w:rPr>
                <w:rFonts w:ascii="Carlito"/>
                <w:sz w:val="16"/>
              </w:rPr>
            </w:pPr>
            <w:r>
              <w:rPr>
                <w:rFonts w:ascii="Carlito"/>
                <w:sz w:val="16"/>
              </w:rPr>
              <w:t>130</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3" w:type="dxa"/>
            <w:shd w:val="clear" w:color="auto" w:fill="D9D9D9"/>
          </w:tcPr>
          <w:p>
            <w:pPr>
              <w:pStyle w:val="TableParagraph"/>
              <w:ind w:right="236"/>
              <w:rPr>
                <w:rFonts w:ascii="Carlito"/>
                <w:sz w:val="16"/>
              </w:rPr>
            </w:pPr>
            <w:r>
              <w:rPr>
                <w:rFonts w:ascii="Carlito"/>
                <w:sz w:val="16"/>
              </w:rPr>
              <w:t>3</w:t>
            </w:r>
          </w:p>
        </w:tc>
        <w:tc>
          <w:tcPr>
            <w:tcW w:w="745" w:type="dxa"/>
            <w:shd w:val="clear" w:color="auto" w:fill="D9D9D9"/>
          </w:tcPr>
          <w:p>
            <w:pPr>
              <w:pStyle w:val="TableParagraph"/>
              <w:ind w:right="305"/>
              <w:rPr>
                <w:rFonts w:ascii="Carlito"/>
                <w:sz w:val="16"/>
              </w:rPr>
            </w:pPr>
            <w:r>
              <w:rPr>
                <w:rFonts w:ascii="Carlito"/>
                <w:sz w:val="16"/>
              </w:rPr>
              <w:t>2.5</w:t>
            </w:r>
          </w:p>
        </w:tc>
        <w:tc>
          <w:tcPr>
            <w:tcW w:w="856" w:type="dxa"/>
            <w:shd w:val="clear" w:color="auto" w:fill="D9D9D9"/>
          </w:tcPr>
          <w:p>
            <w:pPr>
              <w:pStyle w:val="TableParagraph"/>
              <w:ind w:left="300"/>
              <w:jc w:val="left"/>
              <w:rPr>
                <w:rFonts w:ascii="Carlito"/>
                <w:sz w:val="16"/>
              </w:rPr>
            </w:pPr>
            <w:r>
              <w:rPr>
                <w:rFonts w:ascii="Carlito"/>
                <w:sz w:val="16"/>
              </w:rPr>
              <w:t>2</w:t>
            </w:r>
          </w:p>
        </w:tc>
        <w:tc>
          <w:tcPr>
            <w:tcW w:w="1210" w:type="dxa"/>
            <w:shd w:val="clear" w:color="auto" w:fill="D9D9D9"/>
          </w:tcPr>
          <w:p>
            <w:pPr>
              <w:pStyle w:val="TableParagraph"/>
              <w:ind w:right="534"/>
              <w:rPr>
                <w:rFonts w:ascii="Carlito"/>
                <w:sz w:val="16"/>
              </w:rPr>
            </w:pPr>
            <w:r>
              <w:rPr>
                <w:rFonts w:ascii="Carlito"/>
                <w:sz w:val="16"/>
              </w:rPr>
              <w:t>7.4</w:t>
            </w:r>
          </w:p>
        </w:tc>
        <w:tc>
          <w:tcPr>
            <w:tcW w:w="1180" w:type="dxa"/>
            <w:shd w:val="clear" w:color="auto" w:fill="D9D9D9"/>
          </w:tcPr>
          <w:p>
            <w:pPr>
              <w:pStyle w:val="TableParagraph"/>
              <w:ind w:right="362"/>
              <w:rPr>
                <w:rFonts w:ascii="Carlito"/>
                <w:sz w:val="16"/>
              </w:rPr>
            </w:pPr>
            <w:r>
              <w:rPr>
                <w:rFonts w:ascii="Carlito"/>
                <w:sz w:val="16"/>
              </w:rPr>
              <w:t>5</w:t>
            </w:r>
          </w:p>
        </w:tc>
        <w:tc>
          <w:tcPr>
            <w:tcW w:w="826" w:type="dxa"/>
            <w:shd w:val="clear" w:color="auto" w:fill="D9D9D9"/>
          </w:tcPr>
          <w:p>
            <w:pPr>
              <w:pStyle w:val="TableParagraph"/>
              <w:ind w:right="380"/>
              <w:rPr>
                <w:rFonts w:ascii="Carlito"/>
                <w:sz w:val="16"/>
              </w:rPr>
            </w:pPr>
            <w:r>
              <w:rPr>
                <w:rFonts w:ascii="Carlito"/>
                <w:sz w:val="16"/>
              </w:rPr>
              <w:t>0</w:t>
            </w:r>
          </w:p>
        </w:tc>
        <w:tc>
          <w:tcPr>
            <w:tcW w:w="530" w:type="dxa"/>
            <w:shd w:val="clear" w:color="auto" w:fill="D9D9D9"/>
          </w:tcPr>
          <w:p>
            <w:pPr>
              <w:pStyle w:val="TableParagraph"/>
              <w:ind w:right="66"/>
              <w:rPr>
                <w:rFonts w:ascii="Carlito"/>
                <w:sz w:val="16"/>
              </w:rPr>
            </w:pPr>
            <w:r>
              <w:rPr>
                <w:rFonts w:ascii="Carlito"/>
                <w:sz w:val="16"/>
              </w:rPr>
              <w:t>1</w:t>
            </w:r>
          </w:p>
        </w:tc>
      </w:tr>
      <w:tr>
        <w:trPr>
          <w:trHeight w:val="287" w:hRule="atLeast"/>
        </w:trPr>
        <w:tc>
          <w:tcPr>
            <w:tcW w:w="756" w:type="dxa"/>
          </w:tcPr>
          <w:p>
            <w:pPr>
              <w:pStyle w:val="TableParagraph"/>
              <w:spacing w:line="177" w:lineRule="exact"/>
              <w:ind w:right="143"/>
              <w:rPr>
                <w:rFonts w:ascii="Carlito"/>
                <w:sz w:val="16"/>
              </w:rPr>
            </w:pPr>
            <w:r>
              <w:rPr>
                <w:rFonts w:ascii="Carlito"/>
                <w:sz w:val="16"/>
              </w:rPr>
              <w:t>211</w:t>
            </w:r>
          </w:p>
        </w:tc>
        <w:tc>
          <w:tcPr>
            <w:tcW w:w="1958" w:type="dxa"/>
          </w:tcPr>
          <w:p>
            <w:pPr>
              <w:pStyle w:val="TableParagraph"/>
              <w:spacing w:line="177" w:lineRule="exact"/>
              <w:ind w:left="143"/>
              <w:jc w:val="left"/>
              <w:rPr>
                <w:rFonts w:ascii="Carlito"/>
                <w:sz w:val="16"/>
              </w:rPr>
            </w:pPr>
            <w:r>
              <w:rPr>
                <w:rFonts w:ascii="Carlito"/>
                <w:sz w:val="16"/>
              </w:rPr>
              <w:t>Curridabat</w:t>
            </w:r>
          </w:p>
        </w:tc>
        <w:tc>
          <w:tcPr>
            <w:tcW w:w="575" w:type="dxa"/>
          </w:tcPr>
          <w:p>
            <w:pPr>
              <w:pStyle w:val="TableParagraph"/>
              <w:spacing w:line="177" w:lineRule="exact"/>
              <w:ind w:right="69"/>
              <w:rPr>
                <w:rFonts w:ascii="Carlito"/>
                <w:sz w:val="16"/>
              </w:rPr>
            </w:pPr>
            <w:r>
              <w:rPr>
                <w:rFonts w:ascii="Carlito"/>
                <w:sz w:val="16"/>
              </w:rPr>
              <w:t>1</w:t>
            </w:r>
          </w:p>
        </w:tc>
        <w:tc>
          <w:tcPr>
            <w:tcW w:w="1358" w:type="dxa"/>
          </w:tcPr>
          <w:p>
            <w:pPr>
              <w:pStyle w:val="TableParagraph"/>
              <w:spacing w:line="177" w:lineRule="exact"/>
              <w:ind w:right="355"/>
              <w:rPr>
                <w:rFonts w:ascii="Carlito"/>
                <w:sz w:val="16"/>
              </w:rPr>
            </w:pPr>
            <w:r>
              <w:rPr>
                <w:rFonts w:ascii="Carlito"/>
                <w:sz w:val="16"/>
              </w:rPr>
              <w:t>$145,000.00</w:t>
            </w:r>
          </w:p>
        </w:tc>
        <w:tc>
          <w:tcPr>
            <w:tcW w:w="1061" w:type="dxa"/>
          </w:tcPr>
          <w:p>
            <w:pPr>
              <w:pStyle w:val="TableParagraph"/>
              <w:spacing w:line="177" w:lineRule="exact"/>
              <w:ind w:right="341"/>
              <w:rPr>
                <w:rFonts w:ascii="Carlito"/>
                <w:sz w:val="16"/>
              </w:rPr>
            </w:pPr>
            <w:r>
              <w:rPr>
                <w:rFonts w:ascii="Carlito"/>
                <w:sz w:val="16"/>
              </w:rPr>
              <w:t>140</w:t>
            </w:r>
          </w:p>
        </w:tc>
        <w:tc>
          <w:tcPr>
            <w:tcW w:w="1126" w:type="dxa"/>
          </w:tcPr>
          <w:p>
            <w:pPr>
              <w:pStyle w:val="TableParagraph"/>
              <w:spacing w:line="177" w:lineRule="exact"/>
              <w:ind w:left="318" w:right="440"/>
              <w:jc w:val="center"/>
              <w:rPr>
                <w:rFonts w:ascii="Carlito"/>
                <w:sz w:val="16"/>
              </w:rPr>
            </w:pPr>
            <w:r>
              <w:rPr>
                <w:rFonts w:ascii="Carlito"/>
                <w:sz w:val="16"/>
              </w:rPr>
              <w:t>2006</w:t>
            </w:r>
          </w:p>
        </w:tc>
        <w:tc>
          <w:tcPr>
            <w:tcW w:w="783" w:type="dxa"/>
          </w:tcPr>
          <w:p>
            <w:pPr>
              <w:pStyle w:val="TableParagraph"/>
              <w:spacing w:line="177" w:lineRule="exact"/>
              <w:ind w:right="236"/>
              <w:rPr>
                <w:rFonts w:ascii="Carlito"/>
                <w:sz w:val="16"/>
              </w:rPr>
            </w:pPr>
            <w:r>
              <w:rPr>
                <w:rFonts w:ascii="Carlito"/>
                <w:sz w:val="16"/>
              </w:rPr>
              <w:t>3</w:t>
            </w:r>
          </w:p>
        </w:tc>
        <w:tc>
          <w:tcPr>
            <w:tcW w:w="745" w:type="dxa"/>
          </w:tcPr>
          <w:p>
            <w:pPr>
              <w:pStyle w:val="TableParagraph"/>
              <w:spacing w:line="177" w:lineRule="exact"/>
              <w:ind w:right="300"/>
              <w:rPr>
                <w:rFonts w:ascii="Carlito"/>
                <w:sz w:val="16"/>
              </w:rPr>
            </w:pPr>
            <w:r>
              <w:rPr>
                <w:rFonts w:ascii="Carlito"/>
                <w:sz w:val="16"/>
              </w:rPr>
              <w:t>2</w:t>
            </w:r>
          </w:p>
        </w:tc>
        <w:tc>
          <w:tcPr>
            <w:tcW w:w="856" w:type="dxa"/>
          </w:tcPr>
          <w:p>
            <w:pPr>
              <w:pStyle w:val="TableParagraph"/>
              <w:spacing w:line="177" w:lineRule="exact"/>
              <w:ind w:left="300"/>
              <w:jc w:val="left"/>
              <w:rPr>
                <w:rFonts w:ascii="Carlito"/>
                <w:sz w:val="16"/>
              </w:rPr>
            </w:pPr>
            <w:r>
              <w:rPr>
                <w:rFonts w:ascii="Carlito"/>
                <w:sz w:val="16"/>
              </w:rPr>
              <w:t>1</w:t>
            </w:r>
          </w:p>
        </w:tc>
        <w:tc>
          <w:tcPr>
            <w:tcW w:w="1210" w:type="dxa"/>
          </w:tcPr>
          <w:p>
            <w:pPr>
              <w:pStyle w:val="TableParagraph"/>
              <w:spacing w:line="177" w:lineRule="exact"/>
              <w:ind w:right="534"/>
              <w:rPr>
                <w:rFonts w:ascii="Carlito"/>
                <w:sz w:val="16"/>
              </w:rPr>
            </w:pPr>
            <w:r>
              <w:rPr>
                <w:rFonts w:ascii="Carlito"/>
                <w:sz w:val="16"/>
              </w:rPr>
              <w:t>5.7</w:t>
            </w:r>
          </w:p>
        </w:tc>
        <w:tc>
          <w:tcPr>
            <w:tcW w:w="1180" w:type="dxa"/>
          </w:tcPr>
          <w:p>
            <w:pPr>
              <w:pStyle w:val="TableParagraph"/>
              <w:spacing w:line="177" w:lineRule="exact"/>
              <w:ind w:right="366"/>
              <w:rPr>
                <w:rFonts w:ascii="Carlito"/>
                <w:sz w:val="16"/>
              </w:rPr>
            </w:pPr>
            <w:r>
              <w:rPr>
                <w:rFonts w:ascii="Carlito"/>
                <w:sz w:val="16"/>
              </w:rPr>
              <w:t>3.2</w:t>
            </w:r>
          </w:p>
        </w:tc>
        <w:tc>
          <w:tcPr>
            <w:tcW w:w="826" w:type="dxa"/>
          </w:tcPr>
          <w:p>
            <w:pPr>
              <w:pStyle w:val="TableParagraph"/>
              <w:spacing w:line="177" w:lineRule="exact"/>
              <w:ind w:right="380"/>
              <w:rPr>
                <w:rFonts w:ascii="Carlito"/>
                <w:sz w:val="16"/>
              </w:rPr>
            </w:pPr>
            <w:r>
              <w:rPr>
                <w:rFonts w:ascii="Carlito"/>
                <w:sz w:val="16"/>
              </w:rPr>
              <w:t>0</w:t>
            </w:r>
          </w:p>
        </w:tc>
        <w:tc>
          <w:tcPr>
            <w:tcW w:w="530" w:type="dxa"/>
          </w:tcPr>
          <w:p>
            <w:pPr>
              <w:pStyle w:val="TableParagraph"/>
              <w:spacing w:line="177" w:lineRule="exact"/>
              <w:ind w:right="66"/>
              <w:rPr>
                <w:rFonts w:ascii="Carlito"/>
                <w:sz w:val="16"/>
              </w:rPr>
            </w:pPr>
            <w:r>
              <w:rPr>
                <w:rFonts w:ascii="Carlito"/>
                <w:sz w:val="16"/>
              </w:rPr>
              <w:t>0</w:t>
            </w:r>
          </w:p>
        </w:tc>
      </w:tr>
      <w:tr>
        <w:trPr>
          <w:trHeight w:val="287" w:hRule="atLeast"/>
        </w:trPr>
        <w:tc>
          <w:tcPr>
            <w:tcW w:w="756" w:type="dxa"/>
            <w:shd w:val="clear" w:color="auto" w:fill="D9D9D9"/>
          </w:tcPr>
          <w:p>
            <w:pPr>
              <w:pStyle w:val="TableParagraph"/>
              <w:spacing w:line="177" w:lineRule="exact"/>
              <w:ind w:right="143"/>
              <w:rPr>
                <w:rFonts w:ascii="Carlito"/>
                <w:sz w:val="16"/>
              </w:rPr>
            </w:pPr>
            <w:r>
              <w:rPr>
                <w:rFonts w:ascii="Carlito"/>
                <w:sz w:val="16"/>
              </w:rPr>
              <w:t>212</w:t>
            </w:r>
          </w:p>
        </w:tc>
        <w:tc>
          <w:tcPr>
            <w:tcW w:w="1958" w:type="dxa"/>
            <w:shd w:val="clear" w:color="auto" w:fill="D9D9D9"/>
          </w:tcPr>
          <w:p>
            <w:pPr>
              <w:pStyle w:val="TableParagraph"/>
              <w:spacing w:line="177" w:lineRule="exact"/>
              <w:ind w:left="143"/>
              <w:jc w:val="left"/>
              <w:rPr>
                <w:rFonts w:ascii="Carlito"/>
                <w:sz w:val="16"/>
              </w:rPr>
            </w:pPr>
            <w:r>
              <w:rPr>
                <w:rFonts w:ascii="Carlito"/>
                <w:sz w:val="16"/>
              </w:rPr>
              <w:t>Curridabat</w:t>
            </w:r>
          </w:p>
        </w:tc>
        <w:tc>
          <w:tcPr>
            <w:tcW w:w="575" w:type="dxa"/>
            <w:shd w:val="clear" w:color="auto" w:fill="D9D9D9"/>
          </w:tcPr>
          <w:p>
            <w:pPr>
              <w:pStyle w:val="TableParagraph"/>
              <w:spacing w:line="177" w:lineRule="exact"/>
              <w:ind w:right="69"/>
              <w:rPr>
                <w:rFonts w:ascii="Carlito"/>
                <w:sz w:val="16"/>
              </w:rPr>
            </w:pPr>
            <w:r>
              <w:rPr>
                <w:rFonts w:ascii="Carlito"/>
                <w:sz w:val="16"/>
              </w:rPr>
              <w:t>1</w:t>
            </w:r>
          </w:p>
        </w:tc>
        <w:tc>
          <w:tcPr>
            <w:tcW w:w="1358" w:type="dxa"/>
            <w:shd w:val="clear" w:color="auto" w:fill="D9D9D9"/>
          </w:tcPr>
          <w:p>
            <w:pPr>
              <w:pStyle w:val="TableParagraph"/>
              <w:spacing w:line="177" w:lineRule="exact"/>
              <w:ind w:right="355"/>
              <w:rPr>
                <w:rFonts w:ascii="Carlito"/>
                <w:sz w:val="16"/>
              </w:rPr>
            </w:pPr>
            <w:r>
              <w:rPr>
                <w:rFonts w:ascii="Carlito"/>
                <w:sz w:val="16"/>
              </w:rPr>
              <w:t>$120,000.00</w:t>
            </w:r>
          </w:p>
        </w:tc>
        <w:tc>
          <w:tcPr>
            <w:tcW w:w="1061" w:type="dxa"/>
            <w:shd w:val="clear" w:color="auto" w:fill="D9D9D9"/>
          </w:tcPr>
          <w:p>
            <w:pPr>
              <w:pStyle w:val="TableParagraph"/>
              <w:spacing w:line="177" w:lineRule="exact"/>
              <w:ind w:right="341"/>
              <w:rPr>
                <w:rFonts w:ascii="Carlito"/>
                <w:sz w:val="16"/>
              </w:rPr>
            </w:pPr>
            <w:r>
              <w:rPr>
                <w:rFonts w:ascii="Carlito"/>
                <w:sz w:val="16"/>
              </w:rPr>
              <w:t>148</w:t>
            </w:r>
          </w:p>
        </w:tc>
        <w:tc>
          <w:tcPr>
            <w:tcW w:w="1126" w:type="dxa"/>
            <w:shd w:val="clear" w:color="auto" w:fill="D9D9D9"/>
          </w:tcPr>
          <w:p>
            <w:pPr>
              <w:pStyle w:val="TableParagraph"/>
              <w:spacing w:line="177" w:lineRule="exact"/>
              <w:ind w:left="318" w:right="440"/>
              <w:jc w:val="center"/>
              <w:rPr>
                <w:rFonts w:ascii="Carlito"/>
                <w:sz w:val="16"/>
              </w:rPr>
            </w:pPr>
            <w:r>
              <w:rPr>
                <w:rFonts w:ascii="Carlito"/>
                <w:sz w:val="16"/>
              </w:rPr>
              <w:t>2006</w:t>
            </w:r>
          </w:p>
        </w:tc>
        <w:tc>
          <w:tcPr>
            <w:tcW w:w="783" w:type="dxa"/>
            <w:shd w:val="clear" w:color="auto" w:fill="D9D9D9"/>
          </w:tcPr>
          <w:p>
            <w:pPr>
              <w:pStyle w:val="TableParagraph"/>
              <w:spacing w:line="177" w:lineRule="exact"/>
              <w:ind w:right="236"/>
              <w:rPr>
                <w:rFonts w:ascii="Carlito"/>
                <w:sz w:val="16"/>
              </w:rPr>
            </w:pPr>
            <w:r>
              <w:rPr>
                <w:rFonts w:ascii="Carlito"/>
                <w:sz w:val="16"/>
              </w:rPr>
              <w:t>4</w:t>
            </w:r>
          </w:p>
        </w:tc>
        <w:tc>
          <w:tcPr>
            <w:tcW w:w="745" w:type="dxa"/>
            <w:shd w:val="clear" w:color="auto" w:fill="D9D9D9"/>
          </w:tcPr>
          <w:p>
            <w:pPr>
              <w:pStyle w:val="TableParagraph"/>
              <w:spacing w:line="177" w:lineRule="exact"/>
              <w:ind w:right="300"/>
              <w:rPr>
                <w:rFonts w:ascii="Carlito"/>
                <w:sz w:val="16"/>
              </w:rPr>
            </w:pPr>
            <w:r>
              <w:rPr>
                <w:rFonts w:ascii="Carlito"/>
                <w:sz w:val="16"/>
              </w:rPr>
              <w:t>2</w:t>
            </w:r>
          </w:p>
        </w:tc>
        <w:tc>
          <w:tcPr>
            <w:tcW w:w="856" w:type="dxa"/>
            <w:shd w:val="clear" w:color="auto" w:fill="D9D9D9"/>
          </w:tcPr>
          <w:p>
            <w:pPr>
              <w:pStyle w:val="TableParagraph"/>
              <w:spacing w:line="177" w:lineRule="exact"/>
              <w:ind w:left="300"/>
              <w:jc w:val="left"/>
              <w:rPr>
                <w:rFonts w:ascii="Carlito"/>
                <w:sz w:val="16"/>
              </w:rPr>
            </w:pPr>
            <w:r>
              <w:rPr>
                <w:rFonts w:ascii="Carlito"/>
                <w:sz w:val="16"/>
              </w:rPr>
              <w:t>2</w:t>
            </w:r>
          </w:p>
        </w:tc>
        <w:tc>
          <w:tcPr>
            <w:tcW w:w="1210" w:type="dxa"/>
            <w:shd w:val="clear" w:color="auto" w:fill="D9D9D9"/>
          </w:tcPr>
          <w:p>
            <w:pPr>
              <w:pStyle w:val="TableParagraph"/>
              <w:spacing w:line="177" w:lineRule="exact"/>
              <w:ind w:right="534"/>
              <w:rPr>
                <w:rFonts w:ascii="Carlito"/>
                <w:sz w:val="16"/>
              </w:rPr>
            </w:pPr>
            <w:r>
              <w:rPr>
                <w:rFonts w:ascii="Carlito"/>
                <w:sz w:val="16"/>
              </w:rPr>
              <w:t>5.7</w:t>
            </w:r>
          </w:p>
        </w:tc>
        <w:tc>
          <w:tcPr>
            <w:tcW w:w="1180" w:type="dxa"/>
            <w:shd w:val="clear" w:color="auto" w:fill="D9D9D9"/>
          </w:tcPr>
          <w:p>
            <w:pPr>
              <w:pStyle w:val="TableParagraph"/>
              <w:spacing w:line="177" w:lineRule="exact"/>
              <w:ind w:right="366"/>
              <w:rPr>
                <w:rFonts w:ascii="Carlito"/>
                <w:sz w:val="16"/>
              </w:rPr>
            </w:pPr>
            <w:r>
              <w:rPr>
                <w:rFonts w:ascii="Carlito"/>
                <w:sz w:val="16"/>
              </w:rPr>
              <w:t>3.2</w:t>
            </w:r>
          </w:p>
        </w:tc>
        <w:tc>
          <w:tcPr>
            <w:tcW w:w="826" w:type="dxa"/>
            <w:shd w:val="clear" w:color="auto" w:fill="D9D9D9"/>
          </w:tcPr>
          <w:p>
            <w:pPr>
              <w:pStyle w:val="TableParagraph"/>
              <w:spacing w:line="177" w:lineRule="exact"/>
              <w:ind w:right="380"/>
              <w:rPr>
                <w:rFonts w:ascii="Carlito"/>
                <w:sz w:val="16"/>
              </w:rPr>
            </w:pPr>
            <w:r>
              <w:rPr>
                <w:rFonts w:ascii="Carlito"/>
                <w:sz w:val="16"/>
              </w:rPr>
              <w:t>0</w:t>
            </w:r>
          </w:p>
        </w:tc>
        <w:tc>
          <w:tcPr>
            <w:tcW w:w="530" w:type="dxa"/>
            <w:shd w:val="clear" w:color="auto" w:fill="D9D9D9"/>
          </w:tcPr>
          <w:p>
            <w:pPr>
              <w:pStyle w:val="TableParagraph"/>
              <w:spacing w:line="177" w:lineRule="exact"/>
              <w:ind w:right="66"/>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213</w:t>
            </w:r>
          </w:p>
        </w:tc>
        <w:tc>
          <w:tcPr>
            <w:tcW w:w="1958" w:type="dxa"/>
          </w:tcPr>
          <w:p>
            <w:pPr>
              <w:pStyle w:val="TableParagraph"/>
              <w:ind w:left="143"/>
              <w:jc w:val="left"/>
              <w:rPr>
                <w:rFonts w:ascii="Carlito"/>
                <w:sz w:val="16"/>
              </w:rPr>
            </w:pPr>
            <w:r>
              <w:rPr>
                <w:rFonts w:ascii="Carlito"/>
                <w:sz w:val="16"/>
              </w:rPr>
              <w:t>Curridabat</w:t>
            </w:r>
          </w:p>
        </w:tc>
        <w:tc>
          <w:tcPr>
            <w:tcW w:w="575" w:type="dxa"/>
          </w:tcPr>
          <w:p>
            <w:pPr>
              <w:pStyle w:val="TableParagraph"/>
              <w:ind w:right="69"/>
              <w:rPr>
                <w:rFonts w:ascii="Carlito"/>
                <w:sz w:val="16"/>
              </w:rPr>
            </w:pPr>
            <w:r>
              <w:rPr>
                <w:rFonts w:ascii="Carlito"/>
                <w:sz w:val="16"/>
              </w:rPr>
              <w:t>1</w:t>
            </w:r>
          </w:p>
        </w:tc>
        <w:tc>
          <w:tcPr>
            <w:tcW w:w="1358" w:type="dxa"/>
          </w:tcPr>
          <w:p>
            <w:pPr>
              <w:pStyle w:val="TableParagraph"/>
              <w:ind w:right="355"/>
              <w:rPr>
                <w:rFonts w:ascii="Carlito"/>
                <w:sz w:val="16"/>
              </w:rPr>
            </w:pPr>
            <w:r>
              <w:rPr>
                <w:rFonts w:ascii="Carlito"/>
                <w:sz w:val="16"/>
              </w:rPr>
              <w:t>$145,000.00</w:t>
            </w:r>
          </w:p>
        </w:tc>
        <w:tc>
          <w:tcPr>
            <w:tcW w:w="1061" w:type="dxa"/>
          </w:tcPr>
          <w:p>
            <w:pPr>
              <w:pStyle w:val="TableParagraph"/>
              <w:ind w:right="341"/>
              <w:rPr>
                <w:rFonts w:ascii="Carlito"/>
                <w:sz w:val="16"/>
              </w:rPr>
            </w:pPr>
            <w:r>
              <w:rPr>
                <w:rFonts w:ascii="Carlito"/>
                <w:sz w:val="16"/>
              </w:rPr>
              <w:t>196</w:t>
            </w:r>
          </w:p>
        </w:tc>
        <w:tc>
          <w:tcPr>
            <w:tcW w:w="1126" w:type="dxa"/>
          </w:tcPr>
          <w:p>
            <w:pPr>
              <w:pStyle w:val="TableParagraph"/>
              <w:ind w:left="318" w:right="440"/>
              <w:jc w:val="center"/>
              <w:rPr>
                <w:rFonts w:ascii="Carlito"/>
                <w:sz w:val="16"/>
              </w:rPr>
            </w:pPr>
            <w:r>
              <w:rPr>
                <w:rFonts w:ascii="Carlito"/>
                <w:sz w:val="16"/>
              </w:rPr>
              <w:t>1995</w:t>
            </w:r>
          </w:p>
        </w:tc>
        <w:tc>
          <w:tcPr>
            <w:tcW w:w="783" w:type="dxa"/>
          </w:tcPr>
          <w:p>
            <w:pPr>
              <w:pStyle w:val="TableParagraph"/>
              <w:ind w:right="236"/>
              <w:rPr>
                <w:rFonts w:ascii="Carlito"/>
                <w:sz w:val="16"/>
              </w:rPr>
            </w:pPr>
            <w:r>
              <w:rPr>
                <w:rFonts w:ascii="Carlito"/>
                <w:sz w:val="16"/>
              </w:rPr>
              <w:t>3</w:t>
            </w:r>
          </w:p>
        </w:tc>
        <w:tc>
          <w:tcPr>
            <w:tcW w:w="745" w:type="dxa"/>
          </w:tcPr>
          <w:p>
            <w:pPr>
              <w:pStyle w:val="TableParagraph"/>
              <w:ind w:right="305"/>
              <w:rPr>
                <w:rFonts w:ascii="Carlito"/>
                <w:sz w:val="16"/>
              </w:rPr>
            </w:pPr>
            <w:r>
              <w:rPr>
                <w:rFonts w:ascii="Carlito"/>
                <w:sz w:val="16"/>
              </w:rPr>
              <w:t>2.5</w:t>
            </w:r>
          </w:p>
        </w:tc>
        <w:tc>
          <w:tcPr>
            <w:tcW w:w="856" w:type="dxa"/>
          </w:tcPr>
          <w:p>
            <w:pPr>
              <w:pStyle w:val="TableParagraph"/>
              <w:ind w:left="300"/>
              <w:jc w:val="left"/>
              <w:rPr>
                <w:rFonts w:ascii="Carlito"/>
                <w:sz w:val="16"/>
              </w:rPr>
            </w:pPr>
            <w:r>
              <w:rPr>
                <w:rFonts w:ascii="Carlito"/>
                <w:sz w:val="16"/>
              </w:rPr>
              <w:t>2</w:t>
            </w:r>
          </w:p>
        </w:tc>
        <w:tc>
          <w:tcPr>
            <w:tcW w:w="1210" w:type="dxa"/>
          </w:tcPr>
          <w:p>
            <w:pPr>
              <w:pStyle w:val="TableParagraph"/>
              <w:ind w:right="534"/>
              <w:rPr>
                <w:rFonts w:ascii="Carlito"/>
                <w:sz w:val="16"/>
              </w:rPr>
            </w:pPr>
            <w:r>
              <w:rPr>
                <w:rFonts w:ascii="Carlito"/>
                <w:sz w:val="16"/>
              </w:rPr>
              <w:t>5.7</w:t>
            </w:r>
          </w:p>
        </w:tc>
        <w:tc>
          <w:tcPr>
            <w:tcW w:w="1180" w:type="dxa"/>
          </w:tcPr>
          <w:p>
            <w:pPr>
              <w:pStyle w:val="TableParagraph"/>
              <w:ind w:right="366"/>
              <w:rPr>
                <w:rFonts w:ascii="Carlito"/>
                <w:sz w:val="16"/>
              </w:rPr>
            </w:pPr>
            <w:r>
              <w:rPr>
                <w:rFonts w:ascii="Carlito"/>
                <w:sz w:val="16"/>
              </w:rPr>
              <w:t>3.2</w:t>
            </w:r>
          </w:p>
        </w:tc>
        <w:tc>
          <w:tcPr>
            <w:tcW w:w="826" w:type="dxa"/>
          </w:tcPr>
          <w:p>
            <w:pPr>
              <w:pStyle w:val="TableParagraph"/>
              <w:ind w:right="380"/>
              <w:rPr>
                <w:rFonts w:ascii="Carlito"/>
                <w:sz w:val="16"/>
              </w:rPr>
            </w:pPr>
            <w:r>
              <w:rPr>
                <w:rFonts w:ascii="Carlito"/>
                <w:sz w:val="16"/>
              </w:rPr>
              <w:t>0</w:t>
            </w:r>
          </w:p>
        </w:tc>
        <w:tc>
          <w:tcPr>
            <w:tcW w:w="530" w:type="dxa"/>
          </w:tcPr>
          <w:p>
            <w:pPr>
              <w:pStyle w:val="TableParagraph"/>
              <w:ind w:right="66"/>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214</w:t>
            </w:r>
          </w:p>
        </w:tc>
        <w:tc>
          <w:tcPr>
            <w:tcW w:w="1958" w:type="dxa"/>
            <w:shd w:val="clear" w:color="auto" w:fill="D9D9D9"/>
          </w:tcPr>
          <w:p>
            <w:pPr>
              <w:pStyle w:val="TableParagraph"/>
              <w:spacing w:before="92"/>
              <w:ind w:left="143"/>
              <w:jc w:val="left"/>
              <w:rPr>
                <w:rFonts w:ascii="Carlito"/>
                <w:sz w:val="16"/>
              </w:rPr>
            </w:pPr>
            <w:r>
              <w:rPr>
                <w:rFonts w:ascii="Carlito"/>
                <w:sz w:val="16"/>
              </w:rPr>
              <w:t>Lomas de Ayarco Sur</w:t>
            </w:r>
          </w:p>
        </w:tc>
        <w:tc>
          <w:tcPr>
            <w:tcW w:w="575" w:type="dxa"/>
            <w:shd w:val="clear" w:color="auto" w:fill="D9D9D9"/>
          </w:tcPr>
          <w:p>
            <w:pPr>
              <w:pStyle w:val="TableParagraph"/>
              <w:spacing w:before="92"/>
              <w:ind w:right="69"/>
              <w:rPr>
                <w:rFonts w:ascii="Carlito"/>
                <w:sz w:val="16"/>
              </w:rPr>
            </w:pPr>
            <w:r>
              <w:rPr>
                <w:rFonts w:ascii="Carlito"/>
                <w:sz w:val="16"/>
              </w:rPr>
              <w:t>1</w:t>
            </w:r>
          </w:p>
        </w:tc>
        <w:tc>
          <w:tcPr>
            <w:tcW w:w="1358" w:type="dxa"/>
            <w:shd w:val="clear" w:color="auto" w:fill="D9D9D9"/>
          </w:tcPr>
          <w:p>
            <w:pPr>
              <w:pStyle w:val="TableParagraph"/>
              <w:spacing w:before="92"/>
              <w:ind w:right="355"/>
              <w:rPr>
                <w:rFonts w:ascii="Carlito"/>
                <w:sz w:val="16"/>
              </w:rPr>
            </w:pPr>
            <w:r>
              <w:rPr>
                <w:rFonts w:ascii="Carlito"/>
                <w:sz w:val="16"/>
              </w:rPr>
              <w:t>$265,000.00</w:t>
            </w:r>
          </w:p>
        </w:tc>
        <w:tc>
          <w:tcPr>
            <w:tcW w:w="1061" w:type="dxa"/>
            <w:shd w:val="clear" w:color="auto" w:fill="D9D9D9"/>
          </w:tcPr>
          <w:p>
            <w:pPr>
              <w:pStyle w:val="TableParagraph"/>
              <w:spacing w:before="92"/>
              <w:ind w:right="341"/>
              <w:rPr>
                <w:rFonts w:ascii="Carlito"/>
                <w:sz w:val="16"/>
              </w:rPr>
            </w:pPr>
            <w:r>
              <w:rPr>
                <w:rFonts w:ascii="Carlito"/>
                <w:sz w:val="16"/>
              </w:rPr>
              <w:t>240</w:t>
            </w:r>
          </w:p>
        </w:tc>
        <w:tc>
          <w:tcPr>
            <w:tcW w:w="1126" w:type="dxa"/>
            <w:shd w:val="clear" w:color="auto" w:fill="D9D9D9"/>
          </w:tcPr>
          <w:p>
            <w:pPr>
              <w:pStyle w:val="TableParagraph"/>
              <w:spacing w:before="92"/>
              <w:ind w:left="318" w:right="440"/>
              <w:jc w:val="center"/>
              <w:rPr>
                <w:rFonts w:ascii="Carlito"/>
                <w:sz w:val="16"/>
              </w:rPr>
            </w:pPr>
            <w:r>
              <w:rPr>
                <w:rFonts w:ascii="Carlito"/>
                <w:sz w:val="16"/>
              </w:rPr>
              <w:t>2006</w:t>
            </w:r>
          </w:p>
        </w:tc>
        <w:tc>
          <w:tcPr>
            <w:tcW w:w="783" w:type="dxa"/>
            <w:shd w:val="clear" w:color="auto" w:fill="D9D9D9"/>
          </w:tcPr>
          <w:p>
            <w:pPr>
              <w:pStyle w:val="TableParagraph"/>
              <w:spacing w:before="92"/>
              <w:ind w:right="236"/>
              <w:rPr>
                <w:rFonts w:ascii="Carlito"/>
                <w:sz w:val="16"/>
              </w:rPr>
            </w:pPr>
            <w:r>
              <w:rPr>
                <w:rFonts w:ascii="Carlito"/>
                <w:sz w:val="16"/>
              </w:rPr>
              <w:t>4</w:t>
            </w:r>
          </w:p>
        </w:tc>
        <w:tc>
          <w:tcPr>
            <w:tcW w:w="745" w:type="dxa"/>
            <w:shd w:val="clear" w:color="auto" w:fill="D9D9D9"/>
          </w:tcPr>
          <w:p>
            <w:pPr>
              <w:pStyle w:val="TableParagraph"/>
              <w:spacing w:before="92"/>
              <w:ind w:right="305"/>
              <w:rPr>
                <w:rFonts w:ascii="Carlito"/>
                <w:sz w:val="16"/>
              </w:rPr>
            </w:pPr>
            <w:r>
              <w:rPr>
                <w:rFonts w:ascii="Carlito"/>
                <w:sz w:val="16"/>
              </w:rPr>
              <w:t>2.5</w:t>
            </w:r>
          </w:p>
        </w:tc>
        <w:tc>
          <w:tcPr>
            <w:tcW w:w="856" w:type="dxa"/>
            <w:shd w:val="clear" w:color="auto" w:fill="D9D9D9"/>
          </w:tcPr>
          <w:p>
            <w:pPr>
              <w:pStyle w:val="TableParagraph"/>
              <w:spacing w:before="92"/>
              <w:ind w:left="300"/>
              <w:jc w:val="left"/>
              <w:rPr>
                <w:rFonts w:ascii="Carlito"/>
                <w:sz w:val="16"/>
              </w:rPr>
            </w:pPr>
            <w:r>
              <w:rPr>
                <w:rFonts w:ascii="Carlito"/>
                <w:sz w:val="16"/>
              </w:rPr>
              <w:t>2</w:t>
            </w:r>
          </w:p>
        </w:tc>
        <w:tc>
          <w:tcPr>
            <w:tcW w:w="1210" w:type="dxa"/>
            <w:shd w:val="clear" w:color="auto" w:fill="D9D9D9"/>
          </w:tcPr>
          <w:p>
            <w:pPr>
              <w:pStyle w:val="TableParagraph"/>
              <w:spacing w:before="92"/>
              <w:ind w:right="534"/>
              <w:rPr>
                <w:rFonts w:ascii="Carlito"/>
                <w:sz w:val="16"/>
              </w:rPr>
            </w:pPr>
            <w:r>
              <w:rPr>
                <w:rFonts w:ascii="Carlito"/>
                <w:sz w:val="16"/>
              </w:rPr>
              <w:t>8.8</w:t>
            </w:r>
          </w:p>
        </w:tc>
        <w:tc>
          <w:tcPr>
            <w:tcW w:w="1180" w:type="dxa"/>
            <w:shd w:val="clear" w:color="auto" w:fill="D9D9D9"/>
          </w:tcPr>
          <w:p>
            <w:pPr>
              <w:pStyle w:val="TableParagraph"/>
              <w:spacing w:before="92"/>
              <w:ind w:right="366"/>
              <w:rPr>
                <w:rFonts w:ascii="Carlito"/>
                <w:sz w:val="16"/>
              </w:rPr>
            </w:pPr>
            <w:r>
              <w:rPr>
                <w:rFonts w:ascii="Carlito"/>
                <w:sz w:val="16"/>
              </w:rPr>
              <w:t>2.8</w:t>
            </w:r>
          </w:p>
        </w:tc>
        <w:tc>
          <w:tcPr>
            <w:tcW w:w="826" w:type="dxa"/>
            <w:shd w:val="clear" w:color="auto" w:fill="D9D9D9"/>
          </w:tcPr>
          <w:p>
            <w:pPr>
              <w:pStyle w:val="TableParagraph"/>
              <w:spacing w:before="92"/>
              <w:ind w:right="380"/>
              <w:rPr>
                <w:rFonts w:ascii="Carlito"/>
                <w:sz w:val="16"/>
              </w:rPr>
            </w:pPr>
            <w:r>
              <w:rPr>
                <w:rFonts w:ascii="Carlito"/>
                <w:sz w:val="16"/>
              </w:rPr>
              <w:t>0</w:t>
            </w:r>
          </w:p>
        </w:tc>
        <w:tc>
          <w:tcPr>
            <w:tcW w:w="530" w:type="dxa"/>
            <w:shd w:val="clear" w:color="auto" w:fill="D9D9D9"/>
          </w:tcPr>
          <w:p>
            <w:pPr>
              <w:pStyle w:val="TableParagraph"/>
              <w:spacing w:before="92"/>
              <w:ind w:right="66"/>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215</w:t>
            </w:r>
          </w:p>
        </w:tc>
        <w:tc>
          <w:tcPr>
            <w:tcW w:w="1958" w:type="dxa"/>
          </w:tcPr>
          <w:p>
            <w:pPr>
              <w:pStyle w:val="TableParagraph"/>
              <w:ind w:left="143"/>
              <w:jc w:val="left"/>
              <w:rPr>
                <w:rFonts w:ascii="Carlito"/>
                <w:sz w:val="16"/>
              </w:rPr>
            </w:pPr>
            <w:r>
              <w:rPr>
                <w:rFonts w:ascii="Carlito"/>
                <w:sz w:val="16"/>
              </w:rPr>
              <w:t>Lomas de Ayarco Sur</w:t>
            </w:r>
          </w:p>
        </w:tc>
        <w:tc>
          <w:tcPr>
            <w:tcW w:w="575" w:type="dxa"/>
          </w:tcPr>
          <w:p>
            <w:pPr>
              <w:pStyle w:val="TableParagraph"/>
              <w:ind w:right="69"/>
              <w:rPr>
                <w:rFonts w:ascii="Carlito"/>
                <w:sz w:val="16"/>
              </w:rPr>
            </w:pPr>
            <w:r>
              <w:rPr>
                <w:rFonts w:ascii="Carlito"/>
                <w:sz w:val="16"/>
              </w:rPr>
              <w:t>0</w:t>
            </w:r>
          </w:p>
        </w:tc>
        <w:tc>
          <w:tcPr>
            <w:tcW w:w="1358" w:type="dxa"/>
          </w:tcPr>
          <w:p>
            <w:pPr>
              <w:pStyle w:val="TableParagraph"/>
              <w:ind w:right="355"/>
              <w:rPr>
                <w:rFonts w:ascii="Carlito"/>
                <w:sz w:val="16"/>
              </w:rPr>
            </w:pPr>
            <w:r>
              <w:rPr>
                <w:rFonts w:ascii="Carlito"/>
                <w:sz w:val="16"/>
              </w:rPr>
              <w:t>$170,000.00</w:t>
            </w:r>
          </w:p>
        </w:tc>
        <w:tc>
          <w:tcPr>
            <w:tcW w:w="1061" w:type="dxa"/>
          </w:tcPr>
          <w:p>
            <w:pPr>
              <w:pStyle w:val="TableParagraph"/>
              <w:ind w:right="341"/>
              <w:rPr>
                <w:rFonts w:ascii="Carlito"/>
                <w:sz w:val="16"/>
              </w:rPr>
            </w:pPr>
            <w:r>
              <w:rPr>
                <w:rFonts w:ascii="Carlito"/>
                <w:sz w:val="16"/>
              </w:rPr>
              <w:t>160</w:t>
            </w:r>
          </w:p>
        </w:tc>
        <w:tc>
          <w:tcPr>
            <w:tcW w:w="1126" w:type="dxa"/>
          </w:tcPr>
          <w:p>
            <w:pPr>
              <w:pStyle w:val="TableParagraph"/>
              <w:ind w:left="318" w:right="440"/>
              <w:jc w:val="center"/>
              <w:rPr>
                <w:rFonts w:ascii="Carlito"/>
                <w:sz w:val="16"/>
              </w:rPr>
            </w:pPr>
            <w:r>
              <w:rPr>
                <w:rFonts w:ascii="Carlito"/>
                <w:sz w:val="16"/>
              </w:rPr>
              <w:t>2017</w:t>
            </w:r>
          </w:p>
        </w:tc>
        <w:tc>
          <w:tcPr>
            <w:tcW w:w="783" w:type="dxa"/>
          </w:tcPr>
          <w:p>
            <w:pPr>
              <w:pStyle w:val="TableParagraph"/>
              <w:ind w:right="236"/>
              <w:rPr>
                <w:rFonts w:ascii="Carlito"/>
                <w:sz w:val="16"/>
              </w:rPr>
            </w:pPr>
            <w:r>
              <w:rPr>
                <w:rFonts w:ascii="Carlito"/>
                <w:sz w:val="16"/>
              </w:rPr>
              <w:t>3</w:t>
            </w:r>
          </w:p>
        </w:tc>
        <w:tc>
          <w:tcPr>
            <w:tcW w:w="745" w:type="dxa"/>
          </w:tcPr>
          <w:p>
            <w:pPr>
              <w:pStyle w:val="TableParagraph"/>
              <w:ind w:right="305"/>
              <w:rPr>
                <w:rFonts w:ascii="Carlito"/>
                <w:sz w:val="16"/>
              </w:rPr>
            </w:pPr>
            <w:r>
              <w:rPr>
                <w:rFonts w:ascii="Carlito"/>
                <w:sz w:val="16"/>
              </w:rPr>
              <w:t>2.5</w:t>
            </w:r>
          </w:p>
        </w:tc>
        <w:tc>
          <w:tcPr>
            <w:tcW w:w="856" w:type="dxa"/>
          </w:tcPr>
          <w:p>
            <w:pPr>
              <w:pStyle w:val="TableParagraph"/>
              <w:ind w:left="300"/>
              <w:jc w:val="left"/>
              <w:rPr>
                <w:rFonts w:ascii="Carlito"/>
                <w:sz w:val="16"/>
              </w:rPr>
            </w:pPr>
            <w:r>
              <w:rPr>
                <w:rFonts w:ascii="Carlito"/>
                <w:sz w:val="16"/>
              </w:rPr>
              <w:t>2</w:t>
            </w:r>
          </w:p>
        </w:tc>
        <w:tc>
          <w:tcPr>
            <w:tcW w:w="1210" w:type="dxa"/>
          </w:tcPr>
          <w:p>
            <w:pPr>
              <w:pStyle w:val="TableParagraph"/>
              <w:ind w:right="534"/>
              <w:rPr>
                <w:rFonts w:ascii="Carlito"/>
                <w:sz w:val="16"/>
              </w:rPr>
            </w:pPr>
            <w:r>
              <w:rPr>
                <w:rFonts w:ascii="Carlito"/>
                <w:sz w:val="16"/>
              </w:rPr>
              <w:t>7.7</w:t>
            </w:r>
          </w:p>
        </w:tc>
        <w:tc>
          <w:tcPr>
            <w:tcW w:w="1180" w:type="dxa"/>
          </w:tcPr>
          <w:p>
            <w:pPr>
              <w:pStyle w:val="TableParagraph"/>
              <w:ind w:right="362"/>
              <w:rPr>
                <w:rFonts w:ascii="Carlito"/>
                <w:sz w:val="16"/>
              </w:rPr>
            </w:pPr>
            <w:r>
              <w:rPr>
                <w:rFonts w:ascii="Carlito"/>
                <w:sz w:val="16"/>
              </w:rPr>
              <w:t>3</w:t>
            </w:r>
          </w:p>
        </w:tc>
        <w:tc>
          <w:tcPr>
            <w:tcW w:w="826" w:type="dxa"/>
          </w:tcPr>
          <w:p>
            <w:pPr>
              <w:pStyle w:val="TableParagraph"/>
              <w:ind w:right="380"/>
              <w:rPr>
                <w:rFonts w:ascii="Carlito"/>
                <w:sz w:val="16"/>
              </w:rPr>
            </w:pPr>
            <w:r>
              <w:rPr>
                <w:rFonts w:ascii="Carlito"/>
                <w:sz w:val="16"/>
              </w:rPr>
              <w:t>1</w:t>
            </w:r>
          </w:p>
        </w:tc>
        <w:tc>
          <w:tcPr>
            <w:tcW w:w="530" w:type="dxa"/>
          </w:tcPr>
          <w:p>
            <w:pPr>
              <w:pStyle w:val="TableParagraph"/>
              <w:ind w:right="66"/>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216</w:t>
            </w:r>
          </w:p>
        </w:tc>
        <w:tc>
          <w:tcPr>
            <w:tcW w:w="1958" w:type="dxa"/>
            <w:shd w:val="clear" w:color="auto" w:fill="D9D9D9"/>
          </w:tcPr>
          <w:p>
            <w:pPr>
              <w:pStyle w:val="TableParagraph"/>
              <w:ind w:left="143"/>
              <w:jc w:val="left"/>
              <w:rPr>
                <w:rFonts w:ascii="Carlito"/>
                <w:sz w:val="16"/>
              </w:rPr>
            </w:pPr>
            <w:r>
              <w:rPr>
                <w:rFonts w:ascii="Carlito"/>
                <w:sz w:val="16"/>
              </w:rPr>
              <w:t>Guayabos</w:t>
            </w:r>
          </w:p>
        </w:tc>
        <w:tc>
          <w:tcPr>
            <w:tcW w:w="575" w:type="dxa"/>
            <w:shd w:val="clear" w:color="auto" w:fill="D9D9D9"/>
          </w:tcPr>
          <w:p>
            <w:pPr>
              <w:pStyle w:val="TableParagraph"/>
              <w:ind w:right="69"/>
              <w:rPr>
                <w:rFonts w:ascii="Carlito"/>
                <w:sz w:val="16"/>
              </w:rPr>
            </w:pPr>
            <w:r>
              <w:rPr>
                <w:rFonts w:ascii="Carlito"/>
                <w:sz w:val="16"/>
              </w:rPr>
              <w:t>0</w:t>
            </w:r>
          </w:p>
        </w:tc>
        <w:tc>
          <w:tcPr>
            <w:tcW w:w="1358" w:type="dxa"/>
            <w:shd w:val="clear" w:color="auto" w:fill="D9D9D9"/>
          </w:tcPr>
          <w:p>
            <w:pPr>
              <w:pStyle w:val="TableParagraph"/>
              <w:ind w:right="355"/>
              <w:rPr>
                <w:rFonts w:ascii="Carlito"/>
                <w:sz w:val="16"/>
              </w:rPr>
            </w:pPr>
            <w:r>
              <w:rPr>
                <w:rFonts w:ascii="Carlito"/>
                <w:sz w:val="16"/>
              </w:rPr>
              <w:t>$240,000.00</w:t>
            </w:r>
          </w:p>
        </w:tc>
        <w:tc>
          <w:tcPr>
            <w:tcW w:w="1061" w:type="dxa"/>
            <w:shd w:val="clear" w:color="auto" w:fill="D9D9D9"/>
          </w:tcPr>
          <w:p>
            <w:pPr>
              <w:pStyle w:val="TableParagraph"/>
              <w:ind w:right="341"/>
              <w:rPr>
                <w:rFonts w:ascii="Carlito"/>
                <w:sz w:val="16"/>
              </w:rPr>
            </w:pPr>
            <w:r>
              <w:rPr>
                <w:rFonts w:ascii="Carlito"/>
                <w:sz w:val="16"/>
              </w:rPr>
              <w:t>227</w:t>
            </w:r>
          </w:p>
        </w:tc>
        <w:tc>
          <w:tcPr>
            <w:tcW w:w="1126" w:type="dxa"/>
            <w:shd w:val="clear" w:color="auto" w:fill="D9D9D9"/>
          </w:tcPr>
          <w:p>
            <w:pPr>
              <w:pStyle w:val="TableParagraph"/>
              <w:ind w:left="318" w:right="440"/>
              <w:jc w:val="center"/>
              <w:rPr>
                <w:rFonts w:ascii="Carlito"/>
                <w:sz w:val="16"/>
              </w:rPr>
            </w:pPr>
            <w:r>
              <w:rPr>
                <w:rFonts w:ascii="Carlito"/>
                <w:sz w:val="16"/>
              </w:rPr>
              <w:t>2003</w:t>
            </w:r>
          </w:p>
        </w:tc>
        <w:tc>
          <w:tcPr>
            <w:tcW w:w="783" w:type="dxa"/>
            <w:shd w:val="clear" w:color="auto" w:fill="D9D9D9"/>
          </w:tcPr>
          <w:p>
            <w:pPr>
              <w:pStyle w:val="TableParagraph"/>
              <w:ind w:right="236"/>
              <w:rPr>
                <w:rFonts w:ascii="Carlito"/>
                <w:sz w:val="16"/>
              </w:rPr>
            </w:pPr>
            <w:r>
              <w:rPr>
                <w:rFonts w:ascii="Carlito"/>
                <w:sz w:val="16"/>
              </w:rPr>
              <w:t>3</w:t>
            </w:r>
          </w:p>
        </w:tc>
        <w:tc>
          <w:tcPr>
            <w:tcW w:w="745" w:type="dxa"/>
            <w:shd w:val="clear" w:color="auto" w:fill="D9D9D9"/>
          </w:tcPr>
          <w:p>
            <w:pPr>
              <w:pStyle w:val="TableParagraph"/>
              <w:ind w:right="305"/>
              <w:rPr>
                <w:rFonts w:ascii="Carlito"/>
                <w:sz w:val="16"/>
              </w:rPr>
            </w:pPr>
            <w:r>
              <w:rPr>
                <w:rFonts w:ascii="Carlito"/>
                <w:sz w:val="16"/>
              </w:rPr>
              <w:t>2.5</w:t>
            </w:r>
          </w:p>
        </w:tc>
        <w:tc>
          <w:tcPr>
            <w:tcW w:w="856" w:type="dxa"/>
            <w:shd w:val="clear" w:color="auto" w:fill="D9D9D9"/>
          </w:tcPr>
          <w:p>
            <w:pPr>
              <w:pStyle w:val="TableParagraph"/>
              <w:ind w:left="300"/>
              <w:jc w:val="left"/>
              <w:rPr>
                <w:rFonts w:ascii="Carlito"/>
                <w:sz w:val="16"/>
              </w:rPr>
            </w:pPr>
            <w:r>
              <w:rPr>
                <w:rFonts w:ascii="Carlito"/>
                <w:sz w:val="16"/>
              </w:rPr>
              <w:t>2</w:t>
            </w:r>
          </w:p>
        </w:tc>
        <w:tc>
          <w:tcPr>
            <w:tcW w:w="1210" w:type="dxa"/>
            <w:shd w:val="clear" w:color="auto" w:fill="D9D9D9"/>
          </w:tcPr>
          <w:p>
            <w:pPr>
              <w:pStyle w:val="TableParagraph"/>
              <w:ind w:right="534"/>
              <w:rPr>
                <w:rFonts w:ascii="Carlito"/>
                <w:sz w:val="16"/>
              </w:rPr>
            </w:pPr>
            <w:r>
              <w:rPr>
                <w:rFonts w:ascii="Carlito"/>
                <w:sz w:val="16"/>
              </w:rPr>
              <w:t>7.4</w:t>
            </w:r>
          </w:p>
        </w:tc>
        <w:tc>
          <w:tcPr>
            <w:tcW w:w="1180" w:type="dxa"/>
            <w:shd w:val="clear" w:color="auto" w:fill="D9D9D9"/>
          </w:tcPr>
          <w:p>
            <w:pPr>
              <w:pStyle w:val="TableParagraph"/>
              <w:ind w:right="362"/>
              <w:rPr>
                <w:rFonts w:ascii="Carlito"/>
                <w:sz w:val="16"/>
              </w:rPr>
            </w:pPr>
            <w:r>
              <w:rPr>
                <w:rFonts w:ascii="Carlito"/>
                <w:sz w:val="16"/>
              </w:rPr>
              <w:t>5</w:t>
            </w:r>
          </w:p>
        </w:tc>
        <w:tc>
          <w:tcPr>
            <w:tcW w:w="826" w:type="dxa"/>
            <w:shd w:val="clear" w:color="auto" w:fill="D9D9D9"/>
          </w:tcPr>
          <w:p>
            <w:pPr>
              <w:pStyle w:val="TableParagraph"/>
              <w:ind w:right="380"/>
              <w:rPr>
                <w:rFonts w:ascii="Carlito"/>
                <w:sz w:val="16"/>
              </w:rPr>
            </w:pPr>
            <w:r>
              <w:rPr>
                <w:rFonts w:ascii="Carlito"/>
                <w:sz w:val="16"/>
              </w:rPr>
              <w:t>0</w:t>
            </w:r>
          </w:p>
        </w:tc>
        <w:tc>
          <w:tcPr>
            <w:tcW w:w="530" w:type="dxa"/>
            <w:shd w:val="clear" w:color="auto" w:fill="D9D9D9"/>
          </w:tcPr>
          <w:p>
            <w:pPr>
              <w:pStyle w:val="TableParagraph"/>
              <w:ind w:right="66"/>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217</w:t>
            </w:r>
          </w:p>
        </w:tc>
        <w:tc>
          <w:tcPr>
            <w:tcW w:w="1958" w:type="dxa"/>
          </w:tcPr>
          <w:p>
            <w:pPr>
              <w:pStyle w:val="TableParagraph"/>
              <w:ind w:left="143"/>
              <w:jc w:val="left"/>
              <w:rPr>
                <w:rFonts w:ascii="Carlito"/>
                <w:sz w:val="16"/>
              </w:rPr>
            </w:pPr>
            <w:r>
              <w:rPr>
                <w:rFonts w:ascii="Carlito"/>
                <w:sz w:val="16"/>
              </w:rPr>
              <w:t>Cipreses</w:t>
            </w:r>
          </w:p>
        </w:tc>
        <w:tc>
          <w:tcPr>
            <w:tcW w:w="575" w:type="dxa"/>
          </w:tcPr>
          <w:p>
            <w:pPr>
              <w:pStyle w:val="TableParagraph"/>
              <w:ind w:right="69"/>
              <w:rPr>
                <w:rFonts w:ascii="Carlito"/>
                <w:sz w:val="16"/>
              </w:rPr>
            </w:pPr>
            <w:r>
              <w:rPr>
                <w:rFonts w:ascii="Carlito"/>
                <w:sz w:val="16"/>
              </w:rPr>
              <w:t>0</w:t>
            </w:r>
          </w:p>
        </w:tc>
        <w:tc>
          <w:tcPr>
            <w:tcW w:w="1358" w:type="dxa"/>
          </w:tcPr>
          <w:p>
            <w:pPr>
              <w:pStyle w:val="TableParagraph"/>
              <w:ind w:right="355"/>
              <w:rPr>
                <w:rFonts w:ascii="Carlito"/>
                <w:sz w:val="16"/>
              </w:rPr>
            </w:pPr>
            <w:r>
              <w:rPr>
                <w:rFonts w:ascii="Carlito"/>
                <w:sz w:val="16"/>
              </w:rPr>
              <w:t>$215,000.00</w:t>
            </w:r>
          </w:p>
        </w:tc>
        <w:tc>
          <w:tcPr>
            <w:tcW w:w="1061" w:type="dxa"/>
          </w:tcPr>
          <w:p>
            <w:pPr>
              <w:pStyle w:val="TableParagraph"/>
              <w:ind w:right="341"/>
              <w:rPr>
                <w:rFonts w:ascii="Carlito"/>
                <w:sz w:val="16"/>
              </w:rPr>
            </w:pPr>
            <w:r>
              <w:rPr>
                <w:rFonts w:ascii="Carlito"/>
                <w:sz w:val="16"/>
              </w:rPr>
              <w:t>190</w:t>
            </w:r>
          </w:p>
        </w:tc>
        <w:tc>
          <w:tcPr>
            <w:tcW w:w="1126" w:type="dxa"/>
          </w:tcPr>
          <w:p>
            <w:pPr>
              <w:pStyle w:val="TableParagraph"/>
              <w:ind w:left="318" w:right="440"/>
              <w:jc w:val="center"/>
              <w:rPr>
                <w:rFonts w:ascii="Carlito"/>
                <w:sz w:val="16"/>
              </w:rPr>
            </w:pPr>
            <w:r>
              <w:rPr>
                <w:rFonts w:ascii="Carlito"/>
                <w:sz w:val="16"/>
              </w:rPr>
              <w:t>2009</w:t>
            </w:r>
          </w:p>
        </w:tc>
        <w:tc>
          <w:tcPr>
            <w:tcW w:w="783" w:type="dxa"/>
          </w:tcPr>
          <w:p>
            <w:pPr>
              <w:pStyle w:val="TableParagraph"/>
              <w:ind w:right="236"/>
              <w:rPr>
                <w:rFonts w:ascii="Carlito"/>
                <w:sz w:val="16"/>
              </w:rPr>
            </w:pPr>
            <w:r>
              <w:rPr>
                <w:rFonts w:ascii="Carlito"/>
                <w:sz w:val="16"/>
              </w:rPr>
              <w:t>3</w:t>
            </w:r>
          </w:p>
        </w:tc>
        <w:tc>
          <w:tcPr>
            <w:tcW w:w="745" w:type="dxa"/>
          </w:tcPr>
          <w:p>
            <w:pPr>
              <w:pStyle w:val="TableParagraph"/>
              <w:ind w:right="305"/>
              <w:rPr>
                <w:rFonts w:ascii="Carlito"/>
                <w:sz w:val="16"/>
              </w:rPr>
            </w:pPr>
            <w:r>
              <w:rPr>
                <w:rFonts w:ascii="Carlito"/>
                <w:sz w:val="16"/>
              </w:rPr>
              <w:t>2.5</w:t>
            </w:r>
          </w:p>
        </w:tc>
        <w:tc>
          <w:tcPr>
            <w:tcW w:w="856" w:type="dxa"/>
          </w:tcPr>
          <w:p>
            <w:pPr>
              <w:pStyle w:val="TableParagraph"/>
              <w:ind w:left="300"/>
              <w:jc w:val="left"/>
              <w:rPr>
                <w:rFonts w:ascii="Carlito"/>
                <w:sz w:val="16"/>
              </w:rPr>
            </w:pPr>
            <w:r>
              <w:rPr>
                <w:rFonts w:ascii="Carlito"/>
                <w:sz w:val="16"/>
              </w:rPr>
              <w:t>2</w:t>
            </w:r>
          </w:p>
        </w:tc>
        <w:tc>
          <w:tcPr>
            <w:tcW w:w="1210" w:type="dxa"/>
          </w:tcPr>
          <w:p>
            <w:pPr>
              <w:pStyle w:val="TableParagraph"/>
              <w:ind w:right="534"/>
              <w:rPr>
                <w:rFonts w:ascii="Carlito"/>
                <w:sz w:val="16"/>
              </w:rPr>
            </w:pPr>
            <w:r>
              <w:rPr>
                <w:rFonts w:ascii="Carlito"/>
                <w:sz w:val="16"/>
              </w:rPr>
              <w:t>6.9</w:t>
            </w:r>
          </w:p>
        </w:tc>
        <w:tc>
          <w:tcPr>
            <w:tcW w:w="1180" w:type="dxa"/>
          </w:tcPr>
          <w:p>
            <w:pPr>
              <w:pStyle w:val="TableParagraph"/>
              <w:ind w:right="366"/>
              <w:rPr>
                <w:rFonts w:ascii="Carlito"/>
                <w:sz w:val="16"/>
              </w:rPr>
            </w:pPr>
            <w:r>
              <w:rPr>
                <w:rFonts w:ascii="Carlito"/>
                <w:sz w:val="16"/>
              </w:rPr>
              <w:t>4.4</w:t>
            </w:r>
          </w:p>
        </w:tc>
        <w:tc>
          <w:tcPr>
            <w:tcW w:w="826" w:type="dxa"/>
          </w:tcPr>
          <w:p>
            <w:pPr>
              <w:pStyle w:val="TableParagraph"/>
              <w:ind w:right="380"/>
              <w:rPr>
                <w:rFonts w:ascii="Carlito"/>
                <w:sz w:val="16"/>
              </w:rPr>
            </w:pPr>
            <w:r>
              <w:rPr>
                <w:rFonts w:ascii="Carlito"/>
                <w:sz w:val="16"/>
              </w:rPr>
              <w:t>0</w:t>
            </w:r>
          </w:p>
        </w:tc>
        <w:tc>
          <w:tcPr>
            <w:tcW w:w="530" w:type="dxa"/>
          </w:tcPr>
          <w:p>
            <w:pPr>
              <w:pStyle w:val="TableParagraph"/>
              <w:ind w:right="66"/>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218</w:t>
            </w:r>
          </w:p>
        </w:tc>
        <w:tc>
          <w:tcPr>
            <w:tcW w:w="1958" w:type="dxa"/>
            <w:shd w:val="clear" w:color="auto" w:fill="D9D9D9"/>
          </w:tcPr>
          <w:p>
            <w:pPr>
              <w:pStyle w:val="TableParagraph"/>
              <w:ind w:left="143"/>
              <w:jc w:val="left"/>
              <w:rPr>
                <w:rFonts w:ascii="Carlito"/>
                <w:sz w:val="16"/>
              </w:rPr>
            </w:pPr>
            <w:r>
              <w:rPr>
                <w:rFonts w:ascii="Carlito"/>
                <w:sz w:val="16"/>
              </w:rPr>
              <w:t>Pinares</w:t>
            </w:r>
          </w:p>
        </w:tc>
        <w:tc>
          <w:tcPr>
            <w:tcW w:w="575" w:type="dxa"/>
            <w:shd w:val="clear" w:color="auto" w:fill="D9D9D9"/>
          </w:tcPr>
          <w:p>
            <w:pPr>
              <w:pStyle w:val="TableParagraph"/>
              <w:ind w:right="69"/>
              <w:rPr>
                <w:rFonts w:ascii="Carlito"/>
                <w:sz w:val="16"/>
              </w:rPr>
            </w:pPr>
            <w:r>
              <w:rPr>
                <w:rFonts w:ascii="Carlito"/>
                <w:sz w:val="16"/>
              </w:rPr>
              <w:t>1</w:t>
            </w:r>
          </w:p>
        </w:tc>
        <w:tc>
          <w:tcPr>
            <w:tcW w:w="1358" w:type="dxa"/>
            <w:shd w:val="clear" w:color="auto" w:fill="D9D9D9"/>
          </w:tcPr>
          <w:p>
            <w:pPr>
              <w:pStyle w:val="TableParagraph"/>
              <w:ind w:right="355"/>
              <w:rPr>
                <w:rFonts w:ascii="Carlito"/>
                <w:sz w:val="16"/>
              </w:rPr>
            </w:pPr>
            <w:r>
              <w:rPr>
                <w:rFonts w:ascii="Carlito"/>
                <w:sz w:val="16"/>
              </w:rPr>
              <w:t>$675,000.00</w:t>
            </w:r>
          </w:p>
        </w:tc>
        <w:tc>
          <w:tcPr>
            <w:tcW w:w="1061" w:type="dxa"/>
            <w:shd w:val="clear" w:color="auto" w:fill="D9D9D9"/>
          </w:tcPr>
          <w:p>
            <w:pPr>
              <w:pStyle w:val="TableParagraph"/>
              <w:ind w:right="341"/>
              <w:rPr>
                <w:rFonts w:ascii="Carlito"/>
                <w:sz w:val="16"/>
              </w:rPr>
            </w:pPr>
            <w:r>
              <w:rPr>
                <w:rFonts w:ascii="Carlito"/>
                <w:sz w:val="16"/>
              </w:rPr>
              <w:t>650</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3" w:type="dxa"/>
            <w:shd w:val="clear" w:color="auto" w:fill="D9D9D9"/>
          </w:tcPr>
          <w:p>
            <w:pPr>
              <w:pStyle w:val="TableParagraph"/>
              <w:ind w:right="236"/>
              <w:rPr>
                <w:rFonts w:ascii="Carlito"/>
                <w:sz w:val="16"/>
              </w:rPr>
            </w:pPr>
            <w:r>
              <w:rPr>
                <w:rFonts w:ascii="Carlito"/>
                <w:sz w:val="16"/>
              </w:rPr>
              <w:t>5</w:t>
            </w:r>
          </w:p>
        </w:tc>
        <w:tc>
          <w:tcPr>
            <w:tcW w:w="745" w:type="dxa"/>
            <w:shd w:val="clear" w:color="auto" w:fill="D9D9D9"/>
          </w:tcPr>
          <w:p>
            <w:pPr>
              <w:pStyle w:val="TableParagraph"/>
              <w:ind w:right="300"/>
              <w:rPr>
                <w:rFonts w:ascii="Carlito"/>
                <w:sz w:val="16"/>
              </w:rPr>
            </w:pPr>
            <w:r>
              <w:rPr>
                <w:rFonts w:ascii="Carlito"/>
                <w:sz w:val="16"/>
              </w:rPr>
              <w:t>8</w:t>
            </w:r>
          </w:p>
        </w:tc>
        <w:tc>
          <w:tcPr>
            <w:tcW w:w="856" w:type="dxa"/>
            <w:shd w:val="clear" w:color="auto" w:fill="D9D9D9"/>
          </w:tcPr>
          <w:p>
            <w:pPr>
              <w:pStyle w:val="TableParagraph"/>
              <w:ind w:left="300"/>
              <w:jc w:val="left"/>
              <w:rPr>
                <w:rFonts w:ascii="Carlito"/>
                <w:sz w:val="16"/>
              </w:rPr>
            </w:pPr>
            <w:r>
              <w:rPr>
                <w:rFonts w:ascii="Carlito"/>
                <w:sz w:val="16"/>
              </w:rPr>
              <w:t>2</w:t>
            </w:r>
          </w:p>
        </w:tc>
        <w:tc>
          <w:tcPr>
            <w:tcW w:w="1210" w:type="dxa"/>
            <w:shd w:val="clear" w:color="auto" w:fill="D9D9D9"/>
          </w:tcPr>
          <w:p>
            <w:pPr>
              <w:pStyle w:val="TableParagraph"/>
              <w:ind w:right="534"/>
              <w:rPr>
                <w:rFonts w:ascii="Carlito"/>
                <w:sz w:val="16"/>
              </w:rPr>
            </w:pPr>
            <w:r>
              <w:rPr>
                <w:rFonts w:ascii="Carlito"/>
                <w:sz w:val="16"/>
              </w:rPr>
              <w:t>7.7</w:t>
            </w:r>
          </w:p>
        </w:tc>
        <w:tc>
          <w:tcPr>
            <w:tcW w:w="1180" w:type="dxa"/>
            <w:shd w:val="clear" w:color="auto" w:fill="D9D9D9"/>
          </w:tcPr>
          <w:p>
            <w:pPr>
              <w:pStyle w:val="TableParagraph"/>
              <w:ind w:right="362"/>
              <w:rPr>
                <w:rFonts w:ascii="Carlito"/>
                <w:sz w:val="16"/>
              </w:rPr>
            </w:pPr>
            <w:r>
              <w:rPr>
                <w:rFonts w:ascii="Carlito"/>
                <w:sz w:val="16"/>
              </w:rPr>
              <w:t>3</w:t>
            </w:r>
          </w:p>
        </w:tc>
        <w:tc>
          <w:tcPr>
            <w:tcW w:w="826" w:type="dxa"/>
            <w:shd w:val="clear" w:color="auto" w:fill="D9D9D9"/>
          </w:tcPr>
          <w:p>
            <w:pPr>
              <w:pStyle w:val="TableParagraph"/>
              <w:ind w:right="380"/>
              <w:rPr>
                <w:rFonts w:ascii="Carlito"/>
                <w:sz w:val="16"/>
              </w:rPr>
            </w:pPr>
            <w:r>
              <w:rPr>
                <w:rFonts w:ascii="Carlito"/>
                <w:sz w:val="16"/>
              </w:rPr>
              <w:t>1</w:t>
            </w:r>
          </w:p>
        </w:tc>
        <w:tc>
          <w:tcPr>
            <w:tcW w:w="530" w:type="dxa"/>
            <w:shd w:val="clear" w:color="auto" w:fill="D9D9D9"/>
          </w:tcPr>
          <w:p>
            <w:pPr>
              <w:pStyle w:val="TableParagraph"/>
              <w:ind w:right="66"/>
              <w:rPr>
                <w:rFonts w:ascii="Carlito"/>
                <w:sz w:val="16"/>
              </w:rPr>
            </w:pPr>
            <w:r>
              <w:rPr>
                <w:rFonts w:ascii="Carlito"/>
                <w:sz w:val="16"/>
              </w:rPr>
              <w:t>0</w:t>
            </w:r>
          </w:p>
        </w:tc>
      </w:tr>
      <w:tr>
        <w:trPr>
          <w:trHeight w:val="288" w:hRule="atLeast"/>
        </w:trPr>
        <w:tc>
          <w:tcPr>
            <w:tcW w:w="756" w:type="dxa"/>
          </w:tcPr>
          <w:p>
            <w:pPr>
              <w:pStyle w:val="TableParagraph"/>
              <w:spacing w:line="177" w:lineRule="exact"/>
              <w:ind w:right="143"/>
              <w:rPr>
                <w:rFonts w:ascii="Carlito"/>
                <w:sz w:val="16"/>
              </w:rPr>
            </w:pPr>
            <w:r>
              <w:rPr>
                <w:rFonts w:ascii="Carlito"/>
                <w:sz w:val="16"/>
              </w:rPr>
              <w:t>219</w:t>
            </w:r>
          </w:p>
        </w:tc>
        <w:tc>
          <w:tcPr>
            <w:tcW w:w="1958" w:type="dxa"/>
          </w:tcPr>
          <w:p>
            <w:pPr>
              <w:pStyle w:val="TableParagraph"/>
              <w:spacing w:line="177" w:lineRule="exact"/>
              <w:ind w:left="143"/>
              <w:jc w:val="left"/>
              <w:rPr>
                <w:rFonts w:ascii="Carlito"/>
                <w:sz w:val="16"/>
              </w:rPr>
            </w:pPr>
            <w:r>
              <w:rPr>
                <w:rFonts w:ascii="Carlito"/>
                <w:sz w:val="16"/>
              </w:rPr>
              <w:t>Lomas de Granadilla</w:t>
            </w:r>
          </w:p>
        </w:tc>
        <w:tc>
          <w:tcPr>
            <w:tcW w:w="575" w:type="dxa"/>
          </w:tcPr>
          <w:p>
            <w:pPr>
              <w:pStyle w:val="TableParagraph"/>
              <w:spacing w:line="177" w:lineRule="exact"/>
              <w:ind w:right="69"/>
              <w:rPr>
                <w:rFonts w:ascii="Carlito"/>
                <w:sz w:val="16"/>
              </w:rPr>
            </w:pPr>
            <w:r>
              <w:rPr>
                <w:rFonts w:ascii="Carlito"/>
                <w:sz w:val="16"/>
              </w:rPr>
              <w:t>0</w:t>
            </w:r>
          </w:p>
        </w:tc>
        <w:tc>
          <w:tcPr>
            <w:tcW w:w="1358" w:type="dxa"/>
          </w:tcPr>
          <w:p>
            <w:pPr>
              <w:pStyle w:val="TableParagraph"/>
              <w:spacing w:line="177" w:lineRule="exact"/>
              <w:ind w:right="355"/>
              <w:rPr>
                <w:rFonts w:ascii="Carlito"/>
                <w:sz w:val="16"/>
              </w:rPr>
            </w:pPr>
            <w:r>
              <w:rPr>
                <w:rFonts w:ascii="Carlito"/>
                <w:sz w:val="16"/>
              </w:rPr>
              <w:t>$270,000.00</w:t>
            </w:r>
          </w:p>
        </w:tc>
        <w:tc>
          <w:tcPr>
            <w:tcW w:w="1061" w:type="dxa"/>
          </w:tcPr>
          <w:p>
            <w:pPr>
              <w:pStyle w:val="TableParagraph"/>
              <w:spacing w:line="177" w:lineRule="exact"/>
              <w:ind w:right="341"/>
              <w:rPr>
                <w:rFonts w:ascii="Carlito"/>
                <w:sz w:val="16"/>
              </w:rPr>
            </w:pPr>
            <w:r>
              <w:rPr>
                <w:rFonts w:ascii="Carlito"/>
                <w:sz w:val="16"/>
              </w:rPr>
              <w:t>305</w:t>
            </w:r>
          </w:p>
        </w:tc>
        <w:tc>
          <w:tcPr>
            <w:tcW w:w="1126" w:type="dxa"/>
          </w:tcPr>
          <w:p>
            <w:pPr>
              <w:pStyle w:val="TableParagraph"/>
              <w:spacing w:line="177" w:lineRule="exact"/>
              <w:ind w:left="318" w:right="440"/>
              <w:jc w:val="center"/>
              <w:rPr>
                <w:rFonts w:ascii="Carlito"/>
                <w:sz w:val="16"/>
              </w:rPr>
            </w:pPr>
            <w:r>
              <w:rPr>
                <w:rFonts w:ascii="Carlito"/>
                <w:sz w:val="16"/>
              </w:rPr>
              <w:t>2011</w:t>
            </w:r>
          </w:p>
        </w:tc>
        <w:tc>
          <w:tcPr>
            <w:tcW w:w="783" w:type="dxa"/>
          </w:tcPr>
          <w:p>
            <w:pPr>
              <w:pStyle w:val="TableParagraph"/>
              <w:spacing w:line="177" w:lineRule="exact"/>
              <w:ind w:right="236"/>
              <w:rPr>
                <w:rFonts w:ascii="Carlito"/>
                <w:sz w:val="16"/>
              </w:rPr>
            </w:pPr>
            <w:r>
              <w:rPr>
                <w:rFonts w:ascii="Carlito"/>
                <w:sz w:val="16"/>
              </w:rPr>
              <w:t>3</w:t>
            </w:r>
          </w:p>
        </w:tc>
        <w:tc>
          <w:tcPr>
            <w:tcW w:w="745" w:type="dxa"/>
          </w:tcPr>
          <w:p>
            <w:pPr>
              <w:pStyle w:val="TableParagraph"/>
              <w:spacing w:line="177" w:lineRule="exact"/>
              <w:ind w:right="300"/>
              <w:rPr>
                <w:rFonts w:ascii="Carlito"/>
                <w:sz w:val="16"/>
              </w:rPr>
            </w:pPr>
            <w:r>
              <w:rPr>
                <w:rFonts w:ascii="Carlito"/>
                <w:sz w:val="16"/>
              </w:rPr>
              <w:t>5</w:t>
            </w:r>
          </w:p>
        </w:tc>
        <w:tc>
          <w:tcPr>
            <w:tcW w:w="856" w:type="dxa"/>
          </w:tcPr>
          <w:p>
            <w:pPr>
              <w:pStyle w:val="TableParagraph"/>
              <w:spacing w:line="177" w:lineRule="exact"/>
              <w:ind w:left="300"/>
              <w:jc w:val="left"/>
              <w:rPr>
                <w:rFonts w:ascii="Carlito"/>
                <w:sz w:val="16"/>
              </w:rPr>
            </w:pPr>
            <w:r>
              <w:rPr>
                <w:rFonts w:ascii="Carlito"/>
                <w:sz w:val="16"/>
              </w:rPr>
              <w:t>2</w:t>
            </w:r>
          </w:p>
        </w:tc>
        <w:tc>
          <w:tcPr>
            <w:tcW w:w="1210" w:type="dxa"/>
          </w:tcPr>
          <w:p>
            <w:pPr>
              <w:pStyle w:val="TableParagraph"/>
              <w:spacing w:line="177" w:lineRule="exact"/>
              <w:ind w:right="530"/>
              <w:rPr>
                <w:rFonts w:ascii="Carlito"/>
                <w:sz w:val="16"/>
              </w:rPr>
            </w:pPr>
            <w:r>
              <w:rPr>
                <w:rFonts w:ascii="Carlito"/>
                <w:sz w:val="16"/>
              </w:rPr>
              <w:t>8</w:t>
            </w:r>
          </w:p>
        </w:tc>
        <w:tc>
          <w:tcPr>
            <w:tcW w:w="1180" w:type="dxa"/>
          </w:tcPr>
          <w:p>
            <w:pPr>
              <w:pStyle w:val="TableParagraph"/>
              <w:spacing w:line="177" w:lineRule="exact"/>
              <w:ind w:right="366"/>
              <w:rPr>
                <w:rFonts w:ascii="Carlito"/>
                <w:sz w:val="16"/>
              </w:rPr>
            </w:pPr>
            <w:r>
              <w:rPr>
                <w:rFonts w:ascii="Carlito"/>
                <w:sz w:val="16"/>
              </w:rPr>
              <w:t>6.4</w:t>
            </w:r>
          </w:p>
        </w:tc>
        <w:tc>
          <w:tcPr>
            <w:tcW w:w="826" w:type="dxa"/>
          </w:tcPr>
          <w:p>
            <w:pPr>
              <w:pStyle w:val="TableParagraph"/>
              <w:spacing w:line="177" w:lineRule="exact"/>
              <w:ind w:right="380"/>
              <w:rPr>
                <w:rFonts w:ascii="Carlito"/>
                <w:sz w:val="16"/>
              </w:rPr>
            </w:pPr>
            <w:r>
              <w:rPr>
                <w:rFonts w:ascii="Carlito"/>
                <w:sz w:val="16"/>
              </w:rPr>
              <w:t>0</w:t>
            </w:r>
          </w:p>
        </w:tc>
        <w:tc>
          <w:tcPr>
            <w:tcW w:w="530" w:type="dxa"/>
          </w:tcPr>
          <w:p>
            <w:pPr>
              <w:pStyle w:val="TableParagraph"/>
              <w:spacing w:line="177" w:lineRule="exact"/>
              <w:ind w:right="66"/>
              <w:rPr>
                <w:rFonts w:ascii="Carlito"/>
                <w:sz w:val="16"/>
              </w:rPr>
            </w:pPr>
            <w:r>
              <w:rPr>
                <w:rFonts w:ascii="Carlito"/>
                <w:sz w:val="16"/>
              </w:rPr>
              <w:t>1</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220</w:t>
            </w:r>
          </w:p>
        </w:tc>
        <w:tc>
          <w:tcPr>
            <w:tcW w:w="1958" w:type="dxa"/>
            <w:shd w:val="clear" w:color="auto" w:fill="D9D9D9"/>
          </w:tcPr>
          <w:p>
            <w:pPr>
              <w:pStyle w:val="TableParagraph"/>
              <w:ind w:left="143"/>
              <w:jc w:val="left"/>
              <w:rPr>
                <w:rFonts w:ascii="Carlito"/>
                <w:sz w:val="16"/>
              </w:rPr>
            </w:pPr>
            <w:r>
              <w:rPr>
                <w:rFonts w:ascii="Carlito"/>
                <w:sz w:val="16"/>
              </w:rPr>
              <w:t>Cipreses</w:t>
            </w:r>
          </w:p>
        </w:tc>
        <w:tc>
          <w:tcPr>
            <w:tcW w:w="575" w:type="dxa"/>
            <w:shd w:val="clear" w:color="auto" w:fill="D9D9D9"/>
          </w:tcPr>
          <w:p>
            <w:pPr>
              <w:pStyle w:val="TableParagraph"/>
              <w:ind w:right="69"/>
              <w:rPr>
                <w:rFonts w:ascii="Carlito"/>
                <w:sz w:val="16"/>
              </w:rPr>
            </w:pPr>
            <w:r>
              <w:rPr>
                <w:rFonts w:ascii="Carlito"/>
                <w:sz w:val="16"/>
              </w:rPr>
              <w:t>0</w:t>
            </w:r>
          </w:p>
        </w:tc>
        <w:tc>
          <w:tcPr>
            <w:tcW w:w="1358" w:type="dxa"/>
            <w:shd w:val="clear" w:color="auto" w:fill="D9D9D9"/>
          </w:tcPr>
          <w:p>
            <w:pPr>
              <w:pStyle w:val="TableParagraph"/>
              <w:ind w:right="355"/>
              <w:rPr>
                <w:rFonts w:ascii="Carlito"/>
                <w:sz w:val="16"/>
              </w:rPr>
            </w:pPr>
            <w:r>
              <w:rPr>
                <w:rFonts w:ascii="Carlito"/>
                <w:sz w:val="16"/>
              </w:rPr>
              <w:t>$215,000.00</w:t>
            </w:r>
          </w:p>
        </w:tc>
        <w:tc>
          <w:tcPr>
            <w:tcW w:w="1061" w:type="dxa"/>
            <w:shd w:val="clear" w:color="auto" w:fill="D9D9D9"/>
          </w:tcPr>
          <w:p>
            <w:pPr>
              <w:pStyle w:val="TableParagraph"/>
              <w:ind w:right="341"/>
              <w:rPr>
                <w:rFonts w:ascii="Carlito"/>
                <w:sz w:val="16"/>
              </w:rPr>
            </w:pPr>
            <w:r>
              <w:rPr>
                <w:rFonts w:ascii="Carlito"/>
                <w:sz w:val="16"/>
              </w:rPr>
              <w:t>190</w:t>
            </w:r>
          </w:p>
        </w:tc>
        <w:tc>
          <w:tcPr>
            <w:tcW w:w="1126" w:type="dxa"/>
            <w:shd w:val="clear" w:color="auto" w:fill="D9D9D9"/>
          </w:tcPr>
          <w:p>
            <w:pPr>
              <w:pStyle w:val="TableParagraph"/>
              <w:ind w:left="318" w:right="440"/>
              <w:jc w:val="center"/>
              <w:rPr>
                <w:rFonts w:ascii="Carlito"/>
                <w:sz w:val="16"/>
              </w:rPr>
            </w:pPr>
            <w:r>
              <w:rPr>
                <w:rFonts w:ascii="Carlito"/>
                <w:sz w:val="16"/>
              </w:rPr>
              <w:t>2005</w:t>
            </w:r>
          </w:p>
        </w:tc>
        <w:tc>
          <w:tcPr>
            <w:tcW w:w="783" w:type="dxa"/>
            <w:shd w:val="clear" w:color="auto" w:fill="D9D9D9"/>
          </w:tcPr>
          <w:p>
            <w:pPr>
              <w:pStyle w:val="TableParagraph"/>
              <w:ind w:right="236"/>
              <w:rPr>
                <w:rFonts w:ascii="Carlito"/>
                <w:sz w:val="16"/>
              </w:rPr>
            </w:pPr>
            <w:r>
              <w:rPr>
                <w:rFonts w:ascii="Carlito"/>
                <w:sz w:val="16"/>
              </w:rPr>
              <w:t>3</w:t>
            </w:r>
          </w:p>
        </w:tc>
        <w:tc>
          <w:tcPr>
            <w:tcW w:w="745" w:type="dxa"/>
            <w:shd w:val="clear" w:color="auto" w:fill="D9D9D9"/>
          </w:tcPr>
          <w:p>
            <w:pPr>
              <w:pStyle w:val="TableParagraph"/>
              <w:ind w:right="305"/>
              <w:rPr>
                <w:rFonts w:ascii="Carlito"/>
                <w:sz w:val="16"/>
              </w:rPr>
            </w:pPr>
            <w:r>
              <w:rPr>
                <w:rFonts w:ascii="Carlito"/>
                <w:sz w:val="16"/>
              </w:rPr>
              <w:t>2.5</w:t>
            </w:r>
          </w:p>
        </w:tc>
        <w:tc>
          <w:tcPr>
            <w:tcW w:w="856" w:type="dxa"/>
            <w:shd w:val="clear" w:color="auto" w:fill="D9D9D9"/>
          </w:tcPr>
          <w:p>
            <w:pPr>
              <w:pStyle w:val="TableParagraph"/>
              <w:ind w:left="300"/>
              <w:jc w:val="left"/>
              <w:rPr>
                <w:rFonts w:ascii="Carlito"/>
                <w:sz w:val="16"/>
              </w:rPr>
            </w:pPr>
            <w:r>
              <w:rPr>
                <w:rFonts w:ascii="Carlito"/>
                <w:sz w:val="16"/>
              </w:rPr>
              <w:t>2</w:t>
            </w:r>
          </w:p>
        </w:tc>
        <w:tc>
          <w:tcPr>
            <w:tcW w:w="1210" w:type="dxa"/>
            <w:shd w:val="clear" w:color="auto" w:fill="D9D9D9"/>
          </w:tcPr>
          <w:p>
            <w:pPr>
              <w:pStyle w:val="TableParagraph"/>
              <w:ind w:right="534"/>
              <w:rPr>
                <w:rFonts w:ascii="Carlito"/>
                <w:sz w:val="16"/>
              </w:rPr>
            </w:pPr>
            <w:r>
              <w:rPr>
                <w:rFonts w:ascii="Carlito"/>
                <w:sz w:val="16"/>
              </w:rPr>
              <w:t>6.9</w:t>
            </w:r>
          </w:p>
        </w:tc>
        <w:tc>
          <w:tcPr>
            <w:tcW w:w="1180" w:type="dxa"/>
            <w:shd w:val="clear" w:color="auto" w:fill="D9D9D9"/>
          </w:tcPr>
          <w:p>
            <w:pPr>
              <w:pStyle w:val="TableParagraph"/>
              <w:ind w:right="366"/>
              <w:rPr>
                <w:rFonts w:ascii="Carlito"/>
                <w:sz w:val="16"/>
              </w:rPr>
            </w:pPr>
            <w:r>
              <w:rPr>
                <w:rFonts w:ascii="Carlito"/>
                <w:sz w:val="16"/>
              </w:rPr>
              <w:t>4.4</w:t>
            </w:r>
          </w:p>
        </w:tc>
        <w:tc>
          <w:tcPr>
            <w:tcW w:w="826" w:type="dxa"/>
            <w:shd w:val="clear" w:color="auto" w:fill="D9D9D9"/>
          </w:tcPr>
          <w:p>
            <w:pPr>
              <w:pStyle w:val="TableParagraph"/>
              <w:ind w:right="380"/>
              <w:rPr>
                <w:rFonts w:ascii="Carlito"/>
                <w:sz w:val="16"/>
              </w:rPr>
            </w:pPr>
            <w:r>
              <w:rPr>
                <w:rFonts w:ascii="Carlito"/>
                <w:sz w:val="16"/>
              </w:rPr>
              <w:t>0</w:t>
            </w:r>
          </w:p>
        </w:tc>
        <w:tc>
          <w:tcPr>
            <w:tcW w:w="530" w:type="dxa"/>
            <w:shd w:val="clear" w:color="auto" w:fill="D9D9D9"/>
          </w:tcPr>
          <w:p>
            <w:pPr>
              <w:pStyle w:val="TableParagraph"/>
              <w:ind w:right="66"/>
              <w:rPr>
                <w:rFonts w:ascii="Carlito"/>
                <w:sz w:val="16"/>
              </w:rPr>
            </w:pPr>
            <w:r>
              <w:rPr>
                <w:rFonts w:ascii="Carlito"/>
                <w:sz w:val="16"/>
              </w:rPr>
              <w:t>0</w:t>
            </w:r>
          </w:p>
        </w:tc>
      </w:tr>
    </w:tbl>
    <w:p>
      <w:pPr>
        <w:spacing w:after="0"/>
        <w:rPr>
          <w:rFonts w:ascii="Carlito"/>
          <w:sz w:val="16"/>
        </w:rPr>
        <w:sectPr>
          <w:pgSz w:w="15840" w:h="12240" w:orient="landscape"/>
          <w:pgMar w:header="0" w:footer="982" w:top="1140" w:bottom="1180" w:left="1340" w:right="1320"/>
        </w:sectPr>
      </w:pPr>
    </w:p>
    <w:p>
      <w:pPr>
        <w:pStyle w:val="BodyText"/>
        <w:rPr>
          <w:b/>
          <w:sz w:val="20"/>
        </w:rPr>
      </w:pPr>
    </w:p>
    <w:p>
      <w:pPr>
        <w:pStyle w:val="BodyText"/>
        <w:spacing w:before="10"/>
        <w:rPr>
          <w:b/>
          <w:sz w:val="16"/>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56"/>
        <w:gridCol w:w="1938"/>
        <w:gridCol w:w="656"/>
        <w:gridCol w:w="1359"/>
        <w:gridCol w:w="1001"/>
        <w:gridCol w:w="1127"/>
        <w:gridCol w:w="783"/>
        <w:gridCol w:w="745"/>
        <w:gridCol w:w="816"/>
        <w:gridCol w:w="1288"/>
        <w:gridCol w:w="1142"/>
        <w:gridCol w:w="826"/>
        <w:gridCol w:w="530"/>
      </w:tblGrid>
      <w:tr>
        <w:trPr>
          <w:trHeight w:val="163" w:hRule="atLeast"/>
        </w:trPr>
        <w:tc>
          <w:tcPr>
            <w:tcW w:w="756" w:type="dxa"/>
          </w:tcPr>
          <w:p>
            <w:pPr>
              <w:pStyle w:val="TableParagraph"/>
              <w:spacing w:line="144" w:lineRule="exact" w:before="0"/>
              <w:ind w:right="143"/>
              <w:rPr>
                <w:rFonts w:ascii="Carlito"/>
                <w:sz w:val="16"/>
              </w:rPr>
            </w:pPr>
            <w:r>
              <w:rPr>
                <w:rFonts w:ascii="Carlito"/>
                <w:sz w:val="16"/>
              </w:rPr>
              <w:t>221</w:t>
            </w:r>
          </w:p>
        </w:tc>
        <w:tc>
          <w:tcPr>
            <w:tcW w:w="1938" w:type="dxa"/>
          </w:tcPr>
          <w:p>
            <w:pPr>
              <w:pStyle w:val="TableParagraph"/>
              <w:spacing w:line="144" w:lineRule="exact" w:before="0"/>
              <w:ind w:left="143"/>
              <w:jc w:val="left"/>
              <w:rPr>
                <w:rFonts w:ascii="Carlito"/>
                <w:sz w:val="16"/>
              </w:rPr>
            </w:pPr>
            <w:r>
              <w:rPr>
                <w:rFonts w:ascii="Carlito"/>
                <w:sz w:val="16"/>
              </w:rPr>
              <w:t>Guayabos</w:t>
            </w:r>
          </w:p>
        </w:tc>
        <w:tc>
          <w:tcPr>
            <w:tcW w:w="656" w:type="dxa"/>
          </w:tcPr>
          <w:p>
            <w:pPr>
              <w:pStyle w:val="TableParagraph"/>
              <w:spacing w:line="144" w:lineRule="exact" w:before="0"/>
              <w:ind w:right="130"/>
              <w:rPr>
                <w:rFonts w:ascii="Carlito"/>
                <w:sz w:val="16"/>
              </w:rPr>
            </w:pPr>
            <w:r>
              <w:rPr>
                <w:rFonts w:ascii="Carlito"/>
                <w:sz w:val="16"/>
              </w:rPr>
              <w:t>0</w:t>
            </w:r>
          </w:p>
        </w:tc>
        <w:tc>
          <w:tcPr>
            <w:tcW w:w="1359" w:type="dxa"/>
          </w:tcPr>
          <w:p>
            <w:pPr>
              <w:pStyle w:val="TableParagraph"/>
              <w:spacing w:line="144" w:lineRule="exact" w:before="0"/>
              <w:ind w:right="417"/>
              <w:rPr>
                <w:rFonts w:ascii="Carlito"/>
                <w:sz w:val="16"/>
              </w:rPr>
            </w:pPr>
            <w:r>
              <w:rPr>
                <w:rFonts w:ascii="Carlito"/>
                <w:sz w:val="16"/>
              </w:rPr>
              <w:t>$290,000.00</w:t>
            </w:r>
          </w:p>
        </w:tc>
        <w:tc>
          <w:tcPr>
            <w:tcW w:w="1001" w:type="dxa"/>
          </w:tcPr>
          <w:p>
            <w:pPr>
              <w:pStyle w:val="TableParagraph"/>
              <w:spacing w:line="144" w:lineRule="exact" w:before="0"/>
              <w:ind w:right="343"/>
              <w:rPr>
                <w:rFonts w:ascii="Carlito"/>
                <w:sz w:val="16"/>
              </w:rPr>
            </w:pPr>
            <w:r>
              <w:rPr>
                <w:rFonts w:ascii="Carlito"/>
                <w:sz w:val="16"/>
              </w:rPr>
              <w:t>220</w:t>
            </w:r>
          </w:p>
        </w:tc>
        <w:tc>
          <w:tcPr>
            <w:tcW w:w="1127" w:type="dxa"/>
          </w:tcPr>
          <w:p>
            <w:pPr>
              <w:pStyle w:val="TableParagraph"/>
              <w:spacing w:line="144" w:lineRule="exact" w:before="0"/>
              <w:ind w:left="313" w:right="440"/>
              <w:jc w:val="center"/>
              <w:rPr>
                <w:rFonts w:ascii="Carlito"/>
                <w:sz w:val="16"/>
              </w:rPr>
            </w:pPr>
            <w:r>
              <w:rPr>
                <w:rFonts w:ascii="Carlito"/>
                <w:sz w:val="16"/>
              </w:rPr>
              <w:t>2005</w:t>
            </w:r>
          </w:p>
        </w:tc>
        <w:tc>
          <w:tcPr>
            <w:tcW w:w="783" w:type="dxa"/>
          </w:tcPr>
          <w:p>
            <w:pPr>
              <w:pStyle w:val="TableParagraph"/>
              <w:spacing w:line="144" w:lineRule="exact" w:before="0"/>
              <w:ind w:right="239"/>
              <w:rPr>
                <w:rFonts w:ascii="Carlito"/>
                <w:sz w:val="16"/>
              </w:rPr>
            </w:pPr>
            <w:r>
              <w:rPr>
                <w:rFonts w:ascii="Carlito"/>
                <w:sz w:val="16"/>
              </w:rPr>
              <w:t>3</w:t>
            </w:r>
          </w:p>
        </w:tc>
        <w:tc>
          <w:tcPr>
            <w:tcW w:w="745" w:type="dxa"/>
          </w:tcPr>
          <w:p>
            <w:pPr>
              <w:pStyle w:val="TableParagraph"/>
              <w:spacing w:line="144" w:lineRule="exact" w:before="0"/>
              <w:ind w:right="308"/>
              <w:rPr>
                <w:rFonts w:ascii="Carlito"/>
                <w:sz w:val="16"/>
              </w:rPr>
            </w:pPr>
            <w:r>
              <w:rPr>
                <w:rFonts w:ascii="Carlito"/>
                <w:sz w:val="16"/>
              </w:rPr>
              <w:t>2.5</w:t>
            </w:r>
          </w:p>
        </w:tc>
        <w:tc>
          <w:tcPr>
            <w:tcW w:w="816" w:type="dxa"/>
          </w:tcPr>
          <w:p>
            <w:pPr>
              <w:pStyle w:val="TableParagraph"/>
              <w:spacing w:line="144" w:lineRule="exact" w:before="0"/>
              <w:ind w:left="297"/>
              <w:jc w:val="left"/>
              <w:rPr>
                <w:rFonts w:ascii="Carlito"/>
                <w:sz w:val="16"/>
              </w:rPr>
            </w:pPr>
            <w:r>
              <w:rPr>
                <w:rFonts w:ascii="Carlito"/>
                <w:sz w:val="16"/>
              </w:rPr>
              <w:t>2</w:t>
            </w:r>
          </w:p>
        </w:tc>
        <w:tc>
          <w:tcPr>
            <w:tcW w:w="1288" w:type="dxa"/>
          </w:tcPr>
          <w:p>
            <w:pPr>
              <w:pStyle w:val="TableParagraph"/>
              <w:spacing w:line="144" w:lineRule="exact" w:before="0"/>
              <w:ind w:right="575"/>
              <w:rPr>
                <w:rFonts w:ascii="Carlito"/>
                <w:sz w:val="16"/>
              </w:rPr>
            </w:pPr>
            <w:r>
              <w:rPr>
                <w:rFonts w:ascii="Carlito"/>
                <w:sz w:val="16"/>
              </w:rPr>
              <w:t>7.4</w:t>
            </w:r>
          </w:p>
        </w:tc>
        <w:tc>
          <w:tcPr>
            <w:tcW w:w="1142" w:type="dxa"/>
          </w:tcPr>
          <w:p>
            <w:pPr>
              <w:pStyle w:val="TableParagraph"/>
              <w:spacing w:line="144" w:lineRule="exact" w:before="0"/>
              <w:ind w:right="365"/>
              <w:rPr>
                <w:rFonts w:ascii="Carlito"/>
                <w:sz w:val="16"/>
              </w:rPr>
            </w:pPr>
            <w:r>
              <w:rPr>
                <w:rFonts w:ascii="Carlito"/>
                <w:sz w:val="16"/>
              </w:rPr>
              <w:t>5</w:t>
            </w:r>
          </w:p>
        </w:tc>
        <w:tc>
          <w:tcPr>
            <w:tcW w:w="826" w:type="dxa"/>
          </w:tcPr>
          <w:p>
            <w:pPr>
              <w:pStyle w:val="TableParagraph"/>
              <w:spacing w:line="144" w:lineRule="exact" w:before="0"/>
              <w:ind w:right="383"/>
              <w:rPr>
                <w:rFonts w:ascii="Carlito"/>
                <w:sz w:val="16"/>
              </w:rPr>
            </w:pPr>
            <w:r>
              <w:rPr>
                <w:rFonts w:ascii="Carlito"/>
                <w:sz w:val="16"/>
              </w:rPr>
              <w:t>0</w:t>
            </w:r>
          </w:p>
        </w:tc>
        <w:tc>
          <w:tcPr>
            <w:tcW w:w="530" w:type="dxa"/>
          </w:tcPr>
          <w:p>
            <w:pPr>
              <w:pStyle w:val="TableParagraph"/>
              <w:spacing w:line="144" w:lineRule="exact" w:before="0"/>
              <w:ind w:right="69"/>
              <w:rPr>
                <w:rFonts w:ascii="Carlito"/>
                <w:sz w:val="16"/>
              </w:rPr>
            </w:pPr>
            <w:r>
              <w:rPr>
                <w:rFonts w:ascii="Carlito"/>
                <w:sz w:val="16"/>
              </w:rPr>
              <w:t>1</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222</w:t>
            </w:r>
          </w:p>
        </w:tc>
        <w:tc>
          <w:tcPr>
            <w:tcW w:w="1938" w:type="dxa"/>
            <w:shd w:val="clear" w:color="auto" w:fill="D9D9D9"/>
          </w:tcPr>
          <w:p>
            <w:pPr>
              <w:pStyle w:val="TableParagraph"/>
              <w:ind w:left="143"/>
              <w:jc w:val="left"/>
              <w:rPr>
                <w:rFonts w:ascii="Carlito"/>
                <w:sz w:val="16"/>
              </w:rPr>
            </w:pPr>
            <w:r>
              <w:rPr>
                <w:rFonts w:ascii="Carlito"/>
                <w:sz w:val="16"/>
              </w:rPr>
              <w:t>Altamonte</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right="417"/>
              <w:rPr>
                <w:rFonts w:ascii="Carlito"/>
                <w:sz w:val="16"/>
              </w:rPr>
            </w:pPr>
            <w:r>
              <w:rPr>
                <w:rFonts w:ascii="Carlito"/>
                <w:sz w:val="16"/>
              </w:rPr>
              <w:t>$975,000.00</w:t>
            </w:r>
          </w:p>
        </w:tc>
        <w:tc>
          <w:tcPr>
            <w:tcW w:w="1001" w:type="dxa"/>
            <w:shd w:val="clear" w:color="auto" w:fill="D9D9D9"/>
          </w:tcPr>
          <w:p>
            <w:pPr>
              <w:pStyle w:val="TableParagraph"/>
              <w:ind w:right="343"/>
              <w:rPr>
                <w:rFonts w:ascii="Carlito"/>
                <w:sz w:val="16"/>
              </w:rPr>
            </w:pPr>
            <w:r>
              <w:rPr>
                <w:rFonts w:ascii="Carlito"/>
                <w:sz w:val="16"/>
              </w:rPr>
              <w:t>600</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4</w:t>
            </w:r>
          </w:p>
        </w:tc>
        <w:tc>
          <w:tcPr>
            <w:tcW w:w="745" w:type="dxa"/>
            <w:shd w:val="clear" w:color="auto" w:fill="D9D9D9"/>
          </w:tcPr>
          <w:p>
            <w:pPr>
              <w:pStyle w:val="TableParagraph"/>
              <w:ind w:right="308"/>
              <w:rPr>
                <w:rFonts w:ascii="Carlito"/>
                <w:sz w:val="16"/>
              </w:rPr>
            </w:pPr>
            <w:r>
              <w:rPr>
                <w:rFonts w:ascii="Carlito"/>
                <w:sz w:val="16"/>
              </w:rPr>
              <w:t>3.5</w:t>
            </w:r>
          </w:p>
        </w:tc>
        <w:tc>
          <w:tcPr>
            <w:tcW w:w="816" w:type="dxa"/>
            <w:shd w:val="clear" w:color="auto" w:fill="D9D9D9"/>
          </w:tcPr>
          <w:p>
            <w:pPr>
              <w:pStyle w:val="TableParagraph"/>
              <w:ind w:left="297"/>
              <w:jc w:val="left"/>
              <w:rPr>
                <w:rFonts w:ascii="Carlito"/>
                <w:sz w:val="16"/>
              </w:rPr>
            </w:pPr>
            <w:r>
              <w:rPr>
                <w:rFonts w:ascii="Carlito"/>
                <w:sz w:val="16"/>
              </w:rPr>
              <w:t>1</w:t>
            </w:r>
          </w:p>
        </w:tc>
        <w:tc>
          <w:tcPr>
            <w:tcW w:w="1288" w:type="dxa"/>
            <w:shd w:val="clear" w:color="auto" w:fill="D9D9D9"/>
          </w:tcPr>
          <w:p>
            <w:pPr>
              <w:pStyle w:val="TableParagraph"/>
              <w:ind w:right="575"/>
              <w:rPr>
                <w:rFonts w:ascii="Carlito"/>
                <w:sz w:val="16"/>
              </w:rPr>
            </w:pPr>
            <w:r>
              <w:rPr>
                <w:rFonts w:ascii="Carlito"/>
                <w:sz w:val="16"/>
              </w:rPr>
              <w:t>6.6</w:t>
            </w:r>
          </w:p>
        </w:tc>
        <w:tc>
          <w:tcPr>
            <w:tcW w:w="1142" w:type="dxa"/>
            <w:shd w:val="clear" w:color="auto" w:fill="D9D9D9"/>
          </w:tcPr>
          <w:p>
            <w:pPr>
              <w:pStyle w:val="TableParagraph"/>
              <w:ind w:right="369"/>
              <w:rPr>
                <w:rFonts w:ascii="Carlito"/>
                <w:sz w:val="16"/>
              </w:rPr>
            </w:pPr>
            <w:r>
              <w:rPr>
                <w:rFonts w:ascii="Carlito"/>
                <w:sz w:val="16"/>
              </w:rPr>
              <w:t>5.8</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223</w:t>
            </w:r>
          </w:p>
        </w:tc>
        <w:tc>
          <w:tcPr>
            <w:tcW w:w="1938" w:type="dxa"/>
          </w:tcPr>
          <w:p>
            <w:pPr>
              <w:pStyle w:val="TableParagraph"/>
              <w:ind w:left="143"/>
              <w:jc w:val="left"/>
              <w:rPr>
                <w:rFonts w:ascii="Carlito"/>
                <w:sz w:val="16"/>
              </w:rPr>
            </w:pPr>
            <w:r>
              <w:rPr>
                <w:rFonts w:ascii="Carlito"/>
                <w:sz w:val="16"/>
              </w:rPr>
              <w:t>Pinares</w:t>
            </w:r>
          </w:p>
        </w:tc>
        <w:tc>
          <w:tcPr>
            <w:tcW w:w="656" w:type="dxa"/>
          </w:tcPr>
          <w:p>
            <w:pPr>
              <w:pStyle w:val="TableParagraph"/>
              <w:ind w:right="130"/>
              <w:rPr>
                <w:rFonts w:ascii="Carlito"/>
                <w:sz w:val="16"/>
              </w:rPr>
            </w:pPr>
            <w:r>
              <w:rPr>
                <w:rFonts w:ascii="Carlito"/>
                <w:sz w:val="16"/>
              </w:rPr>
              <w:t>0</w:t>
            </w:r>
          </w:p>
        </w:tc>
        <w:tc>
          <w:tcPr>
            <w:tcW w:w="1359" w:type="dxa"/>
          </w:tcPr>
          <w:p>
            <w:pPr>
              <w:pStyle w:val="TableParagraph"/>
              <w:ind w:right="417"/>
              <w:rPr>
                <w:rFonts w:ascii="Carlito"/>
                <w:sz w:val="16"/>
              </w:rPr>
            </w:pPr>
            <w:r>
              <w:rPr>
                <w:rFonts w:ascii="Carlito"/>
                <w:sz w:val="16"/>
              </w:rPr>
              <w:t>$428,000.00</w:t>
            </w:r>
          </w:p>
        </w:tc>
        <w:tc>
          <w:tcPr>
            <w:tcW w:w="1001" w:type="dxa"/>
          </w:tcPr>
          <w:p>
            <w:pPr>
              <w:pStyle w:val="TableParagraph"/>
              <w:ind w:right="343"/>
              <w:rPr>
                <w:rFonts w:ascii="Carlito"/>
                <w:sz w:val="16"/>
              </w:rPr>
            </w:pPr>
            <w:r>
              <w:rPr>
                <w:rFonts w:ascii="Carlito"/>
                <w:sz w:val="16"/>
              </w:rPr>
              <w:t>390</w:t>
            </w:r>
          </w:p>
        </w:tc>
        <w:tc>
          <w:tcPr>
            <w:tcW w:w="1127" w:type="dxa"/>
          </w:tcPr>
          <w:p>
            <w:pPr>
              <w:pStyle w:val="TableParagraph"/>
              <w:ind w:left="313" w:right="440"/>
              <w:jc w:val="center"/>
              <w:rPr>
                <w:rFonts w:ascii="Carlito"/>
                <w:sz w:val="16"/>
              </w:rPr>
            </w:pPr>
            <w:r>
              <w:rPr>
                <w:rFonts w:ascii="Carlito"/>
                <w:sz w:val="16"/>
              </w:rPr>
              <w:t>2015</w:t>
            </w:r>
          </w:p>
        </w:tc>
        <w:tc>
          <w:tcPr>
            <w:tcW w:w="783" w:type="dxa"/>
          </w:tcPr>
          <w:p>
            <w:pPr>
              <w:pStyle w:val="TableParagraph"/>
              <w:ind w:right="239"/>
              <w:rPr>
                <w:rFonts w:ascii="Carlito"/>
                <w:sz w:val="16"/>
              </w:rPr>
            </w:pPr>
            <w:r>
              <w:rPr>
                <w:rFonts w:ascii="Carlito"/>
                <w:sz w:val="16"/>
              </w:rPr>
              <w:t>5</w:t>
            </w:r>
          </w:p>
        </w:tc>
        <w:tc>
          <w:tcPr>
            <w:tcW w:w="745" w:type="dxa"/>
          </w:tcPr>
          <w:p>
            <w:pPr>
              <w:pStyle w:val="TableParagraph"/>
              <w:ind w:right="308"/>
              <w:rPr>
                <w:rFonts w:ascii="Carlito"/>
                <w:sz w:val="16"/>
              </w:rPr>
            </w:pPr>
            <w:r>
              <w:rPr>
                <w:rFonts w:ascii="Carlito"/>
                <w:sz w:val="16"/>
              </w:rPr>
              <w:t>3.5</w:t>
            </w:r>
          </w:p>
        </w:tc>
        <w:tc>
          <w:tcPr>
            <w:tcW w:w="816" w:type="dxa"/>
          </w:tcPr>
          <w:p>
            <w:pPr>
              <w:pStyle w:val="TableParagraph"/>
              <w:ind w:left="297"/>
              <w:jc w:val="left"/>
              <w:rPr>
                <w:rFonts w:ascii="Carlito"/>
                <w:sz w:val="16"/>
              </w:rPr>
            </w:pPr>
            <w:r>
              <w:rPr>
                <w:rFonts w:ascii="Carlito"/>
                <w:sz w:val="16"/>
              </w:rPr>
              <w:t>2</w:t>
            </w:r>
          </w:p>
        </w:tc>
        <w:tc>
          <w:tcPr>
            <w:tcW w:w="1288" w:type="dxa"/>
          </w:tcPr>
          <w:p>
            <w:pPr>
              <w:pStyle w:val="TableParagraph"/>
              <w:ind w:right="575"/>
              <w:rPr>
                <w:rFonts w:ascii="Carlito"/>
                <w:sz w:val="16"/>
              </w:rPr>
            </w:pPr>
            <w:r>
              <w:rPr>
                <w:rFonts w:ascii="Carlito"/>
                <w:sz w:val="16"/>
              </w:rPr>
              <w:t>7.4</w:t>
            </w:r>
          </w:p>
        </w:tc>
        <w:tc>
          <w:tcPr>
            <w:tcW w:w="1142" w:type="dxa"/>
          </w:tcPr>
          <w:p>
            <w:pPr>
              <w:pStyle w:val="TableParagraph"/>
              <w:ind w:right="369"/>
              <w:rPr>
                <w:rFonts w:ascii="Carlito"/>
                <w:sz w:val="16"/>
              </w:rPr>
            </w:pPr>
            <w:r>
              <w:rPr>
                <w:rFonts w:ascii="Carlito"/>
                <w:sz w:val="16"/>
              </w:rPr>
              <w:t>3.6</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224</w:t>
            </w:r>
          </w:p>
        </w:tc>
        <w:tc>
          <w:tcPr>
            <w:tcW w:w="1938" w:type="dxa"/>
            <w:shd w:val="clear" w:color="auto" w:fill="D9D9D9"/>
          </w:tcPr>
          <w:p>
            <w:pPr>
              <w:pStyle w:val="TableParagraph"/>
              <w:spacing w:before="92"/>
              <w:ind w:left="143"/>
              <w:jc w:val="left"/>
              <w:rPr>
                <w:rFonts w:ascii="Carlito"/>
                <w:sz w:val="16"/>
              </w:rPr>
            </w:pPr>
            <w:r>
              <w:rPr>
                <w:rFonts w:ascii="Carlito"/>
                <w:sz w:val="16"/>
              </w:rPr>
              <w:t>Lomas de Ayarco Sur</w:t>
            </w:r>
          </w:p>
        </w:tc>
        <w:tc>
          <w:tcPr>
            <w:tcW w:w="656" w:type="dxa"/>
            <w:shd w:val="clear" w:color="auto" w:fill="D9D9D9"/>
          </w:tcPr>
          <w:p>
            <w:pPr>
              <w:pStyle w:val="TableParagraph"/>
              <w:spacing w:before="92"/>
              <w:ind w:right="130"/>
              <w:rPr>
                <w:rFonts w:ascii="Carlito"/>
                <w:sz w:val="16"/>
              </w:rPr>
            </w:pPr>
            <w:r>
              <w:rPr>
                <w:rFonts w:ascii="Carlito"/>
                <w:sz w:val="16"/>
              </w:rPr>
              <w:t>0</w:t>
            </w:r>
          </w:p>
        </w:tc>
        <w:tc>
          <w:tcPr>
            <w:tcW w:w="1359" w:type="dxa"/>
            <w:shd w:val="clear" w:color="auto" w:fill="D9D9D9"/>
          </w:tcPr>
          <w:p>
            <w:pPr>
              <w:pStyle w:val="TableParagraph"/>
              <w:spacing w:before="92"/>
              <w:ind w:right="417"/>
              <w:rPr>
                <w:rFonts w:ascii="Carlito"/>
                <w:sz w:val="16"/>
              </w:rPr>
            </w:pPr>
            <w:r>
              <w:rPr>
                <w:rFonts w:ascii="Carlito"/>
                <w:sz w:val="16"/>
              </w:rPr>
              <w:t>$170,000.00</w:t>
            </w:r>
          </w:p>
        </w:tc>
        <w:tc>
          <w:tcPr>
            <w:tcW w:w="1001" w:type="dxa"/>
            <w:shd w:val="clear" w:color="auto" w:fill="D9D9D9"/>
          </w:tcPr>
          <w:p>
            <w:pPr>
              <w:pStyle w:val="TableParagraph"/>
              <w:spacing w:before="92"/>
              <w:ind w:right="343"/>
              <w:rPr>
                <w:rFonts w:ascii="Carlito"/>
                <w:sz w:val="16"/>
              </w:rPr>
            </w:pPr>
            <w:r>
              <w:rPr>
                <w:rFonts w:ascii="Carlito"/>
                <w:sz w:val="16"/>
              </w:rPr>
              <w:t>160</w:t>
            </w:r>
          </w:p>
        </w:tc>
        <w:tc>
          <w:tcPr>
            <w:tcW w:w="1127" w:type="dxa"/>
            <w:shd w:val="clear" w:color="auto" w:fill="D9D9D9"/>
          </w:tcPr>
          <w:p>
            <w:pPr>
              <w:pStyle w:val="TableParagraph"/>
              <w:spacing w:before="92"/>
              <w:ind w:left="313" w:right="440"/>
              <w:jc w:val="center"/>
              <w:rPr>
                <w:rFonts w:ascii="Carlito"/>
                <w:sz w:val="16"/>
              </w:rPr>
            </w:pPr>
            <w:r>
              <w:rPr>
                <w:rFonts w:ascii="Carlito"/>
                <w:sz w:val="16"/>
              </w:rPr>
              <w:t>2006</w:t>
            </w:r>
          </w:p>
        </w:tc>
        <w:tc>
          <w:tcPr>
            <w:tcW w:w="783" w:type="dxa"/>
            <w:shd w:val="clear" w:color="auto" w:fill="D9D9D9"/>
          </w:tcPr>
          <w:p>
            <w:pPr>
              <w:pStyle w:val="TableParagraph"/>
              <w:spacing w:before="92"/>
              <w:ind w:right="239"/>
              <w:rPr>
                <w:rFonts w:ascii="Carlito"/>
                <w:sz w:val="16"/>
              </w:rPr>
            </w:pPr>
            <w:r>
              <w:rPr>
                <w:rFonts w:ascii="Carlito"/>
                <w:sz w:val="16"/>
              </w:rPr>
              <w:t>3</w:t>
            </w:r>
          </w:p>
        </w:tc>
        <w:tc>
          <w:tcPr>
            <w:tcW w:w="745" w:type="dxa"/>
            <w:shd w:val="clear" w:color="auto" w:fill="D9D9D9"/>
          </w:tcPr>
          <w:p>
            <w:pPr>
              <w:pStyle w:val="TableParagraph"/>
              <w:spacing w:before="92"/>
              <w:ind w:right="308"/>
              <w:rPr>
                <w:rFonts w:ascii="Carlito"/>
                <w:sz w:val="16"/>
              </w:rPr>
            </w:pPr>
            <w:r>
              <w:rPr>
                <w:rFonts w:ascii="Carlito"/>
                <w:sz w:val="16"/>
              </w:rPr>
              <w:t>2.5</w:t>
            </w:r>
          </w:p>
        </w:tc>
        <w:tc>
          <w:tcPr>
            <w:tcW w:w="816" w:type="dxa"/>
            <w:shd w:val="clear" w:color="auto" w:fill="D9D9D9"/>
          </w:tcPr>
          <w:p>
            <w:pPr>
              <w:pStyle w:val="TableParagraph"/>
              <w:spacing w:before="92"/>
              <w:ind w:left="297"/>
              <w:jc w:val="left"/>
              <w:rPr>
                <w:rFonts w:ascii="Carlito"/>
                <w:sz w:val="16"/>
              </w:rPr>
            </w:pPr>
            <w:r>
              <w:rPr>
                <w:rFonts w:ascii="Carlito"/>
                <w:sz w:val="16"/>
              </w:rPr>
              <w:t>2</w:t>
            </w:r>
          </w:p>
        </w:tc>
        <w:tc>
          <w:tcPr>
            <w:tcW w:w="1288" w:type="dxa"/>
            <w:shd w:val="clear" w:color="auto" w:fill="D9D9D9"/>
          </w:tcPr>
          <w:p>
            <w:pPr>
              <w:pStyle w:val="TableParagraph"/>
              <w:spacing w:before="92"/>
              <w:ind w:right="575"/>
              <w:rPr>
                <w:rFonts w:ascii="Carlito"/>
                <w:sz w:val="16"/>
              </w:rPr>
            </w:pPr>
            <w:r>
              <w:rPr>
                <w:rFonts w:ascii="Carlito"/>
                <w:sz w:val="16"/>
              </w:rPr>
              <w:t>8.8</w:t>
            </w:r>
          </w:p>
        </w:tc>
        <w:tc>
          <w:tcPr>
            <w:tcW w:w="1142" w:type="dxa"/>
            <w:shd w:val="clear" w:color="auto" w:fill="D9D9D9"/>
          </w:tcPr>
          <w:p>
            <w:pPr>
              <w:pStyle w:val="TableParagraph"/>
              <w:spacing w:before="92"/>
              <w:ind w:right="369"/>
              <w:rPr>
                <w:rFonts w:ascii="Carlito"/>
                <w:sz w:val="16"/>
              </w:rPr>
            </w:pPr>
            <w:r>
              <w:rPr>
                <w:rFonts w:ascii="Carlito"/>
                <w:sz w:val="16"/>
              </w:rPr>
              <w:t>2.8</w:t>
            </w:r>
          </w:p>
        </w:tc>
        <w:tc>
          <w:tcPr>
            <w:tcW w:w="826" w:type="dxa"/>
            <w:shd w:val="clear" w:color="auto" w:fill="D9D9D9"/>
          </w:tcPr>
          <w:p>
            <w:pPr>
              <w:pStyle w:val="TableParagraph"/>
              <w:spacing w:before="92"/>
              <w:ind w:right="383"/>
              <w:rPr>
                <w:rFonts w:ascii="Carlito"/>
                <w:sz w:val="16"/>
              </w:rPr>
            </w:pPr>
            <w:r>
              <w:rPr>
                <w:rFonts w:ascii="Carlito"/>
                <w:sz w:val="16"/>
              </w:rPr>
              <w:t>0</w:t>
            </w:r>
          </w:p>
        </w:tc>
        <w:tc>
          <w:tcPr>
            <w:tcW w:w="530" w:type="dxa"/>
            <w:shd w:val="clear" w:color="auto" w:fill="D9D9D9"/>
          </w:tcPr>
          <w:p>
            <w:pPr>
              <w:pStyle w:val="TableParagraph"/>
              <w:spacing w:before="92"/>
              <w:ind w:right="69"/>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225</w:t>
            </w:r>
          </w:p>
        </w:tc>
        <w:tc>
          <w:tcPr>
            <w:tcW w:w="1938" w:type="dxa"/>
          </w:tcPr>
          <w:p>
            <w:pPr>
              <w:pStyle w:val="TableParagraph"/>
              <w:ind w:left="143"/>
              <w:jc w:val="left"/>
              <w:rPr>
                <w:rFonts w:ascii="Carlito"/>
                <w:sz w:val="16"/>
              </w:rPr>
            </w:pPr>
            <w:r>
              <w:rPr>
                <w:rFonts w:ascii="Carlito"/>
                <w:sz w:val="16"/>
              </w:rPr>
              <w:t>Guayabos</w:t>
            </w:r>
          </w:p>
        </w:tc>
        <w:tc>
          <w:tcPr>
            <w:tcW w:w="656" w:type="dxa"/>
          </w:tcPr>
          <w:p>
            <w:pPr>
              <w:pStyle w:val="TableParagraph"/>
              <w:ind w:right="130"/>
              <w:rPr>
                <w:rFonts w:ascii="Carlito"/>
                <w:sz w:val="16"/>
              </w:rPr>
            </w:pPr>
            <w:r>
              <w:rPr>
                <w:rFonts w:ascii="Carlito"/>
                <w:sz w:val="16"/>
              </w:rPr>
              <w:t>0</w:t>
            </w:r>
          </w:p>
        </w:tc>
        <w:tc>
          <w:tcPr>
            <w:tcW w:w="1359" w:type="dxa"/>
          </w:tcPr>
          <w:p>
            <w:pPr>
              <w:pStyle w:val="TableParagraph"/>
              <w:ind w:right="417"/>
              <w:rPr>
                <w:rFonts w:ascii="Carlito"/>
                <w:sz w:val="16"/>
              </w:rPr>
            </w:pPr>
            <w:r>
              <w:rPr>
                <w:rFonts w:ascii="Carlito"/>
                <w:sz w:val="16"/>
              </w:rPr>
              <w:t>$275,000.00</w:t>
            </w:r>
          </w:p>
        </w:tc>
        <w:tc>
          <w:tcPr>
            <w:tcW w:w="1001" w:type="dxa"/>
          </w:tcPr>
          <w:p>
            <w:pPr>
              <w:pStyle w:val="TableParagraph"/>
              <w:ind w:right="343"/>
              <w:rPr>
                <w:rFonts w:ascii="Carlito"/>
                <w:sz w:val="16"/>
              </w:rPr>
            </w:pPr>
            <w:r>
              <w:rPr>
                <w:rFonts w:ascii="Carlito"/>
                <w:sz w:val="16"/>
              </w:rPr>
              <w:t>214</w:t>
            </w:r>
          </w:p>
        </w:tc>
        <w:tc>
          <w:tcPr>
            <w:tcW w:w="1127" w:type="dxa"/>
          </w:tcPr>
          <w:p>
            <w:pPr>
              <w:pStyle w:val="TableParagraph"/>
              <w:ind w:left="313" w:right="440"/>
              <w:jc w:val="center"/>
              <w:rPr>
                <w:rFonts w:ascii="Carlito"/>
                <w:sz w:val="16"/>
              </w:rPr>
            </w:pPr>
            <w:r>
              <w:rPr>
                <w:rFonts w:ascii="Carlito"/>
                <w:sz w:val="16"/>
              </w:rPr>
              <w:t>2017</w:t>
            </w:r>
          </w:p>
        </w:tc>
        <w:tc>
          <w:tcPr>
            <w:tcW w:w="783" w:type="dxa"/>
          </w:tcPr>
          <w:p>
            <w:pPr>
              <w:pStyle w:val="TableParagraph"/>
              <w:ind w:right="239"/>
              <w:rPr>
                <w:rFonts w:ascii="Carlito"/>
                <w:sz w:val="16"/>
              </w:rPr>
            </w:pPr>
            <w:r>
              <w:rPr>
                <w:rFonts w:ascii="Carlito"/>
                <w:sz w:val="16"/>
              </w:rPr>
              <w:t>3</w:t>
            </w:r>
          </w:p>
        </w:tc>
        <w:tc>
          <w:tcPr>
            <w:tcW w:w="745" w:type="dxa"/>
          </w:tcPr>
          <w:p>
            <w:pPr>
              <w:pStyle w:val="TableParagraph"/>
              <w:ind w:right="308"/>
              <w:rPr>
                <w:rFonts w:ascii="Carlito"/>
                <w:sz w:val="16"/>
              </w:rPr>
            </w:pPr>
            <w:r>
              <w:rPr>
                <w:rFonts w:ascii="Carlito"/>
                <w:sz w:val="16"/>
              </w:rPr>
              <w:t>2.5</w:t>
            </w:r>
          </w:p>
        </w:tc>
        <w:tc>
          <w:tcPr>
            <w:tcW w:w="816" w:type="dxa"/>
          </w:tcPr>
          <w:p>
            <w:pPr>
              <w:pStyle w:val="TableParagraph"/>
              <w:ind w:left="297"/>
              <w:jc w:val="left"/>
              <w:rPr>
                <w:rFonts w:ascii="Carlito"/>
                <w:sz w:val="16"/>
              </w:rPr>
            </w:pPr>
            <w:r>
              <w:rPr>
                <w:rFonts w:ascii="Carlito"/>
                <w:sz w:val="16"/>
              </w:rPr>
              <w:t>2</w:t>
            </w:r>
          </w:p>
        </w:tc>
        <w:tc>
          <w:tcPr>
            <w:tcW w:w="1288" w:type="dxa"/>
          </w:tcPr>
          <w:p>
            <w:pPr>
              <w:pStyle w:val="TableParagraph"/>
              <w:ind w:right="575"/>
              <w:rPr>
                <w:rFonts w:ascii="Carlito"/>
                <w:sz w:val="16"/>
              </w:rPr>
            </w:pPr>
            <w:r>
              <w:rPr>
                <w:rFonts w:ascii="Carlito"/>
                <w:sz w:val="16"/>
              </w:rPr>
              <w:t>7.4</w:t>
            </w:r>
          </w:p>
        </w:tc>
        <w:tc>
          <w:tcPr>
            <w:tcW w:w="1142" w:type="dxa"/>
          </w:tcPr>
          <w:p>
            <w:pPr>
              <w:pStyle w:val="TableParagraph"/>
              <w:ind w:right="365"/>
              <w:rPr>
                <w:rFonts w:ascii="Carlito"/>
                <w:sz w:val="16"/>
              </w:rPr>
            </w:pPr>
            <w:r>
              <w:rPr>
                <w:rFonts w:ascii="Carlito"/>
                <w:sz w:val="16"/>
              </w:rPr>
              <w:t>5</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226</w:t>
            </w:r>
          </w:p>
        </w:tc>
        <w:tc>
          <w:tcPr>
            <w:tcW w:w="1938" w:type="dxa"/>
            <w:shd w:val="clear" w:color="auto" w:fill="D9D9D9"/>
          </w:tcPr>
          <w:p>
            <w:pPr>
              <w:pStyle w:val="TableParagraph"/>
              <w:ind w:left="143"/>
              <w:jc w:val="left"/>
              <w:rPr>
                <w:rFonts w:ascii="Carlito"/>
                <w:sz w:val="16"/>
              </w:rPr>
            </w:pPr>
            <w:r>
              <w:rPr>
                <w:rFonts w:ascii="Carlito"/>
                <w:sz w:val="16"/>
              </w:rPr>
              <w:t>Cipreses</w:t>
            </w:r>
          </w:p>
        </w:tc>
        <w:tc>
          <w:tcPr>
            <w:tcW w:w="656" w:type="dxa"/>
            <w:shd w:val="clear" w:color="auto" w:fill="D9D9D9"/>
          </w:tcPr>
          <w:p>
            <w:pPr>
              <w:pStyle w:val="TableParagraph"/>
              <w:ind w:right="130"/>
              <w:rPr>
                <w:rFonts w:ascii="Carlito"/>
                <w:sz w:val="16"/>
              </w:rPr>
            </w:pPr>
            <w:r>
              <w:rPr>
                <w:rFonts w:ascii="Carlito"/>
                <w:sz w:val="16"/>
              </w:rPr>
              <w:t>0</w:t>
            </w:r>
          </w:p>
        </w:tc>
        <w:tc>
          <w:tcPr>
            <w:tcW w:w="1359" w:type="dxa"/>
            <w:shd w:val="clear" w:color="auto" w:fill="D9D9D9"/>
          </w:tcPr>
          <w:p>
            <w:pPr>
              <w:pStyle w:val="TableParagraph"/>
              <w:ind w:right="417"/>
              <w:rPr>
                <w:rFonts w:ascii="Carlito"/>
                <w:sz w:val="16"/>
              </w:rPr>
            </w:pPr>
            <w:r>
              <w:rPr>
                <w:rFonts w:ascii="Carlito"/>
                <w:sz w:val="16"/>
              </w:rPr>
              <w:t>$272,500.00</w:t>
            </w:r>
          </w:p>
        </w:tc>
        <w:tc>
          <w:tcPr>
            <w:tcW w:w="1001" w:type="dxa"/>
            <w:shd w:val="clear" w:color="auto" w:fill="D9D9D9"/>
          </w:tcPr>
          <w:p>
            <w:pPr>
              <w:pStyle w:val="TableParagraph"/>
              <w:ind w:right="343"/>
              <w:rPr>
                <w:rFonts w:ascii="Carlito"/>
                <w:sz w:val="16"/>
              </w:rPr>
            </w:pPr>
            <w:r>
              <w:rPr>
                <w:rFonts w:ascii="Carlito"/>
                <w:sz w:val="16"/>
              </w:rPr>
              <w:t>240</w:t>
            </w:r>
          </w:p>
        </w:tc>
        <w:tc>
          <w:tcPr>
            <w:tcW w:w="1127" w:type="dxa"/>
            <w:shd w:val="clear" w:color="auto" w:fill="D9D9D9"/>
          </w:tcPr>
          <w:p>
            <w:pPr>
              <w:pStyle w:val="TableParagraph"/>
              <w:ind w:left="313" w:right="440"/>
              <w:jc w:val="center"/>
              <w:rPr>
                <w:rFonts w:ascii="Carlito"/>
                <w:sz w:val="16"/>
              </w:rPr>
            </w:pPr>
            <w:r>
              <w:rPr>
                <w:rFonts w:ascii="Carlito"/>
                <w:sz w:val="16"/>
              </w:rPr>
              <w:t>2017</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8"/>
              <w:rPr>
                <w:rFonts w:ascii="Carlito"/>
                <w:sz w:val="16"/>
              </w:rPr>
            </w:pPr>
            <w:r>
              <w:rPr>
                <w:rFonts w:ascii="Carlito"/>
                <w:sz w:val="16"/>
              </w:rPr>
              <w:t>2.5</w:t>
            </w:r>
          </w:p>
        </w:tc>
        <w:tc>
          <w:tcPr>
            <w:tcW w:w="816" w:type="dxa"/>
            <w:shd w:val="clear" w:color="auto" w:fill="D9D9D9"/>
          </w:tcPr>
          <w:p>
            <w:pPr>
              <w:pStyle w:val="TableParagraph"/>
              <w:ind w:left="297"/>
              <w:jc w:val="left"/>
              <w:rPr>
                <w:rFonts w:ascii="Carlito"/>
                <w:sz w:val="16"/>
              </w:rPr>
            </w:pPr>
            <w:r>
              <w:rPr>
                <w:rFonts w:ascii="Carlito"/>
                <w:sz w:val="16"/>
              </w:rPr>
              <w:t>2</w:t>
            </w:r>
          </w:p>
        </w:tc>
        <w:tc>
          <w:tcPr>
            <w:tcW w:w="1288" w:type="dxa"/>
            <w:shd w:val="clear" w:color="auto" w:fill="D9D9D9"/>
          </w:tcPr>
          <w:p>
            <w:pPr>
              <w:pStyle w:val="TableParagraph"/>
              <w:ind w:right="575"/>
              <w:rPr>
                <w:rFonts w:ascii="Carlito"/>
                <w:sz w:val="16"/>
              </w:rPr>
            </w:pPr>
            <w:r>
              <w:rPr>
                <w:rFonts w:ascii="Carlito"/>
                <w:sz w:val="16"/>
              </w:rPr>
              <w:t>6.9</w:t>
            </w:r>
          </w:p>
        </w:tc>
        <w:tc>
          <w:tcPr>
            <w:tcW w:w="1142" w:type="dxa"/>
            <w:shd w:val="clear" w:color="auto" w:fill="D9D9D9"/>
          </w:tcPr>
          <w:p>
            <w:pPr>
              <w:pStyle w:val="TableParagraph"/>
              <w:ind w:right="369"/>
              <w:rPr>
                <w:rFonts w:ascii="Carlito"/>
                <w:sz w:val="16"/>
              </w:rPr>
            </w:pPr>
            <w:r>
              <w:rPr>
                <w:rFonts w:ascii="Carlito"/>
                <w:sz w:val="16"/>
              </w:rPr>
              <w:t>4.4</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227</w:t>
            </w:r>
          </w:p>
        </w:tc>
        <w:tc>
          <w:tcPr>
            <w:tcW w:w="1938" w:type="dxa"/>
          </w:tcPr>
          <w:p>
            <w:pPr>
              <w:pStyle w:val="TableParagraph"/>
              <w:ind w:left="143"/>
              <w:jc w:val="left"/>
              <w:rPr>
                <w:rFonts w:ascii="Carlito" w:hAnsi="Carlito"/>
                <w:sz w:val="16"/>
              </w:rPr>
            </w:pPr>
            <w:r>
              <w:rPr>
                <w:rFonts w:ascii="Carlito" w:hAnsi="Carlito"/>
                <w:sz w:val="16"/>
              </w:rPr>
              <w:t>Sánchez</w:t>
            </w:r>
          </w:p>
        </w:tc>
        <w:tc>
          <w:tcPr>
            <w:tcW w:w="656" w:type="dxa"/>
          </w:tcPr>
          <w:p>
            <w:pPr>
              <w:pStyle w:val="TableParagraph"/>
              <w:ind w:right="130"/>
              <w:rPr>
                <w:rFonts w:ascii="Carlito"/>
                <w:sz w:val="16"/>
              </w:rPr>
            </w:pPr>
            <w:r>
              <w:rPr>
                <w:rFonts w:ascii="Carlito"/>
                <w:sz w:val="16"/>
              </w:rPr>
              <w:t>1</w:t>
            </w:r>
          </w:p>
        </w:tc>
        <w:tc>
          <w:tcPr>
            <w:tcW w:w="1359" w:type="dxa"/>
          </w:tcPr>
          <w:p>
            <w:pPr>
              <w:pStyle w:val="TableParagraph"/>
              <w:ind w:right="417"/>
              <w:rPr>
                <w:rFonts w:ascii="Carlito"/>
                <w:sz w:val="16"/>
              </w:rPr>
            </w:pPr>
            <w:r>
              <w:rPr>
                <w:rFonts w:ascii="Carlito"/>
                <w:sz w:val="16"/>
              </w:rPr>
              <w:t>$368,000.00</w:t>
            </w:r>
          </w:p>
        </w:tc>
        <w:tc>
          <w:tcPr>
            <w:tcW w:w="1001" w:type="dxa"/>
          </w:tcPr>
          <w:p>
            <w:pPr>
              <w:pStyle w:val="TableParagraph"/>
              <w:ind w:right="343"/>
              <w:rPr>
                <w:rFonts w:ascii="Carlito"/>
                <w:sz w:val="16"/>
              </w:rPr>
            </w:pPr>
            <w:r>
              <w:rPr>
                <w:rFonts w:ascii="Carlito"/>
                <w:sz w:val="16"/>
              </w:rPr>
              <w:t>301</w:t>
            </w:r>
          </w:p>
        </w:tc>
        <w:tc>
          <w:tcPr>
            <w:tcW w:w="1127" w:type="dxa"/>
          </w:tcPr>
          <w:p>
            <w:pPr>
              <w:pStyle w:val="TableParagraph"/>
              <w:ind w:left="313" w:right="440"/>
              <w:jc w:val="center"/>
              <w:rPr>
                <w:rFonts w:ascii="Carlito"/>
                <w:sz w:val="16"/>
              </w:rPr>
            </w:pPr>
            <w:r>
              <w:rPr>
                <w:rFonts w:ascii="Carlito"/>
                <w:sz w:val="16"/>
              </w:rPr>
              <w:t>2006</w:t>
            </w:r>
          </w:p>
        </w:tc>
        <w:tc>
          <w:tcPr>
            <w:tcW w:w="783" w:type="dxa"/>
          </w:tcPr>
          <w:p>
            <w:pPr>
              <w:pStyle w:val="TableParagraph"/>
              <w:ind w:right="239"/>
              <w:rPr>
                <w:rFonts w:ascii="Carlito"/>
                <w:sz w:val="16"/>
              </w:rPr>
            </w:pPr>
            <w:r>
              <w:rPr>
                <w:rFonts w:ascii="Carlito"/>
                <w:sz w:val="16"/>
              </w:rPr>
              <w:t>4</w:t>
            </w:r>
          </w:p>
        </w:tc>
        <w:tc>
          <w:tcPr>
            <w:tcW w:w="745" w:type="dxa"/>
          </w:tcPr>
          <w:p>
            <w:pPr>
              <w:pStyle w:val="TableParagraph"/>
              <w:ind w:right="308"/>
              <w:rPr>
                <w:rFonts w:ascii="Carlito"/>
                <w:sz w:val="16"/>
              </w:rPr>
            </w:pPr>
            <w:r>
              <w:rPr>
                <w:rFonts w:ascii="Carlito"/>
                <w:sz w:val="16"/>
              </w:rPr>
              <w:t>3.5</w:t>
            </w:r>
          </w:p>
        </w:tc>
        <w:tc>
          <w:tcPr>
            <w:tcW w:w="816" w:type="dxa"/>
          </w:tcPr>
          <w:p>
            <w:pPr>
              <w:pStyle w:val="TableParagraph"/>
              <w:ind w:left="297"/>
              <w:jc w:val="left"/>
              <w:rPr>
                <w:rFonts w:ascii="Carlito"/>
                <w:sz w:val="16"/>
              </w:rPr>
            </w:pPr>
            <w:r>
              <w:rPr>
                <w:rFonts w:ascii="Carlito"/>
                <w:sz w:val="16"/>
              </w:rPr>
              <w:t>2</w:t>
            </w:r>
          </w:p>
        </w:tc>
        <w:tc>
          <w:tcPr>
            <w:tcW w:w="1288" w:type="dxa"/>
          </w:tcPr>
          <w:p>
            <w:pPr>
              <w:pStyle w:val="TableParagraph"/>
              <w:ind w:right="575"/>
              <w:rPr>
                <w:rFonts w:ascii="Carlito"/>
                <w:sz w:val="16"/>
              </w:rPr>
            </w:pPr>
            <w:r>
              <w:rPr>
                <w:rFonts w:ascii="Carlito"/>
                <w:sz w:val="16"/>
              </w:rPr>
              <w:t>7.7</w:t>
            </w:r>
          </w:p>
        </w:tc>
        <w:tc>
          <w:tcPr>
            <w:tcW w:w="1142" w:type="dxa"/>
          </w:tcPr>
          <w:p>
            <w:pPr>
              <w:pStyle w:val="TableParagraph"/>
              <w:ind w:right="365"/>
              <w:rPr>
                <w:rFonts w:ascii="Carlito"/>
                <w:sz w:val="16"/>
              </w:rPr>
            </w:pPr>
            <w:r>
              <w:rPr>
                <w:rFonts w:ascii="Carlito"/>
                <w:sz w:val="16"/>
              </w:rPr>
              <w:t>3</w:t>
            </w:r>
          </w:p>
        </w:tc>
        <w:tc>
          <w:tcPr>
            <w:tcW w:w="826" w:type="dxa"/>
          </w:tcPr>
          <w:p>
            <w:pPr>
              <w:pStyle w:val="TableParagraph"/>
              <w:ind w:right="383"/>
              <w:rPr>
                <w:rFonts w:ascii="Carlito"/>
                <w:sz w:val="16"/>
              </w:rPr>
            </w:pPr>
            <w:r>
              <w:rPr>
                <w:rFonts w:ascii="Carlito"/>
                <w:sz w:val="16"/>
              </w:rPr>
              <w:t>1</w:t>
            </w:r>
          </w:p>
        </w:tc>
        <w:tc>
          <w:tcPr>
            <w:tcW w:w="530" w:type="dxa"/>
          </w:tcPr>
          <w:p>
            <w:pPr>
              <w:pStyle w:val="TableParagraph"/>
              <w:ind w:right="69"/>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228</w:t>
            </w:r>
          </w:p>
        </w:tc>
        <w:tc>
          <w:tcPr>
            <w:tcW w:w="1938" w:type="dxa"/>
            <w:shd w:val="clear" w:color="auto" w:fill="D9D9D9"/>
          </w:tcPr>
          <w:p>
            <w:pPr>
              <w:pStyle w:val="TableParagraph"/>
              <w:ind w:left="143"/>
              <w:jc w:val="left"/>
              <w:rPr>
                <w:rFonts w:ascii="Carlito"/>
                <w:sz w:val="16"/>
              </w:rPr>
            </w:pPr>
            <w:r>
              <w:rPr>
                <w:rFonts w:ascii="Carlito"/>
                <w:sz w:val="16"/>
              </w:rPr>
              <w:t>Granadilla</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right="417"/>
              <w:rPr>
                <w:rFonts w:ascii="Carlito"/>
                <w:sz w:val="16"/>
              </w:rPr>
            </w:pPr>
            <w:r>
              <w:rPr>
                <w:rFonts w:ascii="Carlito"/>
                <w:sz w:val="16"/>
              </w:rPr>
              <w:t>$285,000.00</w:t>
            </w:r>
          </w:p>
        </w:tc>
        <w:tc>
          <w:tcPr>
            <w:tcW w:w="1001" w:type="dxa"/>
            <w:shd w:val="clear" w:color="auto" w:fill="D9D9D9"/>
          </w:tcPr>
          <w:p>
            <w:pPr>
              <w:pStyle w:val="TableParagraph"/>
              <w:ind w:right="343"/>
              <w:rPr>
                <w:rFonts w:ascii="Carlito"/>
                <w:sz w:val="16"/>
              </w:rPr>
            </w:pPr>
            <w:r>
              <w:rPr>
                <w:rFonts w:ascii="Carlito"/>
                <w:sz w:val="16"/>
              </w:rPr>
              <w:t>245</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4</w:t>
            </w:r>
          </w:p>
        </w:tc>
        <w:tc>
          <w:tcPr>
            <w:tcW w:w="745" w:type="dxa"/>
            <w:shd w:val="clear" w:color="auto" w:fill="D9D9D9"/>
          </w:tcPr>
          <w:p>
            <w:pPr>
              <w:pStyle w:val="TableParagraph"/>
              <w:ind w:right="308"/>
              <w:rPr>
                <w:rFonts w:ascii="Carlito"/>
                <w:sz w:val="16"/>
              </w:rPr>
            </w:pPr>
            <w:r>
              <w:rPr>
                <w:rFonts w:ascii="Carlito"/>
                <w:sz w:val="16"/>
              </w:rPr>
              <w:t>3.5</w:t>
            </w:r>
          </w:p>
        </w:tc>
        <w:tc>
          <w:tcPr>
            <w:tcW w:w="816" w:type="dxa"/>
            <w:shd w:val="clear" w:color="auto" w:fill="D9D9D9"/>
          </w:tcPr>
          <w:p>
            <w:pPr>
              <w:pStyle w:val="TableParagraph"/>
              <w:ind w:left="297"/>
              <w:jc w:val="left"/>
              <w:rPr>
                <w:rFonts w:ascii="Carlito"/>
                <w:sz w:val="16"/>
              </w:rPr>
            </w:pPr>
            <w:r>
              <w:rPr>
                <w:rFonts w:ascii="Carlito"/>
                <w:sz w:val="16"/>
              </w:rPr>
              <w:t>2</w:t>
            </w:r>
          </w:p>
        </w:tc>
        <w:tc>
          <w:tcPr>
            <w:tcW w:w="1288" w:type="dxa"/>
            <w:shd w:val="clear" w:color="auto" w:fill="D9D9D9"/>
          </w:tcPr>
          <w:p>
            <w:pPr>
              <w:pStyle w:val="TableParagraph"/>
              <w:ind w:right="575"/>
              <w:rPr>
                <w:rFonts w:ascii="Carlito"/>
                <w:sz w:val="16"/>
              </w:rPr>
            </w:pPr>
            <w:r>
              <w:rPr>
                <w:rFonts w:ascii="Carlito"/>
                <w:sz w:val="16"/>
              </w:rPr>
              <w:t>7.2</w:t>
            </w:r>
          </w:p>
        </w:tc>
        <w:tc>
          <w:tcPr>
            <w:tcW w:w="1142" w:type="dxa"/>
            <w:shd w:val="clear" w:color="auto" w:fill="D9D9D9"/>
          </w:tcPr>
          <w:p>
            <w:pPr>
              <w:pStyle w:val="TableParagraph"/>
              <w:ind w:right="369"/>
              <w:rPr>
                <w:rFonts w:ascii="Carlito"/>
                <w:sz w:val="16"/>
              </w:rPr>
            </w:pPr>
            <w:r>
              <w:rPr>
                <w:rFonts w:ascii="Carlito"/>
                <w:sz w:val="16"/>
              </w:rPr>
              <w:t>5.6</w:t>
            </w:r>
          </w:p>
        </w:tc>
        <w:tc>
          <w:tcPr>
            <w:tcW w:w="826" w:type="dxa"/>
            <w:shd w:val="clear" w:color="auto" w:fill="D9D9D9"/>
          </w:tcPr>
          <w:p>
            <w:pPr>
              <w:pStyle w:val="TableParagraph"/>
              <w:ind w:right="383"/>
              <w:rPr>
                <w:rFonts w:ascii="Carlito"/>
                <w:sz w:val="16"/>
              </w:rPr>
            </w:pPr>
            <w:r>
              <w:rPr>
                <w:rFonts w:ascii="Carlito"/>
                <w:sz w:val="16"/>
              </w:rPr>
              <w:t>1</w:t>
            </w:r>
          </w:p>
        </w:tc>
        <w:tc>
          <w:tcPr>
            <w:tcW w:w="530" w:type="dxa"/>
            <w:shd w:val="clear" w:color="auto" w:fill="D9D9D9"/>
          </w:tcPr>
          <w:p>
            <w:pPr>
              <w:pStyle w:val="TableParagraph"/>
              <w:ind w:right="69"/>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229</w:t>
            </w:r>
          </w:p>
        </w:tc>
        <w:tc>
          <w:tcPr>
            <w:tcW w:w="1938" w:type="dxa"/>
          </w:tcPr>
          <w:p>
            <w:pPr>
              <w:pStyle w:val="TableParagraph"/>
              <w:spacing w:before="92"/>
              <w:ind w:left="143"/>
              <w:jc w:val="left"/>
              <w:rPr>
                <w:rFonts w:ascii="Carlito"/>
                <w:sz w:val="16"/>
              </w:rPr>
            </w:pPr>
            <w:r>
              <w:rPr>
                <w:rFonts w:ascii="Carlito"/>
                <w:sz w:val="16"/>
              </w:rPr>
              <w:t>Lomas de Ayarco Sur</w:t>
            </w:r>
          </w:p>
        </w:tc>
        <w:tc>
          <w:tcPr>
            <w:tcW w:w="656" w:type="dxa"/>
          </w:tcPr>
          <w:p>
            <w:pPr>
              <w:pStyle w:val="TableParagraph"/>
              <w:spacing w:before="92"/>
              <w:ind w:right="130"/>
              <w:rPr>
                <w:rFonts w:ascii="Carlito"/>
                <w:sz w:val="16"/>
              </w:rPr>
            </w:pPr>
            <w:r>
              <w:rPr>
                <w:rFonts w:ascii="Carlito"/>
                <w:sz w:val="16"/>
              </w:rPr>
              <w:t>1</w:t>
            </w:r>
          </w:p>
        </w:tc>
        <w:tc>
          <w:tcPr>
            <w:tcW w:w="1359" w:type="dxa"/>
          </w:tcPr>
          <w:p>
            <w:pPr>
              <w:pStyle w:val="TableParagraph"/>
              <w:spacing w:before="92"/>
              <w:ind w:right="417"/>
              <w:rPr>
                <w:rFonts w:ascii="Carlito"/>
                <w:sz w:val="16"/>
              </w:rPr>
            </w:pPr>
            <w:r>
              <w:rPr>
                <w:rFonts w:ascii="Carlito"/>
                <w:sz w:val="16"/>
              </w:rPr>
              <w:t>$220,000.00</w:t>
            </w:r>
          </w:p>
        </w:tc>
        <w:tc>
          <w:tcPr>
            <w:tcW w:w="1001" w:type="dxa"/>
          </w:tcPr>
          <w:p>
            <w:pPr>
              <w:pStyle w:val="TableParagraph"/>
              <w:spacing w:before="92"/>
              <w:ind w:right="343"/>
              <w:rPr>
                <w:rFonts w:ascii="Carlito"/>
                <w:sz w:val="16"/>
              </w:rPr>
            </w:pPr>
            <w:r>
              <w:rPr>
                <w:rFonts w:ascii="Carlito"/>
                <w:sz w:val="16"/>
              </w:rPr>
              <w:t>190</w:t>
            </w:r>
          </w:p>
        </w:tc>
        <w:tc>
          <w:tcPr>
            <w:tcW w:w="1127" w:type="dxa"/>
          </w:tcPr>
          <w:p>
            <w:pPr>
              <w:pStyle w:val="TableParagraph"/>
              <w:spacing w:before="92"/>
              <w:ind w:left="313" w:right="440"/>
              <w:jc w:val="center"/>
              <w:rPr>
                <w:rFonts w:ascii="Carlito"/>
                <w:sz w:val="16"/>
              </w:rPr>
            </w:pPr>
            <w:r>
              <w:rPr>
                <w:rFonts w:ascii="Carlito"/>
                <w:sz w:val="16"/>
              </w:rPr>
              <w:t>2007</w:t>
            </w:r>
          </w:p>
        </w:tc>
        <w:tc>
          <w:tcPr>
            <w:tcW w:w="783" w:type="dxa"/>
          </w:tcPr>
          <w:p>
            <w:pPr>
              <w:pStyle w:val="TableParagraph"/>
              <w:spacing w:before="92"/>
              <w:ind w:right="239"/>
              <w:rPr>
                <w:rFonts w:ascii="Carlito"/>
                <w:sz w:val="16"/>
              </w:rPr>
            </w:pPr>
            <w:r>
              <w:rPr>
                <w:rFonts w:ascii="Carlito"/>
                <w:sz w:val="16"/>
              </w:rPr>
              <w:t>3</w:t>
            </w:r>
          </w:p>
        </w:tc>
        <w:tc>
          <w:tcPr>
            <w:tcW w:w="745" w:type="dxa"/>
          </w:tcPr>
          <w:p>
            <w:pPr>
              <w:pStyle w:val="TableParagraph"/>
              <w:spacing w:before="92"/>
              <w:ind w:right="308"/>
              <w:rPr>
                <w:rFonts w:ascii="Carlito"/>
                <w:sz w:val="16"/>
              </w:rPr>
            </w:pPr>
            <w:r>
              <w:rPr>
                <w:rFonts w:ascii="Carlito"/>
                <w:sz w:val="16"/>
              </w:rPr>
              <w:t>2.5</w:t>
            </w:r>
          </w:p>
        </w:tc>
        <w:tc>
          <w:tcPr>
            <w:tcW w:w="816" w:type="dxa"/>
          </w:tcPr>
          <w:p>
            <w:pPr>
              <w:pStyle w:val="TableParagraph"/>
              <w:spacing w:before="92"/>
              <w:ind w:left="297"/>
              <w:jc w:val="left"/>
              <w:rPr>
                <w:rFonts w:ascii="Carlito"/>
                <w:sz w:val="16"/>
              </w:rPr>
            </w:pPr>
            <w:r>
              <w:rPr>
                <w:rFonts w:ascii="Carlito"/>
                <w:sz w:val="16"/>
              </w:rPr>
              <w:t>2</w:t>
            </w:r>
          </w:p>
        </w:tc>
        <w:tc>
          <w:tcPr>
            <w:tcW w:w="1288" w:type="dxa"/>
          </w:tcPr>
          <w:p>
            <w:pPr>
              <w:pStyle w:val="TableParagraph"/>
              <w:spacing w:before="92"/>
              <w:ind w:right="575"/>
              <w:rPr>
                <w:rFonts w:ascii="Carlito"/>
                <w:sz w:val="16"/>
              </w:rPr>
            </w:pPr>
            <w:r>
              <w:rPr>
                <w:rFonts w:ascii="Carlito"/>
                <w:sz w:val="16"/>
              </w:rPr>
              <w:t>8.8</w:t>
            </w:r>
          </w:p>
        </w:tc>
        <w:tc>
          <w:tcPr>
            <w:tcW w:w="1142" w:type="dxa"/>
          </w:tcPr>
          <w:p>
            <w:pPr>
              <w:pStyle w:val="TableParagraph"/>
              <w:spacing w:before="92"/>
              <w:ind w:right="369"/>
              <w:rPr>
                <w:rFonts w:ascii="Carlito"/>
                <w:sz w:val="16"/>
              </w:rPr>
            </w:pPr>
            <w:r>
              <w:rPr>
                <w:rFonts w:ascii="Carlito"/>
                <w:sz w:val="16"/>
              </w:rPr>
              <w:t>2.8</w:t>
            </w:r>
          </w:p>
        </w:tc>
        <w:tc>
          <w:tcPr>
            <w:tcW w:w="826" w:type="dxa"/>
          </w:tcPr>
          <w:p>
            <w:pPr>
              <w:pStyle w:val="TableParagraph"/>
              <w:spacing w:before="92"/>
              <w:ind w:right="383"/>
              <w:rPr>
                <w:rFonts w:ascii="Carlito"/>
                <w:sz w:val="16"/>
              </w:rPr>
            </w:pPr>
            <w:r>
              <w:rPr>
                <w:rFonts w:ascii="Carlito"/>
                <w:sz w:val="16"/>
              </w:rPr>
              <w:t>0</w:t>
            </w:r>
          </w:p>
        </w:tc>
        <w:tc>
          <w:tcPr>
            <w:tcW w:w="530" w:type="dxa"/>
          </w:tcPr>
          <w:p>
            <w:pPr>
              <w:pStyle w:val="TableParagraph"/>
              <w:spacing w:before="92"/>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230</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right="417"/>
              <w:rPr>
                <w:rFonts w:ascii="Carlito"/>
                <w:sz w:val="16"/>
              </w:rPr>
            </w:pPr>
            <w:r>
              <w:rPr>
                <w:rFonts w:ascii="Carlito"/>
                <w:sz w:val="16"/>
              </w:rPr>
              <w:t>$240,000.00</w:t>
            </w:r>
          </w:p>
        </w:tc>
        <w:tc>
          <w:tcPr>
            <w:tcW w:w="1001" w:type="dxa"/>
            <w:shd w:val="clear" w:color="auto" w:fill="D9D9D9"/>
          </w:tcPr>
          <w:p>
            <w:pPr>
              <w:pStyle w:val="TableParagraph"/>
              <w:ind w:right="343"/>
              <w:rPr>
                <w:rFonts w:ascii="Carlito"/>
                <w:sz w:val="16"/>
              </w:rPr>
            </w:pPr>
            <w:r>
              <w:rPr>
                <w:rFonts w:ascii="Carlito"/>
                <w:sz w:val="16"/>
              </w:rPr>
              <w:t>144</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3"/>
              <w:rPr>
                <w:rFonts w:ascii="Carlito"/>
                <w:sz w:val="16"/>
              </w:rPr>
            </w:pPr>
            <w:r>
              <w:rPr>
                <w:rFonts w:ascii="Carlito"/>
                <w:sz w:val="16"/>
              </w:rPr>
              <w:t>1</w:t>
            </w:r>
          </w:p>
        </w:tc>
        <w:tc>
          <w:tcPr>
            <w:tcW w:w="816" w:type="dxa"/>
            <w:shd w:val="clear" w:color="auto" w:fill="D9D9D9"/>
          </w:tcPr>
          <w:p>
            <w:pPr>
              <w:pStyle w:val="TableParagraph"/>
              <w:ind w:left="297"/>
              <w:jc w:val="left"/>
              <w:rPr>
                <w:rFonts w:ascii="Carlito"/>
                <w:sz w:val="16"/>
              </w:rPr>
            </w:pPr>
            <w:r>
              <w:rPr>
                <w:rFonts w:ascii="Carlito"/>
                <w:sz w:val="16"/>
              </w:rPr>
              <w:t>1</w:t>
            </w:r>
          </w:p>
        </w:tc>
        <w:tc>
          <w:tcPr>
            <w:tcW w:w="1288" w:type="dxa"/>
            <w:shd w:val="clear" w:color="auto" w:fill="D9D9D9"/>
          </w:tcPr>
          <w:p>
            <w:pPr>
              <w:pStyle w:val="TableParagraph"/>
              <w:ind w:right="575"/>
              <w:rPr>
                <w:rFonts w:ascii="Carlito"/>
                <w:sz w:val="16"/>
              </w:rPr>
            </w:pPr>
            <w:r>
              <w:rPr>
                <w:rFonts w:ascii="Carlito"/>
                <w:sz w:val="16"/>
              </w:rPr>
              <w:t>5.7</w:t>
            </w:r>
          </w:p>
        </w:tc>
        <w:tc>
          <w:tcPr>
            <w:tcW w:w="1142" w:type="dxa"/>
            <w:shd w:val="clear" w:color="auto" w:fill="D9D9D9"/>
          </w:tcPr>
          <w:p>
            <w:pPr>
              <w:pStyle w:val="TableParagraph"/>
              <w:ind w:right="369"/>
              <w:rPr>
                <w:rFonts w:ascii="Carlito"/>
                <w:sz w:val="16"/>
              </w:rPr>
            </w:pPr>
            <w:r>
              <w:rPr>
                <w:rFonts w:ascii="Carlito"/>
                <w:sz w:val="16"/>
              </w:rPr>
              <w:t>3.2</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231</w:t>
            </w:r>
          </w:p>
        </w:tc>
        <w:tc>
          <w:tcPr>
            <w:tcW w:w="1938" w:type="dxa"/>
          </w:tcPr>
          <w:p>
            <w:pPr>
              <w:pStyle w:val="TableParagraph"/>
              <w:spacing w:before="92"/>
              <w:ind w:left="143"/>
              <w:jc w:val="left"/>
              <w:rPr>
                <w:rFonts w:ascii="Carlito"/>
                <w:sz w:val="16"/>
              </w:rPr>
            </w:pPr>
            <w:r>
              <w:rPr>
                <w:rFonts w:ascii="Carlito"/>
                <w:sz w:val="16"/>
              </w:rPr>
              <w:t>Granadilla</w:t>
            </w:r>
          </w:p>
        </w:tc>
        <w:tc>
          <w:tcPr>
            <w:tcW w:w="656" w:type="dxa"/>
          </w:tcPr>
          <w:p>
            <w:pPr>
              <w:pStyle w:val="TableParagraph"/>
              <w:spacing w:before="92"/>
              <w:ind w:right="130"/>
              <w:rPr>
                <w:rFonts w:ascii="Carlito"/>
                <w:sz w:val="16"/>
              </w:rPr>
            </w:pPr>
            <w:r>
              <w:rPr>
                <w:rFonts w:ascii="Carlito"/>
                <w:sz w:val="16"/>
              </w:rPr>
              <w:t>1</w:t>
            </w:r>
          </w:p>
        </w:tc>
        <w:tc>
          <w:tcPr>
            <w:tcW w:w="1359" w:type="dxa"/>
          </w:tcPr>
          <w:p>
            <w:pPr>
              <w:pStyle w:val="TableParagraph"/>
              <w:spacing w:before="92"/>
              <w:ind w:right="417"/>
              <w:rPr>
                <w:rFonts w:ascii="Carlito"/>
                <w:sz w:val="16"/>
              </w:rPr>
            </w:pPr>
            <w:r>
              <w:rPr>
                <w:rFonts w:ascii="Carlito"/>
                <w:sz w:val="16"/>
              </w:rPr>
              <w:t>$475,000.00</w:t>
            </w:r>
          </w:p>
        </w:tc>
        <w:tc>
          <w:tcPr>
            <w:tcW w:w="1001" w:type="dxa"/>
          </w:tcPr>
          <w:p>
            <w:pPr>
              <w:pStyle w:val="TableParagraph"/>
              <w:spacing w:before="92"/>
              <w:ind w:right="343"/>
              <w:rPr>
                <w:rFonts w:ascii="Carlito"/>
                <w:sz w:val="16"/>
              </w:rPr>
            </w:pPr>
            <w:r>
              <w:rPr>
                <w:rFonts w:ascii="Carlito"/>
                <w:sz w:val="16"/>
              </w:rPr>
              <w:t>455</w:t>
            </w:r>
          </w:p>
        </w:tc>
        <w:tc>
          <w:tcPr>
            <w:tcW w:w="1127" w:type="dxa"/>
          </w:tcPr>
          <w:p>
            <w:pPr>
              <w:pStyle w:val="TableParagraph"/>
              <w:spacing w:before="92"/>
              <w:ind w:left="313" w:right="440"/>
              <w:jc w:val="center"/>
              <w:rPr>
                <w:rFonts w:ascii="Carlito"/>
                <w:sz w:val="16"/>
              </w:rPr>
            </w:pPr>
            <w:r>
              <w:rPr>
                <w:rFonts w:ascii="Carlito"/>
                <w:sz w:val="16"/>
              </w:rPr>
              <w:t>2006</w:t>
            </w:r>
          </w:p>
        </w:tc>
        <w:tc>
          <w:tcPr>
            <w:tcW w:w="783" w:type="dxa"/>
          </w:tcPr>
          <w:p>
            <w:pPr>
              <w:pStyle w:val="TableParagraph"/>
              <w:spacing w:before="92"/>
              <w:ind w:right="239"/>
              <w:rPr>
                <w:rFonts w:ascii="Carlito"/>
                <w:sz w:val="16"/>
              </w:rPr>
            </w:pPr>
            <w:r>
              <w:rPr>
                <w:rFonts w:ascii="Carlito"/>
                <w:sz w:val="16"/>
              </w:rPr>
              <w:t>4</w:t>
            </w:r>
          </w:p>
        </w:tc>
        <w:tc>
          <w:tcPr>
            <w:tcW w:w="745" w:type="dxa"/>
          </w:tcPr>
          <w:p>
            <w:pPr>
              <w:pStyle w:val="TableParagraph"/>
              <w:spacing w:before="92"/>
              <w:ind w:right="303"/>
              <w:rPr>
                <w:rFonts w:ascii="Carlito"/>
                <w:sz w:val="16"/>
              </w:rPr>
            </w:pPr>
            <w:r>
              <w:rPr>
                <w:rFonts w:ascii="Carlito"/>
                <w:sz w:val="16"/>
              </w:rPr>
              <w:t>4</w:t>
            </w:r>
          </w:p>
        </w:tc>
        <w:tc>
          <w:tcPr>
            <w:tcW w:w="816" w:type="dxa"/>
          </w:tcPr>
          <w:p>
            <w:pPr>
              <w:pStyle w:val="TableParagraph"/>
              <w:spacing w:before="92"/>
              <w:ind w:left="297"/>
              <w:jc w:val="left"/>
              <w:rPr>
                <w:rFonts w:ascii="Carlito"/>
                <w:sz w:val="16"/>
              </w:rPr>
            </w:pPr>
            <w:r>
              <w:rPr>
                <w:rFonts w:ascii="Carlito"/>
                <w:sz w:val="16"/>
              </w:rPr>
              <w:t>2</w:t>
            </w:r>
          </w:p>
        </w:tc>
        <w:tc>
          <w:tcPr>
            <w:tcW w:w="1288" w:type="dxa"/>
          </w:tcPr>
          <w:p>
            <w:pPr>
              <w:pStyle w:val="TableParagraph"/>
              <w:spacing w:before="92"/>
              <w:ind w:right="575"/>
              <w:rPr>
                <w:rFonts w:ascii="Carlito"/>
                <w:sz w:val="16"/>
              </w:rPr>
            </w:pPr>
            <w:r>
              <w:rPr>
                <w:rFonts w:ascii="Carlito"/>
                <w:sz w:val="16"/>
              </w:rPr>
              <w:t>7.2</w:t>
            </w:r>
          </w:p>
        </w:tc>
        <w:tc>
          <w:tcPr>
            <w:tcW w:w="1142" w:type="dxa"/>
          </w:tcPr>
          <w:p>
            <w:pPr>
              <w:pStyle w:val="TableParagraph"/>
              <w:spacing w:before="92"/>
              <w:ind w:right="369"/>
              <w:rPr>
                <w:rFonts w:ascii="Carlito"/>
                <w:sz w:val="16"/>
              </w:rPr>
            </w:pPr>
            <w:r>
              <w:rPr>
                <w:rFonts w:ascii="Carlito"/>
                <w:sz w:val="16"/>
              </w:rPr>
              <w:t>5.6</w:t>
            </w:r>
          </w:p>
        </w:tc>
        <w:tc>
          <w:tcPr>
            <w:tcW w:w="826" w:type="dxa"/>
          </w:tcPr>
          <w:p>
            <w:pPr>
              <w:pStyle w:val="TableParagraph"/>
              <w:spacing w:before="92"/>
              <w:ind w:right="383"/>
              <w:rPr>
                <w:rFonts w:ascii="Carlito"/>
                <w:sz w:val="16"/>
              </w:rPr>
            </w:pPr>
            <w:r>
              <w:rPr>
                <w:rFonts w:ascii="Carlito"/>
                <w:sz w:val="16"/>
              </w:rPr>
              <w:t>1</w:t>
            </w:r>
          </w:p>
        </w:tc>
        <w:tc>
          <w:tcPr>
            <w:tcW w:w="530" w:type="dxa"/>
          </w:tcPr>
          <w:p>
            <w:pPr>
              <w:pStyle w:val="TableParagraph"/>
              <w:spacing w:before="92"/>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232</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656" w:type="dxa"/>
            <w:shd w:val="clear" w:color="auto" w:fill="D9D9D9"/>
          </w:tcPr>
          <w:p>
            <w:pPr>
              <w:pStyle w:val="TableParagraph"/>
              <w:ind w:right="130"/>
              <w:rPr>
                <w:rFonts w:ascii="Carlito"/>
                <w:sz w:val="16"/>
              </w:rPr>
            </w:pPr>
            <w:r>
              <w:rPr>
                <w:rFonts w:ascii="Carlito"/>
                <w:sz w:val="16"/>
              </w:rPr>
              <w:t>0</w:t>
            </w:r>
          </w:p>
        </w:tc>
        <w:tc>
          <w:tcPr>
            <w:tcW w:w="1359" w:type="dxa"/>
            <w:shd w:val="clear" w:color="auto" w:fill="D9D9D9"/>
          </w:tcPr>
          <w:p>
            <w:pPr>
              <w:pStyle w:val="TableParagraph"/>
              <w:ind w:right="417"/>
              <w:rPr>
                <w:rFonts w:ascii="Carlito"/>
                <w:sz w:val="16"/>
              </w:rPr>
            </w:pPr>
            <w:r>
              <w:rPr>
                <w:rFonts w:ascii="Carlito"/>
                <w:sz w:val="16"/>
              </w:rPr>
              <w:t>$265,000.00</w:t>
            </w:r>
          </w:p>
        </w:tc>
        <w:tc>
          <w:tcPr>
            <w:tcW w:w="1001" w:type="dxa"/>
            <w:shd w:val="clear" w:color="auto" w:fill="D9D9D9"/>
          </w:tcPr>
          <w:p>
            <w:pPr>
              <w:pStyle w:val="TableParagraph"/>
              <w:ind w:right="343"/>
              <w:rPr>
                <w:rFonts w:ascii="Carlito"/>
                <w:sz w:val="16"/>
              </w:rPr>
            </w:pPr>
            <w:r>
              <w:rPr>
                <w:rFonts w:ascii="Carlito"/>
                <w:sz w:val="16"/>
              </w:rPr>
              <w:t>303</w:t>
            </w:r>
          </w:p>
        </w:tc>
        <w:tc>
          <w:tcPr>
            <w:tcW w:w="1127" w:type="dxa"/>
            <w:shd w:val="clear" w:color="auto" w:fill="D9D9D9"/>
          </w:tcPr>
          <w:p>
            <w:pPr>
              <w:pStyle w:val="TableParagraph"/>
              <w:ind w:left="313" w:right="440"/>
              <w:jc w:val="center"/>
              <w:rPr>
                <w:rFonts w:ascii="Carlito"/>
                <w:sz w:val="16"/>
              </w:rPr>
            </w:pPr>
            <w:r>
              <w:rPr>
                <w:rFonts w:ascii="Carlito"/>
                <w:sz w:val="16"/>
              </w:rPr>
              <w:t>2007</w:t>
            </w:r>
          </w:p>
        </w:tc>
        <w:tc>
          <w:tcPr>
            <w:tcW w:w="783" w:type="dxa"/>
            <w:shd w:val="clear" w:color="auto" w:fill="D9D9D9"/>
          </w:tcPr>
          <w:p>
            <w:pPr>
              <w:pStyle w:val="TableParagraph"/>
              <w:ind w:right="239"/>
              <w:rPr>
                <w:rFonts w:ascii="Carlito"/>
                <w:sz w:val="16"/>
              </w:rPr>
            </w:pPr>
            <w:r>
              <w:rPr>
                <w:rFonts w:ascii="Carlito"/>
                <w:sz w:val="16"/>
              </w:rPr>
              <w:t>4</w:t>
            </w:r>
          </w:p>
        </w:tc>
        <w:tc>
          <w:tcPr>
            <w:tcW w:w="745" w:type="dxa"/>
            <w:shd w:val="clear" w:color="auto" w:fill="D9D9D9"/>
          </w:tcPr>
          <w:p>
            <w:pPr>
              <w:pStyle w:val="TableParagraph"/>
              <w:ind w:right="308"/>
              <w:rPr>
                <w:rFonts w:ascii="Carlito"/>
                <w:sz w:val="16"/>
              </w:rPr>
            </w:pPr>
            <w:r>
              <w:rPr>
                <w:rFonts w:ascii="Carlito"/>
                <w:sz w:val="16"/>
              </w:rPr>
              <w:t>2.5</w:t>
            </w:r>
          </w:p>
        </w:tc>
        <w:tc>
          <w:tcPr>
            <w:tcW w:w="816" w:type="dxa"/>
            <w:shd w:val="clear" w:color="auto" w:fill="D9D9D9"/>
          </w:tcPr>
          <w:p>
            <w:pPr>
              <w:pStyle w:val="TableParagraph"/>
              <w:ind w:left="297"/>
              <w:jc w:val="left"/>
              <w:rPr>
                <w:rFonts w:ascii="Carlito"/>
                <w:sz w:val="16"/>
              </w:rPr>
            </w:pPr>
            <w:r>
              <w:rPr>
                <w:rFonts w:ascii="Carlito"/>
                <w:sz w:val="16"/>
              </w:rPr>
              <w:t>3</w:t>
            </w:r>
          </w:p>
        </w:tc>
        <w:tc>
          <w:tcPr>
            <w:tcW w:w="1288" w:type="dxa"/>
            <w:shd w:val="clear" w:color="auto" w:fill="D9D9D9"/>
          </w:tcPr>
          <w:p>
            <w:pPr>
              <w:pStyle w:val="TableParagraph"/>
              <w:ind w:right="575"/>
              <w:rPr>
                <w:rFonts w:ascii="Carlito"/>
                <w:sz w:val="16"/>
              </w:rPr>
            </w:pPr>
            <w:r>
              <w:rPr>
                <w:rFonts w:ascii="Carlito"/>
                <w:sz w:val="16"/>
              </w:rPr>
              <w:t>7.4</w:t>
            </w:r>
          </w:p>
        </w:tc>
        <w:tc>
          <w:tcPr>
            <w:tcW w:w="1142" w:type="dxa"/>
            <w:shd w:val="clear" w:color="auto" w:fill="D9D9D9"/>
          </w:tcPr>
          <w:p>
            <w:pPr>
              <w:pStyle w:val="TableParagraph"/>
              <w:ind w:right="365"/>
              <w:rPr>
                <w:rFonts w:ascii="Carlito"/>
                <w:sz w:val="16"/>
              </w:rPr>
            </w:pPr>
            <w:r>
              <w:rPr>
                <w:rFonts w:ascii="Carlito"/>
                <w:sz w:val="16"/>
              </w:rPr>
              <w:t>5</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233</w:t>
            </w:r>
          </w:p>
        </w:tc>
        <w:tc>
          <w:tcPr>
            <w:tcW w:w="1938" w:type="dxa"/>
          </w:tcPr>
          <w:p>
            <w:pPr>
              <w:pStyle w:val="TableParagraph"/>
              <w:spacing w:before="92"/>
              <w:ind w:left="143"/>
              <w:jc w:val="left"/>
              <w:rPr>
                <w:rFonts w:ascii="Carlito"/>
                <w:sz w:val="16"/>
              </w:rPr>
            </w:pPr>
            <w:r>
              <w:rPr>
                <w:rFonts w:ascii="Carlito"/>
                <w:sz w:val="16"/>
              </w:rPr>
              <w:t>Curridabat</w:t>
            </w:r>
          </w:p>
        </w:tc>
        <w:tc>
          <w:tcPr>
            <w:tcW w:w="656" w:type="dxa"/>
          </w:tcPr>
          <w:p>
            <w:pPr>
              <w:pStyle w:val="TableParagraph"/>
              <w:spacing w:before="92"/>
              <w:ind w:right="130"/>
              <w:rPr>
                <w:rFonts w:ascii="Carlito"/>
                <w:sz w:val="16"/>
              </w:rPr>
            </w:pPr>
            <w:r>
              <w:rPr>
                <w:rFonts w:ascii="Carlito"/>
                <w:sz w:val="16"/>
              </w:rPr>
              <w:t>1</w:t>
            </w:r>
          </w:p>
        </w:tc>
        <w:tc>
          <w:tcPr>
            <w:tcW w:w="1359" w:type="dxa"/>
          </w:tcPr>
          <w:p>
            <w:pPr>
              <w:pStyle w:val="TableParagraph"/>
              <w:spacing w:before="92"/>
              <w:ind w:right="417"/>
              <w:rPr>
                <w:rFonts w:ascii="Carlito"/>
                <w:sz w:val="16"/>
              </w:rPr>
            </w:pPr>
            <w:r>
              <w:rPr>
                <w:rFonts w:ascii="Carlito"/>
                <w:sz w:val="16"/>
              </w:rPr>
              <w:t>$850,000.00</w:t>
            </w:r>
          </w:p>
        </w:tc>
        <w:tc>
          <w:tcPr>
            <w:tcW w:w="1001" w:type="dxa"/>
          </w:tcPr>
          <w:p>
            <w:pPr>
              <w:pStyle w:val="TableParagraph"/>
              <w:spacing w:before="92"/>
              <w:ind w:right="343"/>
              <w:rPr>
                <w:rFonts w:ascii="Carlito"/>
                <w:sz w:val="16"/>
              </w:rPr>
            </w:pPr>
            <w:r>
              <w:rPr>
                <w:rFonts w:ascii="Carlito"/>
                <w:sz w:val="16"/>
              </w:rPr>
              <w:t>636</w:t>
            </w:r>
          </w:p>
        </w:tc>
        <w:tc>
          <w:tcPr>
            <w:tcW w:w="1127" w:type="dxa"/>
          </w:tcPr>
          <w:p>
            <w:pPr>
              <w:pStyle w:val="TableParagraph"/>
              <w:spacing w:before="92"/>
              <w:ind w:left="313" w:right="440"/>
              <w:jc w:val="center"/>
              <w:rPr>
                <w:rFonts w:ascii="Carlito"/>
                <w:sz w:val="16"/>
              </w:rPr>
            </w:pPr>
            <w:r>
              <w:rPr>
                <w:rFonts w:ascii="Carlito"/>
                <w:sz w:val="16"/>
              </w:rPr>
              <w:t>2008</w:t>
            </w:r>
          </w:p>
        </w:tc>
        <w:tc>
          <w:tcPr>
            <w:tcW w:w="783" w:type="dxa"/>
          </w:tcPr>
          <w:p>
            <w:pPr>
              <w:pStyle w:val="TableParagraph"/>
              <w:spacing w:before="92"/>
              <w:ind w:right="239"/>
              <w:rPr>
                <w:rFonts w:ascii="Carlito"/>
                <w:sz w:val="16"/>
              </w:rPr>
            </w:pPr>
            <w:r>
              <w:rPr>
                <w:rFonts w:ascii="Carlito"/>
                <w:sz w:val="16"/>
              </w:rPr>
              <w:t>5</w:t>
            </w:r>
          </w:p>
        </w:tc>
        <w:tc>
          <w:tcPr>
            <w:tcW w:w="745" w:type="dxa"/>
          </w:tcPr>
          <w:p>
            <w:pPr>
              <w:pStyle w:val="TableParagraph"/>
              <w:spacing w:before="92"/>
              <w:ind w:right="303"/>
              <w:rPr>
                <w:rFonts w:ascii="Carlito"/>
                <w:sz w:val="16"/>
              </w:rPr>
            </w:pPr>
            <w:r>
              <w:rPr>
                <w:rFonts w:ascii="Carlito"/>
                <w:sz w:val="16"/>
              </w:rPr>
              <w:t>5</w:t>
            </w:r>
          </w:p>
        </w:tc>
        <w:tc>
          <w:tcPr>
            <w:tcW w:w="816" w:type="dxa"/>
          </w:tcPr>
          <w:p>
            <w:pPr>
              <w:pStyle w:val="TableParagraph"/>
              <w:spacing w:before="92"/>
              <w:ind w:left="297"/>
              <w:jc w:val="left"/>
              <w:rPr>
                <w:rFonts w:ascii="Carlito"/>
                <w:sz w:val="16"/>
              </w:rPr>
            </w:pPr>
            <w:r>
              <w:rPr>
                <w:rFonts w:ascii="Carlito"/>
                <w:sz w:val="16"/>
              </w:rPr>
              <w:t>3</w:t>
            </w:r>
          </w:p>
        </w:tc>
        <w:tc>
          <w:tcPr>
            <w:tcW w:w="1288" w:type="dxa"/>
          </w:tcPr>
          <w:p>
            <w:pPr>
              <w:pStyle w:val="TableParagraph"/>
              <w:spacing w:before="92"/>
              <w:ind w:right="575"/>
              <w:rPr>
                <w:rFonts w:ascii="Carlito"/>
                <w:sz w:val="16"/>
              </w:rPr>
            </w:pPr>
            <w:r>
              <w:rPr>
                <w:rFonts w:ascii="Carlito"/>
                <w:sz w:val="16"/>
              </w:rPr>
              <w:t>5.7</w:t>
            </w:r>
          </w:p>
        </w:tc>
        <w:tc>
          <w:tcPr>
            <w:tcW w:w="1142" w:type="dxa"/>
          </w:tcPr>
          <w:p>
            <w:pPr>
              <w:pStyle w:val="TableParagraph"/>
              <w:spacing w:before="92"/>
              <w:ind w:right="369"/>
              <w:rPr>
                <w:rFonts w:ascii="Carlito"/>
                <w:sz w:val="16"/>
              </w:rPr>
            </w:pPr>
            <w:r>
              <w:rPr>
                <w:rFonts w:ascii="Carlito"/>
                <w:sz w:val="16"/>
              </w:rPr>
              <w:t>3.2</w:t>
            </w:r>
          </w:p>
        </w:tc>
        <w:tc>
          <w:tcPr>
            <w:tcW w:w="826" w:type="dxa"/>
          </w:tcPr>
          <w:p>
            <w:pPr>
              <w:pStyle w:val="TableParagraph"/>
              <w:spacing w:before="92"/>
              <w:ind w:right="383"/>
              <w:rPr>
                <w:rFonts w:ascii="Carlito"/>
                <w:sz w:val="16"/>
              </w:rPr>
            </w:pPr>
            <w:r>
              <w:rPr>
                <w:rFonts w:ascii="Carlito"/>
                <w:sz w:val="16"/>
              </w:rPr>
              <w:t>0</w:t>
            </w:r>
          </w:p>
        </w:tc>
        <w:tc>
          <w:tcPr>
            <w:tcW w:w="530" w:type="dxa"/>
          </w:tcPr>
          <w:p>
            <w:pPr>
              <w:pStyle w:val="TableParagraph"/>
              <w:spacing w:before="92"/>
              <w:ind w:right="69"/>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234</w:t>
            </w:r>
          </w:p>
        </w:tc>
        <w:tc>
          <w:tcPr>
            <w:tcW w:w="1938" w:type="dxa"/>
            <w:shd w:val="clear" w:color="auto" w:fill="D9D9D9"/>
          </w:tcPr>
          <w:p>
            <w:pPr>
              <w:pStyle w:val="TableParagraph"/>
              <w:ind w:left="143"/>
              <w:jc w:val="left"/>
              <w:rPr>
                <w:rFonts w:ascii="Carlito"/>
                <w:sz w:val="16"/>
              </w:rPr>
            </w:pPr>
            <w:r>
              <w:rPr>
                <w:rFonts w:ascii="Carlito"/>
                <w:sz w:val="16"/>
              </w:rPr>
              <w:t>Curridabat</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right="417"/>
              <w:rPr>
                <w:rFonts w:ascii="Carlito"/>
                <w:sz w:val="16"/>
              </w:rPr>
            </w:pPr>
            <w:r>
              <w:rPr>
                <w:rFonts w:ascii="Carlito"/>
                <w:sz w:val="16"/>
              </w:rPr>
              <w:t>$500,000.00</w:t>
            </w:r>
          </w:p>
        </w:tc>
        <w:tc>
          <w:tcPr>
            <w:tcW w:w="1001" w:type="dxa"/>
            <w:shd w:val="clear" w:color="auto" w:fill="D9D9D9"/>
          </w:tcPr>
          <w:p>
            <w:pPr>
              <w:pStyle w:val="TableParagraph"/>
              <w:ind w:right="343"/>
              <w:rPr>
                <w:rFonts w:ascii="Carlito"/>
                <w:sz w:val="16"/>
              </w:rPr>
            </w:pPr>
            <w:r>
              <w:rPr>
                <w:rFonts w:ascii="Carlito"/>
                <w:sz w:val="16"/>
              </w:rPr>
              <w:t>350</w:t>
            </w:r>
          </w:p>
        </w:tc>
        <w:tc>
          <w:tcPr>
            <w:tcW w:w="1127" w:type="dxa"/>
            <w:shd w:val="clear" w:color="auto" w:fill="D9D9D9"/>
          </w:tcPr>
          <w:p>
            <w:pPr>
              <w:pStyle w:val="TableParagraph"/>
              <w:ind w:left="313" w:right="440"/>
              <w:jc w:val="center"/>
              <w:rPr>
                <w:rFonts w:ascii="Carlito"/>
                <w:sz w:val="16"/>
              </w:rPr>
            </w:pPr>
            <w:r>
              <w:rPr>
                <w:rFonts w:ascii="Carlito"/>
                <w:sz w:val="16"/>
              </w:rPr>
              <w:t>2005</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8"/>
              <w:rPr>
                <w:rFonts w:ascii="Carlito"/>
                <w:sz w:val="16"/>
              </w:rPr>
            </w:pPr>
            <w:r>
              <w:rPr>
                <w:rFonts w:ascii="Carlito"/>
                <w:sz w:val="16"/>
              </w:rPr>
              <w:t>2.5</w:t>
            </w:r>
          </w:p>
        </w:tc>
        <w:tc>
          <w:tcPr>
            <w:tcW w:w="816" w:type="dxa"/>
            <w:shd w:val="clear" w:color="auto" w:fill="D9D9D9"/>
          </w:tcPr>
          <w:p>
            <w:pPr>
              <w:pStyle w:val="TableParagraph"/>
              <w:ind w:left="297"/>
              <w:jc w:val="left"/>
              <w:rPr>
                <w:rFonts w:ascii="Carlito"/>
                <w:sz w:val="16"/>
              </w:rPr>
            </w:pPr>
            <w:r>
              <w:rPr>
                <w:rFonts w:ascii="Carlito"/>
                <w:sz w:val="16"/>
              </w:rPr>
              <w:t>1</w:t>
            </w:r>
          </w:p>
        </w:tc>
        <w:tc>
          <w:tcPr>
            <w:tcW w:w="1288" w:type="dxa"/>
            <w:shd w:val="clear" w:color="auto" w:fill="D9D9D9"/>
          </w:tcPr>
          <w:p>
            <w:pPr>
              <w:pStyle w:val="TableParagraph"/>
              <w:ind w:right="575"/>
              <w:rPr>
                <w:rFonts w:ascii="Carlito"/>
                <w:sz w:val="16"/>
              </w:rPr>
            </w:pPr>
            <w:r>
              <w:rPr>
                <w:rFonts w:ascii="Carlito"/>
                <w:sz w:val="16"/>
              </w:rPr>
              <w:t>5.7</w:t>
            </w:r>
          </w:p>
        </w:tc>
        <w:tc>
          <w:tcPr>
            <w:tcW w:w="1142" w:type="dxa"/>
            <w:shd w:val="clear" w:color="auto" w:fill="D9D9D9"/>
          </w:tcPr>
          <w:p>
            <w:pPr>
              <w:pStyle w:val="TableParagraph"/>
              <w:ind w:right="369"/>
              <w:rPr>
                <w:rFonts w:ascii="Carlito"/>
                <w:sz w:val="16"/>
              </w:rPr>
            </w:pPr>
            <w:r>
              <w:rPr>
                <w:rFonts w:ascii="Carlito"/>
                <w:sz w:val="16"/>
              </w:rPr>
              <w:t>3.2</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235</w:t>
            </w:r>
          </w:p>
        </w:tc>
        <w:tc>
          <w:tcPr>
            <w:tcW w:w="1938" w:type="dxa"/>
          </w:tcPr>
          <w:p>
            <w:pPr>
              <w:pStyle w:val="TableParagraph"/>
              <w:spacing w:before="92"/>
              <w:ind w:left="143"/>
              <w:jc w:val="left"/>
              <w:rPr>
                <w:rFonts w:ascii="Carlito"/>
                <w:sz w:val="16"/>
              </w:rPr>
            </w:pPr>
            <w:r>
              <w:rPr>
                <w:rFonts w:ascii="Carlito"/>
                <w:sz w:val="16"/>
              </w:rPr>
              <w:t>Guayabos</w:t>
            </w:r>
          </w:p>
        </w:tc>
        <w:tc>
          <w:tcPr>
            <w:tcW w:w="656" w:type="dxa"/>
          </w:tcPr>
          <w:p>
            <w:pPr>
              <w:pStyle w:val="TableParagraph"/>
              <w:spacing w:before="92"/>
              <w:ind w:right="130"/>
              <w:rPr>
                <w:rFonts w:ascii="Carlito"/>
                <w:sz w:val="16"/>
              </w:rPr>
            </w:pPr>
            <w:r>
              <w:rPr>
                <w:rFonts w:ascii="Carlito"/>
                <w:sz w:val="16"/>
              </w:rPr>
              <w:t>0</w:t>
            </w:r>
          </w:p>
        </w:tc>
        <w:tc>
          <w:tcPr>
            <w:tcW w:w="1359" w:type="dxa"/>
          </w:tcPr>
          <w:p>
            <w:pPr>
              <w:pStyle w:val="TableParagraph"/>
              <w:spacing w:before="92"/>
              <w:ind w:right="417"/>
              <w:rPr>
                <w:rFonts w:ascii="Carlito"/>
                <w:sz w:val="16"/>
              </w:rPr>
            </w:pPr>
            <w:r>
              <w:rPr>
                <w:rFonts w:ascii="Carlito"/>
                <w:sz w:val="16"/>
              </w:rPr>
              <w:t>$240,000.00</w:t>
            </w:r>
          </w:p>
        </w:tc>
        <w:tc>
          <w:tcPr>
            <w:tcW w:w="1001" w:type="dxa"/>
          </w:tcPr>
          <w:p>
            <w:pPr>
              <w:pStyle w:val="TableParagraph"/>
              <w:spacing w:before="92"/>
              <w:ind w:right="343"/>
              <w:rPr>
                <w:rFonts w:ascii="Carlito"/>
                <w:sz w:val="16"/>
              </w:rPr>
            </w:pPr>
            <w:r>
              <w:rPr>
                <w:rFonts w:ascii="Carlito"/>
                <w:sz w:val="16"/>
              </w:rPr>
              <w:t>270</w:t>
            </w:r>
          </w:p>
        </w:tc>
        <w:tc>
          <w:tcPr>
            <w:tcW w:w="1127" w:type="dxa"/>
          </w:tcPr>
          <w:p>
            <w:pPr>
              <w:pStyle w:val="TableParagraph"/>
              <w:spacing w:before="92"/>
              <w:ind w:left="313" w:right="440"/>
              <w:jc w:val="center"/>
              <w:rPr>
                <w:rFonts w:ascii="Carlito"/>
                <w:sz w:val="16"/>
              </w:rPr>
            </w:pPr>
            <w:r>
              <w:rPr>
                <w:rFonts w:ascii="Carlito"/>
                <w:sz w:val="16"/>
              </w:rPr>
              <w:t>2003</w:t>
            </w:r>
          </w:p>
        </w:tc>
        <w:tc>
          <w:tcPr>
            <w:tcW w:w="783" w:type="dxa"/>
          </w:tcPr>
          <w:p>
            <w:pPr>
              <w:pStyle w:val="TableParagraph"/>
              <w:spacing w:before="92"/>
              <w:ind w:right="239"/>
              <w:rPr>
                <w:rFonts w:ascii="Carlito"/>
                <w:sz w:val="16"/>
              </w:rPr>
            </w:pPr>
            <w:r>
              <w:rPr>
                <w:rFonts w:ascii="Carlito"/>
                <w:sz w:val="16"/>
              </w:rPr>
              <w:t>3</w:t>
            </w:r>
          </w:p>
        </w:tc>
        <w:tc>
          <w:tcPr>
            <w:tcW w:w="745" w:type="dxa"/>
          </w:tcPr>
          <w:p>
            <w:pPr>
              <w:pStyle w:val="TableParagraph"/>
              <w:spacing w:before="92"/>
              <w:ind w:right="308"/>
              <w:rPr>
                <w:rFonts w:ascii="Carlito"/>
                <w:sz w:val="16"/>
              </w:rPr>
            </w:pPr>
            <w:r>
              <w:rPr>
                <w:rFonts w:ascii="Carlito"/>
                <w:sz w:val="16"/>
              </w:rPr>
              <w:t>2.5</w:t>
            </w:r>
          </w:p>
        </w:tc>
        <w:tc>
          <w:tcPr>
            <w:tcW w:w="816" w:type="dxa"/>
          </w:tcPr>
          <w:p>
            <w:pPr>
              <w:pStyle w:val="TableParagraph"/>
              <w:spacing w:before="92"/>
              <w:ind w:left="297"/>
              <w:jc w:val="left"/>
              <w:rPr>
                <w:rFonts w:ascii="Carlito"/>
                <w:sz w:val="16"/>
              </w:rPr>
            </w:pPr>
            <w:r>
              <w:rPr>
                <w:rFonts w:ascii="Carlito"/>
                <w:sz w:val="16"/>
              </w:rPr>
              <w:t>2</w:t>
            </w:r>
          </w:p>
        </w:tc>
        <w:tc>
          <w:tcPr>
            <w:tcW w:w="1288" w:type="dxa"/>
          </w:tcPr>
          <w:p>
            <w:pPr>
              <w:pStyle w:val="TableParagraph"/>
              <w:spacing w:before="92"/>
              <w:ind w:right="575"/>
              <w:rPr>
                <w:rFonts w:ascii="Carlito"/>
                <w:sz w:val="16"/>
              </w:rPr>
            </w:pPr>
            <w:r>
              <w:rPr>
                <w:rFonts w:ascii="Carlito"/>
                <w:sz w:val="16"/>
              </w:rPr>
              <w:t>7.4</w:t>
            </w:r>
          </w:p>
        </w:tc>
        <w:tc>
          <w:tcPr>
            <w:tcW w:w="1142" w:type="dxa"/>
          </w:tcPr>
          <w:p>
            <w:pPr>
              <w:pStyle w:val="TableParagraph"/>
              <w:spacing w:before="92"/>
              <w:ind w:right="365"/>
              <w:rPr>
                <w:rFonts w:ascii="Carlito"/>
                <w:sz w:val="16"/>
              </w:rPr>
            </w:pPr>
            <w:r>
              <w:rPr>
                <w:rFonts w:ascii="Carlito"/>
                <w:sz w:val="16"/>
              </w:rPr>
              <w:t>5</w:t>
            </w:r>
          </w:p>
        </w:tc>
        <w:tc>
          <w:tcPr>
            <w:tcW w:w="826" w:type="dxa"/>
          </w:tcPr>
          <w:p>
            <w:pPr>
              <w:pStyle w:val="TableParagraph"/>
              <w:spacing w:before="92"/>
              <w:ind w:right="383"/>
              <w:rPr>
                <w:rFonts w:ascii="Carlito"/>
                <w:sz w:val="16"/>
              </w:rPr>
            </w:pPr>
            <w:r>
              <w:rPr>
                <w:rFonts w:ascii="Carlito"/>
                <w:sz w:val="16"/>
              </w:rPr>
              <w:t>0</w:t>
            </w:r>
          </w:p>
        </w:tc>
        <w:tc>
          <w:tcPr>
            <w:tcW w:w="530" w:type="dxa"/>
          </w:tcPr>
          <w:p>
            <w:pPr>
              <w:pStyle w:val="TableParagraph"/>
              <w:spacing w:before="92"/>
              <w:ind w:right="69"/>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236</w:t>
            </w:r>
          </w:p>
        </w:tc>
        <w:tc>
          <w:tcPr>
            <w:tcW w:w="1938" w:type="dxa"/>
            <w:shd w:val="clear" w:color="auto" w:fill="D9D9D9"/>
          </w:tcPr>
          <w:p>
            <w:pPr>
              <w:pStyle w:val="TableParagraph"/>
              <w:ind w:left="143"/>
              <w:jc w:val="left"/>
              <w:rPr>
                <w:rFonts w:ascii="Carlito"/>
                <w:sz w:val="16"/>
              </w:rPr>
            </w:pPr>
            <w:r>
              <w:rPr>
                <w:rFonts w:ascii="Carlito"/>
                <w:sz w:val="16"/>
              </w:rPr>
              <w:t>Pinares</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right="417"/>
              <w:rPr>
                <w:rFonts w:ascii="Carlito"/>
                <w:sz w:val="16"/>
              </w:rPr>
            </w:pPr>
            <w:r>
              <w:rPr>
                <w:rFonts w:ascii="Carlito"/>
                <w:sz w:val="16"/>
              </w:rPr>
              <w:t>$525,000.00</w:t>
            </w:r>
          </w:p>
        </w:tc>
        <w:tc>
          <w:tcPr>
            <w:tcW w:w="1001" w:type="dxa"/>
            <w:shd w:val="clear" w:color="auto" w:fill="D9D9D9"/>
          </w:tcPr>
          <w:p>
            <w:pPr>
              <w:pStyle w:val="TableParagraph"/>
              <w:ind w:right="343"/>
              <w:rPr>
                <w:rFonts w:ascii="Carlito"/>
                <w:sz w:val="16"/>
              </w:rPr>
            </w:pPr>
            <w:r>
              <w:rPr>
                <w:rFonts w:ascii="Carlito"/>
                <w:sz w:val="16"/>
              </w:rPr>
              <w:t>400</w:t>
            </w:r>
          </w:p>
        </w:tc>
        <w:tc>
          <w:tcPr>
            <w:tcW w:w="1127" w:type="dxa"/>
            <w:shd w:val="clear" w:color="auto" w:fill="D9D9D9"/>
          </w:tcPr>
          <w:p>
            <w:pPr>
              <w:pStyle w:val="TableParagraph"/>
              <w:ind w:left="313" w:right="440"/>
              <w:jc w:val="center"/>
              <w:rPr>
                <w:rFonts w:ascii="Carlito"/>
                <w:sz w:val="16"/>
              </w:rPr>
            </w:pPr>
            <w:r>
              <w:rPr>
                <w:rFonts w:ascii="Carlito"/>
                <w:sz w:val="16"/>
              </w:rPr>
              <w:t>1995</w:t>
            </w:r>
          </w:p>
        </w:tc>
        <w:tc>
          <w:tcPr>
            <w:tcW w:w="783" w:type="dxa"/>
            <w:shd w:val="clear" w:color="auto" w:fill="D9D9D9"/>
          </w:tcPr>
          <w:p>
            <w:pPr>
              <w:pStyle w:val="TableParagraph"/>
              <w:ind w:right="239"/>
              <w:rPr>
                <w:rFonts w:ascii="Carlito"/>
                <w:sz w:val="16"/>
              </w:rPr>
            </w:pPr>
            <w:r>
              <w:rPr>
                <w:rFonts w:ascii="Carlito"/>
                <w:sz w:val="16"/>
              </w:rPr>
              <w:t>6</w:t>
            </w:r>
          </w:p>
        </w:tc>
        <w:tc>
          <w:tcPr>
            <w:tcW w:w="745" w:type="dxa"/>
            <w:shd w:val="clear" w:color="auto" w:fill="D9D9D9"/>
          </w:tcPr>
          <w:p>
            <w:pPr>
              <w:pStyle w:val="TableParagraph"/>
              <w:ind w:right="308"/>
              <w:rPr>
                <w:rFonts w:ascii="Carlito"/>
                <w:sz w:val="16"/>
              </w:rPr>
            </w:pPr>
            <w:r>
              <w:rPr>
                <w:rFonts w:ascii="Carlito"/>
                <w:sz w:val="16"/>
              </w:rPr>
              <w:t>4.5</w:t>
            </w:r>
          </w:p>
        </w:tc>
        <w:tc>
          <w:tcPr>
            <w:tcW w:w="816" w:type="dxa"/>
            <w:shd w:val="clear" w:color="auto" w:fill="D9D9D9"/>
          </w:tcPr>
          <w:p>
            <w:pPr>
              <w:pStyle w:val="TableParagraph"/>
              <w:ind w:left="297"/>
              <w:jc w:val="left"/>
              <w:rPr>
                <w:rFonts w:ascii="Carlito"/>
                <w:sz w:val="16"/>
              </w:rPr>
            </w:pPr>
            <w:r>
              <w:rPr>
                <w:rFonts w:ascii="Carlito"/>
                <w:sz w:val="16"/>
              </w:rPr>
              <w:t>2</w:t>
            </w:r>
          </w:p>
        </w:tc>
        <w:tc>
          <w:tcPr>
            <w:tcW w:w="1288" w:type="dxa"/>
            <w:shd w:val="clear" w:color="auto" w:fill="D9D9D9"/>
          </w:tcPr>
          <w:p>
            <w:pPr>
              <w:pStyle w:val="TableParagraph"/>
              <w:ind w:right="575"/>
              <w:rPr>
                <w:rFonts w:ascii="Carlito"/>
                <w:sz w:val="16"/>
              </w:rPr>
            </w:pPr>
            <w:r>
              <w:rPr>
                <w:rFonts w:ascii="Carlito"/>
                <w:sz w:val="16"/>
              </w:rPr>
              <w:t>7.4</w:t>
            </w:r>
          </w:p>
        </w:tc>
        <w:tc>
          <w:tcPr>
            <w:tcW w:w="1142" w:type="dxa"/>
            <w:shd w:val="clear" w:color="auto" w:fill="D9D9D9"/>
          </w:tcPr>
          <w:p>
            <w:pPr>
              <w:pStyle w:val="TableParagraph"/>
              <w:ind w:right="369"/>
              <w:rPr>
                <w:rFonts w:ascii="Carlito"/>
                <w:sz w:val="16"/>
              </w:rPr>
            </w:pPr>
            <w:r>
              <w:rPr>
                <w:rFonts w:ascii="Carlito"/>
                <w:sz w:val="16"/>
              </w:rPr>
              <w:t>3.6</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1</w:t>
            </w:r>
          </w:p>
        </w:tc>
      </w:tr>
      <w:tr>
        <w:trPr>
          <w:trHeight w:val="288" w:hRule="atLeast"/>
        </w:trPr>
        <w:tc>
          <w:tcPr>
            <w:tcW w:w="756" w:type="dxa"/>
          </w:tcPr>
          <w:p>
            <w:pPr>
              <w:pStyle w:val="TableParagraph"/>
              <w:ind w:right="143"/>
              <w:rPr>
                <w:rFonts w:ascii="Carlito"/>
                <w:sz w:val="16"/>
              </w:rPr>
            </w:pPr>
            <w:r>
              <w:rPr>
                <w:rFonts w:ascii="Carlito"/>
                <w:sz w:val="16"/>
              </w:rPr>
              <w:t>237</w:t>
            </w:r>
          </w:p>
        </w:tc>
        <w:tc>
          <w:tcPr>
            <w:tcW w:w="1938" w:type="dxa"/>
          </w:tcPr>
          <w:p>
            <w:pPr>
              <w:pStyle w:val="TableParagraph"/>
              <w:ind w:left="143"/>
              <w:jc w:val="left"/>
              <w:rPr>
                <w:rFonts w:ascii="Carlito" w:hAnsi="Carlito"/>
                <w:sz w:val="16"/>
              </w:rPr>
            </w:pPr>
            <w:r>
              <w:rPr>
                <w:rFonts w:ascii="Carlito" w:hAnsi="Carlito"/>
                <w:sz w:val="16"/>
              </w:rPr>
              <w:t>Sánchez</w:t>
            </w:r>
          </w:p>
        </w:tc>
        <w:tc>
          <w:tcPr>
            <w:tcW w:w="656" w:type="dxa"/>
          </w:tcPr>
          <w:p>
            <w:pPr>
              <w:pStyle w:val="TableParagraph"/>
              <w:ind w:right="130"/>
              <w:rPr>
                <w:rFonts w:ascii="Carlito"/>
                <w:sz w:val="16"/>
              </w:rPr>
            </w:pPr>
            <w:r>
              <w:rPr>
                <w:rFonts w:ascii="Carlito"/>
                <w:sz w:val="16"/>
              </w:rPr>
              <w:t>1</w:t>
            </w:r>
          </w:p>
        </w:tc>
        <w:tc>
          <w:tcPr>
            <w:tcW w:w="1359" w:type="dxa"/>
          </w:tcPr>
          <w:p>
            <w:pPr>
              <w:pStyle w:val="TableParagraph"/>
              <w:ind w:right="417"/>
              <w:rPr>
                <w:rFonts w:ascii="Carlito"/>
                <w:sz w:val="16"/>
              </w:rPr>
            </w:pPr>
            <w:r>
              <w:rPr>
                <w:rFonts w:ascii="Carlito"/>
                <w:sz w:val="16"/>
              </w:rPr>
              <w:t>$499,000.00</w:t>
            </w:r>
          </w:p>
        </w:tc>
        <w:tc>
          <w:tcPr>
            <w:tcW w:w="1001" w:type="dxa"/>
          </w:tcPr>
          <w:p>
            <w:pPr>
              <w:pStyle w:val="TableParagraph"/>
              <w:ind w:right="343"/>
              <w:rPr>
                <w:rFonts w:ascii="Carlito"/>
                <w:sz w:val="16"/>
              </w:rPr>
            </w:pPr>
            <w:r>
              <w:rPr>
                <w:rFonts w:ascii="Carlito"/>
                <w:sz w:val="16"/>
              </w:rPr>
              <w:t>528</w:t>
            </w:r>
          </w:p>
        </w:tc>
        <w:tc>
          <w:tcPr>
            <w:tcW w:w="1127" w:type="dxa"/>
          </w:tcPr>
          <w:p>
            <w:pPr>
              <w:pStyle w:val="TableParagraph"/>
              <w:ind w:left="313" w:right="440"/>
              <w:jc w:val="center"/>
              <w:rPr>
                <w:rFonts w:ascii="Carlito"/>
                <w:sz w:val="16"/>
              </w:rPr>
            </w:pPr>
            <w:r>
              <w:rPr>
                <w:rFonts w:ascii="Carlito"/>
                <w:sz w:val="16"/>
              </w:rPr>
              <w:t>2006</w:t>
            </w:r>
          </w:p>
        </w:tc>
        <w:tc>
          <w:tcPr>
            <w:tcW w:w="783" w:type="dxa"/>
          </w:tcPr>
          <w:p>
            <w:pPr>
              <w:pStyle w:val="TableParagraph"/>
              <w:ind w:right="239"/>
              <w:rPr>
                <w:rFonts w:ascii="Carlito"/>
                <w:sz w:val="16"/>
              </w:rPr>
            </w:pPr>
            <w:r>
              <w:rPr>
                <w:rFonts w:ascii="Carlito"/>
                <w:sz w:val="16"/>
              </w:rPr>
              <w:t>5</w:t>
            </w:r>
          </w:p>
        </w:tc>
        <w:tc>
          <w:tcPr>
            <w:tcW w:w="745" w:type="dxa"/>
          </w:tcPr>
          <w:p>
            <w:pPr>
              <w:pStyle w:val="TableParagraph"/>
              <w:ind w:right="308"/>
              <w:rPr>
                <w:rFonts w:ascii="Carlito"/>
                <w:sz w:val="16"/>
              </w:rPr>
            </w:pPr>
            <w:r>
              <w:rPr>
                <w:rFonts w:ascii="Carlito"/>
                <w:sz w:val="16"/>
              </w:rPr>
              <w:t>3.5</w:t>
            </w:r>
          </w:p>
        </w:tc>
        <w:tc>
          <w:tcPr>
            <w:tcW w:w="816" w:type="dxa"/>
          </w:tcPr>
          <w:p>
            <w:pPr>
              <w:pStyle w:val="TableParagraph"/>
              <w:ind w:left="297"/>
              <w:jc w:val="left"/>
              <w:rPr>
                <w:rFonts w:ascii="Carlito"/>
                <w:sz w:val="16"/>
              </w:rPr>
            </w:pPr>
            <w:r>
              <w:rPr>
                <w:rFonts w:ascii="Carlito"/>
                <w:sz w:val="16"/>
              </w:rPr>
              <w:t>2</w:t>
            </w:r>
          </w:p>
        </w:tc>
        <w:tc>
          <w:tcPr>
            <w:tcW w:w="1288" w:type="dxa"/>
          </w:tcPr>
          <w:p>
            <w:pPr>
              <w:pStyle w:val="TableParagraph"/>
              <w:ind w:right="575"/>
              <w:rPr>
                <w:rFonts w:ascii="Carlito"/>
                <w:sz w:val="16"/>
              </w:rPr>
            </w:pPr>
            <w:r>
              <w:rPr>
                <w:rFonts w:ascii="Carlito"/>
                <w:sz w:val="16"/>
              </w:rPr>
              <w:t>7.7</w:t>
            </w:r>
          </w:p>
        </w:tc>
        <w:tc>
          <w:tcPr>
            <w:tcW w:w="1142" w:type="dxa"/>
          </w:tcPr>
          <w:p>
            <w:pPr>
              <w:pStyle w:val="TableParagraph"/>
              <w:ind w:right="365"/>
              <w:rPr>
                <w:rFonts w:ascii="Carlito"/>
                <w:sz w:val="16"/>
              </w:rPr>
            </w:pPr>
            <w:r>
              <w:rPr>
                <w:rFonts w:ascii="Carlito"/>
                <w:sz w:val="16"/>
              </w:rPr>
              <w:t>3</w:t>
            </w:r>
          </w:p>
        </w:tc>
        <w:tc>
          <w:tcPr>
            <w:tcW w:w="826" w:type="dxa"/>
          </w:tcPr>
          <w:p>
            <w:pPr>
              <w:pStyle w:val="TableParagraph"/>
              <w:ind w:right="383"/>
              <w:rPr>
                <w:rFonts w:ascii="Carlito"/>
                <w:sz w:val="16"/>
              </w:rPr>
            </w:pPr>
            <w:r>
              <w:rPr>
                <w:rFonts w:ascii="Carlito"/>
                <w:sz w:val="16"/>
              </w:rPr>
              <w:t>1</w:t>
            </w:r>
          </w:p>
        </w:tc>
        <w:tc>
          <w:tcPr>
            <w:tcW w:w="530" w:type="dxa"/>
          </w:tcPr>
          <w:p>
            <w:pPr>
              <w:pStyle w:val="TableParagraph"/>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238</w:t>
            </w:r>
          </w:p>
        </w:tc>
        <w:tc>
          <w:tcPr>
            <w:tcW w:w="1938" w:type="dxa"/>
            <w:shd w:val="clear" w:color="auto" w:fill="D9D9D9"/>
          </w:tcPr>
          <w:p>
            <w:pPr>
              <w:pStyle w:val="TableParagraph"/>
              <w:ind w:left="143"/>
              <w:jc w:val="left"/>
              <w:rPr>
                <w:rFonts w:ascii="Carlito"/>
                <w:sz w:val="16"/>
              </w:rPr>
            </w:pPr>
            <w:r>
              <w:rPr>
                <w:rFonts w:ascii="Carlito"/>
                <w:sz w:val="16"/>
              </w:rPr>
              <w:t>Granadilla</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right="417"/>
              <w:rPr>
                <w:rFonts w:ascii="Carlito"/>
                <w:sz w:val="16"/>
              </w:rPr>
            </w:pPr>
            <w:r>
              <w:rPr>
                <w:rFonts w:ascii="Carlito"/>
                <w:sz w:val="16"/>
              </w:rPr>
              <w:t>$920,000.00</w:t>
            </w:r>
          </w:p>
        </w:tc>
        <w:tc>
          <w:tcPr>
            <w:tcW w:w="1001" w:type="dxa"/>
            <w:shd w:val="clear" w:color="auto" w:fill="D9D9D9"/>
          </w:tcPr>
          <w:p>
            <w:pPr>
              <w:pStyle w:val="TableParagraph"/>
              <w:ind w:right="343"/>
              <w:rPr>
                <w:rFonts w:ascii="Carlito"/>
                <w:sz w:val="16"/>
              </w:rPr>
            </w:pPr>
            <w:r>
              <w:rPr>
                <w:rFonts w:ascii="Carlito"/>
                <w:sz w:val="16"/>
              </w:rPr>
              <w:t>450</w:t>
            </w:r>
          </w:p>
        </w:tc>
        <w:tc>
          <w:tcPr>
            <w:tcW w:w="1127" w:type="dxa"/>
            <w:shd w:val="clear" w:color="auto" w:fill="D9D9D9"/>
          </w:tcPr>
          <w:p>
            <w:pPr>
              <w:pStyle w:val="TableParagraph"/>
              <w:ind w:left="313" w:right="440"/>
              <w:jc w:val="center"/>
              <w:rPr>
                <w:rFonts w:ascii="Carlito"/>
                <w:sz w:val="16"/>
              </w:rPr>
            </w:pPr>
            <w:r>
              <w:rPr>
                <w:rFonts w:ascii="Carlito"/>
                <w:sz w:val="16"/>
              </w:rPr>
              <w:t>2014</w:t>
            </w:r>
          </w:p>
        </w:tc>
        <w:tc>
          <w:tcPr>
            <w:tcW w:w="783" w:type="dxa"/>
            <w:shd w:val="clear" w:color="auto" w:fill="D9D9D9"/>
          </w:tcPr>
          <w:p>
            <w:pPr>
              <w:pStyle w:val="TableParagraph"/>
              <w:ind w:right="239"/>
              <w:rPr>
                <w:rFonts w:ascii="Carlito"/>
                <w:sz w:val="16"/>
              </w:rPr>
            </w:pPr>
            <w:r>
              <w:rPr>
                <w:rFonts w:ascii="Carlito"/>
                <w:sz w:val="16"/>
              </w:rPr>
              <w:t>4</w:t>
            </w:r>
          </w:p>
        </w:tc>
        <w:tc>
          <w:tcPr>
            <w:tcW w:w="745" w:type="dxa"/>
            <w:shd w:val="clear" w:color="auto" w:fill="D9D9D9"/>
          </w:tcPr>
          <w:p>
            <w:pPr>
              <w:pStyle w:val="TableParagraph"/>
              <w:ind w:right="303"/>
              <w:rPr>
                <w:rFonts w:ascii="Carlito"/>
                <w:sz w:val="16"/>
              </w:rPr>
            </w:pPr>
            <w:r>
              <w:rPr>
                <w:rFonts w:ascii="Carlito"/>
                <w:sz w:val="16"/>
              </w:rPr>
              <w:t>3</w:t>
            </w:r>
          </w:p>
        </w:tc>
        <w:tc>
          <w:tcPr>
            <w:tcW w:w="816" w:type="dxa"/>
            <w:shd w:val="clear" w:color="auto" w:fill="D9D9D9"/>
          </w:tcPr>
          <w:p>
            <w:pPr>
              <w:pStyle w:val="TableParagraph"/>
              <w:ind w:left="297"/>
              <w:jc w:val="left"/>
              <w:rPr>
                <w:rFonts w:ascii="Carlito"/>
                <w:sz w:val="16"/>
              </w:rPr>
            </w:pPr>
            <w:r>
              <w:rPr>
                <w:rFonts w:ascii="Carlito"/>
                <w:sz w:val="16"/>
              </w:rPr>
              <w:t>2</w:t>
            </w:r>
          </w:p>
        </w:tc>
        <w:tc>
          <w:tcPr>
            <w:tcW w:w="1288" w:type="dxa"/>
            <w:shd w:val="clear" w:color="auto" w:fill="D9D9D9"/>
          </w:tcPr>
          <w:p>
            <w:pPr>
              <w:pStyle w:val="TableParagraph"/>
              <w:ind w:right="575"/>
              <w:rPr>
                <w:rFonts w:ascii="Carlito"/>
                <w:sz w:val="16"/>
              </w:rPr>
            </w:pPr>
            <w:r>
              <w:rPr>
                <w:rFonts w:ascii="Carlito"/>
                <w:sz w:val="16"/>
              </w:rPr>
              <w:t>7.2</w:t>
            </w:r>
          </w:p>
        </w:tc>
        <w:tc>
          <w:tcPr>
            <w:tcW w:w="1142" w:type="dxa"/>
            <w:shd w:val="clear" w:color="auto" w:fill="D9D9D9"/>
          </w:tcPr>
          <w:p>
            <w:pPr>
              <w:pStyle w:val="TableParagraph"/>
              <w:ind w:right="369"/>
              <w:rPr>
                <w:rFonts w:ascii="Carlito"/>
                <w:sz w:val="16"/>
              </w:rPr>
            </w:pPr>
            <w:r>
              <w:rPr>
                <w:rFonts w:ascii="Carlito"/>
                <w:sz w:val="16"/>
              </w:rPr>
              <w:t>5.6</w:t>
            </w:r>
          </w:p>
        </w:tc>
        <w:tc>
          <w:tcPr>
            <w:tcW w:w="826" w:type="dxa"/>
            <w:shd w:val="clear" w:color="auto" w:fill="D9D9D9"/>
          </w:tcPr>
          <w:p>
            <w:pPr>
              <w:pStyle w:val="TableParagraph"/>
              <w:ind w:right="383"/>
              <w:rPr>
                <w:rFonts w:ascii="Carlito"/>
                <w:sz w:val="16"/>
              </w:rPr>
            </w:pPr>
            <w:r>
              <w:rPr>
                <w:rFonts w:ascii="Carlito"/>
                <w:sz w:val="16"/>
              </w:rPr>
              <w:t>1</w:t>
            </w:r>
          </w:p>
        </w:tc>
        <w:tc>
          <w:tcPr>
            <w:tcW w:w="530" w:type="dxa"/>
            <w:shd w:val="clear" w:color="auto" w:fill="D9D9D9"/>
          </w:tcPr>
          <w:p>
            <w:pPr>
              <w:pStyle w:val="TableParagraph"/>
              <w:ind w:right="69"/>
              <w:rPr>
                <w:rFonts w:ascii="Carlito"/>
                <w:sz w:val="16"/>
              </w:rPr>
            </w:pPr>
            <w:r>
              <w:rPr>
                <w:rFonts w:ascii="Carlito"/>
                <w:sz w:val="16"/>
              </w:rPr>
              <w:t>1</w:t>
            </w:r>
          </w:p>
        </w:tc>
      </w:tr>
      <w:tr>
        <w:trPr>
          <w:trHeight w:val="287" w:hRule="atLeast"/>
        </w:trPr>
        <w:tc>
          <w:tcPr>
            <w:tcW w:w="756" w:type="dxa"/>
          </w:tcPr>
          <w:p>
            <w:pPr>
              <w:pStyle w:val="TableParagraph"/>
              <w:ind w:right="143"/>
              <w:rPr>
                <w:rFonts w:ascii="Carlito"/>
                <w:sz w:val="16"/>
              </w:rPr>
            </w:pPr>
            <w:r>
              <w:rPr>
                <w:rFonts w:ascii="Carlito"/>
                <w:sz w:val="16"/>
              </w:rPr>
              <w:t>239</w:t>
            </w:r>
          </w:p>
        </w:tc>
        <w:tc>
          <w:tcPr>
            <w:tcW w:w="1938" w:type="dxa"/>
          </w:tcPr>
          <w:p>
            <w:pPr>
              <w:pStyle w:val="TableParagraph"/>
              <w:ind w:left="143"/>
              <w:jc w:val="left"/>
              <w:rPr>
                <w:rFonts w:ascii="Carlito"/>
                <w:sz w:val="16"/>
              </w:rPr>
            </w:pPr>
            <w:r>
              <w:rPr>
                <w:rFonts w:ascii="Carlito"/>
                <w:sz w:val="16"/>
              </w:rPr>
              <w:t>Lomas de Ayarco</w:t>
            </w:r>
          </w:p>
        </w:tc>
        <w:tc>
          <w:tcPr>
            <w:tcW w:w="656" w:type="dxa"/>
          </w:tcPr>
          <w:p>
            <w:pPr>
              <w:pStyle w:val="TableParagraph"/>
              <w:ind w:right="130"/>
              <w:rPr>
                <w:rFonts w:ascii="Carlito"/>
                <w:sz w:val="16"/>
              </w:rPr>
            </w:pPr>
            <w:r>
              <w:rPr>
                <w:rFonts w:ascii="Carlito"/>
                <w:sz w:val="16"/>
              </w:rPr>
              <w:t>1</w:t>
            </w:r>
          </w:p>
        </w:tc>
        <w:tc>
          <w:tcPr>
            <w:tcW w:w="1359" w:type="dxa"/>
          </w:tcPr>
          <w:p>
            <w:pPr>
              <w:pStyle w:val="TableParagraph"/>
              <w:ind w:right="417"/>
              <w:rPr>
                <w:rFonts w:ascii="Carlito"/>
                <w:sz w:val="16"/>
              </w:rPr>
            </w:pPr>
            <w:r>
              <w:rPr>
                <w:rFonts w:ascii="Carlito"/>
                <w:sz w:val="16"/>
              </w:rPr>
              <w:t>$270,000.00</w:t>
            </w:r>
          </w:p>
        </w:tc>
        <w:tc>
          <w:tcPr>
            <w:tcW w:w="1001" w:type="dxa"/>
          </w:tcPr>
          <w:p>
            <w:pPr>
              <w:pStyle w:val="TableParagraph"/>
              <w:ind w:right="343"/>
              <w:rPr>
                <w:rFonts w:ascii="Carlito"/>
                <w:sz w:val="16"/>
              </w:rPr>
            </w:pPr>
            <w:r>
              <w:rPr>
                <w:rFonts w:ascii="Carlito"/>
                <w:sz w:val="16"/>
              </w:rPr>
              <w:t>300</w:t>
            </w:r>
          </w:p>
        </w:tc>
        <w:tc>
          <w:tcPr>
            <w:tcW w:w="1127" w:type="dxa"/>
          </w:tcPr>
          <w:p>
            <w:pPr>
              <w:pStyle w:val="TableParagraph"/>
              <w:ind w:left="313" w:right="440"/>
              <w:jc w:val="center"/>
              <w:rPr>
                <w:rFonts w:ascii="Carlito"/>
                <w:sz w:val="16"/>
              </w:rPr>
            </w:pPr>
            <w:r>
              <w:rPr>
                <w:rFonts w:ascii="Carlito"/>
                <w:sz w:val="16"/>
              </w:rPr>
              <w:t>2006</w:t>
            </w:r>
          </w:p>
        </w:tc>
        <w:tc>
          <w:tcPr>
            <w:tcW w:w="783" w:type="dxa"/>
          </w:tcPr>
          <w:p>
            <w:pPr>
              <w:pStyle w:val="TableParagraph"/>
              <w:ind w:right="239"/>
              <w:rPr>
                <w:rFonts w:ascii="Carlito"/>
                <w:sz w:val="16"/>
              </w:rPr>
            </w:pPr>
            <w:r>
              <w:rPr>
                <w:rFonts w:ascii="Carlito"/>
                <w:sz w:val="16"/>
              </w:rPr>
              <w:t>3</w:t>
            </w:r>
          </w:p>
        </w:tc>
        <w:tc>
          <w:tcPr>
            <w:tcW w:w="745" w:type="dxa"/>
          </w:tcPr>
          <w:p>
            <w:pPr>
              <w:pStyle w:val="TableParagraph"/>
              <w:ind w:right="308"/>
              <w:rPr>
                <w:rFonts w:ascii="Carlito"/>
                <w:sz w:val="16"/>
              </w:rPr>
            </w:pPr>
            <w:r>
              <w:rPr>
                <w:rFonts w:ascii="Carlito"/>
                <w:sz w:val="16"/>
              </w:rPr>
              <w:t>2.5</w:t>
            </w:r>
          </w:p>
        </w:tc>
        <w:tc>
          <w:tcPr>
            <w:tcW w:w="816" w:type="dxa"/>
          </w:tcPr>
          <w:p>
            <w:pPr>
              <w:pStyle w:val="TableParagraph"/>
              <w:ind w:left="297"/>
              <w:jc w:val="left"/>
              <w:rPr>
                <w:rFonts w:ascii="Carlito"/>
                <w:sz w:val="16"/>
              </w:rPr>
            </w:pPr>
            <w:r>
              <w:rPr>
                <w:rFonts w:ascii="Carlito"/>
                <w:sz w:val="16"/>
              </w:rPr>
              <w:t>2</w:t>
            </w:r>
          </w:p>
        </w:tc>
        <w:tc>
          <w:tcPr>
            <w:tcW w:w="1288" w:type="dxa"/>
          </w:tcPr>
          <w:p>
            <w:pPr>
              <w:pStyle w:val="TableParagraph"/>
              <w:ind w:right="575"/>
              <w:rPr>
                <w:rFonts w:ascii="Carlito"/>
                <w:sz w:val="16"/>
              </w:rPr>
            </w:pPr>
            <w:r>
              <w:rPr>
                <w:rFonts w:ascii="Carlito"/>
                <w:sz w:val="16"/>
              </w:rPr>
              <w:t>8.55</w:t>
            </w:r>
          </w:p>
        </w:tc>
        <w:tc>
          <w:tcPr>
            <w:tcW w:w="1142" w:type="dxa"/>
          </w:tcPr>
          <w:p>
            <w:pPr>
              <w:pStyle w:val="TableParagraph"/>
              <w:ind w:right="369"/>
              <w:rPr>
                <w:rFonts w:ascii="Carlito"/>
                <w:sz w:val="16"/>
              </w:rPr>
            </w:pPr>
            <w:r>
              <w:rPr>
                <w:rFonts w:ascii="Carlito"/>
                <w:sz w:val="16"/>
              </w:rPr>
              <w:t>2.9</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240</w:t>
            </w:r>
          </w:p>
        </w:tc>
        <w:tc>
          <w:tcPr>
            <w:tcW w:w="1938" w:type="dxa"/>
            <w:shd w:val="clear" w:color="auto" w:fill="D9D9D9"/>
          </w:tcPr>
          <w:p>
            <w:pPr>
              <w:pStyle w:val="TableParagraph"/>
              <w:spacing w:before="92"/>
              <w:ind w:left="143"/>
              <w:jc w:val="left"/>
              <w:rPr>
                <w:rFonts w:ascii="Carlito"/>
                <w:sz w:val="16"/>
              </w:rPr>
            </w:pPr>
            <w:r>
              <w:rPr>
                <w:rFonts w:ascii="Carlito"/>
                <w:sz w:val="16"/>
              </w:rPr>
              <w:t>Pinares</w:t>
            </w:r>
          </w:p>
        </w:tc>
        <w:tc>
          <w:tcPr>
            <w:tcW w:w="656" w:type="dxa"/>
            <w:shd w:val="clear" w:color="auto" w:fill="D9D9D9"/>
          </w:tcPr>
          <w:p>
            <w:pPr>
              <w:pStyle w:val="TableParagraph"/>
              <w:spacing w:before="92"/>
              <w:ind w:right="130"/>
              <w:rPr>
                <w:rFonts w:ascii="Carlito"/>
                <w:sz w:val="16"/>
              </w:rPr>
            </w:pPr>
            <w:r>
              <w:rPr>
                <w:rFonts w:ascii="Carlito"/>
                <w:sz w:val="16"/>
              </w:rPr>
              <w:t>0</w:t>
            </w:r>
          </w:p>
        </w:tc>
        <w:tc>
          <w:tcPr>
            <w:tcW w:w="1359" w:type="dxa"/>
            <w:shd w:val="clear" w:color="auto" w:fill="D9D9D9"/>
          </w:tcPr>
          <w:p>
            <w:pPr>
              <w:pStyle w:val="TableParagraph"/>
              <w:spacing w:before="92"/>
              <w:ind w:right="417"/>
              <w:rPr>
                <w:rFonts w:ascii="Carlito"/>
                <w:sz w:val="16"/>
              </w:rPr>
            </w:pPr>
            <w:r>
              <w:rPr>
                <w:rFonts w:ascii="Carlito"/>
                <w:sz w:val="16"/>
              </w:rPr>
              <w:t>$195,000.00</w:t>
            </w:r>
          </w:p>
        </w:tc>
        <w:tc>
          <w:tcPr>
            <w:tcW w:w="1001" w:type="dxa"/>
            <w:shd w:val="clear" w:color="auto" w:fill="D9D9D9"/>
          </w:tcPr>
          <w:p>
            <w:pPr>
              <w:pStyle w:val="TableParagraph"/>
              <w:spacing w:before="92"/>
              <w:ind w:right="343"/>
              <w:rPr>
                <w:rFonts w:ascii="Carlito"/>
                <w:sz w:val="16"/>
              </w:rPr>
            </w:pPr>
            <w:r>
              <w:rPr>
                <w:rFonts w:ascii="Carlito"/>
                <w:sz w:val="16"/>
              </w:rPr>
              <w:t>174</w:t>
            </w:r>
          </w:p>
        </w:tc>
        <w:tc>
          <w:tcPr>
            <w:tcW w:w="1127" w:type="dxa"/>
            <w:shd w:val="clear" w:color="auto" w:fill="D9D9D9"/>
          </w:tcPr>
          <w:p>
            <w:pPr>
              <w:pStyle w:val="TableParagraph"/>
              <w:spacing w:before="92"/>
              <w:ind w:left="313" w:right="440"/>
              <w:jc w:val="center"/>
              <w:rPr>
                <w:rFonts w:ascii="Carlito"/>
                <w:sz w:val="16"/>
              </w:rPr>
            </w:pPr>
            <w:r>
              <w:rPr>
                <w:rFonts w:ascii="Carlito"/>
                <w:sz w:val="16"/>
              </w:rPr>
              <w:t>2015</w:t>
            </w:r>
          </w:p>
        </w:tc>
        <w:tc>
          <w:tcPr>
            <w:tcW w:w="783" w:type="dxa"/>
            <w:shd w:val="clear" w:color="auto" w:fill="D9D9D9"/>
          </w:tcPr>
          <w:p>
            <w:pPr>
              <w:pStyle w:val="TableParagraph"/>
              <w:spacing w:before="92"/>
              <w:ind w:right="239"/>
              <w:rPr>
                <w:rFonts w:ascii="Carlito"/>
                <w:sz w:val="16"/>
              </w:rPr>
            </w:pPr>
            <w:r>
              <w:rPr>
                <w:rFonts w:ascii="Carlito"/>
                <w:sz w:val="16"/>
              </w:rPr>
              <w:t>3</w:t>
            </w:r>
          </w:p>
        </w:tc>
        <w:tc>
          <w:tcPr>
            <w:tcW w:w="745" w:type="dxa"/>
            <w:shd w:val="clear" w:color="auto" w:fill="D9D9D9"/>
          </w:tcPr>
          <w:p>
            <w:pPr>
              <w:pStyle w:val="TableParagraph"/>
              <w:spacing w:before="92"/>
              <w:ind w:right="308"/>
              <w:rPr>
                <w:rFonts w:ascii="Carlito"/>
                <w:sz w:val="16"/>
              </w:rPr>
            </w:pPr>
            <w:r>
              <w:rPr>
                <w:rFonts w:ascii="Carlito"/>
                <w:sz w:val="16"/>
              </w:rPr>
              <w:t>2.5</w:t>
            </w:r>
          </w:p>
        </w:tc>
        <w:tc>
          <w:tcPr>
            <w:tcW w:w="816" w:type="dxa"/>
            <w:shd w:val="clear" w:color="auto" w:fill="D9D9D9"/>
          </w:tcPr>
          <w:p>
            <w:pPr>
              <w:pStyle w:val="TableParagraph"/>
              <w:spacing w:before="92"/>
              <w:ind w:left="297"/>
              <w:jc w:val="left"/>
              <w:rPr>
                <w:rFonts w:ascii="Carlito"/>
                <w:sz w:val="16"/>
              </w:rPr>
            </w:pPr>
            <w:r>
              <w:rPr>
                <w:rFonts w:ascii="Carlito"/>
                <w:sz w:val="16"/>
              </w:rPr>
              <w:t>2</w:t>
            </w:r>
          </w:p>
        </w:tc>
        <w:tc>
          <w:tcPr>
            <w:tcW w:w="1288" w:type="dxa"/>
            <w:shd w:val="clear" w:color="auto" w:fill="D9D9D9"/>
          </w:tcPr>
          <w:p>
            <w:pPr>
              <w:pStyle w:val="TableParagraph"/>
              <w:spacing w:before="92"/>
              <w:ind w:right="575"/>
              <w:rPr>
                <w:rFonts w:ascii="Carlito"/>
                <w:sz w:val="16"/>
              </w:rPr>
            </w:pPr>
            <w:r>
              <w:rPr>
                <w:rFonts w:ascii="Carlito"/>
                <w:sz w:val="16"/>
              </w:rPr>
              <w:t>7.4</w:t>
            </w:r>
          </w:p>
        </w:tc>
        <w:tc>
          <w:tcPr>
            <w:tcW w:w="1142" w:type="dxa"/>
            <w:shd w:val="clear" w:color="auto" w:fill="D9D9D9"/>
          </w:tcPr>
          <w:p>
            <w:pPr>
              <w:pStyle w:val="TableParagraph"/>
              <w:spacing w:before="92"/>
              <w:ind w:right="369"/>
              <w:rPr>
                <w:rFonts w:ascii="Carlito"/>
                <w:sz w:val="16"/>
              </w:rPr>
            </w:pPr>
            <w:r>
              <w:rPr>
                <w:rFonts w:ascii="Carlito"/>
                <w:sz w:val="16"/>
              </w:rPr>
              <w:t>3.6</w:t>
            </w:r>
          </w:p>
        </w:tc>
        <w:tc>
          <w:tcPr>
            <w:tcW w:w="826" w:type="dxa"/>
            <w:shd w:val="clear" w:color="auto" w:fill="D9D9D9"/>
          </w:tcPr>
          <w:p>
            <w:pPr>
              <w:pStyle w:val="TableParagraph"/>
              <w:spacing w:before="92"/>
              <w:ind w:right="383"/>
              <w:rPr>
                <w:rFonts w:ascii="Carlito"/>
                <w:sz w:val="16"/>
              </w:rPr>
            </w:pPr>
            <w:r>
              <w:rPr>
                <w:rFonts w:ascii="Carlito"/>
                <w:sz w:val="16"/>
              </w:rPr>
              <w:t>0</w:t>
            </w:r>
          </w:p>
        </w:tc>
        <w:tc>
          <w:tcPr>
            <w:tcW w:w="530" w:type="dxa"/>
            <w:shd w:val="clear" w:color="auto" w:fill="D9D9D9"/>
          </w:tcPr>
          <w:p>
            <w:pPr>
              <w:pStyle w:val="TableParagraph"/>
              <w:spacing w:before="92"/>
              <w:ind w:right="69"/>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241</w:t>
            </w:r>
          </w:p>
        </w:tc>
        <w:tc>
          <w:tcPr>
            <w:tcW w:w="1938" w:type="dxa"/>
          </w:tcPr>
          <w:p>
            <w:pPr>
              <w:pStyle w:val="TableParagraph"/>
              <w:spacing w:before="92"/>
              <w:ind w:left="143"/>
              <w:jc w:val="left"/>
              <w:rPr>
                <w:rFonts w:ascii="Carlito"/>
                <w:sz w:val="16"/>
              </w:rPr>
            </w:pPr>
            <w:r>
              <w:rPr>
                <w:rFonts w:ascii="Carlito"/>
                <w:sz w:val="16"/>
              </w:rPr>
              <w:t>Curridabat</w:t>
            </w:r>
          </w:p>
        </w:tc>
        <w:tc>
          <w:tcPr>
            <w:tcW w:w="656" w:type="dxa"/>
          </w:tcPr>
          <w:p>
            <w:pPr>
              <w:pStyle w:val="TableParagraph"/>
              <w:spacing w:before="92"/>
              <w:ind w:right="130"/>
              <w:rPr>
                <w:rFonts w:ascii="Carlito"/>
                <w:sz w:val="16"/>
              </w:rPr>
            </w:pPr>
            <w:r>
              <w:rPr>
                <w:rFonts w:ascii="Carlito"/>
                <w:sz w:val="16"/>
              </w:rPr>
              <w:t>1</w:t>
            </w:r>
          </w:p>
        </w:tc>
        <w:tc>
          <w:tcPr>
            <w:tcW w:w="1359" w:type="dxa"/>
          </w:tcPr>
          <w:p>
            <w:pPr>
              <w:pStyle w:val="TableParagraph"/>
              <w:spacing w:before="92"/>
              <w:ind w:right="417"/>
              <w:rPr>
                <w:rFonts w:ascii="Carlito"/>
                <w:sz w:val="16"/>
              </w:rPr>
            </w:pPr>
            <w:r>
              <w:rPr>
                <w:rFonts w:ascii="Carlito"/>
                <w:sz w:val="16"/>
              </w:rPr>
              <w:t>$720,000.00</w:t>
            </w:r>
          </w:p>
        </w:tc>
        <w:tc>
          <w:tcPr>
            <w:tcW w:w="1001" w:type="dxa"/>
          </w:tcPr>
          <w:p>
            <w:pPr>
              <w:pStyle w:val="TableParagraph"/>
              <w:spacing w:before="92"/>
              <w:ind w:right="343"/>
              <w:rPr>
                <w:rFonts w:ascii="Carlito"/>
                <w:sz w:val="16"/>
              </w:rPr>
            </w:pPr>
            <w:r>
              <w:rPr>
                <w:rFonts w:ascii="Carlito"/>
                <w:sz w:val="16"/>
              </w:rPr>
              <w:t>600</w:t>
            </w:r>
          </w:p>
        </w:tc>
        <w:tc>
          <w:tcPr>
            <w:tcW w:w="1127" w:type="dxa"/>
          </w:tcPr>
          <w:p>
            <w:pPr>
              <w:pStyle w:val="TableParagraph"/>
              <w:spacing w:before="92"/>
              <w:ind w:left="313" w:right="440"/>
              <w:jc w:val="center"/>
              <w:rPr>
                <w:rFonts w:ascii="Carlito"/>
                <w:sz w:val="16"/>
              </w:rPr>
            </w:pPr>
            <w:r>
              <w:rPr>
                <w:rFonts w:ascii="Carlito"/>
                <w:sz w:val="16"/>
              </w:rPr>
              <w:t>2000</w:t>
            </w:r>
          </w:p>
        </w:tc>
        <w:tc>
          <w:tcPr>
            <w:tcW w:w="783" w:type="dxa"/>
          </w:tcPr>
          <w:p>
            <w:pPr>
              <w:pStyle w:val="TableParagraph"/>
              <w:spacing w:before="92"/>
              <w:ind w:right="239"/>
              <w:rPr>
                <w:rFonts w:ascii="Carlito"/>
                <w:sz w:val="16"/>
              </w:rPr>
            </w:pPr>
            <w:r>
              <w:rPr>
                <w:rFonts w:ascii="Carlito"/>
                <w:sz w:val="16"/>
              </w:rPr>
              <w:t>4</w:t>
            </w:r>
          </w:p>
        </w:tc>
        <w:tc>
          <w:tcPr>
            <w:tcW w:w="745" w:type="dxa"/>
          </w:tcPr>
          <w:p>
            <w:pPr>
              <w:pStyle w:val="TableParagraph"/>
              <w:spacing w:before="92"/>
              <w:ind w:right="308"/>
              <w:rPr>
                <w:rFonts w:ascii="Carlito"/>
                <w:sz w:val="16"/>
              </w:rPr>
            </w:pPr>
            <w:r>
              <w:rPr>
                <w:rFonts w:ascii="Carlito"/>
                <w:sz w:val="16"/>
              </w:rPr>
              <w:t>4.5</w:t>
            </w:r>
          </w:p>
        </w:tc>
        <w:tc>
          <w:tcPr>
            <w:tcW w:w="816" w:type="dxa"/>
          </w:tcPr>
          <w:p>
            <w:pPr>
              <w:pStyle w:val="TableParagraph"/>
              <w:spacing w:before="92"/>
              <w:ind w:left="297"/>
              <w:jc w:val="left"/>
              <w:rPr>
                <w:rFonts w:ascii="Carlito"/>
                <w:sz w:val="16"/>
              </w:rPr>
            </w:pPr>
            <w:r>
              <w:rPr>
                <w:rFonts w:ascii="Carlito"/>
                <w:sz w:val="16"/>
              </w:rPr>
              <w:t>2</w:t>
            </w:r>
          </w:p>
        </w:tc>
        <w:tc>
          <w:tcPr>
            <w:tcW w:w="1288" w:type="dxa"/>
          </w:tcPr>
          <w:p>
            <w:pPr>
              <w:pStyle w:val="TableParagraph"/>
              <w:spacing w:before="92"/>
              <w:ind w:right="575"/>
              <w:rPr>
                <w:rFonts w:ascii="Carlito"/>
                <w:sz w:val="16"/>
              </w:rPr>
            </w:pPr>
            <w:r>
              <w:rPr>
                <w:rFonts w:ascii="Carlito"/>
                <w:sz w:val="16"/>
              </w:rPr>
              <w:t>5.7</w:t>
            </w:r>
          </w:p>
        </w:tc>
        <w:tc>
          <w:tcPr>
            <w:tcW w:w="1142" w:type="dxa"/>
          </w:tcPr>
          <w:p>
            <w:pPr>
              <w:pStyle w:val="TableParagraph"/>
              <w:spacing w:before="92"/>
              <w:ind w:right="369"/>
              <w:rPr>
                <w:rFonts w:ascii="Carlito"/>
                <w:sz w:val="16"/>
              </w:rPr>
            </w:pPr>
            <w:r>
              <w:rPr>
                <w:rFonts w:ascii="Carlito"/>
                <w:sz w:val="16"/>
              </w:rPr>
              <w:t>3.2</w:t>
            </w:r>
          </w:p>
        </w:tc>
        <w:tc>
          <w:tcPr>
            <w:tcW w:w="826" w:type="dxa"/>
          </w:tcPr>
          <w:p>
            <w:pPr>
              <w:pStyle w:val="TableParagraph"/>
              <w:spacing w:before="92"/>
              <w:ind w:right="383"/>
              <w:rPr>
                <w:rFonts w:ascii="Carlito"/>
                <w:sz w:val="16"/>
              </w:rPr>
            </w:pPr>
            <w:r>
              <w:rPr>
                <w:rFonts w:ascii="Carlito"/>
                <w:sz w:val="16"/>
              </w:rPr>
              <w:t>0</w:t>
            </w:r>
          </w:p>
        </w:tc>
        <w:tc>
          <w:tcPr>
            <w:tcW w:w="530" w:type="dxa"/>
          </w:tcPr>
          <w:p>
            <w:pPr>
              <w:pStyle w:val="TableParagraph"/>
              <w:spacing w:before="92"/>
              <w:ind w:right="6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242</w:t>
            </w:r>
          </w:p>
        </w:tc>
        <w:tc>
          <w:tcPr>
            <w:tcW w:w="1938" w:type="dxa"/>
            <w:shd w:val="clear" w:color="auto" w:fill="D9D9D9"/>
          </w:tcPr>
          <w:p>
            <w:pPr>
              <w:pStyle w:val="TableParagraph"/>
              <w:ind w:left="143"/>
              <w:jc w:val="left"/>
              <w:rPr>
                <w:rFonts w:ascii="Carlito"/>
                <w:sz w:val="16"/>
              </w:rPr>
            </w:pPr>
            <w:r>
              <w:rPr>
                <w:rFonts w:ascii="Carlito"/>
                <w:sz w:val="16"/>
              </w:rPr>
              <w:t>Granadilla</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right="417"/>
              <w:rPr>
                <w:rFonts w:ascii="Carlito"/>
                <w:sz w:val="16"/>
              </w:rPr>
            </w:pPr>
            <w:r>
              <w:rPr>
                <w:rFonts w:ascii="Carlito"/>
                <w:sz w:val="16"/>
              </w:rPr>
              <w:t>$285,000.00</w:t>
            </w:r>
          </w:p>
        </w:tc>
        <w:tc>
          <w:tcPr>
            <w:tcW w:w="1001" w:type="dxa"/>
            <w:shd w:val="clear" w:color="auto" w:fill="D9D9D9"/>
          </w:tcPr>
          <w:p>
            <w:pPr>
              <w:pStyle w:val="TableParagraph"/>
              <w:ind w:right="343"/>
              <w:rPr>
                <w:rFonts w:ascii="Carlito"/>
                <w:sz w:val="16"/>
              </w:rPr>
            </w:pPr>
            <w:r>
              <w:rPr>
                <w:rFonts w:ascii="Carlito"/>
                <w:sz w:val="16"/>
              </w:rPr>
              <w:t>245</w:t>
            </w:r>
          </w:p>
        </w:tc>
        <w:tc>
          <w:tcPr>
            <w:tcW w:w="1127" w:type="dxa"/>
            <w:shd w:val="clear" w:color="auto" w:fill="D9D9D9"/>
          </w:tcPr>
          <w:p>
            <w:pPr>
              <w:pStyle w:val="TableParagraph"/>
              <w:ind w:left="313" w:right="440"/>
              <w:jc w:val="center"/>
              <w:rPr>
                <w:rFonts w:ascii="Carlito"/>
                <w:sz w:val="16"/>
              </w:rPr>
            </w:pPr>
            <w:r>
              <w:rPr>
                <w:rFonts w:ascii="Carlito"/>
                <w:sz w:val="16"/>
              </w:rPr>
              <w:t>2004</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8"/>
              <w:rPr>
                <w:rFonts w:ascii="Carlito"/>
                <w:sz w:val="16"/>
              </w:rPr>
            </w:pPr>
            <w:r>
              <w:rPr>
                <w:rFonts w:ascii="Carlito"/>
                <w:sz w:val="16"/>
              </w:rPr>
              <w:t>2.5</w:t>
            </w:r>
          </w:p>
        </w:tc>
        <w:tc>
          <w:tcPr>
            <w:tcW w:w="816" w:type="dxa"/>
            <w:shd w:val="clear" w:color="auto" w:fill="D9D9D9"/>
          </w:tcPr>
          <w:p>
            <w:pPr>
              <w:pStyle w:val="TableParagraph"/>
              <w:ind w:left="297"/>
              <w:jc w:val="left"/>
              <w:rPr>
                <w:rFonts w:ascii="Carlito"/>
                <w:sz w:val="16"/>
              </w:rPr>
            </w:pPr>
            <w:r>
              <w:rPr>
                <w:rFonts w:ascii="Carlito"/>
                <w:sz w:val="16"/>
              </w:rPr>
              <w:t>2</w:t>
            </w:r>
          </w:p>
        </w:tc>
        <w:tc>
          <w:tcPr>
            <w:tcW w:w="1288" w:type="dxa"/>
            <w:shd w:val="clear" w:color="auto" w:fill="D9D9D9"/>
          </w:tcPr>
          <w:p>
            <w:pPr>
              <w:pStyle w:val="TableParagraph"/>
              <w:ind w:right="575"/>
              <w:rPr>
                <w:rFonts w:ascii="Carlito"/>
                <w:sz w:val="16"/>
              </w:rPr>
            </w:pPr>
            <w:r>
              <w:rPr>
                <w:rFonts w:ascii="Carlito"/>
                <w:sz w:val="16"/>
              </w:rPr>
              <w:t>7.2</w:t>
            </w:r>
          </w:p>
        </w:tc>
        <w:tc>
          <w:tcPr>
            <w:tcW w:w="1142" w:type="dxa"/>
            <w:shd w:val="clear" w:color="auto" w:fill="D9D9D9"/>
          </w:tcPr>
          <w:p>
            <w:pPr>
              <w:pStyle w:val="TableParagraph"/>
              <w:ind w:right="369"/>
              <w:rPr>
                <w:rFonts w:ascii="Carlito"/>
                <w:sz w:val="16"/>
              </w:rPr>
            </w:pPr>
            <w:r>
              <w:rPr>
                <w:rFonts w:ascii="Carlito"/>
                <w:sz w:val="16"/>
              </w:rPr>
              <w:t>5.6</w:t>
            </w:r>
          </w:p>
        </w:tc>
        <w:tc>
          <w:tcPr>
            <w:tcW w:w="826" w:type="dxa"/>
            <w:shd w:val="clear" w:color="auto" w:fill="D9D9D9"/>
          </w:tcPr>
          <w:p>
            <w:pPr>
              <w:pStyle w:val="TableParagraph"/>
              <w:ind w:right="383"/>
              <w:rPr>
                <w:rFonts w:ascii="Carlito"/>
                <w:sz w:val="16"/>
              </w:rPr>
            </w:pPr>
            <w:r>
              <w:rPr>
                <w:rFonts w:ascii="Carlito"/>
                <w:sz w:val="16"/>
              </w:rPr>
              <w:t>1</w:t>
            </w:r>
          </w:p>
        </w:tc>
        <w:tc>
          <w:tcPr>
            <w:tcW w:w="530" w:type="dxa"/>
            <w:shd w:val="clear" w:color="auto" w:fill="D9D9D9"/>
          </w:tcPr>
          <w:p>
            <w:pPr>
              <w:pStyle w:val="TableParagraph"/>
              <w:ind w:right="69"/>
              <w:rPr>
                <w:rFonts w:ascii="Carlito"/>
                <w:sz w:val="16"/>
              </w:rPr>
            </w:pPr>
            <w:r>
              <w:rPr>
                <w:rFonts w:ascii="Carlito"/>
                <w:sz w:val="16"/>
              </w:rPr>
              <w:t>0</w:t>
            </w:r>
          </w:p>
        </w:tc>
      </w:tr>
      <w:tr>
        <w:trPr>
          <w:trHeight w:val="392" w:hRule="atLeast"/>
        </w:trPr>
        <w:tc>
          <w:tcPr>
            <w:tcW w:w="756" w:type="dxa"/>
          </w:tcPr>
          <w:p>
            <w:pPr>
              <w:pStyle w:val="TableParagraph"/>
              <w:spacing w:line="240" w:lineRule="auto" w:before="11"/>
              <w:jc w:val="left"/>
              <w:rPr>
                <w:b/>
                <w:sz w:val="16"/>
              </w:rPr>
            </w:pPr>
          </w:p>
          <w:p>
            <w:pPr>
              <w:pStyle w:val="TableParagraph"/>
              <w:spacing w:line="177" w:lineRule="exact" w:before="0"/>
              <w:ind w:right="143"/>
              <w:rPr>
                <w:rFonts w:ascii="Carlito"/>
                <w:sz w:val="16"/>
              </w:rPr>
            </w:pPr>
            <w:r>
              <w:rPr>
                <w:rFonts w:ascii="Carlito"/>
                <w:sz w:val="16"/>
              </w:rPr>
              <w:t>243</w:t>
            </w:r>
          </w:p>
        </w:tc>
        <w:tc>
          <w:tcPr>
            <w:tcW w:w="1938" w:type="dxa"/>
          </w:tcPr>
          <w:p>
            <w:pPr>
              <w:pStyle w:val="TableParagraph"/>
              <w:spacing w:line="195" w:lineRule="exact" w:before="0"/>
              <w:ind w:left="143"/>
              <w:jc w:val="left"/>
              <w:rPr>
                <w:rFonts w:ascii="Carlito" w:hAnsi="Carlito"/>
                <w:sz w:val="16"/>
              </w:rPr>
            </w:pPr>
            <w:r>
              <w:rPr>
                <w:rFonts w:ascii="Carlito" w:hAnsi="Carlito"/>
                <w:sz w:val="16"/>
              </w:rPr>
              <w:t>Concepción de Tres</w:t>
            </w:r>
          </w:p>
          <w:p>
            <w:pPr>
              <w:pStyle w:val="TableParagraph"/>
              <w:spacing w:line="177" w:lineRule="exact" w:before="0"/>
              <w:ind w:left="143"/>
              <w:jc w:val="left"/>
              <w:rPr>
                <w:rFonts w:ascii="Carlito" w:hAnsi="Carlito"/>
                <w:sz w:val="16"/>
              </w:rPr>
            </w:pPr>
            <w:r>
              <w:rPr>
                <w:rFonts w:ascii="Carlito" w:hAnsi="Carlito"/>
                <w:sz w:val="16"/>
              </w:rPr>
              <w:t>Ríos</w:t>
            </w:r>
          </w:p>
        </w:tc>
        <w:tc>
          <w:tcPr>
            <w:tcW w:w="656" w:type="dxa"/>
          </w:tcPr>
          <w:p>
            <w:pPr>
              <w:pStyle w:val="TableParagraph"/>
              <w:spacing w:line="240" w:lineRule="auto" w:before="11"/>
              <w:jc w:val="left"/>
              <w:rPr>
                <w:b/>
                <w:sz w:val="16"/>
              </w:rPr>
            </w:pPr>
          </w:p>
          <w:p>
            <w:pPr>
              <w:pStyle w:val="TableParagraph"/>
              <w:spacing w:line="177" w:lineRule="exact" w:before="0"/>
              <w:ind w:right="130"/>
              <w:rPr>
                <w:rFonts w:ascii="Carlito"/>
                <w:sz w:val="16"/>
              </w:rPr>
            </w:pPr>
            <w:r>
              <w:rPr>
                <w:rFonts w:ascii="Carlito"/>
                <w:sz w:val="16"/>
              </w:rPr>
              <w:t>0</w:t>
            </w:r>
          </w:p>
        </w:tc>
        <w:tc>
          <w:tcPr>
            <w:tcW w:w="1359" w:type="dxa"/>
          </w:tcPr>
          <w:p>
            <w:pPr>
              <w:pStyle w:val="TableParagraph"/>
              <w:spacing w:line="240" w:lineRule="auto" w:before="11"/>
              <w:jc w:val="left"/>
              <w:rPr>
                <w:b/>
                <w:sz w:val="16"/>
              </w:rPr>
            </w:pPr>
          </w:p>
          <w:p>
            <w:pPr>
              <w:pStyle w:val="TableParagraph"/>
              <w:spacing w:line="177" w:lineRule="exact" w:before="0"/>
              <w:ind w:right="417"/>
              <w:rPr>
                <w:rFonts w:ascii="Carlito"/>
                <w:sz w:val="16"/>
              </w:rPr>
            </w:pPr>
            <w:r>
              <w:rPr>
                <w:rFonts w:ascii="Carlito"/>
                <w:sz w:val="16"/>
              </w:rPr>
              <w:t>$147,000.00</w:t>
            </w:r>
          </w:p>
        </w:tc>
        <w:tc>
          <w:tcPr>
            <w:tcW w:w="1001" w:type="dxa"/>
          </w:tcPr>
          <w:p>
            <w:pPr>
              <w:pStyle w:val="TableParagraph"/>
              <w:spacing w:line="240" w:lineRule="auto" w:before="11"/>
              <w:jc w:val="left"/>
              <w:rPr>
                <w:b/>
                <w:sz w:val="16"/>
              </w:rPr>
            </w:pPr>
          </w:p>
          <w:p>
            <w:pPr>
              <w:pStyle w:val="TableParagraph"/>
              <w:spacing w:line="177" w:lineRule="exact" w:before="0"/>
              <w:ind w:right="343"/>
              <w:rPr>
                <w:rFonts w:ascii="Carlito"/>
                <w:sz w:val="16"/>
              </w:rPr>
            </w:pPr>
            <w:r>
              <w:rPr>
                <w:rFonts w:ascii="Carlito"/>
                <w:sz w:val="16"/>
              </w:rPr>
              <w:t>120</w:t>
            </w:r>
          </w:p>
        </w:tc>
        <w:tc>
          <w:tcPr>
            <w:tcW w:w="1127" w:type="dxa"/>
          </w:tcPr>
          <w:p>
            <w:pPr>
              <w:pStyle w:val="TableParagraph"/>
              <w:spacing w:line="240" w:lineRule="auto" w:before="11"/>
              <w:jc w:val="left"/>
              <w:rPr>
                <w:b/>
                <w:sz w:val="16"/>
              </w:rPr>
            </w:pPr>
          </w:p>
          <w:p>
            <w:pPr>
              <w:pStyle w:val="TableParagraph"/>
              <w:spacing w:line="177" w:lineRule="exact" w:before="0"/>
              <w:ind w:left="313" w:right="440"/>
              <w:jc w:val="center"/>
              <w:rPr>
                <w:rFonts w:ascii="Carlito"/>
                <w:sz w:val="16"/>
              </w:rPr>
            </w:pPr>
            <w:r>
              <w:rPr>
                <w:rFonts w:ascii="Carlito"/>
                <w:sz w:val="16"/>
              </w:rPr>
              <w:t>2006</w:t>
            </w:r>
          </w:p>
        </w:tc>
        <w:tc>
          <w:tcPr>
            <w:tcW w:w="783" w:type="dxa"/>
          </w:tcPr>
          <w:p>
            <w:pPr>
              <w:pStyle w:val="TableParagraph"/>
              <w:spacing w:line="240" w:lineRule="auto" w:before="11"/>
              <w:jc w:val="left"/>
              <w:rPr>
                <w:b/>
                <w:sz w:val="16"/>
              </w:rPr>
            </w:pPr>
          </w:p>
          <w:p>
            <w:pPr>
              <w:pStyle w:val="TableParagraph"/>
              <w:spacing w:line="177" w:lineRule="exact" w:before="0"/>
              <w:ind w:right="239"/>
              <w:rPr>
                <w:rFonts w:ascii="Carlito"/>
                <w:sz w:val="16"/>
              </w:rPr>
            </w:pPr>
            <w:r>
              <w:rPr>
                <w:rFonts w:ascii="Carlito"/>
                <w:sz w:val="16"/>
              </w:rPr>
              <w:t>3</w:t>
            </w:r>
          </w:p>
        </w:tc>
        <w:tc>
          <w:tcPr>
            <w:tcW w:w="745" w:type="dxa"/>
          </w:tcPr>
          <w:p>
            <w:pPr>
              <w:pStyle w:val="TableParagraph"/>
              <w:spacing w:line="240" w:lineRule="auto" w:before="11"/>
              <w:jc w:val="left"/>
              <w:rPr>
                <w:b/>
                <w:sz w:val="16"/>
              </w:rPr>
            </w:pPr>
          </w:p>
          <w:p>
            <w:pPr>
              <w:pStyle w:val="TableParagraph"/>
              <w:spacing w:line="177" w:lineRule="exact" w:before="0"/>
              <w:ind w:right="308"/>
              <w:rPr>
                <w:rFonts w:ascii="Carlito"/>
                <w:sz w:val="16"/>
              </w:rPr>
            </w:pPr>
            <w:r>
              <w:rPr>
                <w:rFonts w:ascii="Carlito"/>
                <w:sz w:val="16"/>
              </w:rPr>
              <w:t>2.5</w:t>
            </w:r>
          </w:p>
        </w:tc>
        <w:tc>
          <w:tcPr>
            <w:tcW w:w="816" w:type="dxa"/>
          </w:tcPr>
          <w:p>
            <w:pPr>
              <w:pStyle w:val="TableParagraph"/>
              <w:spacing w:line="240" w:lineRule="auto" w:before="11"/>
              <w:jc w:val="left"/>
              <w:rPr>
                <w:b/>
                <w:sz w:val="16"/>
              </w:rPr>
            </w:pPr>
          </w:p>
          <w:p>
            <w:pPr>
              <w:pStyle w:val="TableParagraph"/>
              <w:spacing w:line="177" w:lineRule="exact" w:before="0"/>
              <w:ind w:left="297"/>
              <w:jc w:val="left"/>
              <w:rPr>
                <w:rFonts w:ascii="Carlito"/>
                <w:sz w:val="16"/>
              </w:rPr>
            </w:pPr>
            <w:r>
              <w:rPr>
                <w:rFonts w:ascii="Carlito"/>
                <w:sz w:val="16"/>
              </w:rPr>
              <w:t>2</w:t>
            </w:r>
          </w:p>
        </w:tc>
        <w:tc>
          <w:tcPr>
            <w:tcW w:w="1288" w:type="dxa"/>
          </w:tcPr>
          <w:p>
            <w:pPr>
              <w:pStyle w:val="TableParagraph"/>
              <w:spacing w:line="240" w:lineRule="auto" w:before="11"/>
              <w:jc w:val="left"/>
              <w:rPr>
                <w:b/>
                <w:sz w:val="16"/>
              </w:rPr>
            </w:pPr>
          </w:p>
          <w:p>
            <w:pPr>
              <w:pStyle w:val="TableParagraph"/>
              <w:spacing w:line="177" w:lineRule="exact" w:before="0"/>
              <w:ind w:right="575"/>
              <w:rPr>
                <w:rFonts w:ascii="Carlito"/>
                <w:sz w:val="16"/>
              </w:rPr>
            </w:pPr>
            <w:r>
              <w:rPr>
                <w:rFonts w:ascii="Carlito"/>
                <w:sz w:val="16"/>
              </w:rPr>
              <w:t>10.7</w:t>
            </w:r>
          </w:p>
        </w:tc>
        <w:tc>
          <w:tcPr>
            <w:tcW w:w="1142" w:type="dxa"/>
          </w:tcPr>
          <w:p>
            <w:pPr>
              <w:pStyle w:val="TableParagraph"/>
              <w:spacing w:line="240" w:lineRule="auto" w:before="11"/>
              <w:jc w:val="left"/>
              <w:rPr>
                <w:b/>
                <w:sz w:val="16"/>
              </w:rPr>
            </w:pPr>
          </w:p>
          <w:p>
            <w:pPr>
              <w:pStyle w:val="TableParagraph"/>
              <w:spacing w:line="177" w:lineRule="exact" w:before="0"/>
              <w:ind w:right="369"/>
              <w:rPr>
                <w:rFonts w:ascii="Carlito"/>
                <w:sz w:val="16"/>
              </w:rPr>
            </w:pPr>
            <w:r>
              <w:rPr>
                <w:rFonts w:ascii="Carlito"/>
                <w:sz w:val="16"/>
              </w:rPr>
              <w:t>4.9</w:t>
            </w:r>
          </w:p>
        </w:tc>
        <w:tc>
          <w:tcPr>
            <w:tcW w:w="826" w:type="dxa"/>
          </w:tcPr>
          <w:p>
            <w:pPr>
              <w:pStyle w:val="TableParagraph"/>
              <w:spacing w:line="240" w:lineRule="auto" w:before="11"/>
              <w:jc w:val="left"/>
              <w:rPr>
                <w:b/>
                <w:sz w:val="16"/>
              </w:rPr>
            </w:pPr>
          </w:p>
          <w:p>
            <w:pPr>
              <w:pStyle w:val="TableParagraph"/>
              <w:spacing w:line="177" w:lineRule="exact" w:before="0"/>
              <w:ind w:right="383"/>
              <w:rPr>
                <w:rFonts w:ascii="Carlito"/>
                <w:sz w:val="16"/>
              </w:rPr>
            </w:pPr>
            <w:r>
              <w:rPr>
                <w:rFonts w:ascii="Carlito"/>
                <w:sz w:val="16"/>
              </w:rPr>
              <w:t>0</w:t>
            </w:r>
          </w:p>
        </w:tc>
        <w:tc>
          <w:tcPr>
            <w:tcW w:w="530" w:type="dxa"/>
          </w:tcPr>
          <w:p>
            <w:pPr>
              <w:pStyle w:val="TableParagraph"/>
              <w:spacing w:line="240" w:lineRule="auto" w:before="11"/>
              <w:jc w:val="left"/>
              <w:rPr>
                <w:b/>
                <w:sz w:val="16"/>
              </w:rPr>
            </w:pPr>
          </w:p>
          <w:p>
            <w:pPr>
              <w:pStyle w:val="TableParagraph"/>
              <w:spacing w:line="177" w:lineRule="exact" w:before="0"/>
              <w:ind w:right="69"/>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244</w:t>
            </w:r>
          </w:p>
        </w:tc>
        <w:tc>
          <w:tcPr>
            <w:tcW w:w="1938" w:type="dxa"/>
            <w:shd w:val="clear" w:color="auto" w:fill="D9D9D9"/>
          </w:tcPr>
          <w:p>
            <w:pPr>
              <w:pStyle w:val="TableParagraph"/>
              <w:ind w:left="143"/>
              <w:jc w:val="left"/>
              <w:rPr>
                <w:rFonts w:ascii="Carlito" w:hAnsi="Carlito"/>
                <w:sz w:val="16"/>
              </w:rPr>
            </w:pPr>
            <w:r>
              <w:rPr>
                <w:rFonts w:ascii="Carlito" w:hAnsi="Carlito"/>
                <w:sz w:val="16"/>
              </w:rPr>
              <w:t>Tres Ríos</w:t>
            </w:r>
          </w:p>
        </w:tc>
        <w:tc>
          <w:tcPr>
            <w:tcW w:w="656" w:type="dxa"/>
            <w:shd w:val="clear" w:color="auto" w:fill="D9D9D9"/>
          </w:tcPr>
          <w:p>
            <w:pPr>
              <w:pStyle w:val="TableParagraph"/>
              <w:ind w:right="130"/>
              <w:rPr>
                <w:rFonts w:ascii="Carlito"/>
                <w:sz w:val="16"/>
              </w:rPr>
            </w:pPr>
            <w:r>
              <w:rPr>
                <w:rFonts w:ascii="Carlito"/>
                <w:sz w:val="16"/>
              </w:rPr>
              <w:t>0</w:t>
            </w:r>
          </w:p>
        </w:tc>
        <w:tc>
          <w:tcPr>
            <w:tcW w:w="1359" w:type="dxa"/>
            <w:shd w:val="clear" w:color="auto" w:fill="D9D9D9"/>
          </w:tcPr>
          <w:p>
            <w:pPr>
              <w:pStyle w:val="TableParagraph"/>
              <w:ind w:right="417"/>
              <w:rPr>
                <w:rFonts w:ascii="Carlito"/>
                <w:sz w:val="16"/>
              </w:rPr>
            </w:pPr>
            <w:r>
              <w:rPr>
                <w:rFonts w:ascii="Carlito"/>
                <w:sz w:val="16"/>
              </w:rPr>
              <w:t>$148,500.00</w:t>
            </w:r>
          </w:p>
        </w:tc>
        <w:tc>
          <w:tcPr>
            <w:tcW w:w="1001" w:type="dxa"/>
            <w:shd w:val="clear" w:color="auto" w:fill="D9D9D9"/>
          </w:tcPr>
          <w:p>
            <w:pPr>
              <w:pStyle w:val="TableParagraph"/>
              <w:ind w:right="343"/>
              <w:rPr>
                <w:rFonts w:ascii="Carlito"/>
                <w:sz w:val="16"/>
              </w:rPr>
            </w:pPr>
            <w:r>
              <w:rPr>
                <w:rFonts w:ascii="Carlito"/>
                <w:sz w:val="16"/>
              </w:rPr>
              <w:t>108</w:t>
            </w:r>
          </w:p>
        </w:tc>
        <w:tc>
          <w:tcPr>
            <w:tcW w:w="1127" w:type="dxa"/>
            <w:shd w:val="clear" w:color="auto" w:fill="D9D9D9"/>
          </w:tcPr>
          <w:p>
            <w:pPr>
              <w:pStyle w:val="TableParagraph"/>
              <w:ind w:left="313" w:right="440"/>
              <w:jc w:val="center"/>
              <w:rPr>
                <w:rFonts w:ascii="Carlito"/>
                <w:sz w:val="16"/>
              </w:rPr>
            </w:pPr>
            <w:r>
              <w:rPr>
                <w:rFonts w:ascii="Carlito"/>
                <w:sz w:val="16"/>
              </w:rPr>
              <w:t>2014</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8"/>
              <w:rPr>
                <w:rFonts w:ascii="Carlito"/>
                <w:sz w:val="16"/>
              </w:rPr>
            </w:pPr>
            <w:r>
              <w:rPr>
                <w:rFonts w:ascii="Carlito"/>
                <w:sz w:val="16"/>
              </w:rPr>
              <w:t>2.5</w:t>
            </w:r>
          </w:p>
        </w:tc>
        <w:tc>
          <w:tcPr>
            <w:tcW w:w="816" w:type="dxa"/>
            <w:shd w:val="clear" w:color="auto" w:fill="D9D9D9"/>
          </w:tcPr>
          <w:p>
            <w:pPr>
              <w:pStyle w:val="TableParagraph"/>
              <w:ind w:left="297"/>
              <w:jc w:val="left"/>
              <w:rPr>
                <w:rFonts w:ascii="Carlito"/>
                <w:sz w:val="16"/>
              </w:rPr>
            </w:pPr>
            <w:r>
              <w:rPr>
                <w:rFonts w:ascii="Carlito"/>
                <w:sz w:val="16"/>
              </w:rPr>
              <w:t>2</w:t>
            </w:r>
          </w:p>
        </w:tc>
        <w:tc>
          <w:tcPr>
            <w:tcW w:w="1288" w:type="dxa"/>
            <w:shd w:val="clear" w:color="auto" w:fill="D9D9D9"/>
          </w:tcPr>
          <w:p>
            <w:pPr>
              <w:pStyle w:val="TableParagraph"/>
              <w:ind w:right="576"/>
              <w:rPr>
                <w:rFonts w:ascii="Carlito"/>
                <w:sz w:val="16"/>
              </w:rPr>
            </w:pPr>
            <w:r>
              <w:rPr>
                <w:rFonts w:ascii="Carlito"/>
                <w:sz w:val="16"/>
              </w:rPr>
              <w:t>12</w:t>
            </w:r>
          </w:p>
        </w:tc>
        <w:tc>
          <w:tcPr>
            <w:tcW w:w="1142" w:type="dxa"/>
            <w:shd w:val="clear" w:color="auto" w:fill="D9D9D9"/>
          </w:tcPr>
          <w:p>
            <w:pPr>
              <w:pStyle w:val="TableParagraph"/>
              <w:ind w:right="369"/>
              <w:rPr>
                <w:rFonts w:ascii="Carlito"/>
                <w:sz w:val="16"/>
              </w:rPr>
            </w:pPr>
            <w:r>
              <w:rPr>
                <w:rFonts w:ascii="Carlito"/>
                <w:sz w:val="16"/>
              </w:rPr>
              <w:t>4.1</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245</w:t>
            </w:r>
          </w:p>
        </w:tc>
        <w:tc>
          <w:tcPr>
            <w:tcW w:w="1938" w:type="dxa"/>
          </w:tcPr>
          <w:p>
            <w:pPr>
              <w:pStyle w:val="TableParagraph"/>
              <w:ind w:left="143"/>
              <w:jc w:val="left"/>
              <w:rPr>
                <w:rFonts w:ascii="Carlito" w:hAnsi="Carlito"/>
                <w:sz w:val="16"/>
              </w:rPr>
            </w:pPr>
            <w:r>
              <w:rPr>
                <w:rFonts w:ascii="Carlito" w:hAnsi="Carlito"/>
                <w:sz w:val="16"/>
              </w:rPr>
              <w:t>Tres Ríos</w:t>
            </w:r>
          </w:p>
        </w:tc>
        <w:tc>
          <w:tcPr>
            <w:tcW w:w="656" w:type="dxa"/>
          </w:tcPr>
          <w:p>
            <w:pPr>
              <w:pStyle w:val="TableParagraph"/>
              <w:ind w:right="130"/>
              <w:rPr>
                <w:rFonts w:ascii="Carlito"/>
                <w:sz w:val="16"/>
              </w:rPr>
            </w:pPr>
            <w:r>
              <w:rPr>
                <w:rFonts w:ascii="Carlito"/>
                <w:sz w:val="16"/>
              </w:rPr>
              <w:t>1</w:t>
            </w:r>
          </w:p>
        </w:tc>
        <w:tc>
          <w:tcPr>
            <w:tcW w:w="1359" w:type="dxa"/>
          </w:tcPr>
          <w:p>
            <w:pPr>
              <w:pStyle w:val="TableParagraph"/>
              <w:ind w:right="417"/>
              <w:rPr>
                <w:rFonts w:ascii="Carlito"/>
                <w:sz w:val="16"/>
              </w:rPr>
            </w:pPr>
            <w:r>
              <w:rPr>
                <w:rFonts w:ascii="Carlito"/>
                <w:sz w:val="16"/>
              </w:rPr>
              <w:t>$330,000.00</w:t>
            </w:r>
          </w:p>
        </w:tc>
        <w:tc>
          <w:tcPr>
            <w:tcW w:w="1001" w:type="dxa"/>
          </w:tcPr>
          <w:p>
            <w:pPr>
              <w:pStyle w:val="TableParagraph"/>
              <w:ind w:right="343"/>
              <w:rPr>
                <w:rFonts w:ascii="Carlito"/>
                <w:sz w:val="16"/>
              </w:rPr>
            </w:pPr>
            <w:r>
              <w:rPr>
                <w:rFonts w:ascii="Carlito"/>
                <w:sz w:val="16"/>
              </w:rPr>
              <w:t>250</w:t>
            </w:r>
          </w:p>
        </w:tc>
        <w:tc>
          <w:tcPr>
            <w:tcW w:w="1127" w:type="dxa"/>
          </w:tcPr>
          <w:p>
            <w:pPr>
              <w:pStyle w:val="TableParagraph"/>
              <w:ind w:left="313" w:right="440"/>
              <w:jc w:val="center"/>
              <w:rPr>
                <w:rFonts w:ascii="Carlito"/>
                <w:sz w:val="16"/>
              </w:rPr>
            </w:pPr>
            <w:r>
              <w:rPr>
                <w:rFonts w:ascii="Carlito"/>
                <w:sz w:val="16"/>
              </w:rPr>
              <w:t>2006</w:t>
            </w:r>
          </w:p>
        </w:tc>
        <w:tc>
          <w:tcPr>
            <w:tcW w:w="783" w:type="dxa"/>
          </w:tcPr>
          <w:p>
            <w:pPr>
              <w:pStyle w:val="TableParagraph"/>
              <w:ind w:right="239"/>
              <w:rPr>
                <w:rFonts w:ascii="Carlito"/>
                <w:sz w:val="16"/>
              </w:rPr>
            </w:pPr>
            <w:r>
              <w:rPr>
                <w:rFonts w:ascii="Carlito"/>
                <w:sz w:val="16"/>
              </w:rPr>
              <w:t>4</w:t>
            </w:r>
          </w:p>
        </w:tc>
        <w:tc>
          <w:tcPr>
            <w:tcW w:w="745" w:type="dxa"/>
          </w:tcPr>
          <w:p>
            <w:pPr>
              <w:pStyle w:val="TableParagraph"/>
              <w:ind w:right="303"/>
              <w:rPr>
                <w:rFonts w:ascii="Carlito"/>
                <w:sz w:val="16"/>
              </w:rPr>
            </w:pPr>
            <w:r>
              <w:rPr>
                <w:rFonts w:ascii="Carlito"/>
                <w:sz w:val="16"/>
              </w:rPr>
              <w:t>3</w:t>
            </w:r>
          </w:p>
        </w:tc>
        <w:tc>
          <w:tcPr>
            <w:tcW w:w="816" w:type="dxa"/>
          </w:tcPr>
          <w:p>
            <w:pPr>
              <w:pStyle w:val="TableParagraph"/>
              <w:ind w:left="297"/>
              <w:jc w:val="left"/>
              <w:rPr>
                <w:rFonts w:ascii="Carlito"/>
                <w:sz w:val="16"/>
              </w:rPr>
            </w:pPr>
            <w:r>
              <w:rPr>
                <w:rFonts w:ascii="Carlito"/>
                <w:sz w:val="16"/>
              </w:rPr>
              <w:t>1</w:t>
            </w:r>
          </w:p>
        </w:tc>
        <w:tc>
          <w:tcPr>
            <w:tcW w:w="1288" w:type="dxa"/>
          </w:tcPr>
          <w:p>
            <w:pPr>
              <w:pStyle w:val="TableParagraph"/>
              <w:ind w:right="575"/>
              <w:rPr>
                <w:rFonts w:ascii="Carlito"/>
                <w:sz w:val="16"/>
              </w:rPr>
            </w:pPr>
            <w:r>
              <w:rPr>
                <w:rFonts w:ascii="Carlito"/>
                <w:sz w:val="16"/>
              </w:rPr>
              <w:t>12.6</w:t>
            </w:r>
          </w:p>
        </w:tc>
        <w:tc>
          <w:tcPr>
            <w:tcW w:w="1142" w:type="dxa"/>
          </w:tcPr>
          <w:p>
            <w:pPr>
              <w:pStyle w:val="TableParagraph"/>
              <w:ind w:right="365"/>
              <w:rPr>
                <w:rFonts w:ascii="Carlito"/>
                <w:sz w:val="16"/>
              </w:rPr>
            </w:pPr>
            <w:r>
              <w:rPr>
                <w:rFonts w:ascii="Carlito"/>
                <w:sz w:val="16"/>
              </w:rPr>
              <w:t>3</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0</w:t>
            </w:r>
          </w:p>
        </w:tc>
      </w:tr>
      <w:tr>
        <w:trPr>
          <w:trHeight w:val="388" w:hRule="atLeast"/>
        </w:trPr>
        <w:tc>
          <w:tcPr>
            <w:tcW w:w="756" w:type="dxa"/>
            <w:shd w:val="clear" w:color="auto" w:fill="D9D9D9"/>
          </w:tcPr>
          <w:p>
            <w:pPr>
              <w:pStyle w:val="TableParagraph"/>
              <w:spacing w:line="240" w:lineRule="auto" w:before="8"/>
              <w:jc w:val="left"/>
              <w:rPr>
                <w:b/>
                <w:sz w:val="16"/>
              </w:rPr>
            </w:pPr>
          </w:p>
          <w:p>
            <w:pPr>
              <w:pStyle w:val="TableParagraph"/>
              <w:spacing w:before="0"/>
              <w:ind w:right="143"/>
              <w:rPr>
                <w:rFonts w:ascii="Carlito"/>
                <w:sz w:val="16"/>
              </w:rPr>
            </w:pPr>
            <w:r>
              <w:rPr>
                <w:rFonts w:ascii="Carlito"/>
                <w:sz w:val="16"/>
              </w:rPr>
              <w:t>246</w:t>
            </w:r>
          </w:p>
        </w:tc>
        <w:tc>
          <w:tcPr>
            <w:tcW w:w="1938" w:type="dxa"/>
            <w:shd w:val="clear" w:color="auto" w:fill="D9D9D9"/>
          </w:tcPr>
          <w:p>
            <w:pPr>
              <w:pStyle w:val="TableParagraph"/>
              <w:spacing w:line="191" w:lineRule="exact" w:before="0"/>
              <w:ind w:left="143"/>
              <w:jc w:val="left"/>
              <w:rPr>
                <w:rFonts w:ascii="Carlito" w:hAnsi="Carlito"/>
                <w:sz w:val="16"/>
              </w:rPr>
            </w:pPr>
            <w:r>
              <w:rPr>
                <w:rFonts w:ascii="Carlito" w:hAnsi="Carlito"/>
                <w:sz w:val="16"/>
              </w:rPr>
              <w:t>Concepción de Tres</w:t>
            </w:r>
          </w:p>
          <w:p>
            <w:pPr>
              <w:pStyle w:val="TableParagraph"/>
              <w:spacing w:before="0"/>
              <w:ind w:left="143"/>
              <w:jc w:val="left"/>
              <w:rPr>
                <w:rFonts w:ascii="Carlito" w:hAnsi="Carlito"/>
                <w:sz w:val="16"/>
              </w:rPr>
            </w:pPr>
            <w:r>
              <w:rPr>
                <w:rFonts w:ascii="Carlito" w:hAnsi="Carlito"/>
                <w:sz w:val="16"/>
              </w:rPr>
              <w:t>Ríos</w:t>
            </w:r>
          </w:p>
        </w:tc>
        <w:tc>
          <w:tcPr>
            <w:tcW w:w="656" w:type="dxa"/>
            <w:shd w:val="clear" w:color="auto" w:fill="D9D9D9"/>
          </w:tcPr>
          <w:p>
            <w:pPr>
              <w:pStyle w:val="TableParagraph"/>
              <w:spacing w:line="240" w:lineRule="auto" w:before="8"/>
              <w:jc w:val="left"/>
              <w:rPr>
                <w:b/>
                <w:sz w:val="16"/>
              </w:rPr>
            </w:pPr>
          </w:p>
          <w:p>
            <w:pPr>
              <w:pStyle w:val="TableParagraph"/>
              <w:spacing w:before="0"/>
              <w:ind w:right="130"/>
              <w:rPr>
                <w:rFonts w:ascii="Carlito"/>
                <w:sz w:val="16"/>
              </w:rPr>
            </w:pPr>
            <w:r>
              <w:rPr>
                <w:rFonts w:ascii="Carlito"/>
                <w:sz w:val="16"/>
              </w:rPr>
              <w:t>1</w:t>
            </w:r>
          </w:p>
        </w:tc>
        <w:tc>
          <w:tcPr>
            <w:tcW w:w="1359" w:type="dxa"/>
            <w:shd w:val="clear" w:color="auto" w:fill="D9D9D9"/>
          </w:tcPr>
          <w:p>
            <w:pPr>
              <w:pStyle w:val="TableParagraph"/>
              <w:spacing w:line="240" w:lineRule="auto" w:before="8"/>
              <w:jc w:val="left"/>
              <w:rPr>
                <w:b/>
                <w:sz w:val="16"/>
              </w:rPr>
            </w:pPr>
          </w:p>
          <w:p>
            <w:pPr>
              <w:pStyle w:val="TableParagraph"/>
              <w:spacing w:before="0"/>
              <w:ind w:right="417"/>
              <w:rPr>
                <w:rFonts w:ascii="Carlito"/>
                <w:sz w:val="16"/>
              </w:rPr>
            </w:pPr>
            <w:r>
              <w:rPr>
                <w:rFonts w:ascii="Carlito"/>
                <w:sz w:val="16"/>
              </w:rPr>
              <w:t>$94,545.45</w:t>
            </w:r>
          </w:p>
        </w:tc>
        <w:tc>
          <w:tcPr>
            <w:tcW w:w="1001" w:type="dxa"/>
            <w:shd w:val="clear" w:color="auto" w:fill="D9D9D9"/>
          </w:tcPr>
          <w:p>
            <w:pPr>
              <w:pStyle w:val="TableParagraph"/>
              <w:spacing w:line="240" w:lineRule="auto" w:before="8"/>
              <w:jc w:val="left"/>
              <w:rPr>
                <w:b/>
                <w:sz w:val="16"/>
              </w:rPr>
            </w:pPr>
          </w:p>
          <w:p>
            <w:pPr>
              <w:pStyle w:val="TableParagraph"/>
              <w:spacing w:before="0"/>
              <w:ind w:right="343"/>
              <w:rPr>
                <w:rFonts w:ascii="Carlito"/>
                <w:sz w:val="16"/>
              </w:rPr>
            </w:pPr>
            <w:r>
              <w:rPr>
                <w:rFonts w:ascii="Carlito"/>
                <w:sz w:val="16"/>
              </w:rPr>
              <w:t>250</w:t>
            </w:r>
          </w:p>
        </w:tc>
        <w:tc>
          <w:tcPr>
            <w:tcW w:w="1127" w:type="dxa"/>
            <w:shd w:val="clear" w:color="auto" w:fill="D9D9D9"/>
          </w:tcPr>
          <w:p>
            <w:pPr>
              <w:pStyle w:val="TableParagraph"/>
              <w:spacing w:line="240" w:lineRule="auto" w:before="8"/>
              <w:jc w:val="left"/>
              <w:rPr>
                <w:b/>
                <w:sz w:val="16"/>
              </w:rPr>
            </w:pPr>
          </w:p>
          <w:p>
            <w:pPr>
              <w:pStyle w:val="TableParagraph"/>
              <w:spacing w:before="0"/>
              <w:ind w:left="313" w:right="440"/>
              <w:jc w:val="center"/>
              <w:rPr>
                <w:rFonts w:ascii="Carlito"/>
                <w:sz w:val="16"/>
              </w:rPr>
            </w:pPr>
            <w:r>
              <w:rPr>
                <w:rFonts w:ascii="Carlito"/>
                <w:sz w:val="16"/>
              </w:rPr>
              <w:t>2006</w:t>
            </w:r>
          </w:p>
        </w:tc>
        <w:tc>
          <w:tcPr>
            <w:tcW w:w="783" w:type="dxa"/>
            <w:shd w:val="clear" w:color="auto" w:fill="D9D9D9"/>
          </w:tcPr>
          <w:p>
            <w:pPr>
              <w:pStyle w:val="TableParagraph"/>
              <w:spacing w:line="240" w:lineRule="auto" w:before="8"/>
              <w:jc w:val="left"/>
              <w:rPr>
                <w:b/>
                <w:sz w:val="16"/>
              </w:rPr>
            </w:pPr>
          </w:p>
          <w:p>
            <w:pPr>
              <w:pStyle w:val="TableParagraph"/>
              <w:spacing w:before="0"/>
              <w:ind w:right="239"/>
              <w:rPr>
                <w:rFonts w:ascii="Carlito"/>
                <w:sz w:val="16"/>
              </w:rPr>
            </w:pPr>
            <w:r>
              <w:rPr>
                <w:rFonts w:ascii="Carlito"/>
                <w:sz w:val="16"/>
              </w:rPr>
              <w:t>8</w:t>
            </w:r>
          </w:p>
        </w:tc>
        <w:tc>
          <w:tcPr>
            <w:tcW w:w="745" w:type="dxa"/>
            <w:shd w:val="clear" w:color="auto" w:fill="D9D9D9"/>
          </w:tcPr>
          <w:p>
            <w:pPr>
              <w:pStyle w:val="TableParagraph"/>
              <w:spacing w:line="240" w:lineRule="auto" w:before="8"/>
              <w:jc w:val="left"/>
              <w:rPr>
                <w:b/>
                <w:sz w:val="16"/>
              </w:rPr>
            </w:pPr>
          </w:p>
          <w:p>
            <w:pPr>
              <w:pStyle w:val="TableParagraph"/>
              <w:spacing w:before="0"/>
              <w:ind w:right="303"/>
              <w:rPr>
                <w:rFonts w:ascii="Carlito"/>
                <w:sz w:val="16"/>
              </w:rPr>
            </w:pPr>
            <w:r>
              <w:rPr>
                <w:rFonts w:ascii="Carlito"/>
                <w:sz w:val="16"/>
              </w:rPr>
              <w:t>3</w:t>
            </w:r>
          </w:p>
        </w:tc>
        <w:tc>
          <w:tcPr>
            <w:tcW w:w="816" w:type="dxa"/>
            <w:shd w:val="clear" w:color="auto" w:fill="D9D9D9"/>
          </w:tcPr>
          <w:p>
            <w:pPr>
              <w:pStyle w:val="TableParagraph"/>
              <w:spacing w:line="240" w:lineRule="auto" w:before="8"/>
              <w:jc w:val="left"/>
              <w:rPr>
                <w:b/>
                <w:sz w:val="16"/>
              </w:rPr>
            </w:pPr>
          </w:p>
          <w:p>
            <w:pPr>
              <w:pStyle w:val="TableParagraph"/>
              <w:spacing w:before="0"/>
              <w:ind w:left="297"/>
              <w:jc w:val="left"/>
              <w:rPr>
                <w:rFonts w:ascii="Carlito"/>
                <w:sz w:val="16"/>
              </w:rPr>
            </w:pPr>
            <w:r>
              <w:rPr>
                <w:rFonts w:ascii="Carlito"/>
                <w:sz w:val="16"/>
              </w:rPr>
              <w:t>2</w:t>
            </w:r>
          </w:p>
        </w:tc>
        <w:tc>
          <w:tcPr>
            <w:tcW w:w="1288" w:type="dxa"/>
            <w:shd w:val="clear" w:color="auto" w:fill="D9D9D9"/>
          </w:tcPr>
          <w:p>
            <w:pPr>
              <w:pStyle w:val="TableParagraph"/>
              <w:spacing w:line="240" w:lineRule="auto" w:before="8"/>
              <w:jc w:val="left"/>
              <w:rPr>
                <w:b/>
                <w:sz w:val="16"/>
              </w:rPr>
            </w:pPr>
          </w:p>
          <w:p>
            <w:pPr>
              <w:pStyle w:val="TableParagraph"/>
              <w:spacing w:before="0"/>
              <w:ind w:right="575"/>
              <w:rPr>
                <w:rFonts w:ascii="Carlito"/>
                <w:sz w:val="16"/>
              </w:rPr>
            </w:pPr>
            <w:r>
              <w:rPr>
                <w:rFonts w:ascii="Carlito"/>
                <w:sz w:val="16"/>
              </w:rPr>
              <w:t>10.7</w:t>
            </w:r>
          </w:p>
        </w:tc>
        <w:tc>
          <w:tcPr>
            <w:tcW w:w="1142" w:type="dxa"/>
            <w:shd w:val="clear" w:color="auto" w:fill="D9D9D9"/>
          </w:tcPr>
          <w:p>
            <w:pPr>
              <w:pStyle w:val="TableParagraph"/>
              <w:spacing w:line="240" w:lineRule="auto" w:before="8"/>
              <w:jc w:val="left"/>
              <w:rPr>
                <w:b/>
                <w:sz w:val="16"/>
              </w:rPr>
            </w:pPr>
          </w:p>
          <w:p>
            <w:pPr>
              <w:pStyle w:val="TableParagraph"/>
              <w:spacing w:before="0"/>
              <w:ind w:right="369"/>
              <w:rPr>
                <w:rFonts w:ascii="Carlito"/>
                <w:sz w:val="16"/>
              </w:rPr>
            </w:pPr>
            <w:r>
              <w:rPr>
                <w:rFonts w:ascii="Carlito"/>
                <w:sz w:val="16"/>
              </w:rPr>
              <w:t>4.9</w:t>
            </w:r>
          </w:p>
        </w:tc>
        <w:tc>
          <w:tcPr>
            <w:tcW w:w="826" w:type="dxa"/>
            <w:shd w:val="clear" w:color="auto" w:fill="D9D9D9"/>
          </w:tcPr>
          <w:p>
            <w:pPr>
              <w:pStyle w:val="TableParagraph"/>
              <w:spacing w:line="240" w:lineRule="auto" w:before="8"/>
              <w:jc w:val="left"/>
              <w:rPr>
                <w:b/>
                <w:sz w:val="16"/>
              </w:rPr>
            </w:pPr>
          </w:p>
          <w:p>
            <w:pPr>
              <w:pStyle w:val="TableParagraph"/>
              <w:spacing w:before="0"/>
              <w:ind w:right="383"/>
              <w:rPr>
                <w:rFonts w:ascii="Carlito"/>
                <w:sz w:val="16"/>
              </w:rPr>
            </w:pPr>
            <w:r>
              <w:rPr>
                <w:rFonts w:ascii="Carlito"/>
                <w:sz w:val="16"/>
              </w:rPr>
              <w:t>0</w:t>
            </w:r>
          </w:p>
        </w:tc>
        <w:tc>
          <w:tcPr>
            <w:tcW w:w="530" w:type="dxa"/>
            <w:shd w:val="clear" w:color="auto" w:fill="D9D9D9"/>
          </w:tcPr>
          <w:p>
            <w:pPr>
              <w:pStyle w:val="TableParagraph"/>
              <w:spacing w:line="240" w:lineRule="auto" w:before="8"/>
              <w:jc w:val="left"/>
              <w:rPr>
                <w:b/>
                <w:sz w:val="16"/>
              </w:rPr>
            </w:pPr>
          </w:p>
          <w:p>
            <w:pPr>
              <w:pStyle w:val="TableParagraph"/>
              <w:spacing w:before="0"/>
              <w:ind w:right="69"/>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247</w:t>
            </w:r>
          </w:p>
        </w:tc>
        <w:tc>
          <w:tcPr>
            <w:tcW w:w="1938" w:type="dxa"/>
          </w:tcPr>
          <w:p>
            <w:pPr>
              <w:pStyle w:val="TableParagraph"/>
              <w:ind w:left="143"/>
              <w:jc w:val="left"/>
              <w:rPr>
                <w:rFonts w:ascii="Carlito" w:hAnsi="Carlito"/>
                <w:sz w:val="16"/>
              </w:rPr>
            </w:pPr>
            <w:r>
              <w:rPr>
                <w:rFonts w:ascii="Carlito" w:hAnsi="Carlito"/>
                <w:sz w:val="16"/>
              </w:rPr>
              <w:t>Tres Ríos</w:t>
            </w:r>
          </w:p>
        </w:tc>
        <w:tc>
          <w:tcPr>
            <w:tcW w:w="656" w:type="dxa"/>
          </w:tcPr>
          <w:p>
            <w:pPr>
              <w:pStyle w:val="TableParagraph"/>
              <w:ind w:right="130"/>
              <w:rPr>
                <w:rFonts w:ascii="Carlito"/>
                <w:sz w:val="16"/>
              </w:rPr>
            </w:pPr>
            <w:r>
              <w:rPr>
                <w:rFonts w:ascii="Carlito"/>
                <w:sz w:val="16"/>
              </w:rPr>
              <w:t>1</w:t>
            </w:r>
          </w:p>
        </w:tc>
        <w:tc>
          <w:tcPr>
            <w:tcW w:w="1359" w:type="dxa"/>
          </w:tcPr>
          <w:p>
            <w:pPr>
              <w:pStyle w:val="TableParagraph"/>
              <w:ind w:right="417"/>
              <w:rPr>
                <w:rFonts w:ascii="Carlito"/>
                <w:sz w:val="16"/>
              </w:rPr>
            </w:pPr>
            <w:r>
              <w:rPr>
                <w:rFonts w:ascii="Carlito"/>
                <w:sz w:val="16"/>
              </w:rPr>
              <w:t>$210,000.00</w:t>
            </w:r>
          </w:p>
        </w:tc>
        <w:tc>
          <w:tcPr>
            <w:tcW w:w="1001" w:type="dxa"/>
          </w:tcPr>
          <w:p>
            <w:pPr>
              <w:pStyle w:val="TableParagraph"/>
              <w:ind w:right="343"/>
              <w:rPr>
                <w:rFonts w:ascii="Carlito"/>
                <w:sz w:val="16"/>
              </w:rPr>
            </w:pPr>
            <w:r>
              <w:rPr>
                <w:rFonts w:ascii="Carlito"/>
                <w:sz w:val="16"/>
              </w:rPr>
              <w:t>196</w:t>
            </w:r>
          </w:p>
        </w:tc>
        <w:tc>
          <w:tcPr>
            <w:tcW w:w="1127" w:type="dxa"/>
          </w:tcPr>
          <w:p>
            <w:pPr>
              <w:pStyle w:val="TableParagraph"/>
              <w:ind w:left="313" w:right="440"/>
              <w:jc w:val="center"/>
              <w:rPr>
                <w:rFonts w:ascii="Carlito"/>
                <w:sz w:val="16"/>
              </w:rPr>
            </w:pPr>
            <w:r>
              <w:rPr>
                <w:rFonts w:ascii="Carlito"/>
                <w:sz w:val="16"/>
              </w:rPr>
              <w:t>2006</w:t>
            </w:r>
          </w:p>
        </w:tc>
        <w:tc>
          <w:tcPr>
            <w:tcW w:w="783" w:type="dxa"/>
          </w:tcPr>
          <w:p>
            <w:pPr>
              <w:pStyle w:val="TableParagraph"/>
              <w:ind w:right="239"/>
              <w:rPr>
                <w:rFonts w:ascii="Carlito"/>
                <w:sz w:val="16"/>
              </w:rPr>
            </w:pPr>
            <w:r>
              <w:rPr>
                <w:rFonts w:ascii="Carlito"/>
                <w:sz w:val="16"/>
              </w:rPr>
              <w:t>3</w:t>
            </w:r>
          </w:p>
        </w:tc>
        <w:tc>
          <w:tcPr>
            <w:tcW w:w="745" w:type="dxa"/>
          </w:tcPr>
          <w:p>
            <w:pPr>
              <w:pStyle w:val="TableParagraph"/>
              <w:ind w:right="308"/>
              <w:rPr>
                <w:rFonts w:ascii="Carlito"/>
                <w:sz w:val="16"/>
              </w:rPr>
            </w:pPr>
            <w:r>
              <w:rPr>
                <w:rFonts w:ascii="Carlito"/>
                <w:sz w:val="16"/>
              </w:rPr>
              <w:t>2.5</w:t>
            </w:r>
          </w:p>
        </w:tc>
        <w:tc>
          <w:tcPr>
            <w:tcW w:w="816" w:type="dxa"/>
          </w:tcPr>
          <w:p>
            <w:pPr>
              <w:pStyle w:val="TableParagraph"/>
              <w:ind w:left="297"/>
              <w:jc w:val="left"/>
              <w:rPr>
                <w:rFonts w:ascii="Carlito"/>
                <w:sz w:val="16"/>
              </w:rPr>
            </w:pPr>
            <w:r>
              <w:rPr>
                <w:rFonts w:ascii="Carlito"/>
                <w:sz w:val="16"/>
              </w:rPr>
              <w:t>2</w:t>
            </w:r>
          </w:p>
        </w:tc>
        <w:tc>
          <w:tcPr>
            <w:tcW w:w="1288" w:type="dxa"/>
          </w:tcPr>
          <w:p>
            <w:pPr>
              <w:pStyle w:val="TableParagraph"/>
              <w:ind w:right="575"/>
              <w:rPr>
                <w:rFonts w:ascii="Carlito"/>
                <w:sz w:val="16"/>
              </w:rPr>
            </w:pPr>
            <w:r>
              <w:rPr>
                <w:rFonts w:ascii="Carlito"/>
                <w:sz w:val="16"/>
              </w:rPr>
              <w:t>12.6</w:t>
            </w:r>
          </w:p>
        </w:tc>
        <w:tc>
          <w:tcPr>
            <w:tcW w:w="1142" w:type="dxa"/>
          </w:tcPr>
          <w:p>
            <w:pPr>
              <w:pStyle w:val="TableParagraph"/>
              <w:ind w:right="365"/>
              <w:rPr>
                <w:rFonts w:ascii="Carlito"/>
                <w:sz w:val="16"/>
              </w:rPr>
            </w:pPr>
            <w:r>
              <w:rPr>
                <w:rFonts w:ascii="Carlito"/>
                <w:sz w:val="16"/>
              </w:rPr>
              <w:t>3</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248</w:t>
            </w:r>
          </w:p>
        </w:tc>
        <w:tc>
          <w:tcPr>
            <w:tcW w:w="1938" w:type="dxa"/>
            <w:shd w:val="clear" w:color="auto" w:fill="D9D9D9"/>
          </w:tcPr>
          <w:p>
            <w:pPr>
              <w:pStyle w:val="TableParagraph"/>
              <w:ind w:left="143"/>
              <w:jc w:val="left"/>
              <w:rPr>
                <w:rFonts w:ascii="Carlito" w:hAnsi="Carlito"/>
                <w:sz w:val="16"/>
              </w:rPr>
            </w:pPr>
            <w:r>
              <w:rPr>
                <w:rFonts w:ascii="Carlito" w:hAnsi="Carlito"/>
                <w:sz w:val="16"/>
              </w:rPr>
              <w:t>Tres Ríos</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right="417"/>
              <w:rPr>
                <w:rFonts w:ascii="Carlito"/>
                <w:sz w:val="16"/>
              </w:rPr>
            </w:pPr>
            <w:r>
              <w:rPr>
                <w:rFonts w:ascii="Carlito"/>
                <w:sz w:val="16"/>
              </w:rPr>
              <w:t>$130,909.09</w:t>
            </w:r>
          </w:p>
        </w:tc>
        <w:tc>
          <w:tcPr>
            <w:tcW w:w="1001" w:type="dxa"/>
            <w:shd w:val="clear" w:color="auto" w:fill="D9D9D9"/>
          </w:tcPr>
          <w:p>
            <w:pPr>
              <w:pStyle w:val="TableParagraph"/>
              <w:ind w:right="343"/>
              <w:rPr>
                <w:rFonts w:ascii="Carlito"/>
                <w:sz w:val="16"/>
              </w:rPr>
            </w:pPr>
            <w:r>
              <w:rPr>
                <w:rFonts w:ascii="Carlito"/>
                <w:sz w:val="16"/>
              </w:rPr>
              <w:t>130</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3"/>
              <w:rPr>
                <w:rFonts w:ascii="Carlito"/>
                <w:sz w:val="16"/>
              </w:rPr>
            </w:pPr>
            <w:r>
              <w:rPr>
                <w:rFonts w:ascii="Carlito"/>
                <w:sz w:val="16"/>
              </w:rPr>
              <w:t>2</w:t>
            </w:r>
          </w:p>
        </w:tc>
        <w:tc>
          <w:tcPr>
            <w:tcW w:w="816" w:type="dxa"/>
            <w:shd w:val="clear" w:color="auto" w:fill="D9D9D9"/>
          </w:tcPr>
          <w:p>
            <w:pPr>
              <w:pStyle w:val="TableParagraph"/>
              <w:ind w:left="297"/>
              <w:jc w:val="left"/>
              <w:rPr>
                <w:rFonts w:ascii="Carlito"/>
                <w:sz w:val="16"/>
              </w:rPr>
            </w:pPr>
            <w:r>
              <w:rPr>
                <w:rFonts w:ascii="Carlito"/>
                <w:sz w:val="16"/>
              </w:rPr>
              <w:t>1</w:t>
            </w:r>
          </w:p>
        </w:tc>
        <w:tc>
          <w:tcPr>
            <w:tcW w:w="1288" w:type="dxa"/>
            <w:shd w:val="clear" w:color="auto" w:fill="D9D9D9"/>
          </w:tcPr>
          <w:p>
            <w:pPr>
              <w:pStyle w:val="TableParagraph"/>
              <w:ind w:right="575"/>
              <w:rPr>
                <w:rFonts w:ascii="Carlito"/>
                <w:sz w:val="16"/>
              </w:rPr>
            </w:pPr>
            <w:r>
              <w:rPr>
                <w:rFonts w:ascii="Carlito"/>
                <w:sz w:val="16"/>
              </w:rPr>
              <w:t>12.6</w:t>
            </w:r>
          </w:p>
        </w:tc>
        <w:tc>
          <w:tcPr>
            <w:tcW w:w="1142" w:type="dxa"/>
            <w:shd w:val="clear" w:color="auto" w:fill="D9D9D9"/>
          </w:tcPr>
          <w:p>
            <w:pPr>
              <w:pStyle w:val="TableParagraph"/>
              <w:ind w:right="365"/>
              <w:rPr>
                <w:rFonts w:ascii="Carlito"/>
                <w:sz w:val="16"/>
              </w:rPr>
            </w:pPr>
            <w:r>
              <w:rPr>
                <w:rFonts w:ascii="Carlito"/>
                <w:sz w:val="16"/>
              </w:rPr>
              <w:t>3</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249</w:t>
            </w:r>
          </w:p>
        </w:tc>
        <w:tc>
          <w:tcPr>
            <w:tcW w:w="1938" w:type="dxa"/>
          </w:tcPr>
          <w:p>
            <w:pPr>
              <w:pStyle w:val="TableParagraph"/>
              <w:ind w:left="143"/>
              <w:jc w:val="left"/>
              <w:rPr>
                <w:rFonts w:ascii="Carlito" w:hAnsi="Carlito"/>
                <w:sz w:val="16"/>
              </w:rPr>
            </w:pPr>
            <w:r>
              <w:rPr>
                <w:rFonts w:ascii="Carlito" w:hAnsi="Carlito"/>
                <w:sz w:val="16"/>
              </w:rPr>
              <w:t>Tres Ríos</w:t>
            </w:r>
          </w:p>
        </w:tc>
        <w:tc>
          <w:tcPr>
            <w:tcW w:w="656" w:type="dxa"/>
          </w:tcPr>
          <w:p>
            <w:pPr>
              <w:pStyle w:val="TableParagraph"/>
              <w:ind w:right="130"/>
              <w:rPr>
                <w:rFonts w:ascii="Carlito"/>
                <w:sz w:val="16"/>
              </w:rPr>
            </w:pPr>
            <w:r>
              <w:rPr>
                <w:rFonts w:ascii="Carlito"/>
                <w:sz w:val="16"/>
              </w:rPr>
              <w:t>1</w:t>
            </w:r>
          </w:p>
        </w:tc>
        <w:tc>
          <w:tcPr>
            <w:tcW w:w="1359" w:type="dxa"/>
          </w:tcPr>
          <w:p>
            <w:pPr>
              <w:pStyle w:val="TableParagraph"/>
              <w:ind w:right="417"/>
              <w:rPr>
                <w:rFonts w:ascii="Carlito"/>
                <w:sz w:val="16"/>
              </w:rPr>
            </w:pPr>
            <w:r>
              <w:rPr>
                <w:rFonts w:ascii="Carlito"/>
                <w:sz w:val="16"/>
              </w:rPr>
              <w:t>$180,000.00</w:t>
            </w:r>
          </w:p>
        </w:tc>
        <w:tc>
          <w:tcPr>
            <w:tcW w:w="1001" w:type="dxa"/>
          </w:tcPr>
          <w:p>
            <w:pPr>
              <w:pStyle w:val="TableParagraph"/>
              <w:ind w:right="343"/>
              <w:rPr>
                <w:rFonts w:ascii="Carlito"/>
                <w:sz w:val="16"/>
              </w:rPr>
            </w:pPr>
            <w:r>
              <w:rPr>
                <w:rFonts w:ascii="Carlito"/>
                <w:sz w:val="16"/>
              </w:rPr>
              <w:t>166</w:t>
            </w:r>
          </w:p>
        </w:tc>
        <w:tc>
          <w:tcPr>
            <w:tcW w:w="1127" w:type="dxa"/>
          </w:tcPr>
          <w:p>
            <w:pPr>
              <w:pStyle w:val="TableParagraph"/>
              <w:ind w:left="313" w:right="440"/>
              <w:jc w:val="center"/>
              <w:rPr>
                <w:rFonts w:ascii="Carlito"/>
                <w:sz w:val="16"/>
              </w:rPr>
            </w:pPr>
            <w:r>
              <w:rPr>
                <w:rFonts w:ascii="Carlito"/>
                <w:sz w:val="16"/>
              </w:rPr>
              <w:t>2012</w:t>
            </w:r>
          </w:p>
        </w:tc>
        <w:tc>
          <w:tcPr>
            <w:tcW w:w="783" w:type="dxa"/>
          </w:tcPr>
          <w:p>
            <w:pPr>
              <w:pStyle w:val="TableParagraph"/>
              <w:ind w:right="239"/>
              <w:rPr>
                <w:rFonts w:ascii="Carlito"/>
                <w:sz w:val="16"/>
              </w:rPr>
            </w:pPr>
            <w:r>
              <w:rPr>
                <w:rFonts w:ascii="Carlito"/>
                <w:sz w:val="16"/>
              </w:rPr>
              <w:t>3</w:t>
            </w:r>
          </w:p>
        </w:tc>
        <w:tc>
          <w:tcPr>
            <w:tcW w:w="745" w:type="dxa"/>
          </w:tcPr>
          <w:p>
            <w:pPr>
              <w:pStyle w:val="TableParagraph"/>
              <w:ind w:right="303"/>
              <w:rPr>
                <w:rFonts w:ascii="Carlito"/>
                <w:sz w:val="16"/>
              </w:rPr>
            </w:pPr>
            <w:r>
              <w:rPr>
                <w:rFonts w:ascii="Carlito"/>
                <w:sz w:val="16"/>
              </w:rPr>
              <w:t>2</w:t>
            </w:r>
          </w:p>
        </w:tc>
        <w:tc>
          <w:tcPr>
            <w:tcW w:w="816" w:type="dxa"/>
          </w:tcPr>
          <w:p>
            <w:pPr>
              <w:pStyle w:val="TableParagraph"/>
              <w:ind w:left="297"/>
              <w:jc w:val="left"/>
              <w:rPr>
                <w:rFonts w:ascii="Carlito"/>
                <w:sz w:val="16"/>
              </w:rPr>
            </w:pPr>
            <w:r>
              <w:rPr>
                <w:rFonts w:ascii="Carlito"/>
                <w:sz w:val="16"/>
              </w:rPr>
              <w:t>2</w:t>
            </w:r>
          </w:p>
        </w:tc>
        <w:tc>
          <w:tcPr>
            <w:tcW w:w="1288" w:type="dxa"/>
          </w:tcPr>
          <w:p>
            <w:pPr>
              <w:pStyle w:val="TableParagraph"/>
              <w:ind w:right="575"/>
              <w:rPr>
                <w:rFonts w:ascii="Carlito"/>
                <w:sz w:val="16"/>
              </w:rPr>
            </w:pPr>
            <w:r>
              <w:rPr>
                <w:rFonts w:ascii="Carlito"/>
                <w:sz w:val="16"/>
              </w:rPr>
              <w:t>12.6</w:t>
            </w:r>
          </w:p>
        </w:tc>
        <w:tc>
          <w:tcPr>
            <w:tcW w:w="1142" w:type="dxa"/>
          </w:tcPr>
          <w:p>
            <w:pPr>
              <w:pStyle w:val="TableParagraph"/>
              <w:ind w:right="365"/>
              <w:rPr>
                <w:rFonts w:ascii="Carlito"/>
                <w:sz w:val="16"/>
              </w:rPr>
            </w:pPr>
            <w:r>
              <w:rPr>
                <w:rFonts w:ascii="Carlito"/>
                <w:sz w:val="16"/>
              </w:rPr>
              <w:t>3</w:t>
            </w:r>
          </w:p>
        </w:tc>
        <w:tc>
          <w:tcPr>
            <w:tcW w:w="826" w:type="dxa"/>
          </w:tcPr>
          <w:p>
            <w:pPr>
              <w:pStyle w:val="TableParagraph"/>
              <w:ind w:right="383"/>
              <w:rPr>
                <w:rFonts w:ascii="Carlito"/>
                <w:sz w:val="16"/>
              </w:rPr>
            </w:pPr>
            <w:r>
              <w:rPr>
                <w:rFonts w:ascii="Carlito"/>
                <w:sz w:val="16"/>
              </w:rPr>
              <w:t>0</w:t>
            </w:r>
          </w:p>
        </w:tc>
        <w:tc>
          <w:tcPr>
            <w:tcW w:w="530" w:type="dxa"/>
          </w:tcPr>
          <w:p>
            <w:pPr>
              <w:pStyle w:val="TableParagraph"/>
              <w:ind w:right="69"/>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250</w:t>
            </w:r>
          </w:p>
        </w:tc>
        <w:tc>
          <w:tcPr>
            <w:tcW w:w="1938" w:type="dxa"/>
            <w:shd w:val="clear" w:color="auto" w:fill="D9D9D9"/>
          </w:tcPr>
          <w:p>
            <w:pPr>
              <w:pStyle w:val="TableParagraph"/>
              <w:ind w:left="143"/>
              <w:jc w:val="left"/>
              <w:rPr>
                <w:rFonts w:ascii="Carlito" w:hAnsi="Carlito"/>
                <w:sz w:val="16"/>
              </w:rPr>
            </w:pPr>
            <w:r>
              <w:rPr>
                <w:rFonts w:ascii="Carlito" w:hAnsi="Carlito"/>
                <w:sz w:val="16"/>
              </w:rPr>
              <w:t>Tres Ríos</w:t>
            </w:r>
          </w:p>
        </w:tc>
        <w:tc>
          <w:tcPr>
            <w:tcW w:w="656" w:type="dxa"/>
            <w:shd w:val="clear" w:color="auto" w:fill="D9D9D9"/>
          </w:tcPr>
          <w:p>
            <w:pPr>
              <w:pStyle w:val="TableParagraph"/>
              <w:ind w:right="130"/>
              <w:rPr>
                <w:rFonts w:ascii="Carlito"/>
                <w:sz w:val="16"/>
              </w:rPr>
            </w:pPr>
            <w:r>
              <w:rPr>
                <w:rFonts w:ascii="Carlito"/>
                <w:sz w:val="16"/>
              </w:rPr>
              <w:t>1</w:t>
            </w:r>
          </w:p>
        </w:tc>
        <w:tc>
          <w:tcPr>
            <w:tcW w:w="1359" w:type="dxa"/>
            <w:shd w:val="clear" w:color="auto" w:fill="D9D9D9"/>
          </w:tcPr>
          <w:p>
            <w:pPr>
              <w:pStyle w:val="TableParagraph"/>
              <w:ind w:right="417"/>
              <w:rPr>
                <w:rFonts w:ascii="Carlito"/>
                <w:sz w:val="16"/>
              </w:rPr>
            </w:pPr>
            <w:r>
              <w:rPr>
                <w:rFonts w:ascii="Carlito"/>
                <w:sz w:val="16"/>
              </w:rPr>
              <w:t>$118,181.82</w:t>
            </w:r>
          </w:p>
        </w:tc>
        <w:tc>
          <w:tcPr>
            <w:tcW w:w="1001" w:type="dxa"/>
            <w:shd w:val="clear" w:color="auto" w:fill="D9D9D9"/>
          </w:tcPr>
          <w:p>
            <w:pPr>
              <w:pStyle w:val="TableParagraph"/>
              <w:ind w:right="343"/>
              <w:rPr>
                <w:rFonts w:ascii="Carlito"/>
                <w:sz w:val="16"/>
              </w:rPr>
            </w:pPr>
            <w:r>
              <w:rPr>
                <w:rFonts w:ascii="Carlito"/>
                <w:sz w:val="16"/>
              </w:rPr>
              <w:t>140</w:t>
            </w:r>
          </w:p>
        </w:tc>
        <w:tc>
          <w:tcPr>
            <w:tcW w:w="1127" w:type="dxa"/>
            <w:shd w:val="clear" w:color="auto" w:fill="D9D9D9"/>
          </w:tcPr>
          <w:p>
            <w:pPr>
              <w:pStyle w:val="TableParagraph"/>
              <w:ind w:left="313" w:right="440"/>
              <w:jc w:val="center"/>
              <w:rPr>
                <w:rFonts w:ascii="Carlito"/>
                <w:sz w:val="16"/>
              </w:rPr>
            </w:pPr>
            <w:r>
              <w:rPr>
                <w:rFonts w:ascii="Carlito"/>
                <w:sz w:val="16"/>
              </w:rPr>
              <w:t>2006</w:t>
            </w:r>
          </w:p>
        </w:tc>
        <w:tc>
          <w:tcPr>
            <w:tcW w:w="783" w:type="dxa"/>
            <w:shd w:val="clear" w:color="auto" w:fill="D9D9D9"/>
          </w:tcPr>
          <w:p>
            <w:pPr>
              <w:pStyle w:val="TableParagraph"/>
              <w:ind w:right="239"/>
              <w:rPr>
                <w:rFonts w:ascii="Carlito"/>
                <w:sz w:val="16"/>
              </w:rPr>
            </w:pPr>
            <w:r>
              <w:rPr>
                <w:rFonts w:ascii="Carlito"/>
                <w:sz w:val="16"/>
              </w:rPr>
              <w:t>3</w:t>
            </w:r>
          </w:p>
        </w:tc>
        <w:tc>
          <w:tcPr>
            <w:tcW w:w="745" w:type="dxa"/>
            <w:shd w:val="clear" w:color="auto" w:fill="D9D9D9"/>
          </w:tcPr>
          <w:p>
            <w:pPr>
              <w:pStyle w:val="TableParagraph"/>
              <w:ind w:right="303"/>
              <w:rPr>
                <w:rFonts w:ascii="Carlito"/>
                <w:sz w:val="16"/>
              </w:rPr>
            </w:pPr>
            <w:r>
              <w:rPr>
                <w:rFonts w:ascii="Carlito"/>
                <w:sz w:val="16"/>
              </w:rPr>
              <w:t>2</w:t>
            </w:r>
          </w:p>
        </w:tc>
        <w:tc>
          <w:tcPr>
            <w:tcW w:w="816" w:type="dxa"/>
            <w:shd w:val="clear" w:color="auto" w:fill="D9D9D9"/>
          </w:tcPr>
          <w:p>
            <w:pPr>
              <w:pStyle w:val="TableParagraph"/>
              <w:ind w:left="297"/>
              <w:jc w:val="left"/>
              <w:rPr>
                <w:rFonts w:ascii="Carlito"/>
                <w:sz w:val="16"/>
              </w:rPr>
            </w:pPr>
            <w:r>
              <w:rPr>
                <w:rFonts w:ascii="Carlito"/>
                <w:sz w:val="16"/>
              </w:rPr>
              <w:t>1</w:t>
            </w:r>
          </w:p>
        </w:tc>
        <w:tc>
          <w:tcPr>
            <w:tcW w:w="1288" w:type="dxa"/>
            <w:shd w:val="clear" w:color="auto" w:fill="D9D9D9"/>
          </w:tcPr>
          <w:p>
            <w:pPr>
              <w:pStyle w:val="TableParagraph"/>
              <w:ind w:right="575"/>
              <w:rPr>
                <w:rFonts w:ascii="Carlito"/>
                <w:sz w:val="16"/>
              </w:rPr>
            </w:pPr>
            <w:r>
              <w:rPr>
                <w:rFonts w:ascii="Carlito"/>
                <w:sz w:val="16"/>
              </w:rPr>
              <w:t>12.6</w:t>
            </w:r>
          </w:p>
        </w:tc>
        <w:tc>
          <w:tcPr>
            <w:tcW w:w="1142" w:type="dxa"/>
            <w:shd w:val="clear" w:color="auto" w:fill="D9D9D9"/>
          </w:tcPr>
          <w:p>
            <w:pPr>
              <w:pStyle w:val="TableParagraph"/>
              <w:ind w:right="365"/>
              <w:rPr>
                <w:rFonts w:ascii="Carlito"/>
                <w:sz w:val="16"/>
              </w:rPr>
            </w:pPr>
            <w:r>
              <w:rPr>
                <w:rFonts w:ascii="Carlito"/>
                <w:sz w:val="16"/>
              </w:rPr>
              <w:t>3</w:t>
            </w:r>
          </w:p>
        </w:tc>
        <w:tc>
          <w:tcPr>
            <w:tcW w:w="826" w:type="dxa"/>
            <w:shd w:val="clear" w:color="auto" w:fill="D9D9D9"/>
          </w:tcPr>
          <w:p>
            <w:pPr>
              <w:pStyle w:val="TableParagraph"/>
              <w:ind w:right="383"/>
              <w:rPr>
                <w:rFonts w:ascii="Carlito"/>
                <w:sz w:val="16"/>
              </w:rPr>
            </w:pPr>
            <w:r>
              <w:rPr>
                <w:rFonts w:ascii="Carlito"/>
                <w:sz w:val="16"/>
              </w:rPr>
              <w:t>0</w:t>
            </w:r>
          </w:p>
        </w:tc>
        <w:tc>
          <w:tcPr>
            <w:tcW w:w="530" w:type="dxa"/>
            <w:shd w:val="clear" w:color="auto" w:fill="D9D9D9"/>
          </w:tcPr>
          <w:p>
            <w:pPr>
              <w:pStyle w:val="TableParagraph"/>
              <w:ind w:right="69"/>
              <w:rPr>
                <w:rFonts w:ascii="Carlito"/>
                <w:sz w:val="16"/>
              </w:rPr>
            </w:pPr>
            <w:r>
              <w:rPr>
                <w:rFonts w:ascii="Carlito"/>
                <w:sz w:val="16"/>
              </w:rPr>
              <w:t>0</w:t>
            </w:r>
          </w:p>
        </w:tc>
      </w:tr>
      <w:tr>
        <w:trPr>
          <w:trHeight w:val="284" w:hRule="atLeast"/>
        </w:trPr>
        <w:tc>
          <w:tcPr>
            <w:tcW w:w="756" w:type="dxa"/>
          </w:tcPr>
          <w:p>
            <w:pPr>
              <w:pStyle w:val="TableParagraph"/>
              <w:spacing w:line="172" w:lineRule="exact" w:before="92"/>
              <w:ind w:right="143"/>
              <w:rPr>
                <w:rFonts w:ascii="Carlito"/>
                <w:sz w:val="16"/>
              </w:rPr>
            </w:pPr>
            <w:r>
              <w:rPr>
                <w:rFonts w:ascii="Carlito"/>
                <w:sz w:val="16"/>
              </w:rPr>
              <w:t>251</w:t>
            </w:r>
          </w:p>
        </w:tc>
        <w:tc>
          <w:tcPr>
            <w:tcW w:w="1938" w:type="dxa"/>
          </w:tcPr>
          <w:p>
            <w:pPr>
              <w:pStyle w:val="TableParagraph"/>
              <w:spacing w:line="172" w:lineRule="exact" w:before="92"/>
              <w:ind w:left="143"/>
              <w:jc w:val="left"/>
              <w:rPr>
                <w:rFonts w:ascii="Carlito" w:hAnsi="Carlito"/>
                <w:sz w:val="16"/>
              </w:rPr>
            </w:pPr>
            <w:r>
              <w:rPr>
                <w:rFonts w:ascii="Carlito" w:hAnsi="Carlito"/>
                <w:sz w:val="16"/>
              </w:rPr>
              <w:t>Tres Ríos</w:t>
            </w:r>
          </w:p>
        </w:tc>
        <w:tc>
          <w:tcPr>
            <w:tcW w:w="656" w:type="dxa"/>
          </w:tcPr>
          <w:p>
            <w:pPr>
              <w:pStyle w:val="TableParagraph"/>
              <w:spacing w:line="172" w:lineRule="exact" w:before="92"/>
              <w:ind w:right="130"/>
              <w:rPr>
                <w:rFonts w:ascii="Carlito"/>
                <w:sz w:val="16"/>
              </w:rPr>
            </w:pPr>
            <w:r>
              <w:rPr>
                <w:rFonts w:ascii="Carlito"/>
                <w:sz w:val="16"/>
              </w:rPr>
              <w:t>1</w:t>
            </w:r>
          </w:p>
        </w:tc>
        <w:tc>
          <w:tcPr>
            <w:tcW w:w="1359" w:type="dxa"/>
          </w:tcPr>
          <w:p>
            <w:pPr>
              <w:pStyle w:val="TableParagraph"/>
              <w:spacing w:line="172" w:lineRule="exact" w:before="92"/>
              <w:ind w:right="417"/>
              <w:rPr>
                <w:rFonts w:ascii="Carlito"/>
                <w:sz w:val="16"/>
              </w:rPr>
            </w:pPr>
            <w:r>
              <w:rPr>
                <w:rFonts w:ascii="Carlito"/>
                <w:sz w:val="16"/>
              </w:rPr>
              <w:t>$103,000.00</w:t>
            </w:r>
          </w:p>
        </w:tc>
        <w:tc>
          <w:tcPr>
            <w:tcW w:w="1001" w:type="dxa"/>
          </w:tcPr>
          <w:p>
            <w:pPr>
              <w:pStyle w:val="TableParagraph"/>
              <w:spacing w:line="172" w:lineRule="exact" w:before="92"/>
              <w:ind w:right="343"/>
              <w:rPr>
                <w:rFonts w:ascii="Carlito"/>
                <w:sz w:val="16"/>
              </w:rPr>
            </w:pPr>
            <w:r>
              <w:rPr>
                <w:rFonts w:ascii="Carlito"/>
                <w:sz w:val="16"/>
              </w:rPr>
              <w:t>125</w:t>
            </w:r>
          </w:p>
        </w:tc>
        <w:tc>
          <w:tcPr>
            <w:tcW w:w="1127" w:type="dxa"/>
          </w:tcPr>
          <w:p>
            <w:pPr>
              <w:pStyle w:val="TableParagraph"/>
              <w:spacing w:line="172" w:lineRule="exact" w:before="92"/>
              <w:ind w:left="313" w:right="440"/>
              <w:jc w:val="center"/>
              <w:rPr>
                <w:rFonts w:ascii="Carlito"/>
                <w:sz w:val="16"/>
              </w:rPr>
            </w:pPr>
            <w:r>
              <w:rPr>
                <w:rFonts w:ascii="Carlito"/>
                <w:sz w:val="16"/>
              </w:rPr>
              <w:t>2006</w:t>
            </w:r>
          </w:p>
        </w:tc>
        <w:tc>
          <w:tcPr>
            <w:tcW w:w="783" w:type="dxa"/>
          </w:tcPr>
          <w:p>
            <w:pPr>
              <w:pStyle w:val="TableParagraph"/>
              <w:spacing w:line="172" w:lineRule="exact" w:before="92"/>
              <w:ind w:right="239"/>
              <w:rPr>
                <w:rFonts w:ascii="Carlito"/>
                <w:sz w:val="16"/>
              </w:rPr>
            </w:pPr>
            <w:r>
              <w:rPr>
                <w:rFonts w:ascii="Carlito"/>
                <w:sz w:val="16"/>
              </w:rPr>
              <w:t>3</w:t>
            </w:r>
          </w:p>
        </w:tc>
        <w:tc>
          <w:tcPr>
            <w:tcW w:w="745" w:type="dxa"/>
          </w:tcPr>
          <w:p>
            <w:pPr>
              <w:pStyle w:val="TableParagraph"/>
              <w:spacing w:line="172" w:lineRule="exact" w:before="92"/>
              <w:ind w:right="303"/>
              <w:rPr>
                <w:rFonts w:ascii="Carlito"/>
                <w:sz w:val="16"/>
              </w:rPr>
            </w:pPr>
            <w:r>
              <w:rPr>
                <w:rFonts w:ascii="Carlito"/>
                <w:sz w:val="16"/>
              </w:rPr>
              <w:t>1</w:t>
            </w:r>
          </w:p>
        </w:tc>
        <w:tc>
          <w:tcPr>
            <w:tcW w:w="816" w:type="dxa"/>
          </w:tcPr>
          <w:p>
            <w:pPr>
              <w:pStyle w:val="TableParagraph"/>
              <w:spacing w:line="172" w:lineRule="exact" w:before="92"/>
              <w:ind w:left="297"/>
              <w:jc w:val="left"/>
              <w:rPr>
                <w:rFonts w:ascii="Carlito"/>
                <w:sz w:val="16"/>
              </w:rPr>
            </w:pPr>
            <w:r>
              <w:rPr>
                <w:rFonts w:ascii="Carlito"/>
                <w:sz w:val="16"/>
              </w:rPr>
              <w:t>1</w:t>
            </w:r>
          </w:p>
        </w:tc>
        <w:tc>
          <w:tcPr>
            <w:tcW w:w="1288" w:type="dxa"/>
          </w:tcPr>
          <w:p>
            <w:pPr>
              <w:pStyle w:val="TableParagraph"/>
              <w:spacing w:line="172" w:lineRule="exact" w:before="92"/>
              <w:ind w:right="575"/>
              <w:rPr>
                <w:rFonts w:ascii="Carlito"/>
                <w:sz w:val="16"/>
              </w:rPr>
            </w:pPr>
            <w:r>
              <w:rPr>
                <w:rFonts w:ascii="Carlito"/>
                <w:sz w:val="16"/>
              </w:rPr>
              <w:t>12.6</w:t>
            </w:r>
          </w:p>
        </w:tc>
        <w:tc>
          <w:tcPr>
            <w:tcW w:w="1142" w:type="dxa"/>
          </w:tcPr>
          <w:p>
            <w:pPr>
              <w:pStyle w:val="TableParagraph"/>
              <w:spacing w:line="172" w:lineRule="exact" w:before="92"/>
              <w:ind w:right="365"/>
              <w:rPr>
                <w:rFonts w:ascii="Carlito"/>
                <w:sz w:val="16"/>
              </w:rPr>
            </w:pPr>
            <w:r>
              <w:rPr>
                <w:rFonts w:ascii="Carlito"/>
                <w:sz w:val="16"/>
              </w:rPr>
              <w:t>3</w:t>
            </w:r>
          </w:p>
        </w:tc>
        <w:tc>
          <w:tcPr>
            <w:tcW w:w="826" w:type="dxa"/>
          </w:tcPr>
          <w:p>
            <w:pPr>
              <w:pStyle w:val="TableParagraph"/>
              <w:spacing w:line="172" w:lineRule="exact" w:before="92"/>
              <w:ind w:right="383"/>
              <w:rPr>
                <w:rFonts w:ascii="Carlito"/>
                <w:sz w:val="16"/>
              </w:rPr>
            </w:pPr>
            <w:r>
              <w:rPr>
                <w:rFonts w:ascii="Carlito"/>
                <w:sz w:val="16"/>
              </w:rPr>
              <w:t>0</w:t>
            </w:r>
          </w:p>
        </w:tc>
        <w:tc>
          <w:tcPr>
            <w:tcW w:w="530" w:type="dxa"/>
          </w:tcPr>
          <w:p>
            <w:pPr>
              <w:pStyle w:val="TableParagraph"/>
              <w:spacing w:line="172" w:lineRule="exact" w:before="92"/>
              <w:ind w:right="69"/>
              <w:rPr>
                <w:rFonts w:ascii="Carlito"/>
                <w:sz w:val="16"/>
              </w:rPr>
            </w:pPr>
            <w:r>
              <w:rPr>
                <w:rFonts w:ascii="Carlito"/>
                <w:sz w:val="16"/>
              </w:rPr>
              <w:t>0</w:t>
            </w:r>
          </w:p>
        </w:tc>
      </w:tr>
    </w:tbl>
    <w:p>
      <w:pPr>
        <w:spacing w:after="0" w:line="172" w:lineRule="exact"/>
        <w:rPr>
          <w:rFonts w:ascii="Carlito"/>
          <w:sz w:val="16"/>
        </w:rPr>
        <w:sectPr>
          <w:pgSz w:w="15840" w:h="12240" w:orient="landscape"/>
          <w:pgMar w:header="0" w:footer="982" w:top="1140" w:bottom="1180" w:left="1340" w:right="1320"/>
        </w:sectPr>
      </w:pPr>
    </w:p>
    <w:p>
      <w:pPr>
        <w:pStyle w:val="BodyText"/>
        <w:spacing w:before="1"/>
        <w:rPr>
          <w:b/>
          <w:sz w:val="26"/>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56"/>
        <w:gridCol w:w="1938"/>
        <w:gridCol w:w="655"/>
        <w:gridCol w:w="1258"/>
        <w:gridCol w:w="1100"/>
        <w:gridCol w:w="1125"/>
        <w:gridCol w:w="782"/>
        <w:gridCol w:w="744"/>
        <w:gridCol w:w="815"/>
        <w:gridCol w:w="1287"/>
        <w:gridCol w:w="1141"/>
        <w:gridCol w:w="825"/>
        <w:gridCol w:w="529"/>
      </w:tblGrid>
      <w:tr>
        <w:trPr>
          <w:trHeight w:val="288" w:hRule="atLeast"/>
        </w:trPr>
        <w:tc>
          <w:tcPr>
            <w:tcW w:w="756" w:type="dxa"/>
            <w:shd w:val="clear" w:color="auto" w:fill="D9D9D9"/>
          </w:tcPr>
          <w:p>
            <w:pPr>
              <w:pStyle w:val="TableParagraph"/>
              <w:spacing w:line="177" w:lineRule="exact"/>
              <w:ind w:right="143"/>
              <w:rPr>
                <w:rFonts w:ascii="Carlito"/>
                <w:sz w:val="16"/>
              </w:rPr>
            </w:pPr>
            <w:r>
              <w:rPr>
                <w:rFonts w:ascii="Carlito"/>
                <w:sz w:val="16"/>
              </w:rPr>
              <w:t>252</w:t>
            </w:r>
          </w:p>
        </w:tc>
        <w:tc>
          <w:tcPr>
            <w:tcW w:w="1938" w:type="dxa"/>
            <w:shd w:val="clear" w:color="auto" w:fill="D9D9D9"/>
          </w:tcPr>
          <w:p>
            <w:pPr>
              <w:pStyle w:val="TableParagraph"/>
              <w:spacing w:line="177" w:lineRule="exact"/>
              <w:ind w:left="143"/>
              <w:jc w:val="left"/>
              <w:rPr>
                <w:rFonts w:ascii="Carlito" w:hAnsi="Carlito"/>
                <w:sz w:val="16"/>
              </w:rPr>
            </w:pPr>
            <w:r>
              <w:rPr>
                <w:rFonts w:ascii="Carlito" w:hAnsi="Carlito"/>
                <w:sz w:val="16"/>
              </w:rPr>
              <w:t>Tres Ríos</w:t>
            </w:r>
          </w:p>
        </w:tc>
        <w:tc>
          <w:tcPr>
            <w:tcW w:w="655" w:type="dxa"/>
            <w:shd w:val="clear" w:color="auto" w:fill="D9D9D9"/>
          </w:tcPr>
          <w:p>
            <w:pPr>
              <w:pStyle w:val="TableParagraph"/>
              <w:spacing w:line="177" w:lineRule="exact"/>
              <w:ind w:right="129"/>
              <w:rPr>
                <w:rFonts w:ascii="Carlito"/>
                <w:sz w:val="16"/>
              </w:rPr>
            </w:pPr>
            <w:r>
              <w:rPr>
                <w:rFonts w:ascii="Carlito"/>
                <w:sz w:val="16"/>
              </w:rPr>
              <w:t>1</w:t>
            </w:r>
          </w:p>
        </w:tc>
        <w:tc>
          <w:tcPr>
            <w:tcW w:w="1258" w:type="dxa"/>
            <w:shd w:val="clear" w:color="auto" w:fill="D9D9D9"/>
          </w:tcPr>
          <w:p>
            <w:pPr>
              <w:pStyle w:val="TableParagraph"/>
              <w:spacing w:line="177" w:lineRule="exact"/>
              <w:ind w:left="131"/>
              <w:jc w:val="left"/>
              <w:rPr>
                <w:rFonts w:ascii="Carlito"/>
                <w:sz w:val="16"/>
              </w:rPr>
            </w:pPr>
            <w:r>
              <w:rPr>
                <w:rFonts w:ascii="Carlito"/>
                <w:sz w:val="16"/>
              </w:rPr>
              <w:t>$450,000.00</w:t>
            </w:r>
          </w:p>
        </w:tc>
        <w:tc>
          <w:tcPr>
            <w:tcW w:w="1100" w:type="dxa"/>
            <w:shd w:val="clear" w:color="auto" w:fill="D9D9D9"/>
          </w:tcPr>
          <w:p>
            <w:pPr>
              <w:pStyle w:val="TableParagraph"/>
              <w:spacing w:line="177" w:lineRule="exact"/>
              <w:ind w:right="340"/>
              <w:rPr>
                <w:rFonts w:ascii="Carlito"/>
                <w:sz w:val="16"/>
              </w:rPr>
            </w:pPr>
            <w:r>
              <w:rPr>
                <w:rFonts w:ascii="Carlito"/>
                <w:sz w:val="16"/>
              </w:rPr>
              <w:t>370</w:t>
            </w:r>
          </w:p>
        </w:tc>
        <w:tc>
          <w:tcPr>
            <w:tcW w:w="1125" w:type="dxa"/>
            <w:shd w:val="clear" w:color="auto" w:fill="D9D9D9"/>
          </w:tcPr>
          <w:p>
            <w:pPr>
              <w:pStyle w:val="TableParagraph"/>
              <w:spacing w:line="177" w:lineRule="exact"/>
              <w:ind w:left="320" w:right="439"/>
              <w:jc w:val="center"/>
              <w:rPr>
                <w:rFonts w:ascii="Carlito"/>
                <w:sz w:val="16"/>
              </w:rPr>
            </w:pPr>
            <w:r>
              <w:rPr>
                <w:rFonts w:ascii="Carlito"/>
                <w:sz w:val="16"/>
              </w:rPr>
              <w:t>2006</w:t>
            </w:r>
          </w:p>
        </w:tc>
        <w:tc>
          <w:tcPr>
            <w:tcW w:w="782" w:type="dxa"/>
            <w:shd w:val="clear" w:color="auto" w:fill="D9D9D9"/>
          </w:tcPr>
          <w:p>
            <w:pPr>
              <w:pStyle w:val="TableParagraph"/>
              <w:spacing w:line="177" w:lineRule="exact"/>
              <w:ind w:right="233"/>
              <w:rPr>
                <w:rFonts w:ascii="Carlito"/>
                <w:sz w:val="16"/>
              </w:rPr>
            </w:pPr>
            <w:r>
              <w:rPr>
                <w:rFonts w:ascii="Carlito"/>
                <w:sz w:val="16"/>
              </w:rPr>
              <w:t>4</w:t>
            </w:r>
          </w:p>
        </w:tc>
        <w:tc>
          <w:tcPr>
            <w:tcW w:w="744" w:type="dxa"/>
            <w:shd w:val="clear" w:color="auto" w:fill="D9D9D9"/>
          </w:tcPr>
          <w:p>
            <w:pPr>
              <w:pStyle w:val="TableParagraph"/>
              <w:spacing w:line="177" w:lineRule="exact"/>
              <w:ind w:right="296"/>
              <w:rPr>
                <w:rFonts w:ascii="Carlito"/>
                <w:sz w:val="16"/>
              </w:rPr>
            </w:pPr>
            <w:r>
              <w:rPr>
                <w:rFonts w:ascii="Carlito"/>
                <w:sz w:val="16"/>
              </w:rPr>
              <w:t>3</w:t>
            </w:r>
          </w:p>
        </w:tc>
        <w:tc>
          <w:tcPr>
            <w:tcW w:w="815" w:type="dxa"/>
            <w:shd w:val="clear" w:color="auto" w:fill="D9D9D9"/>
          </w:tcPr>
          <w:p>
            <w:pPr>
              <w:pStyle w:val="TableParagraph"/>
              <w:spacing w:line="177" w:lineRule="exact"/>
              <w:ind w:left="304"/>
              <w:jc w:val="left"/>
              <w:rPr>
                <w:rFonts w:ascii="Carlito"/>
                <w:sz w:val="16"/>
              </w:rPr>
            </w:pPr>
            <w:r>
              <w:rPr>
                <w:rFonts w:ascii="Carlito"/>
                <w:sz w:val="16"/>
              </w:rPr>
              <w:t>1</w:t>
            </w:r>
          </w:p>
        </w:tc>
        <w:tc>
          <w:tcPr>
            <w:tcW w:w="1287" w:type="dxa"/>
            <w:shd w:val="clear" w:color="auto" w:fill="D9D9D9"/>
          </w:tcPr>
          <w:p>
            <w:pPr>
              <w:pStyle w:val="TableParagraph"/>
              <w:spacing w:line="177" w:lineRule="exact"/>
              <w:ind w:right="566"/>
              <w:rPr>
                <w:rFonts w:ascii="Carlito"/>
                <w:sz w:val="16"/>
              </w:rPr>
            </w:pPr>
            <w:r>
              <w:rPr>
                <w:rFonts w:ascii="Carlito"/>
                <w:sz w:val="16"/>
              </w:rPr>
              <w:t>12.6</w:t>
            </w:r>
          </w:p>
        </w:tc>
        <w:tc>
          <w:tcPr>
            <w:tcW w:w="1141" w:type="dxa"/>
            <w:shd w:val="clear" w:color="auto" w:fill="D9D9D9"/>
          </w:tcPr>
          <w:p>
            <w:pPr>
              <w:pStyle w:val="TableParagraph"/>
              <w:spacing w:line="177" w:lineRule="exact"/>
              <w:ind w:right="355"/>
              <w:rPr>
                <w:rFonts w:ascii="Carlito"/>
                <w:sz w:val="16"/>
              </w:rPr>
            </w:pPr>
            <w:r>
              <w:rPr>
                <w:rFonts w:ascii="Carlito"/>
                <w:sz w:val="16"/>
              </w:rPr>
              <w:t>3</w:t>
            </w:r>
          </w:p>
        </w:tc>
        <w:tc>
          <w:tcPr>
            <w:tcW w:w="825" w:type="dxa"/>
            <w:shd w:val="clear" w:color="auto" w:fill="D9D9D9"/>
          </w:tcPr>
          <w:p>
            <w:pPr>
              <w:pStyle w:val="TableParagraph"/>
              <w:spacing w:line="177" w:lineRule="exact"/>
              <w:ind w:right="372"/>
              <w:rPr>
                <w:rFonts w:ascii="Carlito"/>
                <w:sz w:val="16"/>
              </w:rPr>
            </w:pPr>
            <w:r>
              <w:rPr>
                <w:rFonts w:ascii="Carlito"/>
                <w:sz w:val="16"/>
              </w:rPr>
              <w:t>0</w:t>
            </w:r>
          </w:p>
        </w:tc>
        <w:tc>
          <w:tcPr>
            <w:tcW w:w="529" w:type="dxa"/>
            <w:shd w:val="clear" w:color="auto" w:fill="D9D9D9"/>
          </w:tcPr>
          <w:p>
            <w:pPr>
              <w:pStyle w:val="TableParagraph"/>
              <w:spacing w:line="177" w:lineRule="exact"/>
              <w:ind w:right="57"/>
              <w:rPr>
                <w:rFonts w:ascii="Carlito"/>
                <w:sz w:val="16"/>
              </w:rPr>
            </w:pPr>
            <w:r>
              <w:rPr>
                <w:rFonts w:ascii="Carlito"/>
                <w:sz w:val="16"/>
              </w:rPr>
              <w:t>0</w:t>
            </w:r>
          </w:p>
        </w:tc>
      </w:tr>
      <w:tr>
        <w:trPr>
          <w:trHeight w:val="287" w:hRule="atLeast"/>
        </w:trPr>
        <w:tc>
          <w:tcPr>
            <w:tcW w:w="756" w:type="dxa"/>
          </w:tcPr>
          <w:p>
            <w:pPr>
              <w:pStyle w:val="TableParagraph"/>
              <w:spacing w:line="177" w:lineRule="exact"/>
              <w:ind w:right="143"/>
              <w:rPr>
                <w:rFonts w:ascii="Carlito"/>
                <w:sz w:val="16"/>
              </w:rPr>
            </w:pPr>
            <w:r>
              <w:rPr>
                <w:rFonts w:ascii="Carlito"/>
                <w:sz w:val="16"/>
              </w:rPr>
              <w:t>253</w:t>
            </w:r>
          </w:p>
        </w:tc>
        <w:tc>
          <w:tcPr>
            <w:tcW w:w="1938" w:type="dxa"/>
          </w:tcPr>
          <w:p>
            <w:pPr>
              <w:pStyle w:val="TableParagraph"/>
              <w:spacing w:line="177" w:lineRule="exact"/>
              <w:ind w:left="143"/>
              <w:jc w:val="left"/>
              <w:rPr>
                <w:rFonts w:ascii="Carlito" w:hAnsi="Carlito"/>
                <w:sz w:val="16"/>
              </w:rPr>
            </w:pPr>
            <w:r>
              <w:rPr>
                <w:rFonts w:ascii="Carlito" w:hAnsi="Carlito"/>
                <w:sz w:val="16"/>
              </w:rPr>
              <w:t>Tres Ríos</w:t>
            </w:r>
          </w:p>
        </w:tc>
        <w:tc>
          <w:tcPr>
            <w:tcW w:w="655" w:type="dxa"/>
          </w:tcPr>
          <w:p>
            <w:pPr>
              <w:pStyle w:val="TableParagraph"/>
              <w:spacing w:line="177" w:lineRule="exact"/>
              <w:ind w:right="129"/>
              <w:rPr>
                <w:rFonts w:ascii="Carlito"/>
                <w:sz w:val="16"/>
              </w:rPr>
            </w:pPr>
            <w:r>
              <w:rPr>
                <w:rFonts w:ascii="Carlito"/>
                <w:sz w:val="16"/>
              </w:rPr>
              <w:t>0</w:t>
            </w:r>
          </w:p>
        </w:tc>
        <w:tc>
          <w:tcPr>
            <w:tcW w:w="1258" w:type="dxa"/>
          </w:tcPr>
          <w:p>
            <w:pPr>
              <w:pStyle w:val="TableParagraph"/>
              <w:spacing w:line="177" w:lineRule="exact"/>
              <w:ind w:left="131"/>
              <w:jc w:val="left"/>
              <w:rPr>
                <w:rFonts w:ascii="Carlito"/>
                <w:sz w:val="16"/>
              </w:rPr>
            </w:pPr>
            <w:r>
              <w:rPr>
                <w:rFonts w:ascii="Carlito"/>
                <w:sz w:val="16"/>
              </w:rPr>
              <w:t>$148,500.00</w:t>
            </w:r>
          </w:p>
        </w:tc>
        <w:tc>
          <w:tcPr>
            <w:tcW w:w="1100" w:type="dxa"/>
          </w:tcPr>
          <w:p>
            <w:pPr>
              <w:pStyle w:val="TableParagraph"/>
              <w:spacing w:line="177" w:lineRule="exact"/>
              <w:ind w:right="340"/>
              <w:rPr>
                <w:rFonts w:ascii="Carlito"/>
                <w:sz w:val="16"/>
              </w:rPr>
            </w:pPr>
            <w:r>
              <w:rPr>
                <w:rFonts w:ascii="Carlito"/>
                <w:sz w:val="16"/>
              </w:rPr>
              <w:t>140</w:t>
            </w:r>
          </w:p>
        </w:tc>
        <w:tc>
          <w:tcPr>
            <w:tcW w:w="1125" w:type="dxa"/>
          </w:tcPr>
          <w:p>
            <w:pPr>
              <w:pStyle w:val="TableParagraph"/>
              <w:spacing w:line="177" w:lineRule="exact"/>
              <w:ind w:left="320" w:right="439"/>
              <w:jc w:val="center"/>
              <w:rPr>
                <w:rFonts w:ascii="Carlito"/>
                <w:sz w:val="16"/>
              </w:rPr>
            </w:pPr>
            <w:r>
              <w:rPr>
                <w:rFonts w:ascii="Carlito"/>
                <w:sz w:val="16"/>
              </w:rPr>
              <w:t>2013</w:t>
            </w:r>
          </w:p>
        </w:tc>
        <w:tc>
          <w:tcPr>
            <w:tcW w:w="782" w:type="dxa"/>
          </w:tcPr>
          <w:p>
            <w:pPr>
              <w:pStyle w:val="TableParagraph"/>
              <w:spacing w:line="177" w:lineRule="exact"/>
              <w:ind w:right="233"/>
              <w:rPr>
                <w:rFonts w:ascii="Carlito"/>
                <w:sz w:val="16"/>
              </w:rPr>
            </w:pPr>
            <w:r>
              <w:rPr>
                <w:rFonts w:ascii="Carlito"/>
                <w:sz w:val="16"/>
              </w:rPr>
              <w:t>3</w:t>
            </w:r>
          </w:p>
        </w:tc>
        <w:tc>
          <w:tcPr>
            <w:tcW w:w="744" w:type="dxa"/>
          </w:tcPr>
          <w:p>
            <w:pPr>
              <w:pStyle w:val="TableParagraph"/>
              <w:spacing w:line="177" w:lineRule="exact"/>
              <w:ind w:right="301"/>
              <w:rPr>
                <w:rFonts w:ascii="Carlito"/>
                <w:sz w:val="16"/>
              </w:rPr>
            </w:pPr>
            <w:r>
              <w:rPr>
                <w:rFonts w:ascii="Carlito"/>
                <w:sz w:val="16"/>
              </w:rPr>
              <w:t>2.5</w:t>
            </w:r>
          </w:p>
        </w:tc>
        <w:tc>
          <w:tcPr>
            <w:tcW w:w="815" w:type="dxa"/>
          </w:tcPr>
          <w:p>
            <w:pPr>
              <w:pStyle w:val="TableParagraph"/>
              <w:spacing w:line="177" w:lineRule="exact"/>
              <w:ind w:left="304"/>
              <w:jc w:val="left"/>
              <w:rPr>
                <w:rFonts w:ascii="Carlito"/>
                <w:sz w:val="16"/>
              </w:rPr>
            </w:pPr>
            <w:r>
              <w:rPr>
                <w:rFonts w:ascii="Carlito"/>
                <w:sz w:val="16"/>
              </w:rPr>
              <w:t>2</w:t>
            </w:r>
          </w:p>
        </w:tc>
        <w:tc>
          <w:tcPr>
            <w:tcW w:w="1287" w:type="dxa"/>
          </w:tcPr>
          <w:p>
            <w:pPr>
              <w:pStyle w:val="TableParagraph"/>
              <w:spacing w:line="177" w:lineRule="exact"/>
              <w:ind w:right="566"/>
              <w:rPr>
                <w:rFonts w:ascii="Carlito"/>
                <w:sz w:val="16"/>
              </w:rPr>
            </w:pPr>
            <w:r>
              <w:rPr>
                <w:rFonts w:ascii="Carlito"/>
                <w:sz w:val="16"/>
              </w:rPr>
              <w:t>12.6</w:t>
            </w:r>
          </w:p>
        </w:tc>
        <w:tc>
          <w:tcPr>
            <w:tcW w:w="1141" w:type="dxa"/>
          </w:tcPr>
          <w:p>
            <w:pPr>
              <w:pStyle w:val="TableParagraph"/>
              <w:spacing w:line="177" w:lineRule="exact"/>
              <w:ind w:right="355"/>
              <w:rPr>
                <w:rFonts w:ascii="Carlito"/>
                <w:sz w:val="16"/>
              </w:rPr>
            </w:pPr>
            <w:r>
              <w:rPr>
                <w:rFonts w:ascii="Carlito"/>
                <w:sz w:val="16"/>
              </w:rPr>
              <w:t>3</w:t>
            </w:r>
          </w:p>
        </w:tc>
        <w:tc>
          <w:tcPr>
            <w:tcW w:w="825" w:type="dxa"/>
          </w:tcPr>
          <w:p>
            <w:pPr>
              <w:pStyle w:val="TableParagraph"/>
              <w:spacing w:line="177" w:lineRule="exact"/>
              <w:ind w:right="372"/>
              <w:rPr>
                <w:rFonts w:ascii="Carlito"/>
                <w:sz w:val="16"/>
              </w:rPr>
            </w:pPr>
            <w:r>
              <w:rPr>
                <w:rFonts w:ascii="Carlito"/>
                <w:sz w:val="16"/>
              </w:rPr>
              <w:t>0</w:t>
            </w:r>
          </w:p>
        </w:tc>
        <w:tc>
          <w:tcPr>
            <w:tcW w:w="529" w:type="dxa"/>
          </w:tcPr>
          <w:p>
            <w:pPr>
              <w:pStyle w:val="TableParagraph"/>
              <w:spacing w:line="177" w:lineRule="exact"/>
              <w:ind w:right="57"/>
              <w:rPr>
                <w:rFonts w:ascii="Carlito"/>
                <w:sz w:val="16"/>
              </w:rPr>
            </w:pPr>
            <w:r>
              <w:rPr>
                <w:rFonts w:ascii="Carlito"/>
                <w:sz w:val="16"/>
              </w:rPr>
              <w:t>0</w:t>
            </w:r>
          </w:p>
        </w:tc>
      </w:tr>
      <w:tr>
        <w:trPr>
          <w:trHeight w:val="287" w:hRule="atLeast"/>
        </w:trPr>
        <w:tc>
          <w:tcPr>
            <w:tcW w:w="756" w:type="dxa"/>
            <w:shd w:val="clear" w:color="auto" w:fill="D9D9D9"/>
          </w:tcPr>
          <w:p>
            <w:pPr>
              <w:pStyle w:val="TableParagraph"/>
              <w:spacing w:line="177" w:lineRule="exact"/>
              <w:ind w:right="143"/>
              <w:rPr>
                <w:rFonts w:ascii="Carlito"/>
                <w:sz w:val="16"/>
              </w:rPr>
            </w:pPr>
            <w:r>
              <w:rPr>
                <w:rFonts w:ascii="Carlito"/>
                <w:sz w:val="16"/>
              </w:rPr>
              <w:t>254</w:t>
            </w:r>
          </w:p>
        </w:tc>
        <w:tc>
          <w:tcPr>
            <w:tcW w:w="1938" w:type="dxa"/>
            <w:shd w:val="clear" w:color="auto" w:fill="D9D9D9"/>
          </w:tcPr>
          <w:p>
            <w:pPr>
              <w:pStyle w:val="TableParagraph"/>
              <w:spacing w:line="177" w:lineRule="exact"/>
              <w:ind w:left="143"/>
              <w:jc w:val="left"/>
              <w:rPr>
                <w:rFonts w:ascii="Carlito" w:hAnsi="Carlito"/>
                <w:sz w:val="16"/>
              </w:rPr>
            </w:pPr>
            <w:r>
              <w:rPr>
                <w:rFonts w:ascii="Carlito" w:hAnsi="Carlito"/>
                <w:sz w:val="16"/>
              </w:rPr>
              <w:t>Tres Ríos</w:t>
            </w:r>
          </w:p>
        </w:tc>
        <w:tc>
          <w:tcPr>
            <w:tcW w:w="655" w:type="dxa"/>
            <w:shd w:val="clear" w:color="auto" w:fill="D9D9D9"/>
          </w:tcPr>
          <w:p>
            <w:pPr>
              <w:pStyle w:val="TableParagraph"/>
              <w:spacing w:line="177" w:lineRule="exact"/>
              <w:ind w:right="129"/>
              <w:rPr>
                <w:rFonts w:ascii="Carlito"/>
                <w:sz w:val="16"/>
              </w:rPr>
            </w:pPr>
            <w:r>
              <w:rPr>
                <w:rFonts w:ascii="Carlito"/>
                <w:sz w:val="16"/>
              </w:rPr>
              <w:t>1</w:t>
            </w:r>
          </w:p>
        </w:tc>
        <w:tc>
          <w:tcPr>
            <w:tcW w:w="1258" w:type="dxa"/>
            <w:shd w:val="clear" w:color="auto" w:fill="D9D9D9"/>
          </w:tcPr>
          <w:p>
            <w:pPr>
              <w:pStyle w:val="TableParagraph"/>
              <w:spacing w:line="177" w:lineRule="exact"/>
              <w:ind w:left="131"/>
              <w:jc w:val="left"/>
              <w:rPr>
                <w:rFonts w:ascii="Carlito"/>
                <w:sz w:val="16"/>
              </w:rPr>
            </w:pPr>
            <w:r>
              <w:rPr>
                <w:rFonts w:ascii="Carlito"/>
                <w:sz w:val="16"/>
              </w:rPr>
              <w:t>$155,000.00</w:t>
            </w:r>
          </w:p>
        </w:tc>
        <w:tc>
          <w:tcPr>
            <w:tcW w:w="1100" w:type="dxa"/>
            <w:shd w:val="clear" w:color="auto" w:fill="D9D9D9"/>
          </w:tcPr>
          <w:p>
            <w:pPr>
              <w:pStyle w:val="TableParagraph"/>
              <w:spacing w:line="177" w:lineRule="exact"/>
              <w:ind w:right="340"/>
              <w:rPr>
                <w:rFonts w:ascii="Carlito"/>
                <w:sz w:val="16"/>
              </w:rPr>
            </w:pPr>
            <w:r>
              <w:rPr>
                <w:rFonts w:ascii="Carlito"/>
                <w:sz w:val="16"/>
              </w:rPr>
              <w:t>160</w:t>
            </w:r>
          </w:p>
        </w:tc>
        <w:tc>
          <w:tcPr>
            <w:tcW w:w="1125" w:type="dxa"/>
            <w:shd w:val="clear" w:color="auto" w:fill="D9D9D9"/>
          </w:tcPr>
          <w:p>
            <w:pPr>
              <w:pStyle w:val="TableParagraph"/>
              <w:spacing w:line="177" w:lineRule="exact"/>
              <w:ind w:left="320" w:right="439"/>
              <w:jc w:val="center"/>
              <w:rPr>
                <w:rFonts w:ascii="Carlito"/>
                <w:sz w:val="16"/>
              </w:rPr>
            </w:pPr>
            <w:r>
              <w:rPr>
                <w:rFonts w:ascii="Carlito"/>
                <w:sz w:val="16"/>
              </w:rPr>
              <w:t>2006</w:t>
            </w:r>
          </w:p>
        </w:tc>
        <w:tc>
          <w:tcPr>
            <w:tcW w:w="782" w:type="dxa"/>
            <w:shd w:val="clear" w:color="auto" w:fill="D9D9D9"/>
          </w:tcPr>
          <w:p>
            <w:pPr>
              <w:pStyle w:val="TableParagraph"/>
              <w:spacing w:line="177" w:lineRule="exact"/>
              <w:ind w:right="233"/>
              <w:rPr>
                <w:rFonts w:ascii="Carlito"/>
                <w:sz w:val="16"/>
              </w:rPr>
            </w:pPr>
            <w:r>
              <w:rPr>
                <w:rFonts w:ascii="Carlito"/>
                <w:sz w:val="16"/>
              </w:rPr>
              <w:t>3</w:t>
            </w:r>
          </w:p>
        </w:tc>
        <w:tc>
          <w:tcPr>
            <w:tcW w:w="744" w:type="dxa"/>
            <w:shd w:val="clear" w:color="auto" w:fill="D9D9D9"/>
          </w:tcPr>
          <w:p>
            <w:pPr>
              <w:pStyle w:val="TableParagraph"/>
              <w:spacing w:line="177" w:lineRule="exact"/>
              <w:ind w:right="301"/>
              <w:rPr>
                <w:rFonts w:ascii="Carlito"/>
                <w:sz w:val="16"/>
              </w:rPr>
            </w:pPr>
            <w:r>
              <w:rPr>
                <w:rFonts w:ascii="Carlito"/>
                <w:sz w:val="16"/>
              </w:rPr>
              <w:t>2.5</w:t>
            </w:r>
          </w:p>
        </w:tc>
        <w:tc>
          <w:tcPr>
            <w:tcW w:w="815" w:type="dxa"/>
            <w:shd w:val="clear" w:color="auto" w:fill="D9D9D9"/>
          </w:tcPr>
          <w:p>
            <w:pPr>
              <w:pStyle w:val="TableParagraph"/>
              <w:spacing w:line="177" w:lineRule="exact"/>
              <w:ind w:left="304"/>
              <w:jc w:val="left"/>
              <w:rPr>
                <w:rFonts w:ascii="Carlito"/>
                <w:sz w:val="16"/>
              </w:rPr>
            </w:pPr>
            <w:r>
              <w:rPr>
                <w:rFonts w:ascii="Carlito"/>
                <w:sz w:val="16"/>
              </w:rPr>
              <w:t>2</w:t>
            </w:r>
          </w:p>
        </w:tc>
        <w:tc>
          <w:tcPr>
            <w:tcW w:w="1287" w:type="dxa"/>
            <w:shd w:val="clear" w:color="auto" w:fill="D9D9D9"/>
          </w:tcPr>
          <w:p>
            <w:pPr>
              <w:pStyle w:val="TableParagraph"/>
              <w:spacing w:line="177" w:lineRule="exact"/>
              <w:ind w:right="566"/>
              <w:rPr>
                <w:rFonts w:ascii="Carlito"/>
                <w:sz w:val="16"/>
              </w:rPr>
            </w:pPr>
            <w:r>
              <w:rPr>
                <w:rFonts w:ascii="Carlito"/>
                <w:sz w:val="16"/>
              </w:rPr>
              <w:t>12.6</w:t>
            </w:r>
          </w:p>
        </w:tc>
        <w:tc>
          <w:tcPr>
            <w:tcW w:w="1141" w:type="dxa"/>
            <w:shd w:val="clear" w:color="auto" w:fill="D9D9D9"/>
          </w:tcPr>
          <w:p>
            <w:pPr>
              <w:pStyle w:val="TableParagraph"/>
              <w:spacing w:line="177" w:lineRule="exact"/>
              <w:ind w:right="355"/>
              <w:rPr>
                <w:rFonts w:ascii="Carlito"/>
                <w:sz w:val="16"/>
              </w:rPr>
            </w:pPr>
            <w:r>
              <w:rPr>
                <w:rFonts w:ascii="Carlito"/>
                <w:sz w:val="16"/>
              </w:rPr>
              <w:t>3</w:t>
            </w:r>
          </w:p>
        </w:tc>
        <w:tc>
          <w:tcPr>
            <w:tcW w:w="825" w:type="dxa"/>
            <w:shd w:val="clear" w:color="auto" w:fill="D9D9D9"/>
          </w:tcPr>
          <w:p>
            <w:pPr>
              <w:pStyle w:val="TableParagraph"/>
              <w:spacing w:line="177" w:lineRule="exact"/>
              <w:ind w:right="372"/>
              <w:rPr>
                <w:rFonts w:ascii="Carlito"/>
                <w:sz w:val="16"/>
              </w:rPr>
            </w:pPr>
            <w:r>
              <w:rPr>
                <w:rFonts w:ascii="Carlito"/>
                <w:sz w:val="16"/>
              </w:rPr>
              <w:t>0</w:t>
            </w:r>
          </w:p>
        </w:tc>
        <w:tc>
          <w:tcPr>
            <w:tcW w:w="529" w:type="dxa"/>
            <w:shd w:val="clear" w:color="auto" w:fill="D9D9D9"/>
          </w:tcPr>
          <w:p>
            <w:pPr>
              <w:pStyle w:val="TableParagraph"/>
              <w:spacing w:line="177" w:lineRule="exact"/>
              <w:ind w:right="57"/>
              <w:rPr>
                <w:rFonts w:ascii="Carlito"/>
                <w:sz w:val="16"/>
              </w:rPr>
            </w:pPr>
            <w:r>
              <w:rPr>
                <w:rFonts w:ascii="Carlito"/>
                <w:sz w:val="16"/>
              </w:rPr>
              <w:t>1</w:t>
            </w:r>
          </w:p>
        </w:tc>
      </w:tr>
      <w:tr>
        <w:trPr>
          <w:trHeight w:val="288" w:hRule="atLeast"/>
        </w:trPr>
        <w:tc>
          <w:tcPr>
            <w:tcW w:w="756" w:type="dxa"/>
          </w:tcPr>
          <w:p>
            <w:pPr>
              <w:pStyle w:val="TableParagraph"/>
              <w:spacing w:before="92"/>
              <w:ind w:right="143"/>
              <w:rPr>
                <w:rFonts w:ascii="Carlito"/>
                <w:sz w:val="16"/>
              </w:rPr>
            </w:pPr>
            <w:r>
              <w:rPr>
                <w:rFonts w:ascii="Carlito"/>
                <w:sz w:val="16"/>
              </w:rPr>
              <w:t>255</w:t>
            </w:r>
          </w:p>
        </w:tc>
        <w:tc>
          <w:tcPr>
            <w:tcW w:w="1938" w:type="dxa"/>
          </w:tcPr>
          <w:p>
            <w:pPr>
              <w:pStyle w:val="TableParagraph"/>
              <w:spacing w:before="92"/>
              <w:ind w:left="143"/>
              <w:jc w:val="left"/>
              <w:rPr>
                <w:rFonts w:ascii="Carlito" w:hAnsi="Carlito"/>
                <w:sz w:val="16"/>
              </w:rPr>
            </w:pPr>
            <w:r>
              <w:rPr>
                <w:rFonts w:ascii="Carlito" w:hAnsi="Carlito"/>
                <w:sz w:val="16"/>
              </w:rPr>
              <w:t>Tres Ríos</w:t>
            </w:r>
          </w:p>
        </w:tc>
        <w:tc>
          <w:tcPr>
            <w:tcW w:w="655" w:type="dxa"/>
          </w:tcPr>
          <w:p>
            <w:pPr>
              <w:pStyle w:val="TableParagraph"/>
              <w:spacing w:before="92"/>
              <w:ind w:right="129"/>
              <w:rPr>
                <w:rFonts w:ascii="Carlito"/>
                <w:sz w:val="16"/>
              </w:rPr>
            </w:pPr>
            <w:r>
              <w:rPr>
                <w:rFonts w:ascii="Carlito"/>
                <w:sz w:val="16"/>
              </w:rPr>
              <w:t>1</w:t>
            </w:r>
          </w:p>
        </w:tc>
        <w:tc>
          <w:tcPr>
            <w:tcW w:w="1258" w:type="dxa"/>
          </w:tcPr>
          <w:p>
            <w:pPr>
              <w:pStyle w:val="TableParagraph"/>
              <w:spacing w:before="92"/>
              <w:ind w:left="131"/>
              <w:jc w:val="left"/>
              <w:rPr>
                <w:rFonts w:ascii="Carlito"/>
                <w:sz w:val="16"/>
              </w:rPr>
            </w:pPr>
            <w:r>
              <w:rPr>
                <w:rFonts w:ascii="Carlito"/>
                <w:sz w:val="16"/>
              </w:rPr>
              <w:t>$153,000.00</w:t>
            </w:r>
          </w:p>
        </w:tc>
        <w:tc>
          <w:tcPr>
            <w:tcW w:w="1100" w:type="dxa"/>
          </w:tcPr>
          <w:p>
            <w:pPr>
              <w:pStyle w:val="TableParagraph"/>
              <w:spacing w:before="92"/>
              <w:ind w:right="340"/>
              <w:rPr>
                <w:rFonts w:ascii="Carlito"/>
                <w:sz w:val="16"/>
              </w:rPr>
            </w:pPr>
            <w:r>
              <w:rPr>
                <w:rFonts w:ascii="Carlito"/>
                <w:sz w:val="16"/>
              </w:rPr>
              <w:t>124</w:t>
            </w:r>
          </w:p>
        </w:tc>
        <w:tc>
          <w:tcPr>
            <w:tcW w:w="1125" w:type="dxa"/>
          </w:tcPr>
          <w:p>
            <w:pPr>
              <w:pStyle w:val="TableParagraph"/>
              <w:spacing w:before="92"/>
              <w:ind w:left="320" w:right="439"/>
              <w:jc w:val="center"/>
              <w:rPr>
                <w:rFonts w:ascii="Carlito"/>
                <w:sz w:val="16"/>
              </w:rPr>
            </w:pPr>
            <w:r>
              <w:rPr>
                <w:rFonts w:ascii="Carlito"/>
                <w:sz w:val="16"/>
              </w:rPr>
              <w:t>2006</w:t>
            </w:r>
          </w:p>
        </w:tc>
        <w:tc>
          <w:tcPr>
            <w:tcW w:w="782" w:type="dxa"/>
          </w:tcPr>
          <w:p>
            <w:pPr>
              <w:pStyle w:val="TableParagraph"/>
              <w:spacing w:before="92"/>
              <w:ind w:right="233"/>
              <w:rPr>
                <w:rFonts w:ascii="Carlito"/>
                <w:sz w:val="16"/>
              </w:rPr>
            </w:pPr>
            <w:r>
              <w:rPr>
                <w:rFonts w:ascii="Carlito"/>
                <w:sz w:val="16"/>
              </w:rPr>
              <w:t>3</w:t>
            </w:r>
          </w:p>
        </w:tc>
        <w:tc>
          <w:tcPr>
            <w:tcW w:w="744" w:type="dxa"/>
          </w:tcPr>
          <w:p>
            <w:pPr>
              <w:pStyle w:val="TableParagraph"/>
              <w:spacing w:before="92"/>
              <w:ind w:right="296"/>
              <w:rPr>
                <w:rFonts w:ascii="Carlito"/>
                <w:sz w:val="16"/>
              </w:rPr>
            </w:pPr>
            <w:r>
              <w:rPr>
                <w:rFonts w:ascii="Carlito"/>
                <w:sz w:val="16"/>
              </w:rPr>
              <w:t>2</w:t>
            </w:r>
          </w:p>
        </w:tc>
        <w:tc>
          <w:tcPr>
            <w:tcW w:w="815" w:type="dxa"/>
          </w:tcPr>
          <w:p>
            <w:pPr>
              <w:pStyle w:val="TableParagraph"/>
              <w:spacing w:before="92"/>
              <w:ind w:left="304"/>
              <w:jc w:val="left"/>
              <w:rPr>
                <w:rFonts w:ascii="Carlito"/>
                <w:sz w:val="16"/>
              </w:rPr>
            </w:pPr>
            <w:r>
              <w:rPr>
                <w:rFonts w:ascii="Carlito"/>
                <w:sz w:val="16"/>
              </w:rPr>
              <w:t>1</w:t>
            </w:r>
          </w:p>
        </w:tc>
        <w:tc>
          <w:tcPr>
            <w:tcW w:w="1287" w:type="dxa"/>
          </w:tcPr>
          <w:p>
            <w:pPr>
              <w:pStyle w:val="TableParagraph"/>
              <w:spacing w:before="92"/>
              <w:ind w:right="566"/>
              <w:rPr>
                <w:rFonts w:ascii="Carlito"/>
                <w:sz w:val="16"/>
              </w:rPr>
            </w:pPr>
            <w:r>
              <w:rPr>
                <w:rFonts w:ascii="Carlito"/>
                <w:sz w:val="16"/>
              </w:rPr>
              <w:t>12.6</w:t>
            </w:r>
          </w:p>
        </w:tc>
        <w:tc>
          <w:tcPr>
            <w:tcW w:w="1141" w:type="dxa"/>
          </w:tcPr>
          <w:p>
            <w:pPr>
              <w:pStyle w:val="TableParagraph"/>
              <w:spacing w:before="92"/>
              <w:ind w:right="355"/>
              <w:rPr>
                <w:rFonts w:ascii="Carlito"/>
                <w:sz w:val="16"/>
              </w:rPr>
            </w:pPr>
            <w:r>
              <w:rPr>
                <w:rFonts w:ascii="Carlito"/>
                <w:sz w:val="16"/>
              </w:rPr>
              <w:t>3</w:t>
            </w:r>
          </w:p>
        </w:tc>
        <w:tc>
          <w:tcPr>
            <w:tcW w:w="825" w:type="dxa"/>
          </w:tcPr>
          <w:p>
            <w:pPr>
              <w:pStyle w:val="TableParagraph"/>
              <w:spacing w:before="92"/>
              <w:ind w:right="372"/>
              <w:rPr>
                <w:rFonts w:ascii="Carlito"/>
                <w:sz w:val="16"/>
              </w:rPr>
            </w:pPr>
            <w:r>
              <w:rPr>
                <w:rFonts w:ascii="Carlito"/>
                <w:sz w:val="16"/>
              </w:rPr>
              <w:t>0</w:t>
            </w:r>
          </w:p>
        </w:tc>
        <w:tc>
          <w:tcPr>
            <w:tcW w:w="529" w:type="dxa"/>
          </w:tcPr>
          <w:p>
            <w:pPr>
              <w:pStyle w:val="TableParagraph"/>
              <w:spacing w:before="92"/>
              <w:ind w:right="57"/>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256</w:t>
            </w:r>
          </w:p>
        </w:tc>
        <w:tc>
          <w:tcPr>
            <w:tcW w:w="1938" w:type="dxa"/>
            <w:shd w:val="clear" w:color="auto" w:fill="D9D9D9"/>
          </w:tcPr>
          <w:p>
            <w:pPr>
              <w:pStyle w:val="TableParagraph"/>
              <w:ind w:left="143"/>
              <w:jc w:val="left"/>
              <w:rPr>
                <w:rFonts w:ascii="Carlito" w:hAnsi="Carlito"/>
                <w:sz w:val="16"/>
              </w:rPr>
            </w:pPr>
            <w:r>
              <w:rPr>
                <w:rFonts w:ascii="Carlito" w:hAnsi="Carlito"/>
                <w:sz w:val="16"/>
              </w:rPr>
              <w:t>Tres Ríos</w:t>
            </w:r>
          </w:p>
        </w:tc>
        <w:tc>
          <w:tcPr>
            <w:tcW w:w="655" w:type="dxa"/>
            <w:shd w:val="clear" w:color="auto" w:fill="D9D9D9"/>
          </w:tcPr>
          <w:p>
            <w:pPr>
              <w:pStyle w:val="TableParagraph"/>
              <w:ind w:right="129"/>
              <w:rPr>
                <w:rFonts w:ascii="Carlito"/>
                <w:sz w:val="16"/>
              </w:rPr>
            </w:pPr>
            <w:r>
              <w:rPr>
                <w:rFonts w:ascii="Carlito"/>
                <w:sz w:val="16"/>
              </w:rPr>
              <w:t>0</w:t>
            </w:r>
          </w:p>
        </w:tc>
        <w:tc>
          <w:tcPr>
            <w:tcW w:w="1258" w:type="dxa"/>
            <w:shd w:val="clear" w:color="auto" w:fill="D9D9D9"/>
          </w:tcPr>
          <w:p>
            <w:pPr>
              <w:pStyle w:val="TableParagraph"/>
              <w:ind w:left="131"/>
              <w:jc w:val="left"/>
              <w:rPr>
                <w:rFonts w:ascii="Carlito"/>
                <w:sz w:val="16"/>
              </w:rPr>
            </w:pPr>
            <w:r>
              <w:rPr>
                <w:rFonts w:ascii="Carlito"/>
                <w:sz w:val="16"/>
              </w:rPr>
              <w:t>$281,500.00</w:t>
            </w:r>
          </w:p>
        </w:tc>
        <w:tc>
          <w:tcPr>
            <w:tcW w:w="1100" w:type="dxa"/>
            <w:shd w:val="clear" w:color="auto" w:fill="D9D9D9"/>
          </w:tcPr>
          <w:p>
            <w:pPr>
              <w:pStyle w:val="TableParagraph"/>
              <w:ind w:right="340"/>
              <w:rPr>
                <w:rFonts w:ascii="Carlito"/>
                <w:sz w:val="16"/>
              </w:rPr>
            </w:pPr>
            <w:r>
              <w:rPr>
                <w:rFonts w:ascii="Carlito"/>
                <w:sz w:val="16"/>
              </w:rPr>
              <w:t>184</w:t>
            </w:r>
          </w:p>
        </w:tc>
        <w:tc>
          <w:tcPr>
            <w:tcW w:w="1125" w:type="dxa"/>
            <w:shd w:val="clear" w:color="auto" w:fill="D9D9D9"/>
          </w:tcPr>
          <w:p>
            <w:pPr>
              <w:pStyle w:val="TableParagraph"/>
              <w:ind w:left="320" w:right="439"/>
              <w:jc w:val="center"/>
              <w:rPr>
                <w:rFonts w:ascii="Carlito"/>
                <w:sz w:val="16"/>
              </w:rPr>
            </w:pPr>
            <w:r>
              <w:rPr>
                <w:rFonts w:ascii="Carlito"/>
                <w:sz w:val="16"/>
              </w:rPr>
              <w:t>2016</w:t>
            </w:r>
          </w:p>
        </w:tc>
        <w:tc>
          <w:tcPr>
            <w:tcW w:w="782" w:type="dxa"/>
            <w:shd w:val="clear" w:color="auto" w:fill="D9D9D9"/>
          </w:tcPr>
          <w:p>
            <w:pPr>
              <w:pStyle w:val="TableParagraph"/>
              <w:ind w:right="233"/>
              <w:rPr>
                <w:rFonts w:ascii="Carlito"/>
                <w:sz w:val="16"/>
              </w:rPr>
            </w:pPr>
            <w:r>
              <w:rPr>
                <w:rFonts w:ascii="Carlito"/>
                <w:sz w:val="16"/>
              </w:rPr>
              <w:t>4</w:t>
            </w:r>
          </w:p>
        </w:tc>
        <w:tc>
          <w:tcPr>
            <w:tcW w:w="744" w:type="dxa"/>
            <w:shd w:val="clear" w:color="auto" w:fill="D9D9D9"/>
          </w:tcPr>
          <w:p>
            <w:pPr>
              <w:pStyle w:val="TableParagraph"/>
              <w:ind w:right="301"/>
              <w:rPr>
                <w:rFonts w:ascii="Carlito"/>
                <w:sz w:val="16"/>
              </w:rPr>
            </w:pPr>
            <w:r>
              <w:rPr>
                <w:rFonts w:ascii="Carlito"/>
                <w:sz w:val="16"/>
              </w:rPr>
              <w:t>3.5</w:t>
            </w:r>
          </w:p>
        </w:tc>
        <w:tc>
          <w:tcPr>
            <w:tcW w:w="815" w:type="dxa"/>
            <w:shd w:val="clear" w:color="auto" w:fill="D9D9D9"/>
          </w:tcPr>
          <w:p>
            <w:pPr>
              <w:pStyle w:val="TableParagraph"/>
              <w:ind w:left="304"/>
              <w:jc w:val="left"/>
              <w:rPr>
                <w:rFonts w:ascii="Carlito"/>
                <w:sz w:val="16"/>
              </w:rPr>
            </w:pPr>
            <w:r>
              <w:rPr>
                <w:rFonts w:ascii="Carlito"/>
                <w:sz w:val="16"/>
              </w:rPr>
              <w:t>2</w:t>
            </w:r>
          </w:p>
        </w:tc>
        <w:tc>
          <w:tcPr>
            <w:tcW w:w="1287" w:type="dxa"/>
            <w:shd w:val="clear" w:color="auto" w:fill="D9D9D9"/>
          </w:tcPr>
          <w:p>
            <w:pPr>
              <w:pStyle w:val="TableParagraph"/>
              <w:ind w:right="566"/>
              <w:rPr>
                <w:rFonts w:ascii="Carlito"/>
                <w:sz w:val="16"/>
              </w:rPr>
            </w:pPr>
            <w:r>
              <w:rPr>
                <w:rFonts w:ascii="Carlito"/>
                <w:sz w:val="16"/>
              </w:rPr>
              <w:t>12.6</w:t>
            </w:r>
          </w:p>
        </w:tc>
        <w:tc>
          <w:tcPr>
            <w:tcW w:w="1141" w:type="dxa"/>
            <w:shd w:val="clear" w:color="auto" w:fill="D9D9D9"/>
          </w:tcPr>
          <w:p>
            <w:pPr>
              <w:pStyle w:val="TableParagraph"/>
              <w:ind w:right="355"/>
              <w:rPr>
                <w:rFonts w:ascii="Carlito"/>
                <w:sz w:val="16"/>
              </w:rPr>
            </w:pPr>
            <w:r>
              <w:rPr>
                <w:rFonts w:ascii="Carlito"/>
                <w:sz w:val="16"/>
              </w:rPr>
              <w:t>3</w:t>
            </w:r>
          </w:p>
        </w:tc>
        <w:tc>
          <w:tcPr>
            <w:tcW w:w="825" w:type="dxa"/>
            <w:shd w:val="clear" w:color="auto" w:fill="D9D9D9"/>
          </w:tcPr>
          <w:p>
            <w:pPr>
              <w:pStyle w:val="TableParagraph"/>
              <w:ind w:right="372"/>
              <w:rPr>
                <w:rFonts w:ascii="Carlito"/>
                <w:sz w:val="16"/>
              </w:rPr>
            </w:pPr>
            <w:r>
              <w:rPr>
                <w:rFonts w:ascii="Carlito"/>
                <w:sz w:val="16"/>
              </w:rPr>
              <w:t>0</w:t>
            </w:r>
          </w:p>
        </w:tc>
        <w:tc>
          <w:tcPr>
            <w:tcW w:w="529" w:type="dxa"/>
            <w:shd w:val="clear" w:color="auto" w:fill="D9D9D9"/>
          </w:tcPr>
          <w:p>
            <w:pPr>
              <w:pStyle w:val="TableParagraph"/>
              <w:ind w:right="57"/>
              <w:rPr>
                <w:rFonts w:ascii="Carlito"/>
                <w:sz w:val="16"/>
              </w:rPr>
            </w:pPr>
            <w:r>
              <w:rPr>
                <w:rFonts w:ascii="Carlito"/>
                <w:sz w:val="16"/>
              </w:rPr>
              <w:t>0</w:t>
            </w:r>
          </w:p>
        </w:tc>
      </w:tr>
      <w:tr>
        <w:trPr>
          <w:trHeight w:val="392" w:hRule="atLeast"/>
        </w:trPr>
        <w:tc>
          <w:tcPr>
            <w:tcW w:w="756" w:type="dxa"/>
          </w:tcPr>
          <w:p>
            <w:pPr>
              <w:pStyle w:val="TableParagraph"/>
              <w:spacing w:line="240" w:lineRule="auto" w:before="0"/>
              <w:jc w:val="left"/>
              <w:rPr>
                <w:b/>
                <w:sz w:val="17"/>
              </w:rPr>
            </w:pPr>
          </w:p>
          <w:p>
            <w:pPr>
              <w:pStyle w:val="TableParagraph"/>
              <w:spacing w:before="0"/>
              <w:ind w:right="143"/>
              <w:rPr>
                <w:rFonts w:ascii="Carlito"/>
                <w:sz w:val="16"/>
              </w:rPr>
            </w:pPr>
            <w:r>
              <w:rPr>
                <w:rFonts w:ascii="Carlito"/>
                <w:sz w:val="16"/>
              </w:rPr>
              <w:t>257</w:t>
            </w:r>
          </w:p>
        </w:tc>
        <w:tc>
          <w:tcPr>
            <w:tcW w:w="1938" w:type="dxa"/>
          </w:tcPr>
          <w:p>
            <w:pPr>
              <w:pStyle w:val="TableParagraph"/>
              <w:spacing w:line="195" w:lineRule="exact" w:before="0"/>
              <w:ind w:left="143"/>
              <w:jc w:val="left"/>
              <w:rPr>
                <w:rFonts w:ascii="Carlito" w:hAnsi="Carlito"/>
                <w:sz w:val="16"/>
              </w:rPr>
            </w:pPr>
            <w:r>
              <w:rPr>
                <w:rFonts w:ascii="Carlito" w:hAnsi="Carlito"/>
                <w:sz w:val="16"/>
              </w:rPr>
              <w:t>Concepción de Tres</w:t>
            </w:r>
          </w:p>
          <w:p>
            <w:pPr>
              <w:pStyle w:val="TableParagraph"/>
              <w:spacing w:before="0"/>
              <w:ind w:left="143"/>
              <w:jc w:val="left"/>
              <w:rPr>
                <w:rFonts w:ascii="Carlito" w:hAnsi="Carlito"/>
                <w:sz w:val="16"/>
              </w:rPr>
            </w:pPr>
            <w:r>
              <w:rPr>
                <w:rFonts w:ascii="Carlito" w:hAnsi="Carlito"/>
                <w:sz w:val="16"/>
              </w:rPr>
              <w:t>Ríos</w:t>
            </w:r>
          </w:p>
        </w:tc>
        <w:tc>
          <w:tcPr>
            <w:tcW w:w="655" w:type="dxa"/>
          </w:tcPr>
          <w:p>
            <w:pPr>
              <w:pStyle w:val="TableParagraph"/>
              <w:spacing w:line="240" w:lineRule="auto" w:before="0"/>
              <w:jc w:val="left"/>
              <w:rPr>
                <w:b/>
                <w:sz w:val="17"/>
              </w:rPr>
            </w:pPr>
          </w:p>
          <w:p>
            <w:pPr>
              <w:pStyle w:val="TableParagraph"/>
              <w:spacing w:before="0"/>
              <w:ind w:right="129"/>
              <w:rPr>
                <w:rFonts w:ascii="Carlito"/>
                <w:sz w:val="16"/>
              </w:rPr>
            </w:pPr>
            <w:r>
              <w:rPr>
                <w:rFonts w:ascii="Carlito"/>
                <w:sz w:val="16"/>
              </w:rPr>
              <w:t>0</w:t>
            </w:r>
          </w:p>
        </w:tc>
        <w:tc>
          <w:tcPr>
            <w:tcW w:w="1258" w:type="dxa"/>
          </w:tcPr>
          <w:p>
            <w:pPr>
              <w:pStyle w:val="TableParagraph"/>
              <w:spacing w:line="240" w:lineRule="auto" w:before="0"/>
              <w:jc w:val="left"/>
              <w:rPr>
                <w:b/>
                <w:sz w:val="17"/>
              </w:rPr>
            </w:pPr>
          </w:p>
          <w:p>
            <w:pPr>
              <w:pStyle w:val="TableParagraph"/>
              <w:spacing w:before="0"/>
              <w:ind w:left="131"/>
              <w:jc w:val="left"/>
              <w:rPr>
                <w:rFonts w:ascii="Carlito"/>
                <w:sz w:val="16"/>
              </w:rPr>
            </w:pPr>
            <w:r>
              <w:rPr>
                <w:rFonts w:ascii="Carlito"/>
                <w:sz w:val="16"/>
              </w:rPr>
              <w:t>$115,000.00</w:t>
            </w:r>
          </w:p>
        </w:tc>
        <w:tc>
          <w:tcPr>
            <w:tcW w:w="1100" w:type="dxa"/>
          </w:tcPr>
          <w:p>
            <w:pPr>
              <w:pStyle w:val="TableParagraph"/>
              <w:spacing w:line="240" w:lineRule="auto" w:before="0"/>
              <w:jc w:val="left"/>
              <w:rPr>
                <w:b/>
                <w:sz w:val="17"/>
              </w:rPr>
            </w:pPr>
          </w:p>
          <w:p>
            <w:pPr>
              <w:pStyle w:val="TableParagraph"/>
              <w:spacing w:before="0"/>
              <w:ind w:right="340"/>
              <w:rPr>
                <w:rFonts w:ascii="Carlito"/>
                <w:sz w:val="16"/>
              </w:rPr>
            </w:pPr>
            <w:r>
              <w:rPr>
                <w:rFonts w:ascii="Carlito"/>
                <w:sz w:val="16"/>
              </w:rPr>
              <w:t>122</w:t>
            </w:r>
          </w:p>
        </w:tc>
        <w:tc>
          <w:tcPr>
            <w:tcW w:w="1125" w:type="dxa"/>
          </w:tcPr>
          <w:p>
            <w:pPr>
              <w:pStyle w:val="TableParagraph"/>
              <w:spacing w:line="240" w:lineRule="auto" w:before="0"/>
              <w:jc w:val="left"/>
              <w:rPr>
                <w:b/>
                <w:sz w:val="17"/>
              </w:rPr>
            </w:pPr>
          </w:p>
          <w:p>
            <w:pPr>
              <w:pStyle w:val="TableParagraph"/>
              <w:spacing w:before="0"/>
              <w:ind w:left="320" w:right="439"/>
              <w:jc w:val="center"/>
              <w:rPr>
                <w:rFonts w:ascii="Carlito"/>
                <w:sz w:val="16"/>
              </w:rPr>
            </w:pPr>
            <w:r>
              <w:rPr>
                <w:rFonts w:ascii="Carlito"/>
                <w:sz w:val="16"/>
              </w:rPr>
              <w:t>2007</w:t>
            </w:r>
          </w:p>
        </w:tc>
        <w:tc>
          <w:tcPr>
            <w:tcW w:w="782" w:type="dxa"/>
          </w:tcPr>
          <w:p>
            <w:pPr>
              <w:pStyle w:val="TableParagraph"/>
              <w:spacing w:line="240" w:lineRule="auto" w:before="0"/>
              <w:jc w:val="left"/>
              <w:rPr>
                <w:b/>
                <w:sz w:val="17"/>
              </w:rPr>
            </w:pPr>
          </w:p>
          <w:p>
            <w:pPr>
              <w:pStyle w:val="TableParagraph"/>
              <w:spacing w:before="0"/>
              <w:ind w:right="233"/>
              <w:rPr>
                <w:rFonts w:ascii="Carlito"/>
                <w:sz w:val="16"/>
              </w:rPr>
            </w:pPr>
            <w:r>
              <w:rPr>
                <w:rFonts w:ascii="Carlito"/>
                <w:sz w:val="16"/>
              </w:rPr>
              <w:t>3</w:t>
            </w:r>
          </w:p>
        </w:tc>
        <w:tc>
          <w:tcPr>
            <w:tcW w:w="744" w:type="dxa"/>
          </w:tcPr>
          <w:p>
            <w:pPr>
              <w:pStyle w:val="TableParagraph"/>
              <w:spacing w:line="240" w:lineRule="auto" w:before="0"/>
              <w:jc w:val="left"/>
              <w:rPr>
                <w:b/>
                <w:sz w:val="17"/>
              </w:rPr>
            </w:pPr>
          </w:p>
          <w:p>
            <w:pPr>
              <w:pStyle w:val="TableParagraph"/>
              <w:spacing w:before="0"/>
              <w:ind w:right="296"/>
              <w:rPr>
                <w:rFonts w:ascii="Carlito"/>
                <w:sz w:val="16"/>
              </w:rPr>
            </w:pPr>
            <w:r>
              <w:rPr>
                <w:rFonts w:ascii="Carlito"/>
                <w:sz w:val="16"/>
              </w:rPr>
              <w:t>2</w:t>
            </w:r>
          </w:p>
        </w:tc>
        <w:tc>
          <w:tcPr>
            <w:tcW w:w="815" w:type="dxa"/>
          </w:tcPr>
          <w:p>
            <w:pPr>
              <w:pStyle w:val="TableParagraph"/>
              <w:spacing w:line="240" w:lineRule="auto" w:before="0"/>
              <w:jc w:val="left"/>
              <w:rPr>
                <w:b/>
                <w:sz w:val="17"/>
              </w:rPr>
            </w:pPr>
          </w:p>
          <w:p>
            <w:pPr>
              <w:pStyle w:val="TableParagraph"/>
              <w:spacing w:before="0"/>
              <w:ind w:left="304"/>
              <w:jc w:val="left"/>
              <w:rPr>
                <w:rFonts w:ascii="Carlito"/>
                <w:sz w:val="16"/>
              </w:rPr>
            </w:pPr>
            <w:r>
              <w:rPr>
                <w:rFonts w:ascii="Carlito"/>
                <w:sz w:val="16"/>
              </w:rPr>
              <w:t>1</w:t>
            </w:r>
          </w:p>
        </w:tc>
        <w:tc>
          <w:tcPr>
            <w:tcW w:w="1287" w:type="dxa"/>
          </w:tcPr>
          <w:p>
            <w:pPr>
              <w:pStyle w:val="TableParagraph"/>
              <w:spacing w:line="240" w:lineRule="auto" w:before="0"/>
              <w:jc w:val="left"/>
              <w:rPr>
                <w:b/>
                <w:sz w:val="17"/>
              </w:rPr>
            </w:pPr>
          </w:p>
          <w:p>
            <w:pPr>
              <w:pStyle w:val="TableParagraph"/>
              <w:spacing w:before="0"/>
              <w:ind w:right="566"/>
              <w:rPr>
                <w:rFonts w:ascii="Carlito"/>
                <w:sz w:val="16"/>
              </w:rPr>
            </w:pPr>
            <w:r>
              <w:rPr>
                <w:rFonts w:ascii="Carlito"/>
                <w:sz w:val="16"/>
              </w:rPr>
              <w:t>10.7</w:t>
            </w:r>
          </w:p>
        </w:tc>
        <w:tc>
          <w:tcPr>
            <w:tcW w:w="1141" w:type="dxa"/>
          </w:tcPr>
          <w:p>
            <w:pPr>
              <w:pStyle w:val="TableParagraph"/>
              <w:spacing w:line="240" w:lineRule="auto" w:before="0"/>
              <w:jc w:val="left"/>
              <w:rPr>
                <w:b/>
                <w:sz w:val="17"/>
              </w:rPr>
            </w:pPr>
          </w:p>
          <w:p>
            <w:pPr>
              <w:pStyle w:val="TableParagraph"/>
              <w:spacing w:before="0"/>
              <w:ind w:right="359"/>
              <w:rPr>
                <w:rFonts w:ascii="Carlito"/>
                <w:sz w:val="16"/>
              </w:rPr>
            </w:pPr>
            <w:r>
              <w:rPr>
                <w:rFonts w:ascii="Carlito"/>
                <w:sz w:val="16"/>
              </w:rPr>
              <w:t>4.9</w:t>
            </w:r>
          </w:p>
        </w:tc>
        <w:tc>
          <w:tcPr>
            <w:tcW w:w="825" w:type="dxa"/>
          </w:tcPr>
          <w:p>
            <w:pPr>
              <w:pStyle w:val="TableParagraph"/>
              <w:spacing w:line="240" w:lineRule="auto" w:before="0"/>
              <w:jc w:val="left"/>
              <w:rPr>
                <w:b/>
                <w:sz w:val="17"/>
              </w:rPr>
            </w:pPr>
          </w:p>
          <w:p>
            <w:pPr>
              <w:pStyle w:val="TableParagraph"/>
              <w:spacing w:before="0"/>
              <w:ind w:right="372"/>
              <w:rPr>
                <w:rFonts w:ascii="Carlito"/>
                <w:sz w:val="16"/>
              </w:rPr>
            </w:pPr>
            <w:r>
              <w:rPr>
                <w:rFonts w:ascii="Carlito"/>
                <w:sz w:val="16"/>
              </w:rPr>
              <w:t>0</w:t>
            </w:r>
          </w:p>
        </w:tc>
        <w:tc>
          <w:tcPr>
            <w:tcW w:w="529" w:type="dxa"/>
          </w:tcPr>
          <w:p>
            <w:pPr>
              <w:pStyle w:val="TableParagraph"/>
              <w:spacing w:line="240" w:lineRule="auto" w:before="0"/>
              <w:jc w:val="left"/>
              <w:rPr>
                <w:b/>
                <w:sz w:val="17"/>
              </w:rPr>
            </w:pPr>
          </w:p>
          <w:p>
            <w:pPr>
              <w:pStyle w:val="TableParagraph"/>
              <w:spacing w:before="0"/>
              <w:ind w:right="57"/>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258</w:t>
            </w:r>
          </w:p>
        </w:tc>
        <w:tc>
          <w:tcPr>
            <w:tcW w:w="1938" w:type="dxa"/>
            <w:shd w:val="clear" w:color="auto" w:fill="D9D9D9"/>
          </w:tcPr>
          <w:p>
            <w:pPr>
              <w:pStyle w:val="TableParagraph"/>
              <w:ind w:left="143"/>
              <w:jc w:val="left"/>
              <w:rPr>
                <w:rFonts w:ascii="Carlito" w:hAnsi="Carlito"/>
                <w:sz w:val="16"/>
              </w:rPr>
            </w:pPr>
            <w:r>
              <w:rPr>
                <w:rFonts w:ascii="Carlito" w:hAnsi="Carlito"/>
                <w:sz w:val="16"/>
              </w:rPr>
              <w:t>San Diego Tres Ríos</w:t>
            </w:r>
          </w:p>
        </w:tc>
        <w:tc>
          <w:tcPr>
            <w:tcW w:w="655" w:type="dxa"/>
            <w:shd w:val="clear" w:color="auto" w:fill="D9D9D9"/>
          </w:tcPr>
          <w:p>
            <w:pPr>
              <w:pStyle w:val="TableParagraph"/>
              <w:ind w:right="129"/>
              <w:rPr>
                <w:rFonts w:ascii="Carlito"/>
                <w:sz w:val="16"/>
              </w:rPr>
            </w:pPr>
            <w:r>
              <w:rPr>
                <w:rFonts w:ascii="Carlito"/>
                <w:sz w:val="16"/>
              </w:rPr>
              <w:t>1</w:t>
            </w:r>
          </w:p>
        </w:tc>
        <w:tc>
          <w:tcPr>
            <w:tcW w:w="1258" w:type="dxa"/>
            <w:shd w:val="clear" w:color="auto" w:fill="D9D9D9"/>
          </w:tcPr>
          <w:p>
            <w:pPr>
              <w:pStyle w:val="TableParagraph"/>
              <w:ind w:left="131"/>
              <w:jc w:val="left"/>
              <w:rPr>
                <w:rFonts w:ascii="Carlito"/>
                <w:sz w:val="16"/>
              </w:rPr>
            </w:pPr>
            <w:r>
              <w:rPr>
                <w:rFonts w:ascii="Carlito"/>
                <w:sz w:val="16"/>
              </w:rPr>
              <w:t>$251,000.00</w:t>
            </w:r>
          </w:p>
        </w:tc>
        <w:tc>
          <w:tcPr>
            <w:tcW w:w="1100" w:type="dxa"/>
            <w:shd w:val="clear" w:color="auto" w:fill="D9D9D9"/>
          </w:tcPr>
          <w:p>
            <w:pPr>
              <w:pStyle w:val="TableParagraph"/>
              <w:ind w:right="340"/>
              <w:rPr>
                <w:rFonts w:ascii="Carlito"/>
                <w:sz w:val="16"/>
              </w:rPr>
            </w:pPr>
            <w:r>
              <w:rPr>
                <w:rFonts w:ascii="Carlito"/>
                <w:sz w:val="16"/>
              </w:rPr>
              <w:t>168</w:t>
            </w:r>
          </w:p>
        </w:tc>
        <w:tc>
          <w:tcPr>
            <w:tcW w:w="1125" w:type="dxa"/>
            <w:shd w:val="clear" w:color="auto" w:fill="D9D9D9"/>
          </w:tcPr>
          <w:p>
            <w:pPr>
              <w:pStyle w:val="TableParagraph"/>
              <w:ind w:left="320" w:right="439"/>
              <w:jc w:val="center"/>
              <w:rPr>
                <w:rFonts w:ascii="Carlito"/>
                <w:sz w:val="16"/>
              </w:rPr>
            </w:pPr>
            <w:r>
              <w:rPr>
                <w:rFonts w:ascii="Carlito"/>
                <w:sz w:val="16"/>
              </w:rPr>
              <w:t>2006</w:t>
            </w:r>
          </w:p>
        </w:tc>
        <w:tc>
          <w:tcPr>
            <w:tcW w:w="782" w:type="dxa"/>
            <w:shd w:val="clear" w:color="auto" w:fill="D9D9D9"/>
          </w:tcPr>
          <w:p>
            <w:pPr>
              <w:pStyle w:val="TableParagraph"/>
              <w:ind w:right="233"/>
              <w:rPr>
                <w:rFonts w:ascii="Carlito"/>
                <w:sz w:val="16"/>
              </w:rPr>
            </w:pPr>
            <w:r>
              <w:rPr>
                <w:rFonts w:ascii="Carlito"/>
                <w:sz w:val="16"/>
              </w:rPr>
              <w:t>3</w:t>
            </w:r>
          </w:p>
        </w:tc>
        <w:tc>
          <w:tcPr>
            <w:tcW w:w="744" w:type="dxa"/>
            <w:shd w:val="clear" w:color="auto" w:fill="D9D9D9"/>
          </w:tcPr>
          <w:p>
            <w:pPr>
              <w:pStyle w:val="TableParagraph"/>
              <w:ind w:right="296"/>
              <w:rPr>
                <w:rFonts w:ascii="Carlito"/>
                <w:sz w:val="16"/>
              </w:rPr>
            </w:pPr>
            <w:r>
              <w:rPr>
                <w:rFonts w:ascii="Carlito"/>
                <w:sz w:val="16"/>
              </w:rPr>
              <w:t>2</w:t>
            </w:r>
          </w:p>
        </w:tc>
        <w:tc>
          <w:tcPr>
            <w:tcW w:w="815" w:type="dxa"/>
            <w:shd w:val="clear" w:color="auto" w:fill="D9D9D9"/>
          </w:tcPr>
          <w:p>
            <w:pPr>
              <w:pStyle w:val="TableParagraph"/>
              <w:ind w:left="304"/>
              <w:jc w:val="left"/>
              <w:rPr>
                <w:rFonts w:ascii="Carlito"/>
                <w:sz w:val="16"/>
              </w:rPr>
            </w:pPr>
            <w:r>
              <w:rPr>
                <w:rFonts w:ascii="Carlito"/>
                <w:sz w:val="16"/>
              </w:rPr>
              <w:t>2</w:t>
            </w:r>
          </w:p>
        </w:tc>
        <w:tc>
          <w:tcPr>
            <w:tcW w:w="1287" w:type="dxa"/>
            <w:shd w:val="clear" w:color="auto" w:fill="D9D9D9"/>
          </w:tcPr>
          <w:p>
            <w:pPr>
              <w:pStyle w:val="TableParagraph"/>
              <w:ind w:right="566"/>
              <w:rPr>
                <w:rFonts w:ascii="Carlito"/>
                <w:sz w:val="16"/>
              </w:rPr>
            </w:pPr>
            <w:r>
              <w:rPr>
                <w:rFonts w:ascii="Carlito"/>
                <w:sz w:val="16"/>
              </w:rPr>
              <w:t>9.9</w:t>
            </w:r>
          </w:p>
        </w:tc>
        <w:tc>
          <w:tcPr>
            <w:tcW w:w="1141" w:type="dxa"/>
            <w:shd w:val="clear" w:color="auto" w:fill="D9D9D9"/>
          </w:tcPr>
          <w:p>
            <w:pPr>
              <w:pStyle w:val="TableParagraph"/>
              <w:ind w:right="355"/>
              <w:rPr>
                <w:rFonts w:ascii="Carlito"/>
                <w:sz w:val="16"/>
              </w:rPr>
            </w:pPr>
            <w:r>
              <w:rPr>
                <w:rFonts w:ascii="Carlito"/>
                <w:sz w:val="16"/>
              </w:rPr>
              <w:t>1</w:t>
            </w:r>
          </w:p>
        </w:tc>
        <w:tc>
          <w:tcPr>
            <w:tcW w:w="825" w:type="dxa"/>
            <w:shd w:val="clear" w:color="auto" w:fill="D9D9D9"/>
          </w:tcPr>
          <w:p>
            <w:pPr>
              <w:pStyle w:val="TableParagraph"/>
              <w:ind w:right="372"/>
              <w:rPr>
                <w:rFonts w:ascii="Carlito"/>
                <w:sz w:val="16"/>
              </w:rPr>
            </w:pPr>
            <w:r>
              <w:rPr>
                <w:rFonts w:ascii="Carlito"/>
                <w:sz w:val="16"/>
              </w:rPr>
              <w:t>0</w:t>
            </w:r>
          </w:p>
        </w:tc>
        <w:tc>
          <w:tcPr>
            <w:tcW w:w="529" w:type="dxa"/>
            <w:shd w:val="clear" w:color="auto" w:fill="D9D9D9"/>
          </w:tcPr>
          <w:p>
            <w:pPr>
              <w:pStyle w:val="TableParagraph"/>
              <w:ind w:right="57"/>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259</w:t>
            </w:r>
          </w:p>
        </w:tc>
        <w:tc>
          <w:tcPr>
            <w:tcW w:w="1938" w:type="dxa"/>
          </w:tcPr>
          <w:p>
            <w:pPr>
              <w:pStyle w:val="TableParagraph"/>
              <w:ind w:left="143"/>
              <w:jc w:val="left"/>
              <w:rPr>
                <w:rFonts w:ascii="Carlito"/>
                <w:sz w:val="16"/>
              </w:rPr>
            </w:pPr>
            <w:r>
              <w:rPr>
                <w:rFonts w:ascii="Carlito"/>
                <w:sz w:val="16"/>
              </w:rPr>
              <w:t>Residencial Omega</w:t>
            </w:r>
          </w:p>
        </w:tc>
        <w:tc>
          <w:tcPr>
            <w:tcW w:w="655" w:type="dxa"/>
          </w:tcPr>
          <w:p>
            <w:pPr>
              <w:pStyle w:val="TableParagraph"/>
              <w:ind w:right="129"/>
              <w:rPr>
                <w:rFonts w:ascii="Carlito"/>
                <w:sz w:val="16"/>
              </w:rPr>
            </w:pPr>
            <w:r>
              <w:rPr>
                <w:rFonts w:ascii="Carlito"/>
                <w:sz w:val="16"/>
              </w:rPr>
              <w:t>1</w:t>
            </w:r>
          </w:p>
        </w:tc>
        <w:tc>
          <w:tcPr>
            <w:tcW w:w="1258" w:type="dxa"/>
          </w:tcPr>
          <w:p>
            <w:pPr>
              <w:pStyle w:val="TableParagraph"/>
              <w:ind w:left="131"/>
              <w:jc w:val="left"/>
              <w:rPr>
                <w:rFonts w:ascii="Carlito"/>
                <w:sz w:val="16"/>
              </w:rPr>
            </w:pPr>
            <w:r>
              <w:rPr>
                <w:rFonts w:ascii="Carlito"/>
                <w:sz w:val="16"/>
              </w:rPr>
              <w:t>$189,000.00</w:t>
            </w:r>
          </w:p>
        </w:tc>
        <w:tc>
          <w:tcPr>
            <w:tcW w:w="1100" w:type="dxa"/>
          </w:tcPr>
          <w:p>
            <w:pPr>
              <w:pStyle w:val="TableParagraph"/>
              <w:ind w:right="340"/>
              <w:rPr>
                <w:rFonts w:ascii="Carlito"/>
                <w:sz w:val="16"/>
              </w:rPr>
            </w:pPr>
            <w:r>
              <w:rPr>
                <w:rFonts w:ascii="Carlito"/>
                <w:sz w:val="16"/>
              </w:rPr>
              <w:t>185</w:t>
            </w:r>
          </w:p>
        </w:tc>
        <w:tc>
          <w:tcPr>
            <w:tcW w:w="1125" w:type="dxa"/>
          </w:tcPr>
          <w:p>
            <w:pPr>
              <w:pStyle w:val="TableParagraph"/>
              <w:ind w:left="320" w:right="439"/>
              <w:jc w:val="center"/>
              <w:rPr>
                <w:rFonts w:ascii="Carlito"/>
                <w:sz w:val="16"/>
              </w:rPr>
            </w:pPr>
            <w:r>
              <w:rPr>
                <w:rFonts w:ascii="Carlito"/>
                <w:sz w:val="16"/>
              </w:rPr>
              <w:t>2006</w:t>
            </w:r>
          </w:p>
        </w:tc>
        <w:tc>
          <w:tcPr>
            <w:tcW w:w="782" w:type="dxa"/>
          </w:tcPr>
          <w:p>
            <w:pPr>
              <w:pStyle w:val="TableParagraph"/>
              <w:ind w:right="233"/>
              <w:rPr>
                <w:rFonts w:ascii="Carlito"/>
                <w:sz w:val="16"/>
              </w:rPr>
            </w:pPr>
            <w:r>
              <w:rPr>
                <w:rFonts w:ascii="Carlito"/>
                <w:sz w:val="16"/>
              </w:rPr>
              <w:t>3</w:t>
            </w:r>
          </w:p>
        </w:tc>
        <w:tc>
          <w:tcPr>
            <w:tcW w:w="744" w:type="dxa"/>
          </w:tcPr>
          <w:p>
            <w:pPr>
              <w:pStyle w:val="TableParagraph"/>
              <w:ind w:right="296"/>
              <w:rPr>
                <w:rFonts w:ascii="Carlito"/>
                <w:sz w:val="16"/>
              </w:rPr>
            </w:pPr>
            <w:r>
              <w:rPr>
                <w:rFonts w:ascii="Carlito"/>
                <w:sz w:val="16"/>
              </w:rPr>
              <w:t>2</w:t>
            </w:r>
          </w:p>
        </w:tc>
        <w:tc>
          <w:tcPr>
            <w:tcW w:w="815" w:type="dxa"/>
          </w:tcPr>
          <w:p>
            <w:pPr>
              <w:pStyle w:val="TableParagraph"/>
              <w:ind w:left="304"/>
              <w:jc w:val="left"/>
              <w:rPr>
                <w:rFonts w:ascii="Carlito"/>
                <w:sz w:val="16"/>
              </w:rPr>
            </w:pPr>
            <w:r>
              <w:rPr>
                <w:rFonts w:ascii="Carlito"/>
                <w:sz w:val="16"/>
              </w:rPr>
              <w:t>2</w:t>
            </w:r>
          </w:p>
        </w:tc>
        <w:tc>
          <w:tcPr>
            <w:tcW w:w="1287" w:type="dxa"/>
          </w:tcPr>
          <w:p>
            <w:pPr>
              <w:pStyle w:val="TableParagraph"/>
              <w:ind w:right="567"/>
              <w:rPr>
                <w:rFonts w:ascii="Carlito"/>
                <w:sz w:val="16"/>
              </w:rPr>
            </w:pPr>
            <w:r>
              <w:rPr>
                <w:rFonts w:ascii="Carlito"/>
                <w:sz w:val="16"/>
              </w:rPr>
              <w:t>11</w:t>
            </w:r>
          </w:p>
        </w:tc>
        <w:tc>
          <w:tcPr>
            <w:tcW w:w="1141" w:type="dxa"/>
          </w:tcPr>
          <w:p>
            <w:pPr>
              <w:pStyle w:val="TableParagraph"/>
              <w:ind w:right="355"/>
              <w:rPr>
                <w:rFonts w:ascii="Carlito"/>
                <w:sz w:val="16"/>
              </w:rPr>
            </w:pPr>
            <w:r>
              <w:rPr>
                <w:rFonts w:ascii="Carlito"/>
                <w:sz w:val="16"/>
              </w:rPr>
              <w:t>2</w:t>
            </w:r>
          </w:p>
        </w:tc>
        <w:tc>
          <w:tcPr>
            <w:tcW w:w="825" w:type="dxa"/>
          </w:tcPr>
          <w:p>
            <w:pPr>
              <w:pStyle w:val="TableParagraph"/>
              <w:ind w:right="372"/>
              <w:rPr>
                <w:rFonts w:ascii="Carlito"/>
                <w:sz w:val="16"/>
              </w:rPr>
            </w:pPr>
            <w:r>
              <w:rPr>
                <w:rFonts w:ascii="Carlito"/>
                <w:sz w:val="16"/>
              </w:rPr>
              <w:t>0</w:t>
            </w:r>
          </w:p>
        </w:tc>
        <w:tc>
          <w:tcPr>
            <w:tcW w:w="529" w:type="dxa"/>
          </w:tcPr>
          <w:p>
            <w:pPr>
              <w:pStyle w:val="TableParagraph"/>
              <w:ind w:right="57"/>
              <w:rPr>
                <w:rFonts w:ascii="Carlito"/>
                <w:sz w:val="16"/>
              </w:rPr>
            </w:pPr>
            <w:r>
              <w:rPr>
                <w:rFonts w:ascii="Carlito"/>
                <w:sz w:val="16"/>
              </w:rPr>
              <w:t>0</w:t>
            </w:r>
          </w:p>
        </w:tc>
      </w:tr>
      <w:tr>
        <w:trPr>
          <w:trHeight w:val="388" w:hRule="atLeast"/>
        </w:trPr>
        <w:tc>
          <w:tcPr>
            <w:tcW w:w="756" w:type="dxa"/>
            <w:shd w:val="clear" w:color="auto" w:fill="D9D9D9"/>
          </w:tcPr>
          <w:p>
            <w:pPr>
              <w:pStyle w:val="TableParagraph"/>
              <w:spacing w:line="240" w:lineRule="auto" w:before="8"/>
              <w:jc w:val="left"/>
              <w:rPr>
                <w:b/>
                <w:sz w:val="16"/>
              </w:rPr>
            </w:pPr>
          </w:p>
          <w:p>
            <w:pPr>
              <w:pStyle w:val="TableParagraph"/>
              <w:spacing w:before="0"/>
              <w:ind w:right="143"/>
              <w:rPr>
                <w:rFonts w:ascii="Carlito"/>
                <w:sz w:val="16"/>
              </w:rPr>
            </w:pPr>
            <w:r>
              <w:rPr>
                <w:rFonts w:ascii="Carlito"/>
                <w:sz w:val="16"/>
              </w:rPr>
              <w:t>260</w:t>
            </w:r>
          </w:p>
        </w:tc>
        <w:tc>
          <w:tcPr>
            <w:tcW w:w="1938" w:type="dxa"/>
            <w:shd w:val="clear" w:color="auto" w:fill="D9D9D9"/>
          </w:tcPr>
          <w:p>
            <w:pPr>
              <w:pStyle w:val="TableParagraph"/>
              <w:spacing w:line="191" w:lineRule="exact" w:before="0"/>
              <w:ind w:left="143"/>
              <w:jc w:val="left"/>
              <w:rPr>
                <w:rFonts w:ascii="Carlito" w:hAnsi="Carlito"/>
                <w:sz w:val="16"/>
              </w:rPr>
            </w:pPr>
            <w:r>
              <w:rPr>
                <w:rFonts w:ascii="Carlito" w:hAnsi="Carlito"/>
                <w:sz w:val="16"/>
              </w:rPr>
              <w:t>Concepción de Tres</w:t>
            </w:r>
          </w:p>
          <w:p>
            <w:pPr>
              <w:pStyle w:val="TableParagraph"/>
              <w:spacing w:before="0"/>
              <w:ind w:left="143"/>
              <w:jc w:val="left"/>
              <w:rPr>
                <w:rFonts w:ascii="Carlito" w:hAnsi="Carlito"/>
                <w:sz w:val="16"/>
              </w:rPr>
            </w:pPr>
            <w:r>
              <w:rPr>
                <w:rFonts w:ascii="Carlito" w:hAnsi="Carlito"/>
                <w:sz w:val="16"/>
              </w:rPr>
              <w:t>Ríos</w:t>
            </w:r>
          </w:p>
        </w:tc>
        <w:tc>
          <w:tcPr>
            <w:tcW w:w="655" w:type="dxa"/>
            <w:shd w:val="clear" w:color="auto" w:fill="D9D9D9"/>
          </w:tcPr>
          <w:p>
            <w:pPr>
              <w:pStyle w:val="TableParagraph"/>
              <w:spacing w:line="240" w:lineRule="auto" w:before="8"/>
              <w:jc w:val="left"/>
              <w:rPr>
                <w:b/>
                <w:sz w:val="16"/>
              </w:rPr>
            </w:pPr>
          </w:p>
          <w:p>
            <w:pPr>
              <w:pStyle w:val="TableParagraph"/>
              <w:spacing w:before="0"/>
              <w:ind w:right="129"/>
              <w:rPr>
                <w:rFonts w:ascii="Carlito"/>
                <w:sz w:val="16"/>
              </w:rPr>
            </w:pPr>
            <w:r>
              <w:rPr>
                <w:rFonts w:ascii="Carlito"/>
                <w:sz w:val="16"/>
              </w:rPr>
              <w:t>0</w:t>
            </w:r>
          </w:p>
        </w:tc>
        <w:tc>
          <w:tcPr>
            <w:tcW w:w="1258" w:type="dxa"/>
            <w:shd w:val="clear" w:color="auto" w:fill="D9D9D9"/>
          </w:tcPr>
          <w:p>
            <w:pPr>
              <w:pStyle w:val="TableParagraph"/>
              <w:spacing w:line="240" w:lineRule="auto" w:before="8"/>
              <w:jc w:val="left"/>
              <w:rPr>
                <w:b/>
                <w:sz w:val="16"/>
              </w:rPr>
            </w:pPr>
          </w:p>
          <w:p>
            <w:pPr>
              <w:pStyle w:val="TableParagraph"/>
              <w:spacing w:before="0"/>
              <w:ind w:left="131"/>
              <w:jc w:val="left"/>
              <w:rPr>
                <w:rFonts w:ascii="Carlito"/>
                <w:sz w:val="16"/>
              </w:rPr>
            </w:pPr>
            <w:r>
              <w:rPr>
                <w:rFonts w:ascii="Carlito"/>
                <w:sz w:val="16"/>
              </w:rPr>
              <w:t>$170,000.00</w:t>
            </w:r>
          </w:p>
        </w:tc>
        <w:tc>
          <w:tcPr>
            <w:tcW w:w="1100" w:type="dxa"/>
            <w:shd w:val="clear" w:color="auto" w:fill="D9D9D9"/>
          </w:tcPr>
          <w:p>
            <w:pPr>
              <w:pStyle w:val="TableParagraph"/>
              <w:spacing w:line="240" w:lineRule="auto" w:before="8"/>
              <w:jc w:val="left"/>
              <w:rPr>
                <w:b/>
                <w:sz w:val="16"/>
              </w:rPr>
            </w:pPr>
          </w:p>
          <w:p>
            <w:pPr>
              <w:pStyle w:val="TableParagraph"/>
              <w:spacing w:before="0"/>
              <w:ind w:right="340"/>
              <w:rPr>
                <w:rFonts w:ascii="Carlito"/>
                <w:sz w:val="16"/>
              </w:rPr>
            </w:pPr>
            <w:r>
              <w:rPr>
                <w:rFonts w:ascii="Carlito"/>
                <w:sz w:val="16"/>
              </w:rPr>
              <w:t>158</w:t>
            </w:r>
          </w:p>
        </w:tc>
        <w:tc>
          <w:tcPr>
            <w:tcW w:w="1125" w:type="dxa"/>
            <w:shd w:val="clear" w:color="auto" w:fill="D9D9D9"/>
          </w:tcPr>
          <w:p>
            <w:pPr>
              <w:pStyle w:val="TableParagraph"/>
              <w:spacing w:line="240" w:lineRule="auto" w:before="8"/>
              <w:jc w:val="left"/>
              <w:rPr>
                <w:b/>
                <w:sz w:val="16"/>
              </w:rPr>
            </w:pPr>
          </w:p>
          <w:p>
            <w:pPr>
              <w:pStyle w:val="TableParagraph"/>
              <w:spacing w:before="0"/>
              <w:ind w:left="320" w:right="439"/>
              <w:jc w:val="center"/>
              <w:rPr>
                <w:rFonts w:ascii="Carlito"/>
                <w:sz w:val="16"/>
              </w:rPr>
            </w:pPr>
            <w:r>
              <w:rPr>
                <w:rFonts w:ascii="Carlito"/>
                <w:sz w:val="16"/>
              </w:rPr>
              <w:t>2016</w:t>
            </w:r>
          </w:p>
        </w:tc>
        <w:tc>
          <w:tcPr>
            <w:tcW w:w="782" w:type="dxa"/>
            <w:shd w:val="clear" w:color="auto" w:fill="D9D9D9"/>
          </w:tcPr>
          <w:p>
            <w:pPr>
              <w:pStyle w:val="TableParagraph"/>
              <w:spacing w:line="240" w:lineRule="auto" w:before="8"/>
              <w:jc w:val="left"/>
              <w:rPr>
                <w:b/>
                <w:sz w:val="16"/>
              </w:rPr>
            </w:pPr>
          </w:p>
          <w:p>
            <w:pPr>
              <w:pStyle w:val="TableParagraph"/>
              <w:spacing w:before="0"/>
              <w:ind w:right="233"/>
              <w:rPr>
                <w:rFonts w:ascii="Carlito"/>
                <w:sz w:val="16"/>
              </w:rPr>
            </w:pPr>
            <w:r>
              <w:rPr>
                <w:rFonts w:ascii="Carlito"/>
                <w:sz w:val="16"/>
              </w:rPr>
              <w:t>3</w:t>
            </w:r>
          </w:p>
        </w:tc>
        <w:tc>
          <w:tcPr>
            <w:tcW w:w="744" w:type="dxa"/>
            <w:shd w:val="clear" w:color="auto" w:fill="D9D9D9"/>
          </w:tcPr>
          <w:p>
            <w:pPr>
              <w:pStyle w:val="TableParagraph"/>
              <w:spacing w:line="240" w:lineRule="auto" w:before="8"/>
              <w:jc w:val="left"/>
              <w:rPr>
                <w:b/>
                <w:sz w:val="16"/>
              </w:rPr>
            </w:pPr>
          </w:p>
          <w:p>
            <w:pPr>
              <w:pStyle w:val="TableParagraph"/>
              <w:spacing w:before="0"/>
              <w:ind w:right="301"/>
              <w:rPr>
                <w:rFonts w:ascii="Carlito"/>
                <w:sz w:val="16"/>
              </w:rPr>
            </w:pPr>
            <w:r>
              <w:rPr>
                <w:rFonts w:ascii="Carlito"/>
                <w:sz w:val="16"/>
              </w:rPr>
              <w:t>2.5</w:t>
            </w:r>
          </w:p>
        </w:tc>
        <w:tc>
          <w:tcPr>
            <w:tcW w:w="815" w:type="dxa"/>
            <w:shd w:val="clear" w:color="auto" w:fill="D9D9D9"/>
          </w:tcPr>
          <w:p>
            <w:pPr>
              <w:pStyle w:val="TableParagraph"/>
              <w:spacing w:line="240" w:lineRule="auto" w:before="8"/>
              <w:jc w:val="left"/>
              <w:rPr>
                <w:b/>
                <w:sz w:val="16"/>
              </w:rPr>
            </w:pPr>
          </w:p>
          <w:p>
            <w:pPr>
              <w:pStyle w:val="TableParagraph"/>
              <w:spacing w:before="0"/>
              <w:ind w:left="304"/>
              <w:jc w:val="left"/>
              <w:rPr>
                <w:rFonts w:ascii="Carlito"/>
                <w:sz w:val="16"/>
              </w:rPr>
            </w:pPr>
            <w:r>
              <w:rPr>
                <w:rFonts w:ascii="Carlito"/>
                <w:sz w:val="16"/>
              </w:rPr>
              <w:t>2</w:t>
            </w:r>
          </w:p>
        </w:tc>
        <w:tc>
          <w:tcPr>
            <w:tcW w:w="1287" w:type="dxa"/>
            <w:shd w:val="clear" w:color="auto" w:fill="D9D9D9"/>
          </w:tcPr>
          <w:p>
            <w:pPr>
              <w:pStyle w:val="TableParagraph"/>
              <w:spacing w:line="240" w:lineRule="auto" w:before="8"/>
              <w:jc w:val="left"/>
              <w:rPr>
                <w:b/>
                <w:sz w:val="16"/>
              </w:rPr>
            </w:pPr>
          </w:p>
          <w:p>
            <w:pPr>
              <w:pStyle w:val="TableParagraph"/>
              <w:spacing w:before="0"/>
              <w:ind w:right="566"/>
              <w:rPr>
                <w:rFonts w:ascii="Carlito"/>
                <w:sz w:val="16"/>
              </w:rPr>
            </w:pPr>
            <w:r>
              <w:rPr>
                <w:rFonts w:ascii="Carlito"/>
                <w:sz w:val="16"/>
              </w:rPr>
              <w:t>10.7</w:t>
            </w:r>
          </w:p>
        </w:tc>
        <w:tc>
          <w:tcPr>
            <w:tcW w:w="1141" w:type="dxa"/>
            <w:shd w:val="clear" w:color="auto" w:fill="D9D9D9"/>
          </w:tcPr>
          <w:p>
            <w:pPr>
              <w:pStyle w:val="TableParagraph"/>
              <w:spacing w:line="240" w:lineRule="auto" w:before="8"/>
              <w:jc w:val="left"/>
              <w:rPr>
                <w:b/>
                <w:sz w:val="16"/>
              </w:rPr>
            </w:pPr>
          </w:p>
          <w:p>
            <w:pPr>
              <w:pStyle w:val="TableParagraph"/>
              <w:spacing w:before="0"/>
              <w:ind w:right="359"/>
              <w:rPr>
                <w:rFonts w:ascii="Carlito"/>
                <w:sz w:val="16"/>
              </w:rPr>
            </w:pPr>
            <w:r>
              <w:rPr>
                <w:rFonts w:ascii="Carlito"/>
                <w:sz w:val="16"/>
              </w:rPr>
              <w:t>4.9</w:t>
            </w:r>
          </w:p>
        </w:tc>
        <w:tc>
          <w:tcPr>
            <w:tcW w:w="825" w:type="dxa"/>
            <w:shd w:val="clear" w:color="auto" w:fill="D9D9D9"/>
          </w:tcPr>
          <w:p>
            <w:pPr>
              <w:pStyle w:val="TableParagraph"/>
              <w:spacing w:line="240" w:lineRule="auto" w:before="8"/>
              <w:jc w:val="left"/>
              <w:rPr>
                <w:b/>
                <w:sz w:val="16"/>
              </w:rPr>
            </w:pPr>
          </w:p>
          <w:p>
            <w:pPr>
              <w:pStyle w:val="TableParagraph"/>
              <w:spacing w:before="0"/>
              <w:ind w:right="372"/>
              <w:rPr>
                <w:rFonts w:ascii="Carlito"/>
                <w:sz w:val="16"/>
              </w:rPr>
            </w:pPr>
            <w:r>
              <w:rPr>
                <w:rFonts w:ascii="Carlito"/>
                <w:sz w:val="16"/>
              </w:rPr>
              <w:t>0</w:t>
            </w:r>
          </w:p>
        </w:tc>
        <w:tc>
          <w:tcPr>
            <w:tcW w:w="529" w:type="dxa"/>
            <w:shd w:val="clear" w:color="auto" w:fill="D9D9D9"/>
          </w:tcPr>
          <w:p>
            <w:pPr>
              <w:pStyle w:val="TableParagraph"/>
              <w:spacing w:line="240" w:lineRule="auto" w:before="8"/>
              <w:jc w:val="left"/>
              <w:rPr>
                <w:b/>
                <w:sz w:val="16"/>
              </w:rPr>
            </w:pPr>
          </w:p>
          <w:p>
            <w:pPr>
              <w:pStyle w:val="TableParagraph"/>
              <w:spacing w:before="0"/>
              <w:ind w:right="57"/>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261</w:t>
            </w:r>
          </w:p>
        </w:tc>
        <w:tc>
          <w:tcPr>
            <w:tcW w:w="1938" w:type="dxa"/>
          </w:tcPr>
          <w:p>
            <w:pPr>
              <w:pStyle w:val="TableParagraph"/>
              <w:spacing w:before="92"/>
              <w:ind w:left="143"/>
              <w:jc w:val="left"/>
              <w:rPr>
                <w:rFonts w:ascii="Carlito"/>
                <w:sz w:val="16"/>
              </w:rPr>
            </w:pPr>
            <w:r>
              <w:rPr>
                <w:rFonts w:ascii="Carlito"/>
                <w:sz w:val="16"/>
              </w:rPr>
              <w:t>Pinares</w:t>
            </w:r>
          </w:p>
        </w:tc>
        <w:tc>
          <w:tcPr>
            <w:tcW w:w="655" w:type="dxa"/>
          </w:tcPr>
          <w:p>
            <w:pPr>
              <w:pStyle w:val="TableParagraph"/>
              <w:spacing w:before="92"/>
              <w:ind w:right="129"/>
              <w:rPr>
                <w:rFonts w:ascii="Carlito"/>
                <w:sz w:val="16"/>
              </w:rPr>
            </w:pPr>
            <w:r>
              <w:rPr>
                <w:rFonts w:ascii="Carlito"/>
                <w:sz w:val="16"/>
              </w:rPr>
              <w:t>0</w:t>
            </w:r>
          </w:p>
        </w:tc>
        <w:tc>
          <w:tcPr>
            <w:tcW w:w="1258" w:type="dxa"/>
          </w:tcPr>
          <w:p>
            <w:pPr>
              <w:pStyle w:val="TableParagraph"/>
              <w:spacing w:before="92"/>
              <w:ind w:left="131"/>
              <w:jc w:val="left"/>
              <w:rPr>
                <w:rFonts w:ascii="Carlito"/>
                <w:sz w:val="16"/>
              </w:rPr>
            </w:pPr>
            <w:r>
              <w:rPr>
                <w:rFonts w:ascii="Carlito"/>
                <w:sz w:val="16"/>
              </w:rPr>
              <w:t>$700,000.00</w:t>
            </w:r>
          </w:p>
        </w:tc>
        <w:tc>
          <w:tcPr>
            <w:tcW w:w="1100" w:type="dxa"/>
          </w:tcPr>
          <w:p>
            <w:pPr>
              <w:pStyle w:val="TableParagraph"/>
              <w:spacing w:before="92"/>
              <w:ind w:right="340"/>
              <w:rPr>
                <w:rFonts w:ascii="Carlito"/>
                <w:sz w:val="16"/>
              </w:rPr>
            </w:pPr>
            <w:r>
              <w:rPr>
                <w:rFonts w:ascii="Carlito"/>
                <w:sz w:val="16"/>
              </w:rPr>
              <w:t>500</w:t>
            </w:r>
          </w:p>
        </w:tc>
        <w:tc>
          <w:tcPr>
            <w:tcW w:w="1125" w:type="dxa"/>
          </w:tcPr>
          <w:p>
            <w:pPr>
              <w:pStyle w:val="TableParagraph"/>
              <w:spacing w:before="92"/>
              <w:ind w:left="320" w:right="439"/>
              <w:jc w:val="center"/>
              <w:rPr>
                <w:rFonts w:ascii="Carlito"/>
                <w:sz w:val="16"/>
              </w:rPr>
            </w:pPr>
            <w:r>
              <w:rPr>
                <w:rFonts w:ascii="Carlito"/>
                <w:sz w:val="16"/>
              </w:rPr>
              <w:t>2006</w:t>
            </w:r>
          </w:p>
        </w:tc>
        <w:tc>
          <w:tcPr>
            <w:tcW w:w="782" w:type="dxa"/>
          </w:tcPr>
          <w:p>
            <w:pPr>
              <w:pStyle w:val="TableParagraph"/>
              <w:spacing w:before="92"/>
              <w:ind w:right="233"/>
              <w:rPr>
                <w:rFonts w:ascii="Carlito"/>
                <w:sz w:val="16"/>
              </w:rPr>
            </w:pPr>
            <w:r>
              <w:rPr>
                <w:rFonts w:ascii="Carlito"/>
                <w:sz w:val="16"/>
              </w:rPr>
              <w:t>4</w:t>
            </w:r>
          </w:p>
        </w:tc>
        <w:tc>
          <w:tcPr>
            <w:tcW w:w="744" w:type="dxa"/>
          </w:tcPr>
          <w:p>
            <w:pPr>
              <w:pStyle w:val="TableParagraph"/>
              <w:spacing w:before="92"/>
              <w:ind w:right="301"/>
              <w:rPr>
                <w:rFonts w:ascii="Carlito"/>
                <w:sz w:val="16"/>
              </w:rPr>
            </w:pPr>
            <w:r>
              <w:rPr>
                <w:rFonts w:ascii="Carlito"/>
                <w:sz w:val="16"/>
              </w:rPr>
              <w:t>3.5</w:t>
            </w:r>
          </w:p>
        </w:tc>
        <w:tc>
          <w:tcPr>
            <w:tcW w:w="815" w:type="dxa"/>
          </w:tcPr>
          <w:p>
            <w:pPr>
              <w:pStyle w:val="TableParagraph"/>
              <w:spacing w:before="92"/>
              <w:ind w:left="304"/>
              <w:jc w:val="left"/>
              <w:rPr>
                <w:rFonts w:ascii="Carlito"/>
                <w:sz w:val="16"/>
              </w:rPr>
            </w:pPr>
            <w:r>
              <w:rPr>
                <w:rFonts w:ascii="Carlito"/>
                <w:sz w:val="16"/>
              </w:rPr>
              <w:t>2</w:t>
            </w:r>
          </w:p>
        </w:tc>
        <w:tc>
          <w:tcPr>
            <w:tcW w:w="1287" w:type="dxa"/>
          </w:tcPr>
          <w:p>
            <w:pPr>
              <w:pStyle w:val="TableParagraph"/>
              <w:spacing w:before="92"/>
              <w:ind w:right="566"/>
              <w:rPr>
                <w:rFonts w:ascii="Carlito"/>
                <w:sz w:val="16"/>
              </w:rPr>
            </w:pPr>
            <w:r>
              <w:rPr>
                <w:rFonts w:ascii="Carlito"/>
                <w:sz w:val="16"/>
              </w:rPr>
              <w:t>7.4</w:t>
            </w:r>
          </w:p>
        </w:tc>
        <w:tc>
          <w:tcPr>
            <w:tcW w:w="1141" w:type="dxa"/>
          </w:tcPr>
          <w:p>
            <w:pPr>
              <w:pStyle w:val="TableParagraph"/>
              <w:spacing w:before="92"/>
              <w:ind w:right="359"/>
              <w:rPr>
                <w:rFonts w:ascii="Carlito"/>
                <w:sz w:val="16"/>
              </w:rPr>
            </w:pPr>
            <w:r>
              <w:rPr>
                <w:rFonts w:ascii="Carlito"/>
                <w:sz w:val="16"/>
              </w:rPr>
              <w:t>3.6</w:t>
            </w:r>
          </w:p>
        </w:tc>
        <w:tc>
          <w:tcPr>
            <w:tcW w:w="825" w:type="dxa"/>
          </w:tcPr>
          <w:p>
            <w:pPr>
              <w:pStyle w:val="TableParagraph"/>
              <w:spacing w:before="92"/>
              <w:ind w:right="372"/>
              <w:rPr>
                <w:rFonts w:ascii="Carlito"/>
                <w:sz w:val="16"/>
              </w:rPr>
            </w:pPr>
            <w:r>
              <w:rPr>
                <w:rFonts w:ascii="Carlito"/>
                <w:sz w:val="16"/>
              </w:rPr>
              <w:t>0</w:t>
            </w:r>
          </w:p>
        </w:tc>
        <w:tc>
          <w:tcPr>
            <w:tcW w:w="529" w:type="dxa"/>
          </w:tcPr>
          <w:p>
            <w:pPr>
              <w:pStyle w:val="TableParagraph"/>
              <w:spacing w:before="92"/>
              <w:ind w:right="57"/>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262</w:t>
            </w:r>
          </w:p>
        </w:tc>
        <w:tc>
          <w:tcPr>
            <w:tcW w:w="1938" w:type="dxa"/>
            <w:shd w:val="clear" w:color="auto" w:fill="D9D9D9"/>
          </w:tcPr>
          <w:p>
            <w:pPr>
              <w:pStyle w:val="TableParagraph"/>
              <w:ind w:left="143"/>
              <w:jc w:val="left"/>
              <w:rPr>
                <w:rFonts w:ascii="Carlito"/>
                <w:sz w:val="16"/>
              </w:rPr>
            </w:pPr>
            <w:r>
              <w:rPr>
                <w:rFonts w:ascii="Carlito"/>
                <w:sz w:val="16"/>
              </w:rPr>
              <w:t>Granadilla</w:t>
            </w:r>
          </w:p>
        </w:tc>
        <w:tc>
          <w:tcPr>
            <w:tcW w:w="655" w:type="dxa"/>
            <w:shd w:val="clear" w:color="auto" w:fill="D9D9D9"/>
          </w:tcPr>
          <w:p>
            <w:pPr>
              <w:pStyle w:val="TableParagraph"/>
              <w:ind w:right="129"/>
              <w:rPr>
                <w:rFonts w:ascii="Carlito"/>
                <w:sz w:val="16"/>
              </w:rPr>
            </w:pPr>
            <w:r>
              <w:rPr>
                <w:rFonts w:ascii="Carlito"/>
                <w:sz w:val="16"/>
              </w:rPr>
              <w:t>0</w:t>
            </w:r>
          </w:p>
        </w:tc>
        <w:tc>
          <w:tcPr>
            <w:tcW w:w="1258" w:type="dxa"/>
            <w:shd w:val="clear" w:color="auto" w:fill="D9D9D9"/>
          </w:tcPr>
          <w:p>
            <w:pPr>
              <w:pStyle w:val="TableParagraph"/>
              <w:ind w:left="131"/>
              <w:jc w:val="left"/>
              <w:rPr>
                <w:rFonts w:ascii="Carlito"/>
                <w:sz w:val="16"/>
              </w:rPr>
            </w:pPr>
            <w:r>
              <w:rPr>
                <w:rFonts w:ascii="Carlito"/>
                <w:sz w:val="16"/>
              </w:rPr>
              <w:t>$210,000.00</w:t>
            </w:r>
          </w:p>
        </w:tc>
        <w:tc>
          <w:tcPr>
            <w:tcW w:w="1100" w:type="dxa"/>
            <w:shd w:val="clear" w:color="auto" w:fill="D9D9D9"/>
          </w:tcPr>
          <w:p>
            <w:pPr>
              <w:pStyle w:val="TableParagraph"/>
              <w:ind w:right="340"/>
              <w:rPr>
                <w:rFonts w:ascii="Carlito"/>
                <w:sz w:val="16"/>
              </w:rPr>
            </w:pPr>
            <w:r>
              <w:rPr>
                <w:rFonts w:ascii="Carlito"/>
                <w:sz w:val="16"/>
              </w:rPr>
              <w:t>144</w:t>
            </w:r>
          </w:p>
        </w:tc>
        <w:tc>
          <w:tcPr>
            <w:tcW w:w="1125" w:type="dxa"/>
            <w:shd w:val="clear" w:color="auto" w:fill="D9D9D9"/>
          </w:tcPr>
          <w:p>
            <w:pPr>
              <w:pStyle w:val="TableParagraph"/>
              <w:ind w:left="320" w:right="439"/>
              <w:jc w:val="center"/>
              <w:rPr>
                <w:rFonts w:ascii="Carlito"/>
                <w:sz w:val="16"/>
              </w:rPr>
            </w:pPr>
            <w:r>
              <w:rPr>
                <w:rFonts w:ascii="Carlito"/>
                <w:sz w:val="16"/>
              </w:rPr>
              <w:t>2006</w:t>
            </w:r>
          </w:p>
        </w:tc>
        <w:tc>
          <w:tcPr>
            <w:tcW w:w="782" w:type="dxa"/>
            <w:shd w:val="clear" w:color="auto" w:fill="D9D9D9"/>
          </w:tcPr>
          <w:p>
            <w:pPr>
              <w:pStyle w:val="TableParagraph"/>
              <w:ind w:right="233"/>
              <w:rPr>
                <w:rFonts w:ascii="Carlito"/>
                <w:sz w:val="16"/>
              </w:rPr>
            </w:pPr>
            <w:r>
              <w:rPr>
                <w:rFonts w:ascii="Carlito"/>
                <w:sz w:val="16"/>
              </w:rPr>
              <w:t>3</w:t>
            </w:r>
          </w:p>
        </w:tc>
        <w:tc>
          <w:tcPr>
            <w:tcW w:w="744" w:type="dxa"/>
            <w:shd w:val="clear" w:color="auto" w:fill="D9D9D9"/>
          </w:tcPr>
          <w:p>
            <w:pPr>
              <w:pStyle w:val="TableParagraph"/>
              <w:ind w:right="301"/>
              <w:rPr>
                <w:rFonts w:ascii="Carlito"/>
                <w:sz w:val="16"/>
              </w:rPr>
            </w:pPr>
            <w:r>
              <w:rPr>
                <w:rFonts w:ascii="Carlito"/>
                <w:sz w:val="16"/>
              </w:rPr>
              <w:t>2.5</w:t>
            </w:r>
          </w:p>
        </w:tc>
        <w:tc>
          <w:tcPr>
            <w:tcW w:w="815" w:type="dxa"/>
            <w:shd w:val="clear" w:color="auto" w:fill="D9D9D9"/>
          </w:tcPr>
          <w:p>
            <w:pPr>
              <w:pStyle w:val="TableParagraph"/>
              <w:ind w:left="304"/>
              <w:jc w:val="left"/>
              <w:rPr>
                <w:rFonts w:ascii="Carlito"/>
                <w:sz w:val="16"/>
              </w:rPr>
            </w:pPr>
            <w:r>
              <w:rPr>
                <w:rFonts w:ascii="Carlito"/>
                <w:sz w:val="16"/>
              </w:rPr>
              <w:t>2</w:t>
            </w:r>
          </w:p>
        </w:tc>
        <w:tc>
          <w:tcPr>
            <w:tcW w:w="1287" w:type="dxa"/>
            <w:shd w:val="clear" w:color="auto" w:fill="D9D9D9"/>
          </w:tcPr>
          <w:p>
            <w:pPr>
              <w:pStyle w:val="TableParagraph"/>
              <w:ind w:right="566"/>
              <w:rPr>
                <w:rFonts w:ascii="Carlito"/>
                <w:sz w:val="16"/>
              </w:rPr>
            </w:pPr>
            <w:r>
              <w:rPr>
                <w:rFonts w:ascii="Carlito"/>
                <w:sz w:val="16"/>
              </w:rPr>
              <w:t>7.2</w:t>
            </w:r>
          </w:p>
        </w:tc>
        <w:tc>
          <w:tcPr>
            <w:tcW w:w="1141" w:type="dxa"/>
            <w:shd w:val="clear" w:color="auto" w:fill="D9D9D9"/>
          </w:tcPr>
          <w:p>
            <w:pPr>
              <w:pStyle w:val="TableParagraph"/>
              <w:ind w:right="359"/>
              <w:rPr>
                <w:rFonts w:ascii="Carlito"/>
                <w:sz w:val="16"/>
              </w:rPr>
            </w:pPr>
            <w:r>
              <w:rPr>
                <w:rFonts w:ascii="Carlito"/>
                <w:sz w:val="16"/>
              </w:rPr>
              <w:t>5.6</w:t>
            </w:r>
          </w:p>
        </w:tc>
        <w:tc>
          <w:tcPr>
            <w:tcW w:w="825" w:type="dxa"/>
            <w:shd w:val="clear" w:color="auto" w:fill="D9D9D9"/>
          </w:tcPr>
          <w:p>
            <w:pPr>
              <w:pStyle w:val="TableParagraph"/>
              <w:ind w:right="372"/>
              <w:rPr>
                <w:rFonts w:ascii="Carlito"/>
                <w:sz w:val="16"/>
              </w:rPr>
            </w:pPr>
            <w:r>
              <w:rPr>
                <w:rFonts w:ascii="Carlito"/>
                <w:sz w:val="16"/>
              </w:rPr>
              <w:t>1</w:t>
            </w:r>
          </w:p>
        </w:tc>
        <w:tc>
          <w:tcPr>
            <w:tcW w:w="529" w:type="dxa"/>
            <w:shd w:val="clear" w:color="auto" w:fill="D9D9D9"/>
          </w:tcPr>
          <w:p>
            <w:pPr>
              <w:pStyle w:val="TableParagraph"/>
              <w:ind w:right="57"/>
              <w:rPr>
                <w:rFonts w:ascii="Carlito"/>
                <w:sz w:val="16"/>
              </w:rPr>
            </w:pPr>
            <w:r>
              <w:rPr>
                <w:rFonts w:ascii="Carlito"/>
                <w:sz w:val="16"/>
              </w:rPr>
              <w:t>1</w:t>
            </w:r>
          </w:p>
        </w:tc>
      </w:tr>
      <w:tr>
        <w:trPr>
          <w:trHeight w:val="288" w:hRule="atLeast"/>
        </w:trPr>
        <w:tc>
          <w:tcPr>
            <w:tcW w:w="756" w:type="dxa"/>
          </w:tcPr>
          <w:p>
            <w:pPr>
              <w:pStyle w:val="TableParagraph"/>
              <w:spacing w:line="177" w:lineRule="exact"/>
              <w:ind w:right="143"/>
              <w:rPr>
                <w:rFonts w:ascii="Carlito"/>
                <w:sz w:val="16"/>
              </w:rPr>
            </w:pPr>
            <w:r>
              <w:rPr>
                <w:rFonts w:ascii="Carlito"/>
                <w:sz w:val="16"/>
              </w:rPr>
              <w:t>263</w:t>
            </w:r>
          </w:p>
        </w:tc>
        <w:tc>
          <w:tcPr>
            <w:tcW w:w="1938" w:type="dxa"/>
          </w:tcPr>
          <w:p>
            <w:pPr>
              <w:pStyle w:val="TableParagraph"/>
              <w:spacing w:line="177" w:lineRule="exact"/>
              <w:ind w:left="143"/>
              <w:jc w:val="left"/>
              <w:rPr>
                <w:rFonts w:ascii="Carlito"/>
                <w:sz w:val="16"/>
              </w:rPr>
            </w:pPr>
            <w:r>
              <w:rPr>
                <w:rFonts w:ascii="Carlito"/>
                <w:sz w:val="16"/>
              </w:rPr>
              <w:t>Altamonte</w:t>
            </w:r>
          </w:p>
        </w:tc>
        <w:tc>
          <w:tcPr>
            <w:tcW w:w="655" w:type="dxa"/>
          </w:tcPr>
          <w:p>
            <w:pPr>
              <w:pStyle w:val="TableParagraph"/>
              <w:spacing w:line="177" w:lineRule="exact"/>
              <w:ind w:right="129"/>
              <w:rPr>
                <w:rFonts w:ascii="Carlito"/>
                <w:sz w:val="16"/>
              </w:rPr>
            </w:pPr>
            <w:r>
              <w:rPr>
                <w:rFonts w:ascii="Carlito"/>
                <w:sz w:val="16"/>
              </w:rPr>
              <w:t>1</w:t>
            </w:r>
          </w:p>
        </w:tc>
        <w:tc>
          <w:tcPr>
            <w:tcW w:w="1258" w:type="dxa"/>
          </w:tcPr>
          <w:p>
            <w:pPr>
              <w:pStyle w:val="TableParagraph"/>
              <w:spacing w:line="177" w:lineRule="exact"/>
              <w:ind w:left="131"/>
              <w:jc w:val="left"/>
              <w:rPr>
                <w:rFonts w:ascii="Carlito"/>
                <w:sz w:val="16"/>
              </w:rPr>
            </w:pPr>
            <w:r>
              <w:rPr>
                <w:rFonts w:ascii="Carlito"/>
                <w:sz w:val="16"/>
              </w:rPr>
              <w:t>$375,500.00</w:t>
            </w:r>
          </w:p>
        </w:tc>
        <w:tc>
          <w:tcPr>
            <w:tcW w:w="1100" w:type="dxa"/>
          </w:tcPr>
          <w:p>
            <w:pPr>
              <w:pStyle w:val="TableParagraph"/>
              <w:spacing w:line="177" w:lineRule="exact"/>
              <w:ind w:right="340"/>
              <w:rPr>
                <w:rFonts w:ascii="Carlito"/>
                <w:sz w:val="16"/>
              </w:rPr>
            </w:pPr>
            <w:r>
              <w:rPr>
                <w:rFonts w:ascii="Carlito"/>
                <w:sz w:val="16"/>
              </w:rPr>
              <w:t>517</w:t>
            </w:r>
          </w:p>
        </w:tc>
        <w:tc>
          <w:tcPr>
            <w:tcW w:w="1125" w:type="dxa"/>
          </w:tcPr>
          <w:p>
            <w:pPr>
              <w:pStyle w:val="TableParagraph"/>
              <w:spacing w:line="177" w:lineRule="exact"/>
              <w:ind w:left="320" w:right="439"/>
              <w:jc w:val="center"/>
              <w:rPr>
                <w:rFonts w:ascii="Carlito"/>
                <w:sz w:val="16"/>
              </w:rPr>
            </w:pPr>
            <w:r>
              <w:rPr>
                <w:rFonts w:ascii="Carlito"/>
                <w:sz w:val="16"/>
              </w:rPr>
              <w:t>2006</w:t>
            </w:r>
          </w:p>
        </w:tc>
        <w:tc>
          <w:tcPr>
            <w:tcW w:w="782" w:type="dxa"/>
          </w:tcPr>
          <w:p>
            <w:pPr>
              <w:pStyle w:val="TableParagraph"/>
              <w:spacing w:line="177" w:lineRule="exact"/>
              <w:ind w:right="233"/>
              <w:rPr>
                <w:rFonts w:ascii="Carlito"/>
                <w:sz w:val="16"/>
              </w:rPr>
            </w:pPr>
            <w:r>
              <w:rPr>
                <w:rFonts w:ascii="Carlito"/>
                <w:sz w:val="16"/>
              </w:rPr>
              <w:t>3</w:t>
            </w:r>
          </w:p>
        </w:tc>
        <w:tc>
          <w:tcPr>
            <w:tcW w:w="744" w:type="dxa"/>
          </w:tcPr>
          <w:p>
            <w:pPr>
              <w:pStyle w:val="TableParagraph"/>
              <w:spacing w:line="177" w:lineRule="exact"/>
              <w:ind w:right="296"/>
              <w:rPr>
                <w:rFonts w:ascii="Carlito"/>
                <w:sz w:val="16"/>
              </w:rPr>
            </w:pPr>
            <w:r>
              <w:rPr>
                <w:rFonts w:ascii="Carlito"/>
                <w:sz w:val="16"/>
              </w:rPr>
              <w:t>2</w:t>
            </w:r>
          </w:p>
        </w:tc>
        <w:tc>
          <w:tcPr>
            <w:tcW w:w="815" w:type="dxa"/>
          </w:tcPr>
          <w:p>
            <w:pPr>
              <w:pStyle w:val="TableParagraph"/>
              <w:spacing w:line="177" w:lineRule="exact"/>
              <w:ind w:left="304"/>
              <w:jc w:val="left"/>
              <w:rPr>
                <w:rFonts w:ascii="Carlito"/>
                <w:sz w:val="16"/>
              </w:rPr>
            </w:pPr>
            <w:r>
              <w:rPr>
                <w:rFonts w:ascii="Carlito"/>
                <w:sz w:val="16"/>
              </w:rPr>
              <w:t>2</w:t>
            </w:r>
          </w:p>
        </w:tc>
        <w:tc>
          <w:tcPr>
            <w:tcW w:w="1287" w:type="dxa"/>
          </w:tcPr>
          <w:p>
            <w:pPr>
              <w:pStyle w:val="TableParagraph"/>
              <w:spacing w:line="177" w:lineRule="exact"/>
              <w:ind w:right="566"/>
              <w:rPr>
                <w:rFonts w:ascii="Carlito"/>
                <w:sz w:val="16"/>
              </w:rPr>
            </w:pPr>
            <w:r>
              <w:rPr>
                <w:rFonts w:ascii="Carlito"/>
                <w:sz w:val="16"/>
              </w:rPr>
              <w:t>6.6</w:t>
            </w:r>
          </w:p>
        </w:tc>
        <w:tc>
          <w:tcPr>
            <w:tcW w:w="1141" w:type="dxa"/>
          </w:tcPr>
          <w:p>
            <w:pPr>
              <w:pStyle w:val="TableParagraph"/>
              <w:spacing w:line="177" w:lineRule="exact"/>
              <w:ind w:right="359"/>
              <w:rPr>
                <w:rFonts w:ascii="Carlito"/>
                <w:sz w:val="16"/>
              </w:rPr>
            </w:pPr>
            <w:r>
              <w:rPr>
                <w:rFonts w:ascii="Carlito"/>
                <w:sz w:val="16"/>
              </w:rPr>
              <w:t>5.8</w:t>
            </w:r>
          </w:p>
        </w:tc>
        <w:tc>
          <w:tcPr>
            <w:tcW w:w="825" w:type="dxa"/>
          </w:tcPr>
          <w:p>
            <w:pPr>
              <w:pStyle w:val="TableParagraph"/>
              <w:spacing w:line="177" w:lineRule="exact"/>
              <w:ind w:right="372"/>
              <w:rPr>
                <w:rFonts w:ascii="Carlito"/>
                <w:sz w:val="16"/>
              </w:rPr>
            </w:pPr>
            <w:r>
              <w:rPr>
                <w:rFonts w:ascii="Carlito"/>
                <w:sz w:val="16"/>
              </w:rPr>
              <w:t>0</w:t>
            </w:r>
          </w:p>
        </w:tc>
        <w:tc>
          <w:tcPr>
            <w:tcW w:w="529" w:type="dxa"/>
          </w:tcPr>
          <w:p>
            <w:pPr>
              <w:pStyle w:val="TableParagraph"/>
              <w:spacing w:line="177" w:lineRule="exact"/>
              <w:ind w:right="57"/>
              <w:rPr>
                <w:rFonts w:ascii="Carlito"/>
                <w:sz w:val="16"/>
              </w:rPr>
            </w:pPr>
            <w:r>
              <w:rPr>
                <w:rFonts w:ascii="Carlito"/>
                <w:sz w:val="16"/>
              </w:rPr>
              <w:t>0</w:t>
            </w:r>
          </w:p>
        </w:tc>
      </w:tr>
      <w:tr>
        <w:trPr>
          <w:trHeight w:val="287" w:hRule="atLeast"/>
        </w:trPr>
        <w:tc>
          <w:tcPr>
            <w:tcW w:w="756" w:type="dxa"/>
            <w:shd w:val="clear" w:color="auto" w:fill="D9D9D9"/>
          </w:tcPr>
          <w:p>
            <w:pPr>
              <w:pStyle w:val="TableParagraph"/>
              <w:spacing w:line="177" w:lineRule="exact"/>
              <w:ind w:right="143"/>
              <w:rPr>
                <w:rFonts w:ascii="Carlito"/>
                <w:sz w:val="16"/>
              </w:rPr>
            </w:pPr>
            <w:r>
              <w:rPr>
                <w:rFonts w:ascii="Carlito"/>
                <w:sz w:val="16"/>
              </w:rPr>
              <w:t>264</w:t>
            </w:r>
          </w:p>
        </w:tc>
        <w:tc>
          <w:tcPr>
            <w:tcW w:w="1938" w:type="dxa"/>
            <w:shd w:val="clear" w:color="auto" w:fill="D9D9D9"/>
          </w:tcPr>
          <w:p>
            <w:pPr>
              <w:pStyle w:val="TableParagraph"/>
              <w:spacing w:line="177" w:lineRule="exact"/>
              <w:ind w:left="143"/>
              <w:jc w:val="left"/>
              <w:rPr>
                <w:rFonts w:ascii="Carlito"/>
                <w:sz w:val="16"/>
              </w:rPr>
            </w:pPr>
            <w:r>
              <w:rPr>
                <w:rFonts w:ascii="Carlito"/>
                <w:sz w:val="16"/>
              </w:rPr>
              <w:t>Lomas de Ayarco Sur</w:t>
            </w:r>
          </w:p>
        </w:tc>
        <w:tc>
          <w:tcPr>
            <w:tcW w:w="655" w:type="dxa"/>
            <w:shd w:val="clear" w:color="auto" w:fill="D9D9D9"/>
          </w:tcPr>
          <w:p>
            <w:pPr>
              <w:pStyle w:val="TableParagraph"/>
              <w:spacing w:line="177" w:lineRule="exact"/>
              <w:ind w:right="129"/>
              <w:rPr>
                <w:rFonts w:ascii="Carlito"/>
                <w:sz w:val="16"/>
              </w:rPr>
            </w:pPr>
            <w:r>
              <w:rPr>
                <w:rFonts w:ascii="Carlito"/>
                <w:sz w:val="16"/>
              </w:rPr>
              <w:t>0</w:t>
            </w:r>
          </w:p>
        </w:tc>
        <w:tc>
          <w:tcPr>
            <w:tcW w:w="1258" w:type="dxa"/>
            <w:shd w:val="clear" w:color="auto" w:fill="D9D9D9"/>
          </w:tcPr>
          <w:p>
            <w:pPr>
              <w:pStyle w:val="TableParagraph"/>
              <w:spacing w:line="177" w:lineRule="exact"/>
              <w:ind w:left="131"/>
              <w:jc w:val="left"/>
              <w:rPr>
                <w:rFonts w:ascii="Carlito"/>
                <w:sz w:val="16"/>
              </w:rPr>
            </w:pPr>
            <w:r>
              <w:rPr>
                <w:rFonts w:ascii="Carlito"/>
                <w:sz w:val="16"/>
              </w:rPr>
              <w:t>$239,000.00</w:t>
            </w:r>
          </w:p>
        </w:tc>
        <w:tc>
          <w:tcPr>
            <w:tcW w:w="1100" w:type="dxa"/>
            <w:shd w:val="clear" w:color="auto" w:fill="D9D9D9"/>
          </w:tcPr>
          <w:p>
            <w:pPr>
              <w:pStyle w:val="TableParagraph"/>
              <w:spacing w:line="177" w:lineRule="exact"/>
              <w:ind w:right="340"/>
              <w:rPr>
                <w:rFonts w:ascii="Carlito"/>
                <w:sz w:val="16"/>
              </w:rPr>
            </w:pPr>
            <w:r>
              <w:rPr>
                <w:rFonts w:ascii="Carlito"/>
                <w:sz w:val="16"/>
              </w:rPr>
              <w:t>245</w:t>
            </w:r>
          </w:p>
        </w:tc>
        <w:tc>
          <w:tcPr>
            <w:tcW w:w="1125" w:type="dxa"/>
            <w:shd w:val="clear" w:color="auto" w:fill="D9D9D9"/>
          </w:tcPr>
          <w:p>
            <w:pPr>
              <w:pStyle w:val="TableParagraph"/>
              <w:spacing w:line="177" w:lineRule="exact"/>
              <w:ind w:left="320" w:right="439"/>
              <w:jc w:val="center"/>
              <w:rPr>
                <w:rFonts w:ascii="Carlito"/>
                <w:sz w:val="16"/>
              </w:rPr>
            </w:pPr>
            <w:r>
              <w:rPr>
                <w:rFonts w:ascii="Carlito"/>
                <w:sz w:val="16"/>
              </w:rPr>
              <w:t>2006</w:t>
            </w:r>
          </w:p>
        </w:tc>
        <w:tc>
          <w:tcPr>
            <w:tcW w:w="782" w:type="dxa"/>
            <w:shd w:val="clear" w:color="auto" w:fill="D9D9D9"/>
          </w:tcPr>
          <w:p>
            <w:pPr>
              <w:pStyle w:val="TableParagraph"/>
              <w:spacing w:line="177" w:lineRule="exact"/>
              <w:ind w:right="233"/>
              <w:rPr>
                <w:rFonts w:ascii="Carlito"/>
                <w:sz w:val="16"/>
              </w:rPr>
            </w:pPr>
            <w:r>
              <w:rPr>
                <w:rFonts w:ascii="Carlito"/>
                <w:sz w:val="16"/>
              </w:rPr>
              <w:t>4</w:t>
            </w:r>
          </w:p>
        </w:tc>
        <w:tc>
          <w:tcPr>
            <w:tcW w:w="744" w:type="dxa"/>
            <w:shd w:val="clear" w:color="auto" w:fill="D9D9D9"/>
          </w:tcPr>
          <w:p>
            <w:pPr>
              <w:pStyle w:val="TableParagraph"/>
              <w:spacing w:line="177" w:lineRule="exact"/>
              <w:ind w:right="296"/>
              <w:rPr>
                <w:rFonts w:ascii="Carlito"/>
                <w:sz w:val="16"/>
              </w:rPr>
            </w:pPr>
            <w:r>
              <w:rPr>
                <w:rFonts w:ascii="Carlito"/>
                <w:sz w:val="16"/>
              </w:rPr>
              <w:t>2</w:t>
            </w:r>
          </w:p>
        </w:tc>
        <w:tc>
          <w:tcPr>
            <w:tcW w:w="815" w:type="dxa"/>
            <w:shd w:val="clear" w:color="auto" w:fill="D9D9D9"/>
          </w:tcPr>
          <w:p>
            <w:pPr>
              <w:pStyle w:val="TableParagraph"/>
              <w:spacing w:line="177" w:lineRule="exact"/>
              <w:ind w:left="304"/>
              <w:jc w:val="left"/>
              <w:rPr>
                <w:rFonts w:ascii="Carlito"/>
                <w:sz w:val="16"/>
              </w:rPr>
            </w:pPr>
            <w:r>
              <w:rPr>
                <w:rFonts w:ascii="Carlito"/>
                <w:sz w:val="16"/>
              </w:rPr>
              <w:t>2</w:t>
            </w:r>
          </w:p>
        </w:tc>
        <w:tc>
          <w:tcPr>
            <w:tcW w:w="1287" w:type="dxa"/>
            <w:shd w:val="clear" w:color="auto" w:fill="D9D9D9"/>
          </w:tcPr>
          <w:p>
            <w:pPr>
              <w:pStyle w:val="TableParagraph"/>
              <w:spacing w:line="177" w:lineRule="exact"/>
              <w:ind w:right="566"/>
              <w:rPr>
                <w:rFonts w:ascii="Carlito"/>
                <w:sz w:val="16"/>
              </w:rPr>
            </w:pPr>
            <w:r>
              <w:rPr>
                <w:rFonts w:ascii="Carlito"/>
                <w:sz w:val="16"/>
              </w:rPr>
              <w:t>8.8</w:t>
            </w:r>
          </w:p>
        </w:tc>
        <w:tc>
          <w:tcPr>
            <w:tcW w:w="1141" w:type="dxa"/>
            <w:shd w:val="clear" w:color="auto" w:fill="D9D9D9"/>
          </w:tcPr>
          <w:p>
            <w:pPr>
              <w:pStyle w:val="TableParagraph"/>
              <w:spacing w:line="177" w:lineRule="exact"/>
              <w:ind w:right="359"/>
              <w:rPr>
                <w:rFonts w:ascii="Carlito"/>
                <w:sz w:val="16"/>
              </w:rPr>
            </w:pPr>
            <w:r>
              <w:rPr>
                <w:rFonts w:ascii="Carlito"/>
                <w:sz w:val="16"/>
              </w:rPr>
              <w:t>2.8</w:t>
            </w:r>
          </w:p>
        </w:tc>
        <w:tc>
          <w:tcPr>
            <w:tcW w:w="825" w:type="dxa"/>
            <w:shd w:val="clear" w:color="auto" w:fill="D9D9D9"/>
          </w:tcPr>
          <w:p>
            <w:pPr>
              <w:pStyle w:val="TableParagraph"/>
              <w:spacing w:line="177" w:lineRule="exact"/>
              <w:ind w:right="372"/>
              <w:rPr>
                <w:rFonts w:ascii="Carlito"/>
                <w:sz w:val="16"/>
              </w:rPr>
            </w:pPr>
            <w:r>
              <w:rPr>
                <w:rFonts w:ascii="Carlito"/>
                <w:sz w:val="16"/>
              </w:rPr>
              <w:t>0</w:t>
            </w:r>
          </w:p>
        </w:tc>
        <w:tc>
          <w:tcPr>
            <w:tcW w:w="529" w:type="dxa"/>
            <w:shd w:val="clear" w:color="auto" w:fill="D9D9D9"/>
          </w:tcPr>
          <w:p>
            <w:pPr>
              <w:pStyle w:val="TableParagraph"/>
              <w:spacing w:line="177" w:lineRule="exact"/>
              <w:ind w:right="57"/>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265</w:t>
            </w:r>
          </w:p>
        </w:tc>
        <w:tc>
          <w:tcPr>
            <w:tcW w:w="1938" w:type="dxa"/>
          </w:tcPr>
          <w:p>
            <w:pPr>
              <w:pStyle w:val="TableParagraph"/>
              <w:spacing w:before="92"/>
              <w:ind w:left="143"/>
              <w:jc w:val="left"/>
              <w:rPr>
                <w:rFonts w:ascii="Carlito"/>
                <w:sz w:val="16"/>
              </w:rPr>
            </w:pPr>
            <w:r>
              <w:rPr>
                <w:rFonts w:ascii="Carlito"/>
                <w:sz w:val="16"/>
              </w:rPr>
              <w:t>Curridabat</w:t>
            </w:r>
          </w:p>
        </w:tc>
        <w:tc>
          <w:tcPr>
            <w:tcW w:w="655" w:type="dxa"/>
          </w:tcPr>
          <w:p>
            <w:pPr>
              <w:pStyle w:val="TableParagraph"/>
              <w:spacing w:before="92"/>
              <w:ind w:right="129"/>
              <w:rPr>
                <w:rFonts w:ascii="Carlito"/>
                <w:sz w:val="16"/>
              </w:rPr>
            </w:pPr>
            <w:r>
              <w:rPr>
                <w:rFonts w:ascii="Carlito"/>
                <w:sz w:val="16"/>
              </w:rPr>
              <w:t>1</w:t>
            </w:r>
          </w:p>
        </w:tc>
        <w:tc>
          <w:tcPr>
            <w:tcW w:w="1258" w:type="dxa"/>
          </w:tcPr>
          <w:p>
            <w:pPr>
              <w:pStyle w:val="TableParagraph"/>
              <w:spacing w:before="92"/>
              <w:ind w:left="131"/>
              <w:jc w:val="left"/>
              <w:rPr>
                <w:rFonts w:ascii="Carlito"/>
                <w:sz w:val="16"/>
              </w:rPr>
            </w:pPr>
            <w:r>
              <w:rPr>
                <w:rFonts w:ascii="Carlito"/>
                <w:sz w:val="16"/>
              </w:rPr>
              <w:t>$500,000.00</w:t>
            </w:r>
          </w:p>
        </w:tc>
        <w:tc>
          <w:tcPr>
            <w:tcW w:w="1100" w:type="dxa"/>
          </w:tcPr>
          <w:p>
            <w:pPr>
              <w:pStyle w:val="TableParagraph"/>
              <w:spacing w:before="92"/>
              <w:ind w:right="340"/>
              <w:rPr>
                <w:rFonts w:ascii="Carlito"/>
                <w:sz w:val="16"/>
              </w:rPr>
            </w:pPr>
            <w:r>
              <w:rPr>
                <w:rFonts w:ascii="Carlito"/>
                <w:sz w:val="16"/>
              </w:rPr>
              <w:t>300</w:t>
            </w:r>
          </w:p>
        </w:tc>
        <w:tc>
          <w:tcPr>
            <w:tcW w:w="1125" w:type="dxa"/>
          </w:tcPr>
          <w:p>
            <w:pPr>
              <w:pStyle w:val="TableParagraph"/>
              <w:spacing w:before="92"/>
              <w:ind w:left="320" w:right="439"/>
              <w:jc w:val="center"/>
              <w:rPr>
                <w:rFonts w:ascii="Carlito"/>
                <w:sz w:val="16"/>
              </w:rPr>
            </w:pPr>
            <w:r>
              <w:rPr>
                <w:rFonts w:ascii="Carlito"/>
                <w:sz w:val="16"/>
              </w:rPr>
              <w:t>2006</w:t>
            </w:r>
          </w:p>
        </w:tc>
        <w:tc>
          <w:tcPr>
            <w:tcW w:w="782" w:type="dxa"/>
          </w:tcPr>
          <w:p>
            <w:pPr>
              <w:pStyle w:val="TableParagraph"/>
              <w:spacing w:before="92"/>
              <w:ind w:right="233"/>
              <w:rPr>
                <w:rFonts w:ascii="Carlito"/>
                <w:sz w:val="16"/>
              </w:rPr>
            </w:pPr>
            <w:r>
              <w:rPr>
                <w:rFonts w:ascii="Carlito"/>
                <w:sz w:val="16"/>
              </w:rPr>
              <w:t>3</w:t>
            </w:r>
          </w:p>
        </w:tc>
        <w:tc>
          <w:tcPr>
            <w:tcW w:w="744" w:type="dxa"/>
          </w:tcPr>
          <w:p>
            <w:pPr>
              <w:pStyle w:val="TableParagraph"/>
              <w:spacing w:before="92"/>
              <w:ind w:right="296"/>
              <w:rPr>
                <w:rFonts w:ascii="Carlito"/>
                <w:sz w:val="16"/>
              </w:rPr>
            </w:pPr>
            <w:r>
              <w:rPr>
                <w:rFonts w:ascii="Carlito"/>
                <w:sz w:val="16"/>
              </w:rPr>
              <w:t>2</w:t>
            </w:r>
          </w:p>
        </w:tc>
        <w:tc>
          <w:tcPr>
            <w:tcW w:w="815" w:type="dxa"/>
          </w:tcPr>
          <w:p>
            <w:pPr>
              <w:pStyle w:val="TableParagraph"/>
              <w:spacing w:before="92"/>
              <w:ind w:left="304"/>
              <w:jc w:val="left"/>
              <w:rPr>
                <w:rFonts w:ascii="Carlito"/>
                <w:sz w:val="16"/>
              </w:rPr>
            </w:pPr>
            <w:r>
              <w:rPr>
                <w:rFonts w:ascii="Carlito"/>
                <w:sz w:val="16"/>
              </w:rPr>
              <w:t>2</w:t>
            </w:r>
          </w:p>
        </w:tc>
        <w:tc>
          <w:tcPr>
            <w:tcW w:w="1287" w:type="dxa"/>
          </w:tcPr>
          <w:p>
            <w:pPr>
              <w:pStyle w:val="TableParagraph"/>
              <w:spacing w:before="92"/>
              <w:ind w:right="566"/>
              <w:rPr>
                <w:rFonts w:ascii="Carlito"/>
                <w:sz w:val="16"/>
              </w:rPr>
            </w:pPr>
            <w:r>
              <w:rPr>
                <w:rFonts w:ascii="Carlito"/>
                <w:sz w:val="16"/>
              </w:rPr>
              <w:t>5.7</w:t>
            </w:r>
          </w:p>
        </w:tc>
        <w:tc>
          <w:tcPr>
            <w:tcW w:w="1141" w:type="dxa"/>
          </w:tcPr>
          <w:p>
            <w:pPr>
              <w:pStyle w:val="TableParagraph"/>
              <w:spacing w:before="92"/>
              <w:ind w:right="359"/>
              <w:rPr>
                <w:rFonts w:ascii="Carlito"/>
                <w:sz w:val="16"/>
              </w:rPr>
            </w:pPr>
            <w:r>
              <w:rPr>
                <w:rFonts w:ascii="Carlito"/>
                <w:sz w:val="16"/>
              </w:rPr>
              <w:t>3.2</w:t>
            </w:r>
          </w:p>
        </w:tc>
        <w:tc>
          <w:tcPr>
            <w:tcW w:w="825" w:type="dxa"/>
          </w:tcPr>
          <w:p>
            <w:pPr>
              <w:pStyle w:val="TableParagraph"/>
              <w:spacing w:before="92"/>
              <w:ind w:right="372"/>
              <w:rPr>
                <w:rFonts w:ascii="Carlito"/>
                <w:sz w:val="16"/>
              </w:rPr>
            </w:pPr>
            <w:r>
              <w:rPr>
                <w:rFonts w:ascii="Carlito"/>
                <w:sz w:val="16"/>
              </w:rPr>
              <w:t>0</w:t>
            </w:r>
          </w:p>
        </w:tc>
        <w:tc>
          <w:tcPr>
            <w:tcW w:w="529" w:type="dxa"/>
          </w:tcPr>
          <w:p>
            <w:pPr>
              <w:pStyle w:val="TableParagraph"/>
              <w:spacing w:before="92"/>
              <w:ind w:right="57"/>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266</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655" w:type="dxa"/>
            <w:shd w:val="clear" w:color="auto" w:fill="D9D9D9"/>
          </w:tcPr>
          <w:p>
            <w:pPr>
              <w:pStyle w:val="TableParagraph"/>
              <w:ind w:right="129"/>
              <w:rPr>
                <w:rFonts w:ascii="Carlito"/>
                <w:sz w:val="16"/>
              </w:rPr>
            </w:pPr>
            <w:r>
              <w:rPr>
                <w:rFonts w:ascii="Carlito"/>
                <w:sz w:val="16"/>
              </w:rPr>
              <w:t>1</w:t>
            </w:r>
          </w:p>
        </w:tc>
        <w:tc>
          <w:tcPr>
            <w:tcW w:w="1258" w:type="dxa"/>
            <w:shd w:val="clear" w:color="auto" w:fill="D9D9D9"/>
          </w:tcPr>
          <w:p>
            <w:pPr>
              <w:pStyle w:val="TableParagraph"/>
              <w:ind w:left="131"/>
              <w:jc w:val="left"/>
              <w:rPr>
                <w:rFonts w:ascii="Carlito"/>
                <w:sz w:val="16"/>
              </w:rPr>
            </w:pPr>
            <w:r>
              <w:rPr>
                <w:rFonts w:ascii="Carlito"/>
                <w:sz w:val="16"/>
              </w:rPr>
              <w:t>$200,000.00</w:t>
            </w:r>
          </w:p>
        </w:tc>
        <w:tc>
          <w:tcPr>
            <w:tcW w:w="1100" w:type="dxa"/>
            <w:shd w:val="clear" w:color="auto" w:fill="D9D9D9"/>
          </w:tcPr>
          <w:p>
            <w:pPr>
              <w:pStyle w:val="TableParagraph"/>
              <w:ind w:right="340"/>
              <w:rPr>
                <w:rFonts w:ascii="Carlito"/>
                <w:sz w:val="16"/>
              </w:rPr>
            </w:pPr>
            <w:r>
              <w:rPr>
                <w:rFonts w:ascii="Carlito"/>
                <w:sz w:val="16"/>
              </w:rPr>
              <w:t>130</w:t>
            </w:r>
          </w:p>
        </w:tc>
        <w:tc>
          <w:tcPr>
            <w:tcW w:w="1125" w:type="dxa"/>
            <w:shd w:val="clear" w:color="auto" w:fill="D9D9D9"/>
          </w:tcPr>
          <w:p>
            <w:pPr>
              <w:pStyle w:val="TableParagraph"/>
              <w:ind w:left="320" w:right="439"/>
              <w:jc w:val="center"/>
              <w:rPr>
                <w:rFonts w:ascii="Carlito"/>
                <w:sz w:val="16"/>
              </w:rPr>
            </w:pPr>
            <w:r>
              <w:rPr>
                <w:rFonts w:ascii="Carlito"/>
                <w:sz w:val="16"/>
              </w:rPr>
              <w:t>2006</w:t>
            </w:r>
          </w:p>
        </w:tc>
        <w:tc>
          <w:tcPr>
            <w:tcW w:w="782" w:type="dxa"/>
            <w:shd w:val="clear" w:color="auto" w:fill="D9D9D9"/>
          </w:tcPr>
          <w:p>
            <w:pPr>
              <w:pStyle w:val="TableParagraph"/>
              <w:ind w:right="233"/>
              <w:rPr>
                <w:rFonts w:ascii="Carlito"/>
                <w:sz w:val="16"/>
              </w:rPr>
            </w:pPr>
            <w:r>
              <w:rPr>
                <w:rFonts w:ascii="Carlito"/>
                <w:sz w:val="16"/>
              </w:rPr>
              <w:t>3</w:t>
            </w:r>
          </w:p>
        </w:tc>
        <w:tc>
          <w:tcPr>
            <w:tcW w:w="744" w:type="dxa"/>
            <w:shd w:val="clear" w:color="auto" w:fill="D9D9D9"/>
          </w:tcPr>
          <w:p>
            <w:pPr>
              <w:pStyle w:val="TableParagraph"/>
              <w:ind w:right="301"/>
              <w:rPr>
                <w:rFonts w:ascii="Carlito"/>
                <w:sz w:val="16"/>
              </w:rPr>
            </w:pPr>
            <w:r>
              <w:rPr>
                <w:rFonts w:ascii="Carlito"/>
                <w:sz w:val="16"/>
              </w:rPr>
              <w:t>2.5</w:t>
            </w:r>
          </w:p>
        </w:tc>
        <w:tc>
          <w:tcPr>
            <w:tcW w:w="815" w:type="dxa"/>
            <w:shd w:val="clear" w:color="auto" w:fill="D9D9D9"/>
          </w:tcPr>
          <w:p>
            <w:pPr>
              <w:pStyle w:val="TableParagraph"/>
              <w:ind w:left="304"/>
              <w:jc w:val="left"/>
              <w:rPr>
                <w:rFonts w:ascii="Carlito"/>
                <w:sz w:val="16"/>
              </w:rPr>
            </w:pPr>
            <w:r>
              <w:rPr>
                <w:rFonts w:ascii="Carlito"/>
                <w:sz w:val="16"/>
              </w:rPr>
              <w:t>2</w:t>
            </w:r>
          </w:p>
        </w:tc>
        <w:tc>
          <w:tcPr>
            <w:tcW w:w="1287" w:type="dxa"/>
            <w:shd w:val="clear" w:color="auto" w:fill="D9D9D9"/>
          </w:tcPr>
          <w:p>
            <w:pPr>
              <w:pStyle w:val="TableParagraph"/>
              <w:ind w:right="566"/>
              <w:rPr>
                <w:rFonts w:ascii="Carlito"/>
                <w:sz w:val="16"/>
              </w:rPr>
            </w:pPr>
            <w:r>
              <w:rPr>
                <w:rFonts w:ascii="Carlito"/>
                <w:sz w:val="16"/>
              </w:rPr>
              <w:t>7.4</w:t>
            </w:r>
          </w:p>
        </w:tc>
        <w:tc>
          <w:tcPr>
            <w:tcW w:w="1141" w:type="dxa"/>
            <w:shd w:val="clear" w:color="auto" w:fill="D9D9D9"/>
          </w:tcPr>
          <w:p>
            <w:pPr>
              <w:pStyle w:val="TableParagraph"/>
              <w:ind w:right="355"/>
              <w:rPr>
                <w:rFonts w:ascii="Carlito"/>
                <w:sz w:val="16"/>
              </w:rPr>
            </w:pPr>
            <w:r>
              <w:rPr>
                <w:rFonts w:ascii="Carlito"/>
                <w:sz w:val="16"/>
              </w:rPr>
              <w:t>5</w:t>
            </w:r>
          </w:p>
        </w:tc>
        <w:tc>
          <w:tcPr>
            <w:tcW w:w="825" w:type="dxa"/>
            <w:shd w:val="clear" w:color="auto" w:fill="D9D9D9"/>
          </w:tcPr>
          <w:p>
            <w:pPr>
              <w:pStyle w:val="TableParagraph"/>
              <w:ind w:right="372"/>
              <w:rPr>
                <w:rFonts w:ascii="Carlito"/>
                <w:sz w:val="16"/>
              </w:rPr>
            </w:pPr>
            <w:r>
              <w:rPr>
                <w:rFonts w:ascii="Carlito"/>
                <w:sz w:val="16"/>
              </w:rPr>
              <w:t>0</w:t>
            </w:r>
          </w:p>
        </w:tc>
        <w:tc>
          <w:tcPr>
            <w:tcW w:w="529" w:type="dxa"/>
            <w:shd w:val="clear" w:color="auto" w:fill="D9D9D9"/>
          </w:tcPr>
          <w:p>
            <w:pPr>
              <w:pStyle w:val="TableParagraph"/>
              <w:ind w:right="57"/>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267</w:t>
            </w:r>
          </w:p>
        </w:tc>
        <w:tc>
          <w:tcPr>
            <w:tcW w:w="1938" w:type="dxa"/>
          </w:tcPr>
          <w:p>
            <w:pPr>
              <w:pStyle w:val="TableParagraph"/>
              <w:ind w:left="143"/>
              <w:jc w:val="left"/>
              <w:rPr>
                <w:rFonts w:ascii="Carlito"/>
                <w:sz w:val="16"/>
              </w:rPr>
            </w:pPr>
            <w:r>
              <w:rPr>
                <w:rFonts w:ascii="Carlito"/>
                <w:sz w:val="16"/>
              </w:rPr>
              <w:t>Curridabat</w:t>
            </w:r>
          </w:p>
        </w:tc>
        <w:tc>
          <w:tcPr>
            <w:tcW w:w="655" w:type="dxa"/>
          </w:tcPr>
          <w:p>
            <w:pPr>
              <w:pStyle w:val="TableParagraph"/>
              <w:ind w:right="129"/>
              <w:rPr>
                <w:rFonts w:ascii="Carlito"/>
                <w:sz w:val="16"/>
              </w:rPr>
            </w:pPr>
            <w:r>
              <w:rPr>
                <w:rFonts w:ascii="Carlito"/>
                <w:sz w:val="16"/>
              </w:rPr>
              <w:t>0</w:t>
            </w:r>
          </w:p>
        </w:tc>
        <w:tc>
          <w:tcPr>
            <w:tcW w:w="1258" w:type="dxa"/>
          </w:tcPr>
          <w:p>
            <w:pPr>
              <w:pStyle w:val="TableParagraph"/>
              <w:ind w:left="131"/>
              <w:jc w:val="left"/>
              <w:rPr>
                <w:rFonts w:ascii="Carlito"/>
                <w:sz w:val="16"/>
              </w:rPr>
            </w:pPr>
            <w:r>
              <w:rPr>
                <w:rFonts w:ascii="Carlito"/>
                <w:sz w:val="16"/>
              </w:rPr>
              <w:t>$449,000.00</w:t>
            </w:r>
          </w:p>
        </w:tc>
        <w:tc>
          <w:tcPr>
            <w:tcW w:w="1100" w:type="dxa"/>
          </w:tcPr>
          <w:p>
            <w:pPr>
              <w:pStyle w:val="TableParagraph"/>
              <w:ind w:right="340"/>
              <w:rPr>
                <w:rFonts w:ascii="Carlito"/>
                <w:sz w:val="16"/>
              </w:rPr>
            </w:pPr>
            <w:r>
              <w:rPr>
                <w:rFonts w:ascii="Carlito"/>
                <w:sz w:val="16"/>
              </w:rPr>
              <w:t>389</w:t>
            </w:r>
          </w:p>
        </w:tc>
        <w:tc>
          <w:tcPr>
            <w:tcW w:w="1125" w:type="dxa"/>
          </w:tcPr>
          <w:p>
            <w:pPr>
              <w:pStyle w:val="TableParagraph"/>
              <w:ind w:left="320" w:right="439"/>
              <w:jc w:val="center"/>
              <w:rPr>
                <w:rFonts w:ascii="Carlito"/>
                <w:sz w:val="16"/>
              </w:rPr>
            </w:pPr>
            <w:r>
              <w:rPr>
                <w:rFonts w:ascii="Carlito"/>
                <w:sz w:val="16"/>
              </w:rPr>
              <w:t>2006</w:t>
            </w:r>
          </w:p>
        </w:tc>
        <w:tc>
          <w:tcPr>
            <w:tcW w:w="782" w:type="dxa"/>
          </w:tcPr>
          <w:p>
            <w:pPr>
              <w:pStyle w:val="TableParagraph"/>
              <w:ind w:right="233"/>
              <w:rPr>
                <w:rFonts w:ascii="Carlito"/>
                <w:sz w:val="16"/>
              </w:rPr>
            </w:pPr>
            <w:r>
              <w:rPr>
                <w:rFonts w:ascii="Carlito"/>
                <w:sz w:val="16"/>
              </w:rPr>
              <w:t>4</w:t>
            </w:r>
          </w:p>
        </w:tc>
        <w:tc>
          <w:tcPr>
            <w:tcW w:w="744" w:type="dxa"/>
          </w:tcPr>
          <w:p>
            <w:pPr>
              <w:pStyle w:val="TableParagraph"/>
              <w:ind w:right="301"/>
              <w:rPr>
                <w:rFonts w:ascii="Carlito"/>
                <w:sz w:val="16"/>
              </w:rPr>
            </w:pPr>
            <w:r>
              <w:rPr>
                <w:rFonts w:ascii="Carlito"/>
                <w:sz w:val="16"/>
              </w:rPr>
              <w:t>4.5</w:t>
            </w:r>
          </w:p>
        </w:tc>
        <w:tc>
          <w:tcPr>
            <w:tcW w:w="815" w:type="dxa"/>
          </w:tcPr>
          <w:p>
            <w:pPr>
              <w:pStyle w:val="TableParagraph"/>
              <w:ind w:left="304"/>
              <w:jc w:val="left"/>
              <w:rPr>
                <w:rFonts w:ascii="Carlito"/>
                <w:sz w:val="16"/>
              </w:rPr>
            </w:pPr>
            <w:r>
              <w:rPr>
                <w:rFonts w:ascii="Carlito"/>
                <w:sz w:val="16"/>
              </w:rPr>
              <w:t>2</w:t>
            </w:r>
          </w:p>
        </w:tc>
        <w:tc>
          <w:tcPr>
            <w:tcW w:w="1287" w:type="dxa"/>
          </w:tcPr>
          <w:p>
            <w:pPr>
              <w:pStyle w:val="TableParagraph"/>
              <w:ind w:right="566"/>
              <w:rPr>
                <w:rFonts w:ascii="Carlito"/>
                <w:sz w:val="16"/>
              </w:rPr>
            </w:pPr>
            <w:r>
              <w:rPr>
                <w:rFonts w:ascii="Carlito"/>
                <w:sz w:val="16"/>
              </w:rPr>
              <w:t>5.7</w:t>
            </w:r>
          </w:p>
        </w:tc>
        <w:tc>
          <w:tcPr>
            <w:tcW w:w="1141" w:type="dxa"/>
          </w:tcPr>
          <w:p>
            <w:pPr>
              <w:pStyle w:val="TableParagraph"/>
              <w:ind w:right="359"/>
              <w:rPr>
                <w:rFonts w:ascii="Carlito"/>
                <w:sz w:val="16"/>
              </w:rPr>
            </w:pPr>
            <w:r>
              <w:rPr>
                <w:rFonts w:ascii="Carlito"/>
                <w:sz w:val="16"/>
              </w:rPr>
              <w:t>3.2</w:t>
            </w:r>
          </w:p>
        </w:tc>
        <w:tc>
          <w:tcPr>
            <w:tcW w:w="825" w:type="dxa"/>
          </w:tcPr>
          <w:p>
            <w:pPr>
              <w:pStyle w:val="TableParagraph"/>
              <w:ind w:right="372"/>
              <w:rPr>
                <w:rFonts w:ascii="Carlito"/>
                <w:sz w:val="16"/>
              </w:rPr>
            </w:pPr>
            <w:r>
              <w:rPr>
                <w:rFonts w:ascii="Carlito"/>
                <w:sz w:val="16"/>
              </w:rPr>
              <w:t>0</w:t>
            </w:r>
          </w:p>
        </w:tc>
        <w:tc>
          <w:tcPr>
            <w:tcW w:w="529" w:type="dxa"/>
          </w:tcPr>
          <w:p>
            <w:pPr>
              <w:pStyle w:val="TableParagraph"/>
              <w:ind w:right="57"/>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268</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655" w:type="dxa"/>
            <w:shd w:val="clear" w:color="auto" w:fill="D9D9D9"/>
          </w:tcPr>
          <w:p>
            <w:pPr>
              <w:pStyle w:val="TableParagraph"/>
              <w:ind w:right="129"/>
              <w:rPr>
                <w:rFonts w:ascii="Carlito"/>
                <w:sz w:val="16"/>
              </w:rPr>
            </w:pPr>
            <w:r>
              <w:rPr>
                <w:rFonts w:ascii="Carlito"/>
                <w:sz w:val="16"/>
              </w:rPr>
              <w:t>1</w:t>
            </w:r>
          </w:p>
        </w:tc>
        <w:tc>
          <w:tcPr>
            <w:tcW w:w="1258" w:type="dxa"/>
            <w:shd w:val="clear" w:color="auto" w:fill="D9D9D9"/>
          </w:tcPr>
          <w:p>
            <w:pPr>
              <w:pStyle w:val="TableParagraph"/>
              <w:ind w:left="131"/>
              <w:jc w:val="left"/>
              <w:rPr>
                <w:rFonts w:ascii="Carlito"/>
                <w:sz w:val="16"/>
              </w:rPr>
            </w:pPr>
            <w:r>
              <w:rPr>
                <w:rFonts w:ascii="Carlito"/>
                <w:sz w:val="16"/>
              </w:rPr>
              <w:t>$375,000.00</w:t>
            </w:r>
          </w:p>
        </w:tc>
        <w:tc>
          <w:tcPr>
            <w:tcW w:w="1100" w:type="dxa"/>
            <w:shd w:val="clear" w:color="auto" w:fill="D9D9D9"/>
          </w:tcPr>
          <w:p>
            <w:pPr>
              <w:pStyle w:val="TableParagraph"/>
              <w:ind w:right="340"/>
              <w:rPr>
                <w:rFonts w:ascii="Carlito"/>
                <w:sz w:val="16"/>
              </w:rPr>
            </w:pPr>
            <w:r>
              <w:rPr>
                <w:rFonts w:ascii="Carlito"/>
                <w:sz w:val="16"/>
              </w:rPr>
              <w:t>402</w:t>
            </w:r>
          </w:p>
        </w:tc>
        <w:tc>
          <w:tcPr>
            <w:tcW w:w="1125" w:type="dxa"/>
            <w:shd w:val="clear" w:color="auto" w:fill="D9D9D9"/>
          </w:tcPr>
          <w:p>
            <w:pPr>
              <w:pStyle w:val="TableParagraph"/>
              <w:ind w:left="320" w:right="439"/>
              <w:jc w:val="center"/>
              <w:rPr>
                <w:rFonts w:ascii="Carlito"/>
                <w:sz w:val="16"/>
              </w:rPr>
            </w:pPr>
            <w:r>
              <w:rPr>
                <w:rFonts w:ascii="Carlito"/>
                <w:sz w:val="16"/>
              </w:rPr>
              <w:t>2013</w:t>
            </w:r>
          </w:p>
        </w:tc>
        <w:tc>
          <w:tcPr>
            <w:tcW w:w="782" w:type="dxa"/>
            <w:shd w:val="clear" w:color="auto" w:fill="D9D9D9"/>
          </w:tcPr>
          <w:p>
            <w:pPr>
              <w:pStyle w:val="TableParagraph"/>
              <w:ind w:right="233"/>
              <w:rPr>
                <w:rFonts w:ascii="Carlito"/>
                <w:sz w:val="16"/>
              </w:rPr>
            </w:pPr>
            <w:r>
              <w:rPr>
                <w:rFonts w:ascii="Carlito"/>
                <w:sz w:val="16"/>
              </w:rPr>
              <w:t>4</w:t>
            </w:r>
          </w:p>
        </w:tc>
        <w:tc>
          <w:tcPr>
            <w:tcW w:w="744" w:type="dxa"/>
            <w:shd w:val="clear" w:color="auto" w:fill="D9D9D9"/>
          </w:tcPr>
          <w:p>
            <w:pPr>
              <w:pStyle w:val="TableParagraph"/>
              <w:ind w:right="301"/>
              <w:rPr>
                <w:rFonts w:ascii="Carlito"/>
                <w:sz w:val="16"/>
              </w:rPr>
            </w:pPr>
            <w:r>
              <w:rPr>
                <w:rFonts w:ascii="Carlito"/>
                <w:sz w:val="16"/>
              </w:rPr>
              <w:t>4.5</w:t>
            </w:r>
          </w:p>
        </w:tc>
        <w:tc>
          <w:tcPr>
            <w:tcW w:w="815" w:type="dxa"/>
            <w:shd w:val="clear" w:color="auto" w:fill="D9D9D9"/>
          </w:tcPr>
          <w:p>
            <w:pPr>
              <w:pStyle w:val="TableParagraph"/>
              <w:ind w:left="304"/>
              <w:jc w:val="left"/>
              <w:rPr>
                <w:rFonts w:ascii="Carlito"/>
                <w:sz w:val="16"/>
              </w:rPr>
            </w:pPr>
            <w:r>
              <w:rPr>
                <w:rFonts w:ascii="Carlito"/>
                <w:sz w:val="16"/>
              </w:rPr>
              <w:t>2</w:t>
            </w:r>
          </w:p>
        </w:tc>
        <w:tc>
          <w:tcPr>
            <w:tcW w:w="1287" w:type="dxa"/>
            <w:shd w:val="clear" w:color="auto" w:fill="D9D9D9"/>
          </w:tcPr>
          <w:p>
            <w:pPr>
              <w:pStyle w:val="TableParagraph"/>
              <w:ind w:right="566"/>
              <w:rPr>
                <w:rFonts w:ascii="Carlito"/>
                <w:sz w:val="16"/>
              </w:rPr>
            </w:pPr>
            <w:r>
              <w:rPr>
                <w:rFonts w:ascii="Carlito"/>
                <w:sz w:val="16"/>
              </w:rPr>
              <w:t>7.4</w:t>
            </w:r>
          </w:p>
        </w:tc>
        <w:tc>
          <w:tcPr>
            <w:tcW w:w="1141" w:type="dxa"/>
            <w:shd w:val="clear" w:color="auto" w:fill="D9D9D9"/>
          </w:tcPr>
          <w:p>
            <w:pPr>
              <w:pStyle w:val="TableParagraph"/>
              <w:ind w:right="355"/>
              <w:rPr>
                <w:rFonts w:ascii="Carlito"/>
                <w:sz w:val="16"/>
              </w:rPr>
            </w:pPr>
            <w:r>
              <w:rPr>
                <w:rFonts w:ascii="Carlito"/>
                <w:sz w:val="16"/>
              </w:rPr>
              <w:t>5</w:t>
            </w:r>
          </w:p>
        </w:tc>
        <w:tc>
          <w:tcPr>
            <w:tcW w:w="825" w:type="dxa"/>
            <w:shd w:val="clear" w:color="auto" w:fill="D9D9D9"/>
          </w:tcPr>
          <w:p>
            <w:pPr>
              <w:pStyle w:val="TableParagraph"/>
              <w:ind w:right="372"/>
              <w:rPr>
                <w:rFonts w:ascii="Carlito"/>
                <w:sz w:val="16"/>
              </w:rPr>
            </w:pPr>
            <w:r>
              <w:rPr>
                <w:rFonts w:ascii="Carlito"/>
                <w:sz w:val="16"/>
              </w:rPr>
              <w:t>0</w:t>
            </w:r>
          </w:p>
        </w:tc>
        <w:tc>
          <w:tcPr>
            <w:tcW w:w="529" w:type="dxa"/>
            <w:shd w:val="clear" w:color="auto" w:fill="D9D9D9"/>
          </w:tcPr>
          <w:p>
            <w:pPr>
              <w:pStyle w:val="TableParagraph"/>
              <w:ind w:right="57"/>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269</w:t>
            </w:r>
          </w:p>
        </w:tc>
        <w:tc>
          <w:tcPr>
            <w:tcW w:w="1938" w:type="dxa"/>
          </w:tcPr>
          <w:p>
            <w:pPr>
              <w:pStyle w:val="TableParagraph"/>
              <w:ind w:left="143"/>
              <w:jc w:val="left"/>
              <w:rPr>
                <w:rFonts w:ascii="Carlito"/>
                <w:sz w:val="16"/>
              </w:rPr>
            </w:pPr>
            <w:r>
              <w:rPr>
                <w:rFonts w:ascii="Carlito"/>
                <w:sz w:val="16"/>
              </w:rPr>
              <w:t>Curridabat</w:t>
            </w:r>
          </w:p>
        </w:tc>
        <w:tc>
          <w:tcPr>
            <w:tcW w:w="655" w:type="dxa"/>
          </w:tcPr>
          <w:p>
            <w:pPr>
              <w:pStyle w:val="TableParagraph"/>
              <w:ind w:right="129"/>
              <w:rPr>
                <w:rFonts w:ascii="Carlito"/>
                <w:sz w:val="16"/>
              </w:rPr>
            </w:pPr>
            <w:r>
              <w:rPr>
                <w:rFonts w:ascii="Carlito"/>
                <w:sz w:val="16"/>
              </w:rPr>
              <w:t>1</w:t>
            </w:r>
          </w:p>
        </w:tc>
        <w:tc>
          <w:tcPr>
            <w:tcW w:w="1258" w:type="dxa"/>
          </w:tcPr>
          <w:p>
            <w:pPr>
              <w:pStyle w:val="TableParagraph"/>
              <w:ind w:left="131"/>
              <w:jc w:val="left"/>
              <w:rPr>
                <w:rFonts w:ascii="Carlito"/>
                <w:sz w:val="16"/>
              </w:rPr>
            </w:pPr>
            <w:r>
              <w:rPr>
                <w:rFonts w:ascii="Carlito"/>
                <w:sz w:val="16"/>
              </w:rPr>
              <w:t>$285,000.00</w:t>
            </w:r>
          </w:p>
        </w:tc>
        <w:tc>
          <w:tcPr>
            <w:tcW w:w="1100" w:type="dxa"/>
          </w:tcPr>
          <w:p>
            <w:pPr>
              <w:pStyle w:val="TableParagraph"/>
              <w:ind w:right="340"/>
              <w:rPr>
                <w:rFonts w:ascii="Carlito"/>
                <w:sz w:val="16"/>
              </w:rPr>
            </w:pPr>
            <w:r>
              <w:rPr>
                <w:rFonts w:ascii="Carlito"/>
                <w:sz w:val="16"/>
              </w:rPr>
              <w:t>300</w:t>
            </w:r>
          </w:p>
        </w:tc>
        <w:tc>
          <w:tcPr>
            <w:tcW w:w="1125" w:type="dxa"/>
          </w:tcPr>
          <w:p>
            <w:pPr>
              <w:pStyle w:val="TableParagraph"/>
              <w:ind w:left="320" w:right="439"/>
              <w:jc w:val="center"/>
              <w:rPr>
                <w:rFonts w:ascii="Carlito"/>
                <w:sz w:val="16"/>
              </w:rPr>
            </w:pPr>
            <w:r>
              <w:rPr>
                <w:rFonts w:ascii="Carlito"/>
                <w:sz w:val="16"/>
              </w:rPr>
              <w:t>2006</w:t>
            </w:r>
          </w:p>
        </w:tc>
        <w:tc>
          <w:tcPr>
            <w:tcW w:w="782" w:type="dxa"/>
          </w:tcPr>
          <w:p>
            <w:pPr>
              <w:pStyle w:val="TableParagraph"/>
              <w:ind w:right="233"/>
              <w:rPr>
                <w:rFonts w:ascii="Carlito"/>
                <w:sz w:val="16"/>
              </w:rPr>
            </w:pPr>
            <w:r>
              <w:rPr>
                <w:rFonts w:ascii="Carlito"/>
                <w:sz w:val="16"/>
              </w:rPr>
              <w:t>3</w:t>
            </w:r>
          </w:p>
        </w:tc>
        <w:tc>
          <w:tcPr>
            <w:tcW w:w="744" w:type="dxa"/>
          </w:tcPr>
          <w:p>
            <w:pPr>
              <w:pStyle w:val="TableParagraph"/>
              <w:ind w:right="301"/>
              <w:rPr>
                <w:rFonts w:ascii="Carlito"/>
                <w:sz w:val="16"/>
              </w:rPr>
            </w:pPr>
            <w:r>
              <w:rPr>
                <w:rFonts w:ascii="Carlito"/>
                <w:sz w:val="16"/>
              </w:rPr>
              <w:t>2.5</w:t>
            </w:r>
          </w:p>
        </w:tc>
        <w:tc>
          <w:tcPr>
            <w:tcW w:w="815" w:type="dxa"/>
          </w:tcPr>
          <w:p>
            <w:pPr>
              <w:pStyle w:val="TableParagraph"/>
              <w:ind w:left="304"/>
              <w:jc w:val="left"/>
              <w:rPr>
                <w:rFonts w:ascii="Carlito"/>
                <w:sz w:val="16"/>
              </w:rPr>
            </w:pPr>
            <w:r>
              <w:rPr>
                <w:rFonts w:ascii="Carlito"/>
                <w:sz w:val="16"/>
              </w:rPr>
              <w:t>2</w:t>
            </w:r>
          </w:p>
        </w:tc>
        <w:tc>
          <w:tcPr>
            <w:tcW w:w="1287" w:type="dxa"/>
          </w:tcPr>
          <w:p>
            <w:pPr>
              <w:pStyle w:val="TableParagraph"/>
              <w:ind w:right="566"/>
              <w:rPr>
                <w:rFonts w:ascii="Carlito"/>
                <w:sz w:val="16"/>
              </w:rPr>
            </w:pPr>
            <w:r>
              <w:rPr>
                <w:rFonts w:ascii="Carlito"/>
                <w:sz w:val="16"/>
              </w:rPr>
              <w:t>5.7</w:t>
            </w:r>
          </w:p>
        </w:tc>
        <w:tc>
          <w:tcPr>
            <w:tcW w:w="1141" w:type="dxa"/>
          </w:tcPr>
          <w:p>
            <w:pPr>
              <w:pStyle w:val="TableParagraph"/>
              <w:ind w:right="359"/>
              <w:rPr>
                <w:rFonts w:ascii="Carlito"/>
                <w:sz w:val="16"/>
              </w:rPr>
            </w:pPr>
            <w:r>
              <w:rPr>
                <w:rFonts w:ascii="Carlito"/>
                <w:sz w:val="16"/>
              </w:rPr>
              <w:t>3.2</w:t>
            </w:r>
          </w:p>
        </w:tc>
        <w:tc>
          <w:tcPr>
            <w:tcW w:w="825" w:type="dxa"/>
          </w:tcPr>
          <w:p>
            <w:pPr>
              <w:pStyle w:val="TableParagraph"/>
              <w:ind w:right="372"/>
              <w:rPr>
                <w:rFonts w:ascii="Carlito"/>
                <w:sz w:val="16"/>
              </w:rPr>
            </w:pPr>
            <w:r>
              <w:rPr>
                <w:rFonts w:ascii="Carlito"/>
                <w:sz w:val="16"/>
              </w:rPr>
              <w:t>0</w:t>
            </w:r>
          </w:p>
        </w:tc>
        <w:tc>
          <w:tcPr>
            <w:tcW w:w="529" w:type="dxa"/>
          </w:tcPr>
          <w:p>
            <w:pPr>
              <w:pStyle w:val="TableParagraph"/>
              <w:ind w:right="57"/>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270</w:t>
            </w:r>
          </w:p>
        </w:tc>
        <w:tc>
          <w:tcPr>
            <w:tcW w:w="1938" w:type="dxa"/>
            <w:shd w:val="clear" w:color="auto" w:fill="D9D9D9"/>
          </w:tcPr>
          <w:p>
            <w:pPr>
              <w:pStyle w:val="TableParagraph"/>
              <w:ind w:left="143"/>
              <w:jc w:val="left"/>
              <w:rPr>
                <w:rFonts w:ascii="Carlito"/>
                <w:sz w:val="16"/>
              </w:rPr>
            </w:pPr>
            <w:r>
              <w:rPr>
                <w:rFonts w:ascii="Carlito"/>
                <w:sz w:val="16"/>
              </w:rPr>
              <w:t>Freses</w:t>
            </w:r>
          </w:p>
        </w:tc>
        <w:tc>
          <w:tcPr>
            <w:tcW w:w="655" w:type="dxa"/>
            <w:shd w:val="clear" w:color="auto" w:fill="D9D9D9"/>
          </w:tcPr>
          <w:p>
            <w:pPr>
              <w:pStyle w:val="TableParagraph"/>
              <w:ind w:right="129"/>
              <w:rPr>
                <w:rFonts w:ascii="Carlito"/>
                <w:sz w:val="16"/>
              </w:rPr>
            </w:pPr>
            <w:r>
              <w:rPr>
                <w:rFonts w:ascii="Carlito"/>
                <w:sz w:val="16"/>
              </w:rPr>
              <w:t>1</w:t>
            </w:r>
          </w:p>
        </w:tc>
        <w:tc>
          <w:tcPr>
            <w:tcW w:w="1258" w:type="dxa"/>
            <w:shd w:val="clear" w:color="auto" w:fill="D9D9D9"/>
          </w:tcPr>
          <w:p>
            <w:pPr>
              <w:pStyle w:val="TableParagraph"/>
              <w:ind w:left="131"/>
              <w:jc w:val="left"/>
              <w:rPr>
                <w:rFonts w:ascii="Carlito"/>
                <w:sz w:val="16"/>
              </w:rPr>
            </w:pPr>
            <w:r>
              <w:rPr>
                <w:rFonts w:ascii="Carlito"/>
                <w:sz w:val="16"/>
              </w:rPr>
              <w:t>$430,000.00</w:t>
            </w:r>
          </w:p>
        </w:tc>
        <w:tc>
          <w:tcPr>
            <w:tcW w:w="1100" w:type="dxa"/>
            <w:shd w:val="clear" w:color="auto" w:fill="D9D9D9"/>
          </w:tcPr>
          <w:p>
            <w:pPr>
              <w:pStyle w:val="TableParagraph"/>
              <w:ind w:right="340"/>
              <w:rPr>
                <w:rFonts w:ascii="Carlito"/>
                <w:sz w:val="16"/>
              </w:rPr>
            </w:pPr>
            <w:r>
              <w:rPr>
                <w:rFonts w:ascii="Carlito"/>
                <w:sz w:val="16"/>
              </w:rPr>
              <w:t>440</w:t>
            </w:r>
          </w:p>
        </w:tc>
        <w:tc>
          <w:tcPr>
            <w:tcW w:w="1125" w:type="dxa"/>
            <w:shd w:val="clear" w:color="auto" w:fill="D9D9D9"/>
          </w:tcPr>
          <w:p>
            <w:pPr>
              <w:pStyle w:val="TableParagraph"/>
              <w:ind w:left="320" w:right="439"/>
              <w:jc w:val="center"/>
              <w:rPr>
                <w:rFonts w:ascii="Carlito"/>
                <w:sz w:val="16"/>
              </w:rPr>
            </w:pPr>
            <w:r>
              <w:rPr>
                <w:rFonts w:ascii="Carlito"/>
                <w:sz w:val="16"/>
              </w:rPr>
              <w:t>2010</w:t>
            </w:r>
          </w:p>
        </w:tc>
        <w:tc>
          <w:tcPr>
            <w:tcW w:w="782" w:type="dxa"/>
            <w:shd w:val="clear" w:color="auto" w:fill="D9D9D9"/>
          </w:tcPr>
          <w:p>
            <w:pPr>
              <w:pStyle w:val="TableParagraph"/>
              <w:ind w:right="233"/>
              <w:rPr>
                <w:rFonts w:ascii="Carlito"/>
                <w:sz w:val="16"/>
              </w:rPr>
            </w:pPr>
            <w:r>
              <w:rPr>
                <w:rFonts w:ascii="Carlito"/>
                <w:sz w:val="16"/>
              </w:rPr>
              <w:t>5</w:t>
            </w:r>
          </w:p>
        </w:tc>
        <w:tc>
          <w:tcPr>
            <w:tcW w:w="744" w:type="dxa"/>
            <w:shd w:val="clear" w:color="auto" w:fill="D9D9D9"/>
          </w:tcPr>
          <w:p>
            <w:pPr>
              <w:pStyle w:val="TableParagraph"/>
              <w:ind w:right="301"/>
              <w:rPr>
                <w:rFonts w:ascii="Carlito"/>
                <w:sz w:val="16"/>
              </w:rPr>
            </w:pPr>
            <w:r>
              <w:rPr>
                <w:rFonts w:ascii="Carlito"/>
                <w:sz w:val="16"/>
              </w:rPr>
              <w:t>4.5</w:t>
            </w:r>
          </w:p>
        </w:tc>
        <w:tc>
          <w:tcPr>
            <w:tcW w:w="815" w:type="dxa"/>
            <w:shd w:val="clear" w:color="auto" w:fill="D9D9D9"/>
          </w:tcPr>
          <w:p>
            <w:pPr>
              <w:pStyle w:val="TableParagraph"/>
              <w:ind w:left="304"/>
              <w:jc w:val="left"/>
              <w:rPr>
                <w:rFonts w:ascii="Carlito"/>
                <w:sz w:val="16"/>
              </w:rPr>
            </w:pPr>
            <w:r>
              <w:rPr>
                <w:rFonts w:ascii="Carlito"/>
                <w:sz w:val="16"/>
              </w:rPr>
              <w:t>2</w:t>
            </w:r>
          </w:p>
        </w:tc>
        <w:tc>
          <w:tcPr>
            <w:tcW w:w="1287" w:type="dxa"/>
            <w:shd w:val="clear" w:color="auto" w:fill="D9D9D9"/>
          </w:tcPr>
          <w:p>
            <w:pPr>
              <w:pStyle w:val="TableParagraph"/>
              <w:ind w:right="566"/>
              <w:rPr>
                <w:rFonts w:ascii="Carlito"/>
                <w:sz w:val="16"/>
              </w:rPr>
            </w:pPr>
            <w:r>
              <w:rPr>
                <w:rFonts w:ascii="Carlito"/>
                <w:sz w:val="16"/>
              </w:rPr>
              <w:t>5.2</w:t>
            </w:r>
          </w:p>
        </w:tc>
        <w:tc>
          <w:tcPr>
            <w:tcW w:w="1141" w:type="dxa"/>
            <w:shd w:val="clear" w:color="auto" w:fill="D9D9D9"/>
          </w:tcPr>
          <w:p>
            <w:pPr>
              <w:pStyle w:val="TableParagraph"/>
              <w:ind w:right="359"/>
              <w:rPr>
                <w:rFonts w:ascii="Carlito"/>
                <w:sz w:val="16"/>
              </w:rPr>
            </w:pPr>
            <w:r>
              <w:rPr>
                <w:rFonts w:ascii="Carlito"/>
                <w:sz w:val="16"/>
              </w:rPr>
              <w:t>5.2</w:t>
            </w:r>
          </w:p>
        </w:tc>
        <w:tc>
          <w:tcPr>
            <w:tcW w:w="825" w:type="dxa"/>
            <w:shd w:val="clear" w:color="auto" w:fill="D9D9D9"/>
          </w:tcPr>
          <w:p>
            <w:pPr>
              <w:pStyle w:val="TableParagraph"/>
              <w:ind w:right="372"/>
              <w:rPr>
                <w:rFonts w:ascii="Carlito"/>
                <w:sz w:val="16"/>
              </w:rPr>
            </w:pPr>
            <w:r>
              <w:rPr>
                <w:rFonts w:ascii="Carlito"/>
                <w:sz w:val="16"/>
              </w:rPr>
              <w:t>0</w:t>
            </w:r>
          </w:p>
        </w:tc>
        <w:tc>
          <w:tcPr>
            <w:tcW w:w="529" w:type="dxa"/>
            <w:shd w:val="clear" w:color="auto" w:fill="D9D9D9"/>
          </w:tcPr>
          <w:p>
            <w:pPr>
              <w:pStyle w:val="TableParagraph"/>
              <w:ind w:right="57"/>
              <w:rPr>
                <w:rFonts w:ascii="Carlito"/>
                <w:sz w:val="16"/>
              </w:rPr>
            </w:pPr>
            <w:r>
              <w:rPr>
                <w:rFonts w:ascii="Carlito"/>
                <w:sz w:val="16"/>
              </w:rPr>
              <w:t>0</w:t>
            </w:r>
          </w:p>
        </w:tc>
      </w:tr>
      <w:tr>
        <w:trPr>
          <w:trHeight w:val="288" w:hRule="atLeast"/>
        </w:trPr>
        <w:tc>
          <w:tcPr>
            <w:tcW w:w="756" w:type="dxa"/>
          </w:tcPr>
          <w:p>
            <w:pPr>
              <w:pStyle w:val="TableParagraph"/>
              <w:spacing w:line="177" w:lineRule="exact" w:before="92"/>
              <w:ind w:right="143"/>
              <w:rPr>
                <w:rFonts w:ascii="Carlito"/>
                <w:sz w:val="16"/>
              </w:rPr>
            </w:pPr>
            <w:r>
              <w:rPr>
                <w:rFonts w:ascii="Carlito"/>
                <w:sz w:val="16"/>
              </w:rPr>
              <w:t>271</w:t>
            </w:r>
          </w:p>
        </w:tc>
        <w:tc>
          <w:tcPr>
            <w:tcW w:w="1938" w:type="dxa"/>
          </w:tcPr>
          <w:p>
            <w:pPr>
              <w:pStyle w:val="TableParagraph"/>
              <w:spacing w:line="177" w:lineRule="exact" w:before="92"/>
              <w:ind w:left="143"/>
              <w:jc w:val="left"/>
              <w:rPr>
                <w:rFonts w:ascii="Carlito"/>
                <w:sz w:val="16"/>
              </w:rPr>
            </w:pPr>
            <w:r>
              <w:rPr>
                <w:rFonts w:ascii="Carlito"/>
                <w:sz w:val="16"/>
              </w:rPr>
              <w:t>Curridabat</w:t>
            </w:r>
          </w:p>
        </w:tc>
        <w:tc>
          <w:tcPr>
            <w:tcW w:w="655" w:type="dxa"/>
          </w:tcPr>
          <w:p>
            <w:pPr>
              <w:pStyle w:val="TableParagraph"/>
              <w:spacing w:line="177" w:lineRule="exact" w:before="92"/>
              <w:ind w:right="129"/>
              <w:rPr>
                <w:rFonts w:ascii="Carlito"/>
                <w:sz w:val="16"/>
              </w:rPr>
            </w:pPr>
            <w:r>
              <w:rPr>
                <w:rFonts w:ascii="Carlito"/>
                <w:sz w:val="16"/>
              </w:rPr>
              <w:t>0</w:t>
            </w:r>
          </w:p>
        </w:tc>
        <w:tc>
          <w:tcPr>
            <w:tcW w:w="1258" w:type="dxa"/>
          </w:tcPr>
          <w:p>
            <w:pPr>
              <w:pStyle w:val="TableParagraph"/>
              <w:spacing w:line="177" w:lineRule="exact" w:before="92"/>
              <w:ind w:left="131"/>
              <w:jc w:val="left"/>
              <w:rPr>
                <w:rFonts w:ascii="Carlito"/>
                <w:sz w:val="16"/>
              </w:rPr>
            </w:pPr>
            <w:r>
              <w:rPr>
                <w:rFonts w:ascii="Carlito"/>
                <w:sz w:val="16"/>
              </w:rPr>
              <w:t>$500,000.00</w:t>
            </w:r>
          </w:p>
        </w:tc>
        <w:tc>
          <w:tcPr>
            <w:tcW w:w="1100" w:type="dxa"/>
          </w:tcPr>
          <w:p>
            <w:pPr>
              <w:pStyle w:val="TableParagraph"/>
              <w:spacing w:line="177" w:lineRule="exact" w:before="92"/>
              <w:ind w:right="340"/>
              <w:rPr>
                <w:rFonts w:ascii="Carlito"/>
                <w:sz w:val="16"/>
              </w:rPr>
            </w:pPr>
            <w:r>
              <w:rPr>
                <w:rFonts w:ascii="Carlito"/>
                <w:sz w:val="16"/>
              </w:rPr>
              <w:t>300</w:t>
            </w:r>
          </w:p>
        </w:tc>
        <w:tc>
          <w:tcPr>
            <w:tcW w:w="1125" w:type="dxa"/>
          </w:tcPr>
          <w:p>
            <w:pPr>
              <w:pStyle w:val="TableParagraph"/>
              <w:spacing w:line="177" w:lineRule="exact" w:before="92"/>
              <w:ind w:left="320" w:right="439"/>
              <w:jc w:val="center"/>
              <w:rPr>
                <w:rFonts w:ascii="Carlito"/>
                <w:sz w:val="16"/>
              </w:rPr>
            </w:pPr>
            <w:r>
              <w:rPr>
                <w:rFonts w:ascii="Carlito"/>
                <w:sz w:val="16"/>
              </w:rPr>
              <w:t>2014</w:t>
            </w:r>
          </w:p>
        </w:tc>
        <w:tc>
          <w:tcPr>
            <w:tcW w:w="782" w:type="dxa"/>
          </w:tcPr>
          <w:p>
            <w:pPr>
              <w:pStyle w:val="TableParagraph"/>
              <w:spacing w:line="177" w:lineRule="exact" w:before="92"/>
              <w:ind w:right="233"/>
              <w:rPr>
                <w:rFonts w:ascii="Carlito"/>
                <w:sz w:val="16"/>
              </w:rPr>
            </w:pPr>
            <w:r>
              <w:rPr>
                <w:rFonts w:ascii="Carlito"/>
                <w:sz w:val="16"/>
              </w:rPr>
              <w:t>3</w:t>
            </w:r>
          </w:p>
        </w:tc>
        <w:tc>
          <w:tcPr>
            <w:tcW w:w="744" w:type="dxa"/>
          </w:tcPr>
          <w:p>
            <w:pPr>
              <w:pStyle w:val="TableParagraph"/>
              <w:spacing w:line="177" w:lineRule="exact" w:before="92"/>
              <w:ind w:right="301"/>
              <w:rPr>
                <w:rFonts w:ascii="Carlito"/>
                <w:sz w:val="16"/>
              </w:rPr>
            </w:pPr>
            <w:r>
              <w:rPr>
                <w:rFonts w:ascii="Carlito"/>
                <w:sz w:val="16"/>
              </w:rPr>
              <w:t>3.5</w:t>
            </w:r>
          </w:p>
        </w:tc>
        <w:tc>
          <w:tcPr>
            <w:tcW w:w="815" w:type="dxa"/>
          </w:tcPr>
          <w:p>
            <w:pPr>
              <w:pStyle w:val="TableParagraph"/>
              <w:spacing w:line="177" w:lineRule="exact" w:before="92"/>
              <w:ind w:left="304"/>
              <w:jc w:val="left"/>
              <w:rPr>
                <w:rFonts w:ascii="Carlito"/>
                <w:sz w:val="16"/>
              </w:rPr>
            </w:pPr>
            <w:r>
              <w:rPr>
                <w:rFonts w:ascii="Carlito"/>
                <w:sz w:val="16"/>
              </w:rPr>
              <w:t>2</w:t>
            </w:r>
          </w:p>
        </w:tc>
        <w:tc>
          <w:tcPr>
            <w:tcW w:w="1287" w:type="dxa"/>
          </w:tcPr>
          <w:p>
            <w:pPr>
              <w:pStyle w:val="TableParagraph"/>
              <w:spacing w:line="177" w:lineRule="exact" w:before="92"/>
              <w:ind w:right="566"/>
              <w:rPr>
                <w:rFonts w:ascii="Carlito"/>
                <w:sz w:val="16"/>
              </w:rPr>
            </w:pPr>
            <w:r>
              <w:rPr>
                <w:rFonts w:ascii="Carlito"/>
                <w:sz w:val="16"/>
              </w:rPr>
              <w:t>5.7</w:t>
            </w:r>
          </w:p>
        </w:tc>
        <w:tc>
          <w:tcPr>
            <w:tcW w:w="1141" w:type="dxa"/>
          </w:tcPr>
          <w:p>
            <w:pPr>
              <w:pStyle w:val="TableParagraph"/>
              <w:spacing w:line="177" w:lineRule="exact" w:before="92"/>
              <w:ind w:right="359"/>
              <w:rPr>
                <w:rFonts w:ascii="Carlito"/>
                <w:sz w:val="16"/>
              </w:rPr>
            </w:pPr>
            <w:r>
              <w:rPr>
                <w:rFonts w:ascii="Carlito"/>
                <w:sz w:val="16"/>
              </w:rPr>
              <w:t>3.2</w:t>
            </w:r>
          </w:p>
        </w:tc>
        <w:tc>
          <w:tcPr>
            <w:tcW w:w="825" w:type="dxa"/>
          </w:tcPr>
          <w:p>
            <w:pPr>
              <w:pStyle w:val="TableParagraph"/>
              <w:spacing w:line="177" w:lineRule="exact" w:before="92"/>
              <w:ind w:right="372"/>
              <w:rPr>
                <w:rFonts w:ascii="Carlito"/>
                <w:sz w:val="16"/>
              </w:rPr>
            </w:pPr>
            <w:r>
              <w:rPr>
                <w:rFonts w:ascii="Carlito"/>
                <w:sz w:val="16"/>
              </w:rPr>
              <w:t>0</w:t>
            </w:r>
          </w:p>
        </w:tc>
        <w:tc>
          <w:tcPr>
            <w:tcW w:w="529" w:type="dxa"/>
          </w:tcPr>
          <w:p>
            <w:pPr>
              <w:pStyle w:val="TableParagraph"/>
              <w:spacing w:line="177" w:lineRule="exact" w:before="92"/>
              <w:ind w:right="57"/>
              <w:rPr>
                <w:rFonts w:ascii="Carlito"/>
                <w:sz w:val="16"/>
              </w:rPr>
            </w:pPr>
            <w:r>
              <w:rPr>
                <w:rFonts w:ascii="Carlito"/>
                <w:sz w:val="16"/>
              </w:rPr>
              <w:t>0</w:t>
            </w:r>
          </w:p>
        </w:tc>
      </w:tr>
      <w:tr>
        <w:trPr>
          <w:trHeight w:val="287" w:hRule="atLeast"/>
        </w:trPr>
        <w:tc>
          <w:tcPr>
            <w:tcW w:w="756" w:type="dxa"/>
            <w:shd w:val="clear" w:color="auto" w:fill="D9D9D9"/>
          </w:tcPr>
          <w:p>
            <w:pPr>
              <w:pStyle w:val="TableParagraph"/>
              <w:spacing w:line="177" w:lineRule="exact"/>
              <w:ind w:right="143"/>
              <w:rPr>
                <w:rFonts w:ascii="Carlito"/>
                <w:sz w:val="16"/>
              </w:rPr>
            </w:pPr>
            <w:r>
              <w:rPr>
                <w:rFonts w:ascii="Carlito"/>
                <w:sz w:val="16"/>
              </w:rPr>
              <w:t>272</w:t>
            </w:r>
          </w:p>
        </w:tc>
        <w:tc>
          <w:tcPr>
            <w:tcW w:w="1938" w:type="dxa"/>
            <w:shd w:val="clear" w:color="auto" w:fill="D9D9D9"/>
          </w:tcPr>
          <w:p>
            <w:pPr>
              <w:pStyle w:val="TableParagraph"/>
              <w:spacing w:line="177" w:lineRule="exact"/>
              <w:ind w:left="143"/>
              <w:jc w:val="left"/>
              <w:rPr>
                <w:rFonts w:ascii="Carlito"/>
                <w:sz w:val="16"/>
              </w:rPr>
            </w:pPr>
            <w:r>
              <w:rPr>
                <w:rFonts w:ascii="Carlito"/>
                <w:sz w:val="16"/>
              </w:rPr>
              <w:t>Lomas de Ayarco Sur</w:t>
            </w:r>
          </w:p>
        </w:tc>
        <w:tc>
          <w:tcPr>
            <w:tcW w:w="655" w:type="dxa"/>
            <w:shd w:val="clear" w:color="auto" w:fill="D9D9D9"/>
          </w:tcPr>
          <w:p>
            <w:pPr>
              <w:pStyle w:val="TableParagraph"/>
              <w:spacing w:line="177" w:lineRule="exact"/>
              <w:ind w:right="129"/>
              <w:rPr>
                <w:rFonts w:ascii="Carlito"/>
                <w:sz w:val="16"/>
              </w:rPr>
            </w:pPr>
            <w:r>
              <w:rPr>
                <w:rFonts w:ascii="Carlito"/>
                <w:sz w:val="16"/>
              </w:rPr>
              <w:t>0</w:t>
            </w:r>
          </w:p>
        </w:tc>
        <w:tc>
          <w:tcPr>
            <w:tcW w:w="1258" w:type="dxa"/>
            <w:shd w:val="clear" w:color="auto" w:fill="D9D9D9"/>
          </w:tcPr>
          <w:p>
            <w:pPr>
              <w:pStyle w:val="TableParagraph"/>
              <w:spacing w:line="177" w:lineRule="exact"/>
              <w:ind w:left="131"/>
              <w:jc w:val="left"/>
              <w:rPr>
                <w:rFonts w:ascii="Carlito"/>
                <w:sz w:val="16"/>
              </w:rPr>
            </w:pPr>
            <w:r>
              <w:rPr>
                <w:rFonts w:ascii="Carlito"/>
                <w:sz w:val="16"/>
              </w:rPr>
              <w:t>$360,000.00</w:t>
            </w:r>
          </w:p>
        </w:tc>
        <w:tc>
          <w:tcPr>
            <w:tcW w:w="1100" w:type="dxa"/>
            <w:shd w:val="clear" w:color="auto" w:fill="D9D9D9"/>
          </w:tcPr>
          <w:p>
            <w:pPr>
              <w:pStyle w:val="TableParagraph"/>
              <w:spacing w:line="177" w:lineRule="exact"/>
              <w:ind w:right="340"/>
              <w:rPr>
                <w:rFonts w:ascii="Carlito"/>
                <w:sz w:val="16"/>
              </w:rPr>
            </w:pPr>
            <w:r>
              <w:rPr>
                <w:rFonts w:ascii="Carlito"/>
                <w:sz w:val="16"/>
              </w:rPr>
              <w:t>392</w:t>
            </w:r>
          </w:p>
        </w:tc>
        <w:tc>
          <w:tcPr>
            <w:tcW w:w="1125" w:type="dxa"/>
            <w:shd w:val="clear" w:color="auto" w:fill="D9D9D9"/>
          </w:tcPr>
          <w:p>
            <w:pPr>
              <w:pStyle w:val="TableParagraph"/>
              <w:spacing w:line="177" w:lineRule="exact"/>
              <w:ind w:left="320" w:right="439"/>
              <w:jc w:val="center"/>
              <w:rPr>
                <w:rFonts w:ascii="Carlito"/>
                <w:sz w:val="16"/>
              </w:rPr>
            </w:pPr>
            <w:r>
              <w:rPr>
                <w:rFonts w:ascii="Carlito"/>
                <w:sz w:val="16"/>
              </w:rPr>
              <w:t>2010</w:t>
            </w:r>
          </w:p>
        </w:tc>
        <w:tc>
          <w:tcPr>
            <w:tcW w:w="782" w:type="dxa"/>
            <w:shd w:val="clear" w:color="auto" w:fill="D9D9D9"/>
          </w:tcPr>
          <w:p>
            <w:pPr>
              <w:pStyle w:val="TableParagraph"/>
              <w:spacing w:line="177" w:lineRule="exact"/>
              <w:ind w:right="233"/>
              <w:rPr>
                <w:rFonts w:ascii="Carlito"/>
                <w:sz w:val="16"/>
              </w:rPr>
            </w:pPr>
            <w:r>
              <w:rPr>
                <w:rFonts w:ascii="Carlito"/>
                <w:sz w:val="16"/>
              </w:rPr>
              <w:t>3</w:t>
            </w:r>
          </w:p>
        </w:tc>
        <w:tc>
          <w:tcPr>
            <w:tcW w:w="744" w:type="dxa"/>
            <w:shd w:val="clear" w:color="auto" w:fill="D9D9D9"/>
          </w:tcPr>
          <w:p>
            <w:pPr>
              <w:pStyle w:val="TableParagraph"/>
              <w:spacing w:line="177" w:lineRule="exact"/>
              <w:ind w:right="301"/>
              <w:rPr>
                <w:rFonts w:ascii="Carlito"/>
                <w:sz w:val="16"/>
              </w:rPr>
            </w:pPr>
            <w:r>
              <w:rPr>
                <w:rFonts w:ascii="Carlito"/>
                <w:sz w:val="16"/>
              </w:rPr>
              <w:t>2.5</w:t>
            </w:r>
          </w:p>
        </w:tc>
        <w:tc>
          <w:tcPr>
            <w:tcW w:w="815" w:type="dxa"/>
            <w:shd w:val="clear" w:color="auto" w:fill="D9D9D9"/>
          </w:tcPr>
          <w:p>
            <w:pPr>
              <w:pStyle w:val="TableParagraph"/>
              <w:spacing w:line="177" w:lineRule="exact"/>
              <w:ind w:left="304"/>
              <w:jc w:val="left"/>
              <w:rPr>
                <w:rFonts w:ascii="Carlito"/>
                <w:sz w:val="16"/>
              </w:rPr>
            </w:pPr>
            <w:r>
              <w:rPr>
                <w:rFonts w:ascii="Carlito"/>
                <w:sz w:val="16"/>
              </w:rPr>
              <w:t>2</w:t>
            </w:r>
          </w:p>
        </w:tc>
        <w:tc>
          <w:tcPr>
            <w:tcW w:w="1287" w:type="dxa"/>
            <w:shd w:val="clear" w:color="auto" w:fill="D9D9D9"/>
          </w:tcPr>
          <w:p>
            <w:pPr>
              <w:pStyle w:val="TableParagraph"/>
              <w:spacing w:line="177" w:lineRule="exact"/>
              <w:ind w:right="566"/>
              <w:rPr>
                <w:rFonts w:ascii="Carlito"/>
                <w:sz w:val="16"/>
              </w:rPr>
            </w:pPr>
            <w:r>
              <w:rPr>
                <w:rFonts w:ascii="Carlito"/>
                <w:sz w:val="16"/>
              </w:rPr>
              <w:t>8.8</w:t>
            </w:r>
          </w:p>
        </w:tc>
        <w:tc>
          <w:tcPr>
            <w:tcW w:w="1141" w:type="dxa"/>
            <w:shd w:val="clear" w:color="auto" w:fill="D9D9D9"/>
          </w:tcPr>
          <w:p>
            <w:pPr>
              <w:pStyle w:val="TableParagraph"/>
              <w:spacing w:line="177" w:lineRule="exact"/>
              <w:ind w:right="359"/>
              <w:rPr>
                <w:rFonts w:ascii="Carlito"/>
                <w:sz w:val="16"/>
              </w:rPr>
            </w:pPr>
            <w:r>
              <w:rPr>
                <w:rFonts w:ascii="Carlito"/>
                <w:sz w:val="16"/>
              </w:rPr>
              <w:t>2.8</w:t>
            </w:r>
          </w:p>
        </w:tc>
        <w:tc>
          <w:tcPr>
            <w:tcW w:w="825" w:type="dxa"/>
            <w:shd w:val="clear" w:color="auto" w:fill="D9D9D9"/>
          </w:tcPr>
          <w:p>
            <w:pPr>
              <w:pStyle w:val="TableParagraph"/>
              <w:spacing w:line="177" w:lineRule="exact"/>
              <w:ind w:right="372"/>
              <w:rPr>
                <w:rFonts w:ascii="Carlito"/>
                <w:sz w:val="16"/>
              </w:rPr>
            </w:pPr>
            <w:r>
              <w:rPr>
                <w:rFonts w:ascii="Carlito"/>
                <w:sz w:val="16"/>
              </w:rPr>
              <w:t>0</w:t>
            </w:r>
          </w:p>
        </w:tc>
        <w:tc>
          <w:tcPr>
            <w:tcW w:w="529" w:type="dxa"/>
            <w:shd w:val="clear" w:color="auto" w:fill="D9D9D9"/>
          </w:tcPr>
          <w:p>
            <w:pPr>
              <w:pStyle w:val="TableParagraph"/>
              <w:spacing w:line="177" w:lineRule="exact"/>
              <w:ind w:right="57"/>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273</w:t>
            </w:r>
          </w:p>
        </w:tc>
        <w:tc>
          <w:tcPr>
            <w:tcW w:w="1938" w:type="dxa"/>
          </w:tcPr>
          <w:p>
            <w:pPr>
              <w:pStyle w:val="TableParagraph"/>
              <w:ind w:left="143"/>
              <w:jc w:val="left"/>
              <w:rPr>
                <w:rFonts w:ascii="Carlito"/>
                <w:sz w:val="16"/>
              </w:rPr>
            </w:pPr>
            <w:r>
              <w:rPr>
                <w:rFonts w:ascii="Carlito"/>
                <w:sz w:val="16"/>
              </w:rPr>
              <w:t>Curridabat</w:t>
            </w:r>
          </w:p>
        </w:tc>
        <w:tc>
          <w:tcPr>
            <w:tcW w:w="655" w:type="dxa"/>
          </w:tcPr>
          <w:p>
            <w:pPr>
              <w:pStyle w:val="TableParagraph"/>
              <w:ind w:right="129"/>
              <w:rPr>
                <w:rFonts w:ascii="Carlito"/>
                <w:sz w:val="16"/>
              </w:rPr>
            </w:pPr>
            <w:r>
              <w:rPr>
                <w:rFonts w:ascii="Carlito"/>
                <w:sz w:val="16"/>
              </w:rPr>
              <w:t>0</w:t>
            </w:r>
          </w:p>
        </w:tc>
        <w:tc>
          <w:tcPr>
            <w:tcW w:w="1258" w:type="dxa"/>
          </w:tcPr>
          <w:p>
            <w:pPr>
              <w:pStyle w:val="TableParagraph"/>
              <w:ind w:left="131"/>
              <w:jc w:val="left"/>
              <w:rPr>
                <w:rFonts w:ascii="Carlito"/>
                <w:sz w:val="16"/>
              </w:rPr>
            </w:pPr>
            <w:r>
              <w:rPr>
                <w:rFonts w:ascii="Carlito"/>
                <w:sz w:val="16"/>
              </w:rPr>
              <w:t>$215,000.00</w:t>
            </w:r>
          </w:p>
        </w:tc>
        <w:tc>
          <w:tcPr>
            <w:tcW w:w="1100" w:type="dxa"/>
          </w:tcPr>
          <w:p>
            <w:pPr>
              <w:pStyle w:val="TableParagraph"/>
              <w:ind w:right="340"/>
              <w:rPr>
                <w:rFonts w:ascii="Carlito"/>
                <w:sz w:val="16"/>
              </w:rPr>
            </w:pPr>
            <w:r>
              <w:rPr>
                <w:rFonts w:ascii="Carlito"/>
                <w:sz w:val="16"/>
              </w:rPr>
              <w:t>180</w:t>
            </w:r>
          </w:p>
        </w:tc>
        <w:tc>
          <w:tcPr>
            <w:tcW w:w="1125" w:type="dxa"/>
          </w:tcPr>
          <w:p>
            <w:pPr>
              <w:pStyle w:val="TableParagraph"/>
              <w:ind w:left="320" w:right="439"/>
              <w:jc w:val="center"/>
              <w:rPr>
                <w:rFonts w:ascii="Carlito"/>
                <w:sz w:val="16"/>
              </w:rPr>
            </w:pPr>
            <w:r>
              <w:rPr>
                <w:rFonts w:ascii="Carlito"/>
                <w:sz w:val="16"/>
              </w:rPr>
              <w:t>2010</w:t>
            </w:r>
          </w:p>
        </w:tc>
        <w:tc>
          <w:tcPr>
            <w:tcW w:w="782" w:type="dxa"/>
          </w:tcPr>
          <w:p>
            <w:pPr>
              <w:pStyle w:val="TableParagraph"/>
              <w:ind w:right="233"/>
              <w:rPr>
                <w:rFonts w:ascii="Carlito"/>
                <w:sz w:val="16"/>
              </w:rPr>
            </w:pPr>
            <w:r>
              <w:rPr>
                <w:rFonts w:ascii="Carlito"/>
                <w:sz w:val="16"/>
              </w:rPr>
              <w:t>3</w:t>
            </w:r>
          </w:p>
        </w:tc>
        <w:tc>
          <w:tcPr>
            <w:tcW w:w="744" w:type="dxa"/>
          </w:tcPr>
          <w:p>
            <w:pPr>
              <w:pStyle w:val="TableParagraph"/>
              <w:ind w:right="301"/>
              <w:rPr>
                <w:rFonts w:ascii="Carlito"/>
                <w:sz w:val="16"/>
              </w:rPr>
            </w:pPr>
            <w:r>
              <w:rPr>
                <w:rFonts w:ascii="Carlito"/>
                <w:sz w:val="16"/>
              </w:rPr>
              <w:t>2.5</w:t>
            </w:r>
          </w:p>
        </w:tc>
        <w:tc>
          <w:tcPr>
            <w:tcW w:w="815" w:type="dxa"/>
          </w:tcPr>
          <w:p>
            <w:pPr>
              <w:pStyle w:val="TableParagraph"/>
              <w:ind w:left="304"/>
              <w:jc w:val="left"/>
              <w:rPr>
                <w:rFonts w:ascii="Carlito"/>
                <w:sz w:val="16"/>
              </w:rPr>
            </w:pPr>
            <w:r>
              <w:rPr>
                <w:rFonts w:ascii="Carlito"/>
                <w:sz w:val="16"/>
              </w:rPr>
              <w:t>2</w:t>
            </w:r>
          </w:p>
        </w:tc>
        <w:tc>
          <w:tcPr>
            <w:tcW w:w="1287" w:type="dxa"/>
          </w:tcPr>
          <w:p>
            <w:pPr>
              <w:pStyle w:val="TableParagraph"/>
              <w:ind w:right="566"/>
              <w:rPr>
                <w:rFonts w:ascii="Carlito"/>
                <w:sz w:val="16"/>
              </w:rPr>
            </w:pPr>
            <w:r>
              <w:rPr>
                <w:rFonts w:ascii="Carlito"/>
                <w:sz w:val="16"/>
              </w:rPr>
              <w:t>5.7</w:t>
            </w:r>
          </w:p>
        </w:tc>
        <w:tc>
          <w:tcPr>
            <w:tcW w:w="1141" w:type="dxa"/>
          </w:tcPr>
          <w:p>
            <w:pPr>
              <w:pStyle w:val="TableParagraph"/>
              <w:ind w:right="359"/>
              <w:rPr>
                <w:rFonts w:ascii="Carlito"/>
                <w:sz w:val="16"/>
              </w:rPr>
            </w:pPr>
            <w:r>
              <w:rPr>
                <w:rFonts w:ascii="Carlito"/>
                <w:sz w:val="16"/>
              </w:rPr>
              <w:t>3.2</w:t>
            </w:r>
          </w:p>
        </w:tc>
        <w:tc>
          <w:tcPr>
            <w:tcW w:w="825" w:type="dxa"/>
          </w:tcPr>
          <w:p>
            <w:pPr>
              <w:pStyle w:val="TableParagraph"/>
              <w:ind w:right="372"/>
              <w:rPr>
                <w:rFonts w:ascii="Carlito"/>
                <w:sz w:val="16"/>
              </w:rPr>
            </w:pPr>
            <w:r>
              <w:rPr>
                <w:rFonts w:ascii="Carlito"/>
                <w:sz w:val="16"/>
              </w:rPr>
              <w:t>0</w:t>
            </w:r>
          </w:p>
        </w:tc>
        <w:tc>
          <w:tcPr>
            <w:tcW w:w="529" w:type="dxa"/>
          </w:tcPr>
          <w:p>
            <w:pPr>
              <w:pStyle w:val="TableParagraph"/>
              <w:ind w:right="57"/>
              <w:rPr>
                <w:rFonts w:ascii="Carlito"/>
                <w:sz w:val="16"/>
              </w:rPr>
            </w:pPr>
            <w:r>
              <w:rPr>
                <w:rFonts w:ascii="Carlito"/>
                <w:sz w:val="16"/>
              </w:rPr>
              <w:t>0</w:t>
            </w:r>
          </w:p>
        </w:tc>
      </w:tr>
      <w:tr>
        <w:trPr>
          <w:trHeight w:val="287" w:hRule="atLeast"/>
        </w:trPr>
        <w:tc>
          <w:tcPr>
            <w:tcW w:w="756" w:type="dxa"/>
            <w:shd w:val="clear" w:color="auto" w:fill="D9D9D9"/>
          </w:tcPr>
          <w:p>
            <w:pPr>
              <w:pStyle w:val="TableParagraph"/>
              <w:spacing w:before="92"/>
              <w:ind w:right="143"/>
              <w:rPr>
                <w:rFonts w:ascii="Carlito"/>
                <w:sz w:val="16"/>
              </w:rPr>
            </w:pPr>
            <w:r>
              <w:rPr>
                <w:rFonts w:ascii="Carlito"/>
                <w:sz w:val="16"/>
              </w:rPr>
              <w:t>274</w:t>
            </w:r>
          </w:p>
        </w:tc>
        <w:tc>
          <w:tcPr>
            <w:tcW w:w="1938" w:type="dxa"/>
            <w:shd w:val="clear" w:color="auto" w:fill="D9D9D9"/>
          </w:tcPr>
          <w:p>
            <w:pPr>
              <w:pStyle w:val="TableParagraph"/>
              <w:spacing w:before="92"/>
              <w:ind w:left="143"/>
              <w:jc w:val="left"/>
              <w:rPr>
                <w:rFonts w:ascii="Carlito"/>
                <w:sz w:val="16"/>
              </w:rPr>
            </w:pPr>
            <w:r>
              <w:rPr>
                <w:rFonts w:ascii="Carlito"/>
                <w:sz w:val="16"/>
              </w:rPr>
              <w:t>Freses</w:t>
            </w:r>
          </w:p>
        </w:tc>
        <w:tc>
          <w:tcPr>
            <w:tcW w:w="655" w:type="dxa"/>
            <w:shd w:val="clear" w:color="auto" w:fill="D9D9D9"/>
          </w:tcPr>
          <w:p>
            <w:pPr>
              <w:pStyle w:val="TableParagraph"/>
              <w:spacing w:before="92"/>
              <w:ind w:right="129"/>
              <w:rPr>
                <w:rFonts w:ascii="Carlito"/>
                <w:sz w:val="16"/>
              </w:rPr>
            </w:pPr>
            <w:r>
              <w:rPr>
                <w:rFonts w:ascii="Carlito"/>
                <w:sz w:val="16"/>
              </w:rPr>
              <w:t>0</w:t>
            </w:r>
          </w:p>
        </w:tc>
        <w:tc>
          <w:tcPr>
            <w:tcW w:w="1258" w:type="dxa"/>
            <w:shd w:val="clear" w:color="auto" w:fill="D9D9D9"/>
          </w:tcPr>
          <w:p>
            <w:pPr>
              <w:pStyle w:val="TableParagraph"/>
              <w:spacing w:before="92"/>
              <w:ind w:left="131"/>
              <w:jc w:val="left"/>
              <w:rPr>
                <w:rFonts w:ascii="Carlito"/>
                <w:sz w:val="16"/>
              </w:rPr>
            </w:pPr>
            <w:r>
              <w:rPr>
                <w:rFonts w:ascii="Carlito"/>
                <w:sz w:val="16"/>
              </w:rPr>
              <w:t>$230,000.00</w:t>
            </w:r>
          </w:p>
        </w:tc>
        <w:tc>
          <w:tcPr>
            <w:tcW w:w="1100" w:type="dxa"/>
            <w:shd w:val="clear" w:color="auto" w:fill="D9D9D9"/>
          </w:tcPr>
          <w:p>
            <w:pPr>
              <w:pStyle w:val="TableParagraph"/>
              <w:spacing w:before="92"/>
              <w:ind w:right="340"/>
              <w:rPr>
                <w:rFonts w:ascii="Carlito"/>
                <w:sz w:val="16"/>
              </w:rPr>
            </w:pPr>
            <w:r>
              <w:rPr>
                <w:rFonts w:ascii="Carlito"/>
                <w:sz w:val="16"/>
              </w:rPr>
              <w:t>220</w:t>
            </w:r>
          </w:p>
        </w:tc>
        <w:tc>
          <w:tcPr>
            <w:tcW w:w="1125" w:type="dxa"/>
            <w:shd w:val="clear" w:color="auto" w:fill="D9D9D9"/>
          </w:tcPr>
          <w:p>
            <w:pPr>
              <w:pStyle w:val="TableParagraph"/>
              <w:spacing w:before="92"/>
              <w:ind w:left="320" w:right="439"/>
              <w:jc w:val="center"/>
              <w:rPr>
                <w:rFonts w:ascii="Carlito"/>
                <w:sz w:val="16"/>
              </w:rPr>
            </w:pPr>
            <w:r>
              <w:rPr>
                <w:rFonts w:ascii="Carlito"/>
                <w:sz w:val="16"/>
              </w:rPr>
              <w:t>1992</w:t>
            </w:r>
          </w:p>
        </w:tc>
        <w:tc>
          <w:tcPr>
            <w:tcW w:w="782" w:type="dxa"/>
            <w:shd w:val="clear" w:color="auto" w:fill="D9D9D9"/>
          </w:tcPr>
          <w:p>
            <w:pPr>
              <w:pStyle w:val="TableParagraph"/>
              <w:spacing w:before="92"/>
              <w:ind w:right="233"/>
              <w:rPr>
                <w:rFonts w:ascii="Carlito"/>
                <w:sz w:val="16"/>
              </w:rPr>
            </w:pPr>
            <w:r>
              <w:rPr>
                <w:rFonts w:ascii="Carlito"/>
                <w:sz w:val="16"/>
              </w:rPr>
              <w:t>3</w:t>
            </w:r>
          </w:p>
        </w:tc>
        <w:tc>
          <w:tcPr>
            <w:tcW w:w="744" w:type="dxa"/>
            <w:shd w:val="clear" w:color="auto" w:fill="D9D9D9"/>
          </w:tcPr>
          <w:p>
            <w:pPr>
              <w:pStyle w:val="TableParagraph"/>
              <w:spacing w:before="92"/>
              <w:ind w:right="301"/>
              <w:rPr>
                <w:rFonts w:ascii="Carlito"/>
                <w:sz w:val="16"/>
              </w:rPr>
            </w:pPr>
            <w:r>
              <w:rPr>
                <w:rFonts w:ascii="Carlito"/>
                <w:sz w:val="16"/>
              </w:rPr>
              <w:t>2.5</w:t>
            </w:r>
          </w:p>
        </w:tc>
        <w:tc>
          <w:tcPr>
            <w:tcW w:w="815" w:type="dxa"/>
            <w:shd w:val="clear" w:color="auto" w:fill="D9D9D9"/>
          </w:tcPr>
          <w:p>
            <w:pPr>
              <w:pStyle w:val="TableParagraph"/>
              <w:spacing w:before="92"/>
              <w:ind w:left="304"/>
              <w:jc w:val="left"/>
              <w:rPr>
                <w:rFonts w:ascii="Carlito"/>
                <w:sz w:val="16"/>
              </w:rPr>
            </w:pPr>
            <w:r>
              <w:rPr>
                <w:rFonts w:ascii="Carlito"/>
                <w:sz w:val="16"/>
              </w:rPr>
              <w:t>2</w:t>
            </w:r>
          </w:p>
        </w:tc>
        <w:tc>
          <w:tcPr>
            <w:tcW w:w="1287" w:type="dxa"/>
            <w:shd w:val="clear" w:color="auto" w:fill="D9D9D9"/>
          </w:tcPr>
          <w:p>
            <w:pPr>
              <w:pStyle w:val="TableParagraph"/>
              <w:spacing w:before="92"/>
              <w:ind w:right="566"/>
              <w:rPr>
                <w:rFonts w:ascii="Carlito"/>
                <w:sz w:val="16"/>
              </w:rPr>
            </w:pPr>
            <w:r>
              <w:rPr>
                <w:rFonts w:ascii="Carlito"/>
                <w:sz w:val="16"/>
              </w:rPr>
              <w:t>5.2</w:t>
            </w:r>
          </w:p>
        </w:tc>
        <w:tc>
          <w:tcPr>
            <w:tcW w:w="1141" w:type="dxa"/>
            <w:shd w:val="clear" w:color="auto" w:fill="D9D9D9"/>
          </w:tcPr>
          <w:p>
            <w:pPr>
              <w:pStyle w:val="TableParagraph"/>
              <w:spacing w:before="92"/>
              <w:ind w:right="359"/>
              <w:rPr>
                <w:rFonts w:ascii="Carlito"/>
                <w:sz w:val="16"/>
              </w:rPr>
            </w:pPr>
            <w:r>
              <w:rPr>
                <w:rFonts w:ascii="Carlito"/>
                <w:sz w:val="16"/>
              </w:rPr>
              <w:t>5.2</w:t>
            </w:r>
          </w:p>
        </w:tc>
        <w:tc>
          <w:tcPr>
            <w:tcW w:w="825" w:type="dxa"/>
            <w:shd w:val="clear" w:color="auto" w:fill="D9D9D9"/>
          </w:tcPr>
          <w:p>
            <w:pPr>
              <w:pStyle w:val="TableParagraph"/>
              <w:spacing w:before="92"/>
              <w:ind w:right="372"/>
              <w:rPr>
                <w:rFonts w:ascii="Carlito"/>
                <w:sz w:val="16"/>
              </w:rPr>
            </w:pPr>
            <w:r>
              <w:rPr>
                <w:rFonts w:ascii="Carlito"/>
                <w:sz w:val="16"/>
              </w:rPr>
              <w:t>0</w:t>
            </w:r>
          </w:p>
        </w:tc>
        <w:tc>
          <w:tcPr>
            <w:tcW w:w="529" w:type="dxa"/>
            <w:shd w:val="clear" w:color="auto" w:fill="D9D9D9"/>
          </w:tcPr>
          <w:p>
            <w:pPr>
              <w:pStyle w:val="TableParagraph"/>
              <w:spacing w:before="92"/>
              <w:ind w:right="57"/>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275</w:t>
            </w:r>
          </w:p>
        </w:tc>
        <w:tc>
          <w:tcPr>
            <w:tcW w:w="1938" w:type="dxa"/>
          </w:tcPr>
          <w:p>
            <w:pPr>
              <w:pStyle w:val="TableParagraph"/>
              <w:ind w:left="143"/>
              <w:jc w:val="left"/>
              <w:rPr>
                <w:rFonts w:ascii="Carlito"/>
                <w:sz w:val="16"/>
              </w:rPr>
            </w:pPr>
            <w:r>
              <w:rPr>
                <w:rFonts w:ascii="Carlito"/>
                <w:sz w:val="16"/>
              </w:rPr>
              <w:t>Guayabos</w:t>
            </w:r>
          </w:p>
        </w:tc>
        <w:tc>
          <w:tcPr>
            <w:tcW w:w="655" w:type="dxa"/>
          </w:tcPr>
          <w:p>
            <w:pPr>
              <w:pStyle w:val="TableParagraph"/>
              <w:ind w:right="129"/>
              <w:rPr>
                <w:rFonts w:ascii="Carlito"/>
                <w:sz w:val="16"/>
              </w:rPr>
            </w:pPr>
            <w:r>
              <w:rPr>
                <w:rFonts w:ascii="Carlito"/>
                <w:sz w:val="16"/>
              </w:rPr>
              <w:t>1</w:t>
            </w:r>
          </w:p>
        </w:tc>
        <w:tc>
          <w:tcPr>
            <w:tcW w:w="1258" w:type="dxa"/>
          </w:tcPr>
          <w:p>
            <w:pPr>
              <w:pStyle w:val="TableParagraph"/>
              <w:ind w:left="131"/>
              <w:jc w:val="left"/>
              <w:rPr>
                <w:rFonts w:ascii="Carlito"/>
                <w:sz w:val="16"/>
              </w:rPr>
            </w:pPr>
            <w:r>
              <w:rPr>
                <w:rFonts w:ascii="Carlito"/>
                <w:sz w:val="16"/>
              </w:rPr>
              <w:t>$385,000.00</w:t>
            </w:r>
          </w:p>
        </w:tc>
        <w:tc>
          <w:tcPr>
            <w:tcW w:w="1100" w:type="dxa"/>
          </w:tcPr>
          <w:p>
            <w:pPr>
              <w:pStyle w:val="TableParagraph"/>
              <w:ind w:right="340"/>
              <w:rPr>
                <w:rFonts w:ascii="Carlito"/>
                <w:sz w:val="16"/>
              </w:rPr>
            </w:pPr>
            <w:r>
              <w:rPr>
                <w:rFonts w:ascii="Carlito"/>
                <w:sz w:val="16"/>
              </w:rPr>
              <w:t>330</w:t>
            </w:r>
          </w:p>
        </w:tc>
        <w:tc>
          <w:tcPr>
            <w:tcW w:w="1125" w:type="dxa"/>
          </w:tcPr>
          <w:p>
            <w:pPr>
              <w:pStyle w:val="TableParagraph"/>
              <w:ind w:left="320" w:right="439"/>
              <w:jc w:val="center"/>
              <w:rPr>
                <w:rFonts w:ascii="Carlito"/>
                <w:sz w:val="16"/>
              </w:rPr>
            </w:pPr>
            <w:r>
              <w:rPr>
                <w:rFonts w:ascii="Carlito"/>
                <w:sz w:val="16"/>
              </w:rPr>
              <w:t>1999</w:t>
            </w:r>
          </w:p>
        </w:tc>
        <w:tc>
          <w:tcPr>
            <w:tcW w:w="782" w:type="dxa"/>
          </w:tcPr>
          <w:p>
            <w:pPr>
              <w:pStyle w:val="TableParagraph"/>
              <w:ind w:right="233"/>
              <w:rPr>
                <w:rFonts w:ascii="Carlito"/>
                <w:sz w:val="16"/>
              </w:rPr>
            </w:pPr>
            <w:r>
              <w:rPr>
                <w:rFonts w:ascii="Carlito"/>
                <w:sz w:val="16"/>
              </w:rPr>
              <w:t>3</w:t>
            </w:r>
          </w:p>
        </w:tc>
        <w:tc>
          <w:tcPr>
            <w:tcW w:w="744" w:type="dxa"/>
          </w:tcPr>
          <w:p>
            <w:pPr>
              <w:pStyle w:val="TableParagraph"/>
              <w:ind w:right="301"/>
              <w:rPr>
                <w:rFonts w:ascii="Carlito"/>
                <w:sz w:val="16"/>
              </w:rPr>
            </w:pPr>
            <w:r>
              <w:rPr>
                <w:rFonts w:ascii="Carlito"/>
                <w:sz w:val="16"/>
              </w:rPr>
              <w:t>3.5</w:t>
            </w:r>
          </w:p>
        </w:tc>
        <w:tc>
          <w:tcPr>
            <w:tcW w:w="815" w:type="dxa"/>
          </w:tcPr>
          <w:p>
            <w:pPr>
              <w:pStyle w:val="TableParagraph"/>
              <w:ind w:left="304"/>
              <w:jc w:val="left"/>
              <w:rPr>
                <w:rFonts w:ascii="Carlito"/>
                <w:sz w:val="16"/>
              </w:rPr>
            </w:pPr>
            <w:r>
              <w:rPr>
                <w:rFonts w:ascii="Carlito"/>
                <w:sz w:val="16"/>
              </w:rPr>
              <w:t>1</w:t>
            </w:r>
          </w:p>
        </w:tc>
        <w:tc>
          <w:tcPr>
            <w:tcW w:w="1287" w:type="dxa"/>
          </w:tcPr>
          <w:p>
            <w:pPr>
              <w:pStyle w:val="TableParagraph"/>
              <w:ind w:right="566"/>
              <w:rPr>
                <w:rFonts w:ascii="Carlito"/>
                <w:sz w:val="16"/>
              </w:rPr>
            </w:pPr>
            <w:r>
              <w:rPr>
                <w:rFonts w:ascii="Carlito"/>
                <w:sz w:val="16"/>
              </w:rPr>
              <w:t>7.4</w:t>
            </w:r>
          </w:p>
        </w:tc>
        <w:tc>
          <w:tcPr>
            <w:tcW w:w="1141" w:type="dxa"/>
          </w:tcPr>
          <w:p>
            <w:pPr>
              <w:pStyle w:val="TableParagraph"/>
              <w:ind w:right="355"/>
              <w:rPr>
                <w:rFonts w:ascii="Carlito"/>
                <w:sz w:val="16"/>
              </w:rPr>
            </w:pPr>
            <w:r>
              <w:rPr>
                <w:rFonts w:ascii="Carlito"/>
                <w:sz w:val="16"/>
              </w:rPr>
              <w:t>5</w:t>
            </w:r>
          </w:p>
        </w:tc>
        <w:tc>
          <w:tcPr>
            <w:tcW w:w="825" w:type="dxa"/>
          </w:tcPr>
          <w:p>
            <w:pPr>
              <w:pStyle w:val="TableParagraph"/>
              <w:ind w:right="372"/>
              <w:rPr>
                <w:rFonts w:ascii="Carlito"/>
                <w:sz w:val="16"/>
              </w:rPr>
            </w:pPr>
            <w:r>
              <w:rPr>
                <w:rFonts w:ascii="Carlito"/>
                <w:sz w:val="16"/>
              </w:rPr>
              <w:t>0</w:t>
            </w:r>
          </w:p>
        </w:tc>
        <w:tc>
          <w:tcPr>
            <w:tcW w:w="529" w:type="dxa"/>
          </w:tcPr>
          <w:p>
            <w:pPr>
              <w:pStyle w:val="TableParagraph"/>
              <w:ind w:right="57"/>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276</w:t>
            </w:r>
          </w:p>
        </w:tc>
        <w:tc>
          <w:tcPr>
            <w:tcW w:w="1938" w:type="dxa"/>
            <w:shd w:val="clear" w:color="auto" w:fill="D9D9D9"/>
          </w:tcPr>
          <w:p>
            <w:pPr>
              <w:pStyle w:val="TableParagraph"/>
              <w:spacing w:before="92"/>
              <w:ind w:left="143"/>
              <w:jc w:val="left"/>
              <w:rPr>
                <w:rFonts w:ascii="Carlito"/>
                <w:sz w:val="16"/>
              </w:rPr>
            </w:pPr>
            <w:r>
              <w:rPr>
                <w:rFonts w:ascii="Carlito"/>
                <w:sz w:val="16"/>
              </w:rPr>
              <w:t>Lomas de Ayarco</w:t>
            </w:r>
          </w:p>
        </w:tc>
        <w:tc>
          <w:tcPr>
            <w:tcW w:w="655" w:type="dxa"/>
            <w:shd w:val="clear" w:color="auto" w:fill="D9D9D9"/>
          </w:tcPr>
          <w:p>
            <w:pPr>
              <w:pStyle w:val="TableParagraph"/>
              <w:spacing w:before="92"/>
              <w:ind w:right="129"/>
              <w:rPr>
                <w:rFonts w:ascii="Carlito"/>
                <w:sz w:val="16"/>
              </w:rPr>
            </w:pPr>
            <w:r>
              <w:rPr>
                <w:rFonts w:ascii="Carlito"/>
                <w:sz w:val="16"/>
              </w:rPr>
              <w:t>1</w:t>
            </w:r>
          </w:p>
        </w:tc>
        <w:tc>
          <w:tcPr>
            <w:tcW w:w="1258" w:type="dxa"/>
            <w:shd w:val="clear" w:color="auto" w:fill="D9D9D9"/>
          </w:tcPr>
          <w:p>
            <w:pPr>
              <w:pStyle w:val="TableParagraph"/>
              <w:spacing w:before="92"/>
              <w:ind w:left="131"/>
              <w:jc w:val="left"/>
              <w:rPr>
                <w:rFonts w:ascii="Carlito"/>
                <w:sz w:val="16"/>
              </w:rPr>
            </w:pPr>
            <w:r>
              <w:rPr>
                <w:rFonts w:ascii="Carlito"/>
                <w:sz w:val="16"/>
              </w:rPr>
              <w:t>$360,000.00</w:t>
            </w:r>
          </w:p>
        </w:tc>
        <w:tc>
          <w:tcPr>
            <w:tcW w:w="1100" w:type="dxa"/>
            <w:shd w:val="clear" w:color="auto" w:fill="D9D9D9"/>
          </w:tcPr>
          <w:p>
            <w:pPr>
              <w:pStyle w:val="TableParagraph"/>
              <w:spacing w:before="92"/>
              <w:ind w:right="340"/>
              <w:rPr>
                <w:rFonts w:ascii="Carlito"/>
                <w:sz w:val="16"/>
              </w:rPr>
            </w:pPr>
            <w:r>
              <w:rPr>
                <w:rFonts w:ascii="Carlito"/>
                <w:sz w:val="16"/>
              </w:rPr>
              <w:t>390</w:t>
            </w:r>
          </w:p>
        </w:tc>
        <w:tc>
          <w:tcPr>
            <w:tcW w:w="1125" w:type="dxa"/>
            <w:shd w:val="clear" w:color="auto" w:fill="D9D9D9"/>
          </w:tcPr>
          <w:p>
            <w:pPr>
              <w:pStyle w:val="TableParagraph"/>
              <w:spacing w:before="92"/>
              <w:ind w:left="320" w:right="439"/>
              <w:jc w:val="center"/>
              <w:rPr>
                <w:rFonts w:ascii="Carlito"/>
                <w:sz w:val="16"/>
              </w:rPr>
            </w:pPr>
            <w:r>
              <w:rPr>
                <w:rFonts w:ascii="Carlito"/>
                <w:sz w:val="16"/>
              </w:rPr>
              <w:t>2006</w:t>
            </w:r>
          </w:p>
        </w:tc>
        <w:tc>
          <w:tcPr>
            <w:tcW w:w="782" w:type="dxa"/>
            <w:shd w:val="clear" w:color="auto" w:fill="D9D9D9"/>
          </w:tcPr>
          <w:p>
            <w:pPr>
              <w:pStyle w:val="TableParagraph"/>
              <w:spacing w:before="92"/>
              <w:ind w:right="233"/>
              <w:rPr>
                <w:rFonts w:ascii="Carlito"/>
                <w:sz w:val="16"/>
              </w:rPr>
            </w:pPr>
            <w:r>
              <w:rPr>
                <w:rFonts w:ascii="Carlito"/>
                <w:sz w:val="16"/>
              </w:rPr>
              <w:t>4</w:t>
            </w:r>
          </w:p>
        </w:tc>
        <w:tc>
          <w:tcPr>
            <w:tcW w:w="744" w:type="dxa"/>
            <w:shd w:val="clear" w:color="auto" w:fill="D9D9D9"/>
          </w:tcPr>
          <w:p>
            <w:pPr>
              <w:pStyle w:val="TableParagraph"/>
              <w:spacing w:before="92"/>
              <w:ind w:right="301"/>
              <w:rPr>
                <w:rFonts w:ascii="Carlito"/>
                <w:sz w:val="16"/>
              </w:rPr>
            </w:pPr>
            <w:r>
              <w:rPr>
                <w:rFonts w:ascii="Carlito"/>
                <w:sz w:val="16"/>
              </w:rPr>
              <w:t>4.5</w:t>
            </w:r>
          </w:p>
        </w:tc>
        <w:tc>
          <w:tcPr>
            <w:tcW w:w="815" w:type="dxa"/>
            <w:shd w:val="clear" w:color="auto" w:fill="D9D9D9"/>
          </w:tcPr>
          <w:p>
            <w:pPr>
              <w:pStyle w:val="TableParagraph"/>
              <w:spacing w:before="92"/>
              <w:ind w:left="304"/>
              <w:jc w:val="left"/>
              <w:rPr>
                <w:rFonts w:ascii="Carlito"/>
                <w:sz w:val="16"/>
              </w:rPr>
            </w:pPr>
            <w:r>
              <w:rPr>
                <w:rFonts w:ascii="Carlito"/>
                <w:sz w:val="16"/>
              </w:rPr>
              <w:t>2</w:t>
            </w:r>
          </w:p>
        </w:tc>
        <w:tc>
          <w:tcPr>
            <w:tcW w:w="1287" w:type="dxa"/>
            <w:shd w:val="clear" w:color="auto" w:fill="D9D9D9"/>
          </w:tcPr>
          <w:p>
            <w:pPr>
              <w:pStyle w:val="TableParagraph"/>
              <w:spacing w:before="92"/>
              <w:ind w:right="566"/>
              <w:rPr>
                <w:rFonts w:ascii="Carlito"/>
                <w:sz w:val="16"/>
              </w:rPr>
            </w:pPr>
            <w:r>
              <w:rPr>
                <w:rFonts w:ascii="Carlito"/>
                <w:sz w:val="16"/>
              </w:rPr>
              <w:t>8.55</w:t>
            </w:r>
          </w:p>
        </w:tc>
        <w:tc>
          <w:tcPr>
            <w:tcW w:w="1141" w:type="dxa"/>
            <w:shd w:val="clear" w:color="auto" w:fill="D9D9D9"/>
          </w:tcPr>
          <w:p>
            <w:pPr>
              <w:pStyle w:val="TableParagraph"/>
              <w:spacing w:before="92"/>
              <w:ind w:right="359"/>
              <w:rPr>
                <w:rFonts w:ascii="Carlito"/>
                <w:sz w:val="16"/>
              </w:rPr>
            </w:pPr>
            <w:r>
              <w:rPr>
                <w:rFonts w:ascii="Carlito"/>
                <w:sz w:val="16"/>
              </w:rPr>
              <w:t>2.9</w:t>
            </w:r>
          </w:p>
        </w:tc>
        <w:tc>
          <w:tcPr>
            <w:tcW w:w="825" w:type="dxa"/>
            <w:shd w:val="clear" w:color="auto" w:fill="D9D9D9"/>
          </w:tcPr>
          <w:p>
            <w:pPr>
              <w:pStyle w:val="TableParagraph"/>
              <w:spacing w:before="92"/>
              <w:ind w:right="372"/>
              <w:rPr>
                <w:rFonts w:ascii="Carlito"/>
                <w:sz w:val="16"/>
              </w:rPr>
            </w:pPr>
            <w:r>
              <w:rPr>
                <w:rFonts w:ascii="Carlito"/>
                <w:sz w:val="16"/>
              </w:rPr>
              <w:t>0</w:t>
            </w:r>
          </w:p>
        </w:tc>
        <w:tc>
          <w:tcPr>
            <w:tcW w:w="529" w:type="dxa"/>
            <w:shd w:val="clear" w:color="auto" w:fill="D9D9D9"/>
          </w:tcPr>
          <w:p>
            <w:pPr>
              <w:pStyle w:val="TableParagraph"/>
              <w:spacing w:before="92"/>
              <w:ind w:right="57"/>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277</w:t>
            </w:r>
          </w:p>
        </w:tc>
        <w:tc>
          <w:tcPr>
            <w:tcW w:w="1938" w:type="dxa"/>
          </w:tcPr>
          <w:p>
            <w:pPr>
              <w:pStyle w:val="TableParagraph"/>
              <w:ind w:left="143"/>
              <w:jc w:val="left"/>
              <w:rPr>
                <w:rFonts w:ascii="Carlito"/>
                <w:sz w:val="16"/>
              </w:rPr>
            </w:pPr>
            <w:r>
              <w:rPr>
                <w:rFonts w:ascii="Carlito"/>
                <w:sz w:val="16"/>
              </w:rPr>
              <w:t>Guayabos</w:t>
            </w:r>
          </w:p>
        </w:tc>
        <w:tc>
          <w:tcPr>
            <w:tcW w:w="655" w:type="dxa"/>
          </w:tcPr>
          <w:p>
            <w:pPr>
              <w:pStyle w:val="TableParagraph"/>
              <w:ind w:right="129"/>
              <w:rPr>
                <w:rFonts w:ascii="Carlito"/>
                <w:sz w:val="16"/>
              </w:rPr>
            </w:pPr>
            <w:r>
              <w:rPr>
                <w:rFonts w:ascii="Carlito"/>
                <w:sz w:val="16"/>
              </w:rPr>
              <w:t>0</w:t>
            </w:r>
          </w:p>
        </w:tc>
        <w:tc>
          <w:tcPr>
            <w:tcW w:w="1258" w:type="dxa"/>
          </w:tcPr>
          <w:p>
            <w:pPr>
              <w:pStyle w:val="TableParagraph"/>
              <w:ind w:left="131"/>
              <w:jc w:val="left"/>
              <w:rPr>
                <w:rFonts w:ascii="Carlito"/>
                <w:sz w:val="16"/>
              </w:rPr>
            </w:pPr>
            <w:r>
              <w:rPr>
                <w:rFonts w:ascii="Carlito"/>
                <w:sz w:val="16"/>
              </w:rPr>
              <w:t>$235,000.00</w:t>
            </w:r>
          </w:p>
        </w:tc>
        <w:tc>
          <w:tcPr>
            <w:tcW w:w="1100" w:type="dxa"/>
          </w:tcPr>
          <w:p>
            <w:pPr>
              <w:pStyle w:val="TableParagraph"/>
              <w:ind w:right="339"/>
              <w:rPr>
                <w:rFonts w:ascii="Carlito"/>
                <w:sz w:val="16"/>
              </w:rPr>
            </w:pPr>
            <w:r>
              <w:rPr>
                <w:rFonts w:ascii="Carlito"/>
                <w:sz w:val="16"/>
              </w:rPr>
              <w:t>236.76</w:t>
            </w:r>
          </w:p>
        </w:tc>
        <w:tc>
          <w:tcPr>
            <w:tcW w:w="1125" w:type="dxa"/>
          </w:tcPr>
          <w:p>
            <w:pPr>
              <w:pStyle w:val="TableParagraph"/>
              <w:ind w:left="320" w:right="439"/>
              <w:jc w:val="center"/>
              <w:rPr>
                <w:rFonts w:ascii="Carlito"/>
                <w:sz w:val="16"/>
              </w:rPr>
            </w:pPr>
            <w:r>
              <w:rPr>
                <w:rFonts w:ascii="Carlito"/>
                <w:sz w:val="16"/>
              </w:rPr>
              <w:t>2006</w:t>
            </w:r>
          </w:p>
        </w:tc>
        <w:tc>
          <w:tcPr>
            <w:tcW w:w="782" w:type="dxa"/>
          </w:tcPr>
          <w:p>
            <w:pPr>
              <w:pStyle w:val="TableParagraph"/>
              <w:ind w:right="233"/>
              <w:rPr>
                <w:rFonts w:ascii="Carlito"/>
                <w:sz w:val="16"/>
              </w:rPr>
            </w:pPr>
            <w:r>
              <w:rPr>
                <w:rFonts w:ascii="Carlito"/>
                <w:sz w:val="16"/>
              </w:rPr>
              <w:t>3</w:t>
            </w:r>
          </w:p>
        </w:tc>
        <w:tc>
          <w:tcPr>
            <w:tcW w:w="744" w:type="dxa"/>
          </w:tcPr>
          <w:p>
            <w:pPr>
              <w:pStyle w:val="TableParagraph"/>
              <w:ind w:right="301"/>
              <w:rPr>
                <w:rFonts w:ascii="Carlito"/>
                <w:sz w:val="16"/>
              </w:rPr>
            </w:pPr>
            <w:r>
              <w:rPr>
                <w:rFonts w:ascii="Carlito"/>
                <w:sz w:val="16"/>
              </w:rPr>
              <w:t>2.5</w:t>
            </w:r>
          </w:p>
        </w:tc>
        <w:tc>
          <w:tcPr>
            <w:tcW w:w="815" w:type="dxa"/>
          </w:tcPr>
          <w:p>
            <w:pPr>
              <w:pStyle w:val="TableParagraph"/>
              <w:ind w:left="304"/>
              <w:jc w:val="left"/>
              <w:rPr>
                <w:rFonts w:ascii="Carlito"/>
                <w:sz w:val="16"/>
              </w:rPr>
            </w:pPr>
            <w:r>
              <w:rPr>
                <w:rFonts w:ascii="Carlito"/>
                <w:sz w:val="16"/>
              </w:rPr>
              <w:t>2</w:t>
            </w:r>
          </w:p>
        </w:tc>
        <w:tc>
          <w:tcPr>
            <w:tcW w:w="1287" w:type="dxa"/>
          </w:tcPr>
          <w:p>
            <w:pPr>
              <w:pStyle w:val="TableParagraph"/>
              <w:ind w:right="566"/>
              <w:rPr>
                <w:rFonts w:ascii="Carlito"/>
                <w:sz w:val="16"/>
              </w:rPr>
            </w:pPr>
            <w:r>
              <w:rPr>
                <w:rFonts w:ascii="Carlito"/>
                <w:sz w:val="16"/>
              </w:rPr>
              <w:t>7.4</w:t>
            </w:r>
          </w:p>
        </w:tc>
        <w:tc>
          <w:tcPr>
            <w:tcW w:w="1141" w:type="dxa"/>
          </w:tcPr>
          <w:p>
            <w:pPr>
              <w:pStyle w:val="TableParagraph"/>
              <w:ind w:right="355"/>
              <w:rPr>
                <w:rFonts w:ascii="Carlito"/>
                <w:sz w:val="16"/>
              </w:rPr>
            </w:pPr>
            <w:r>
              <w:rPr>
                <w:rFonts w:ascii="Carlito"/>
                <w:sz w:val="16"/>
              </w:rPr>
              <w:t>5</w:t>
            </w:r>
          </w:p>
        </w:tc>
        <w:tc>
          <w:tcPr>
            <w:tcW w:w="825" w:type="dxa"/>
          </w:tcPr>
          <w:p>
            <w:pPr>
              <w:pStyle w:val="TableParagraph"/>
              <w:ind w:right="372"/>
              <w:rPr>
                <w:rFonts w:ascii="Carlito"/>
                <w:sz w:val="16"/>
              </w:rPr>
            </w:pPr>
            <w:r>
              <w:rPr>
                <w:rFonts w:ascii="Carlito"/>
                <w:sz w:val="16"/>
              </w:rPr>
              <w:t>0</w:t>
            </w:r>
          </w:p>
        </w:tc>
        <w:tc>
          <w:tcPr>
            <w:tcW w:w="529" w:type="dxa"/>
          </w:tcPr>
          <w:p>
            <w:pPr>
              <w:pStyle w:val="TableParagraph"/>
              <w:ind w:right="57"/>
              <w:rPr>
                <w:rFonts w:ascii="Carlito"/>
                <w:sz w:val="16"/>
              </w:rPr>
            </w:pPr>
            <w:r>
              <w:rPr>
                <w:rFonts w:ascii="Carlito"/>
                <w:sz w:val="16"/>
              </w:rPr>
              <w:t>0</w:t>
            </w:r>
          </w:p>
        </w:tc>
      </w:tr>
      <w:tr>
        <w:trPr>
          <w:trHeight w:val="392" w:hRule="atLeast"/>
        </w:trPr>
        <w:tc>
          <w:tcPr>
            <w:tcW w:w="756" w:type="dxa"/>
            <w:shd w:val="clear" w:color="auto" w:fill="D9D9D9"/>
          </w:tcPr>
          <w:p>
            <w:pPr>
              <w:pStyle w:val="TableParagraph"/>
              <w:spacing w:line="240" w:lineRule="auto" w:before="0"/>
              <w:jc w:val="left"/>
              <w:rPr>
                <w:b/>
                <w:sz w:val="17"/>
              </w:rPr>
            </w:pPr>
          </w:p>
          <w:p>
            <w:pPr>
              <w:pStyle w:val="TableParagraph"/>
              <w:spacing w:before="0"/>
              <w:ind w:right="143"/>
              <w:rPr>
                <w:rFonts w:ascii="Carlito"/>
                <w:sz w:val="16"/>
              </w:rPr>
            </w:pPr>
            <w:r>
              <w:rPr>
                <w:rFonts w:ascii="Carlito"/>
                <w:sz w:val="16"/>
              </w:rPr>
              <w:t>278</w:t>
            </w:r>
          </w:p>
        </w:tc>
        <w:tc>
          <w:tcPr>
            <w:tcW w:w="1938" w:type="dxa"/>
            <w:shd w:val="clear" w:color="auto" w:fill="D9D9D9"/>
          </w:tcPr>
          <w:p>
            <w:pPr>
              <w:pStyle w:val="TableParagraph"/>
              <w:spacing w:line="195" w:lineRule="exact" w:before="0"/>
              <w:ind w:left="143"/>
              <w:jc w:val="left"/>
              <w:rPr>
                <w:rFonts w:ascii="Carlito"/>
                <w:sz w:val="16"/>
              </w:rPr>
            </w:pPr>
            <w:r>
              <w:rPr>
                <w:rFonts w:ascii="Carlito"/>
                <w:sz w:val="16"/>
              </w:rPr>
              <w:t>San Antonio</w:t>
            </w:r>
            <w:r>
              <w:rPr>
                <w:rFonts w:ascii="Carlito"/>
                <w:spacing w:val="-11"/>
                <w:sz w:val="16"/>
              </w:rPr>
              <w:t> </w:t>
            </w:r>
            <w:r>
              <w:rPr>
                <w:rFonts w:ascii="Carlito"/>
                <w:sz w:val="16"/>
              </w:rPr>
              <w:t>de</w:t>
            </w:r>
          </w:p>
          <w:p>
            <w:pPr>
              <w:pStyle w:val="TableParagraph"/>
              <w:spacing w:before="0"/>
              <w:ind w:left="143"/>
              <w:jc w:val="left"/>
              <w:rPr>
                <w:rFonts w:ascii="Carlito"/>
                <w:sz w:val="16"/>
              </w:rPr>
            </w:pPr>
            <w:r>
              <w:rPr>
                <w:rFonts w:ascii="Carlito"/>
                <w:sz w:val="16"/>
              </w:rPr>
              <w:t>Desamparados</w:t>
            </w:r>
          </w:p>
        </w:tc>
        <w:tc>
          <w:tcPr>
            <w:tcW w:w="655" w:type="dxa"/>
            <w:shd w:val="clear" w:color="auto" w:fill="D9D9D9"/>
          </w:tcPr>
          <w:p>
            <w:pPr>
              <w:pStyle w:val="TableParagraph"/>
              <w:spacing w:line="240" w:lineRule="auto" w:before="0"/>
              <w:jc w:val="left"/>
              <w:rPr>
                <w:b/>
                <w:sz w:val="17"/>
              </w:rPr>
            </w:pPr>
          </w:p>
          <w:p>
            <w:pPr>
              <w:pStyle w:val="TableParagraph"/>
              <w:spacing w:before="0"/>
              <w:ind w:right="129"/>
              <w:rPr>
                <w:rFonts w:ascii="Carlito"/>
                <w:sz w:val="16"/>
              </w:rPr>
            </w:pPr>
            <w:r>
              <w:rPr>
                <w:rFonts w:ascii="Carlito"/>
                <w:sz w:val="16"/>
              </w:rPr>
              <w:t>1</w:t>
            </w:r>
          </w:p>
        </w:tc>
        <w:tc>
          <w:tcPr>
            <w:tcW w:w="1258" w:type="dxa"/>
            <w:shd w:val="clear" w:color="auto" w:fill="D9D9D9"/>
          </w:tcPr>
          <w:p>
            <w:pPr>
              <w:pStyle w:val="TableParagraph"/>
              <w:spacing w:line="240" w:lineRule="auto" w:before="0"/>
              <w:jc w:val="left"/>
              <w:rPr>
                <w:b/>
                <w:sz w:val="17"/>
              </w:rPr>
            </w:pPr>
          </w:p>
          <w:p>
            <w:pPr>
              <w:pStyle w:val="TableParagraph"/>
              <w:spacing w:before="0"/>
              <w:ind w:left="131"/>
              <w:jc w:val="left"/>
              <w:rPr>
                <w:rFonts w:ascii="Carlito"/>
                <w:sz w:val="16"/>
              </w:rPr>
            </w:pPr>
            <w:r>
              <w:rPr>
                <w:rFonts w:ascii="Carlito"/>
                <w:sz w:val="16"/>
              </w:rPr>
              <w:t>$375,000.00</w:t>
            </w:r>
          </w:p>
        </w:tc>
        <w:tc>
          <w:tcPr>
            <w:tcW w:w="1100" w:type="dxa"/>
            <w:shd w:val="clear" w:color="auto" w:fill="D9D9D9"/>
          </w:tcPr>
          <w:p>
            <w:pPr>
              <w:pStyle w:val="TableParagraph"/>
              <w:spacing w:line="240" w:lineRule="auto" w:before="0"/>
              <w:jc w:val="left"/>
              <w:rPr>
                <w:b/>
                <w:sz w:val="17"/>
              </w:rPr>
            </w:pPr>
          </w:p>
          <w:p>
            <w:pPr>
              <w:pStyle w:val="TableParagraph"/>
              <w:spacing w:before="0"/>
              <w:ind w:right="340"/>
              <w:rPr>
                <w:rFonts w:ascii="Carlito"/>
                <w:sz w:val="16"/>
              </w:rPr>
            </w:pPr>
            <w:r>
              <w:rPr>
                <w:rFonts w:ascii="Carlito"/>
                <w:sz w:val="16"/>
              </w:rPr>
              <w:t>380</w:t>
            </w:r>
          </w:p>
        </w:tc>
        <w:tc>
          <w:tcPr>
            <w:tcW w:w="1125" w:type="dxa"/>
            <w:shd w:val="clear" w:color="auto" w:fill="D9D9D9"/>
          </w:tcPr>
          <w:p>
            <w:pPr>
              <w:pStyle w:val="TableParagraph"/>
              <w:spacing w:line="240" w:lineRule="auto" w:before="0"/>
              <w:jc w:val="left"/>
              <w:rPr>
                <w:b/>
                <w:sz w:val="17"/>
              </w:rPr>
            </w:pPr>
          </w:p>
          <w:p>
            <w:pPr>
              <w:pStyle w:val="TableParagraph"/>
              <w:spacing w:before="0"/>
              <w:ind w:left="320" w:right="439"/>
              <w:jc w:val="center"/>
              <w:rPr>
                <w:rFonts w:ascii="Carlito"/>
                <w:sz w:val="16"/>
              </w:rPr>
            </w:pPr>
            <w:r>
              <w:rPr>
                <w:rFonts w:ascii="Carlito"/>
                <w:sz w:val="16"/>
              </w:rPr>
              <w:t>2010</w:t>
            </w:r>
          </w:p>
        </w:tc>
        <w:tc>
          <w:tcPr>
            <w:tcW w:w="782" w:type="dxa"/>
            <w:shd w:val="clear" w:color="auto" w:fill="D9D9D9"/>
          </w:tcPr>
          <w:p>
            <w:pPr>
              <w:pStyle w:val="TableParagraph"/>
              <w:spacing w:line="240" w:lineRule="auto" w:before="0"/>
              <w:jc w:val="left"/>
              <w:rPr>
                <w:b/>
                <w:sz w:val="17"/>
              </w:rPr>
            </w:pPr>
          </w:p>
          <w:p>
            <w:pPr>
              <w:pStyle w:val="TableParagraph"/>
              <w:spacing w:before="0"/>
              <w:ind w:right="233"/>
              <w:rPr>
                <w:rFonts w:ascii="Carlito"/>
                <w:sz w:val="16"/>
              </w:rPr>
            </w:pPr>
            <w:r>
              <w:rPr>
                <w:rFonts w:ascii="Carlito"/>
                <w:sz w:val="16"/>
              </w:rPr>
              <w:t>4</w:t>
            </w:r>
          </w:p>
        </w:tc>
        <w:tc>
          <w:tcPr>
            <w:tcW w:w="744" w:type="dxa"/>
            <w:shd w:val="clear" w:color="auto" w:fill="D9D9D9"/>
          </w:tcPr>
          <w:p>
            <w:pPr>
              <w:pStyle w:val="TableParagraph"/>
              <w:spacing w:line="240" w:lineRule="auto" w:before="0"/>
              <w:jc w:val="left"/>
              <w:rPr>
                <w:b/>
                <w:sz w:val="17"/>
              </w:rPr>
            </w:pPr>
          </w:p>
          <w:p>
            <w:pPr>
              <w:pStyle w:val="TableParagraph"/>
              <w:spacing w:before="0"/>
              <w:ind w:right="296"/>
              <w:rPr>
                <w:rFonts w:ascii="Carlito"/>
                <w:sz w:val="16"/>
              </w:rPr>
            </w:pPr>
            <w:r>
              <w:rPr>
                <w:rFonts w:ascii="Carlito"/>
                <w:sz w:val="16"/>
              </w:rPr>
              <w:t>4</w:t>
            </w:r>
          </w:p>
        </w:tc>
        <w:tc>
          <w:tcPr>
            <w:tcW w:w="815" w:type="dxa"/>
            <w:shd w:val="clear" w:color="auto" w:fill="D9D9D9"/>
          </w:tcPr>
          <w:p>
            <w:pPr>
              <w:pStyle w:val="TableParagraph"/>
              <w:spacing w:line="240" w:lineRule="auto" w:before="0"/>
              <w:jc w:val="left"/>
              <w:rPr>
                <w:b/>
                <w:sz w:val="17"/>
              </w:rPr>
            </w:pPr>
          </w:p>
          <w:p>
            <w:pPr>
              <w:pStyle w:val="TableParagraph"/>
              <w:spacing w:before="0"/>
              <w:ind w:left="304"/>
              <w:jc w:val="left"/>
              <w:rPr>
                <w:rFonts w:ascii="Carlito"/>
                <w:sz w:val="16"/>
              </w:rPr>
            </w:pPr>
            <w:r>
              <w:rPr>
                <w:rFonts w:ascii="Carlito"/>
                <w:sz w:val="16"/>
              </w:rPr>
              <w:t>2</w:t>
            </w:r>
          </w:p>
        </w:tc>
        <w:tc>
          <w:tcPr>
            <w:tcW w:w="1287" w:type="dxa"/>
            <w:shd w:val="clear" w:color="auto" w:fill="D9D9D9"/>
          </w:tcPr>
          <w:p>
            <w:pPr>
              <w:pStyle w:val="TableParagraph"/>
              <w:spacing w:line="240" w:lineRule="auto" w:before="0"/>
              <w:jc w:val="left"/>
              <w:rPr>
                <w:b/>
                <w:sz w:val="17"/>
              </w:rPr>
            </w:pPr>
          </w:p>
          <w:p>
            <w:pPr>
              <w:pStyle w:val="TableParagraph"/>
              <w:spacing w:before="0"/>
              <w:ind w:right="566"/>
              <w:rPr>
                <w:rFonts w:ascii="Carlito"/>
                <w:sz w:val="16"/>
              </w:rPr>
            </w:pPr>
            <w:r>
              <w:rPr>
                <w:rFonts w:ascii="Carlito"/>
                <w:sz w:val="16"/>
              </w:rPr>
              <w:t>6.4</w:t>
            </w:r>
          </w:p>
        </w:tc>
        <w:tc>
          <w:tcPr>
            <w:tcW w:w="1141" w:type="dxa"/>
            <w:shd w:val="clear" w:color="auto" w:fill="D9D9D9"/>
          </w:tcPr>
          <w:p>
            <w:pPr>
              <w:pStyle w:val="TableParagraph"/>
              <w:spacing w:line="240" w:lineRule="auto" w:before="0"/>
              <w:jc w:val="left"/>
              <w:rPr>
                <w:b/>
                <w:sz w:val="17"/>
              </w:rPr>
            </w:pPr>
          </w:p>
          <w:p>
            <w:pPr>
              <w:pStyle w:val="TableParagraph"/>
              <w:spacing w:before="0"/>
              <w:ind w:right="359"/>
              <w:rPr>
                <w:rFonts w:ascii="Carlito"/>
                <w:sz w:val="16"/>
              </w:rPr>
            </w:pPr>
            <w:r>
              <w:rPr>
                <w:rFonts w:ascii="Carlito"/>
                <w:sz w:val="16"/>
              </w:rPr>
              <w:t>1.9</w:t>
            </w:r>
          </w:p>
        </w:tc>
        <w:tc>
          <w:tcPr>
            <w:tcW w:w="825" w:type="dxa"/>
            <w:shd w:val="clear" w:color="auto" w:fill="D9D9D9"/>
          </w:tcPr>
          <w:p>
            <w:pPr>
              <w:pStyle w:val="TableParagraph"/>
              <w:spacing w:line="240" w:lineRule="auto" w:before="0"/>
              <w:jc w:val="left"/>
              <w:rPr>
                <w:b/>
                <w:sz w:val="17"/>
              </w:rPr>
            </w:pPr>
          </w:p>
          <w:p>
            <w:pPr>
              <w:pStyle w:val="TableParagraph"/>
              <w:spacing w:before="0"/>
              <w:ind w:right="372"/>
              <w:rPr>
                <w:rFonts w:ascii="Carlito"/>
                <w:sz w:val="16"/>
              </w:rPr>
            </w:pPr>
            <w:r>
              <w:rPr>
                <w:rFonts w:ascii="Carlito"/>
                <w:sz w:val="16"/>
              </w:rPr>
              <w:t>0</w:t>
            </w:r>
          </w:p>
        </w:tc>
        <w:tc>
          <w:tcPr>
            <w:tcW w:w="529" w:type="dxa"/>
            <w:shd w:val="clear" w:color="auto" w:fill="D9D9D9"/>
          </w:tcPr>
          <w:p>
            <w:pPr>
              <w:pStyle w:val="TableParagraph"/>
              <w:spacing w:line="240" w:lineRule="auto" w:before="0"/>
              <w:jc w:val="left"/>
              <w:rPr>
                <w:b/>
                <w:sz w:val="17"/>
              </w:rPr>
            </w:pPr>
          </w:p>
          <w:p>
            <w:pPr>
              <w:pStyle w:val="TableParagraph"/>
              <w:spacing w:before="0"/>
              <w:ind w:right="57"/>
              <w:rPr>
                <w:rFonts w:ascii="Carlito"/>
                <w:sz w:val="16"/>
              </w:rPr>
            </w:pPr>
            <w:r>
              <w:rPr>
                <w:rFonts w:ascii="Carlito"/>
                <w:sz w:val="16"/>
              </w:rPr>
              <w:t>1</w:t>
            </w:r>
          </w:p>
        </w:tc>
      </w:tr>
      <w:tr>
        <w:trPr>
          <w:trHeight w:val="287" w:hRule="atLeast"/>
        </w:trPr>
        <w:tc>
          <w:tcPr>
            <w:tcW w:w="756" w:type="dxa"/>
          </w:tcPr>
          <w:p>
            <w:pPr>
              <w:pStyle w:val="TableParagraph"/>
              <w:ind w:right="143"/>
              <w:rPr>
                <w:rFonts w:ascii="Carlito"/>
                <w:sz w:val="16"/>
              </w:rPr>
            </w:pPr>
            <w:r>
              <w:rPr>
                <w:rFonts w:ascii="Carlito"/>
                <w:sz w:val="16"/>
              </w:rPr>
              <w:t>279</w:t>
            </w:r>
          </w:p>
        </w:tc>
        <w:tc>
          <w:tcPr>
            <w:tcW w:w="1938" w:type="dxa"/>
          </w:tcPr>
          <w:p>
            <w:pPr>
              <w:pStyle w:val="TableParagraph"/>
              <w:ind w:left="143"/>
              <w:jc w:val="left"/>
              <w:rPr>
                <w:rFonts w:ascii="Carlito" w:hAnsi="Carlito"/>
                <w:sz w:val="16"/>
              </w:rPr>
            </w:pPr>
            <w:r>
              <w:rPr>
                <w:rFonts w:ascii="Carlito" w:hAnsi="Carlito"/>
                <w:sz w:val="16"/>
              </w:rPr>
              <w:t>Patarrá</w:t>
            </w:r>
          </w:p>
        </w:tc>
        <w:tc>
          <w:tcPr>
            <w:tcW w:w="655" w:type="dxa"/>
          </w:tcPr>
          <w:p>
            <w:pPr>
              <w:pStyle w:val="TableParagraph"/>
              <w:ind w:right="129"/>
              <w:rPr>
                <w:rFonts w:ascii="Carlito"/>
                <w:sz w:val="16"/>
              </w:rPr>
            </w:pPr>
            <w:r>
              <w:rPr>
                <w:rFonts w:ascii="Carlito"/>
                <w:sz w:val="16"/>
              </w:rPr>
              <w:t>1</w:t>
            </w:r>
          </w:p>
        </w:tc>
        <w:tc>
          <w:tcPr>
            <w:tcW w:w="1258" w:type="dxa"/>
          </w:tcPr>
          <w:p>
            <w:pPr>
              <w:pStyle w:val="TableParagraph"/>
              <w:ind w:left="131"/>
              <w:jc w:val="left"/>
              <w:rPr>
                <w:rFonts w:ascii="Carlito"/>
                <w:sz w:val="16"/>
              </w:rPr>
            </w:pPr>
            <w:r>
              <w:rPr>
                <w:rFonts w:ascii="Carlito"/>
                <w:sz w:val="16"/>
              </w:rPr>
              <w:t>$118,181.82</w:t>
            </w:r>
          </w:p>
        </w:tc>
        <w:tc>
          <w:tcPr>
            <w:tcW w:w="1100" w:type="dxa"/>
          </w:tcPr>
          <w:p>
            <w:pPr>
              <w:pStyle w:val="TableParagraph"/>
              <w:ind w:right="340"/>
              <w:rPr>
                <w:rFonts w:ascii="Carlito"/>
                <w:sz w:val="16"/>
              </w:rPr>
            </w:pPr>
            <w:r>
              <w:rPr>
                <w:rFonts w:ascii="Carlito"/>
                <w:sz w:val="16"/>
              </w:rPr>
              <w:t>150</w:t>
            </w:r>
          </w:p>
        </w:tc>
        <w:tc>
          <w:tcPr>
            <w:tcW w:w="1125" w:type="dxa"/>
          </w:tcPr>
          <w:p>
            <w:pPr>
              <w:pStyle w:val="TableParagraph"/>
              <w:ind w:left="320" w:right="439"/>
              <w:jc w:val="center"/>
              <w:rPr>
                <w:rFonts w:ascii="Carlito"/>
                <w:sz w:val="16"/>
              </w:rPr>
            </w:pPr>
            <w:r>
              <w:rPr>
                <w:rFonts w:ascii="Carlito"/>
                <w:sz w:val="16"/>
              </w:rPr>
              <w:t>2006</w:t>
            </w:r>
          </w:p>
        </w:tc>
        <w:tc>
          <w:tcPr>
            <w:tcW w:w="782" w:type="dxa"/>
          </w:tcPr>
          <w:p>
            <w:pPr>
              <w:pStyle w:val="TableParagraph"/>
              <w:ind w:right="233"/>
              <w:rPr>
                <w:rFonts w:ascii="Carlito"/>
                <w:sz w:val="16"/>
              </w:rPr>
            </w:pPr>
            <w:r>
              <w:rPr>
                <w:rFonts w:ascii="Carlito"/>
                <w:sz w:val="16"/>
              </w:rPr>
              <w:t>3</w:t>
            </w:r>
          </w:p>
        </w:tc>
        <w:tc>
          <w:tcPr>
            <w:tcW w:w="744" w:type="dxa"/>
          </w:tcPr>
          <w:p>
            <w:pPr>
              <w:pStyle w:val="TableParagraph"/>
              <w:ind w:right="296"/>
              <w:rPr>
                <w:rFonts w:ascii="Carlito"/>
                <w:sz w:val="16"/>
              </w:rPr>
            </w:pPr>
            <w:r>
              <w:rPr>
                <w:rFonts w:ascii="Carlito"/>
                <w:sz w:val="16"/>
              </w:rPr>
              <w:t>2</w:t>
            </w:r>
          </w:p>
        </w:tc>
        <w:tc>
          <w:tcPr>
            <w:tcW w:w="815" w:type="dxa"/>
          </w:tcPr>
          <w:p>
            <w:pPr>
              <w:pStyle w:val="TableParagraph"/>
              <w:ind w:left="304"/>
              <w:jc w:val="left"/>
              <w:rPr>
                <w:rFonts w:ascii="Carlito"/>
                <w:sz w:val="16"/>
              </w:rPr>
            </w:pPr>
            <w:r>
              <w:rPr>
                <w:rFonts w:ascii="Carlito"/>
                <w:sz w:val="16"/>
              </w:rPr>
              <w:t>1</w:t>
            </w:r>
          </w:p>
        </w:tc>
        <w:tc>
          <w:tcPr>
            <w:tcW w:w="1287" w:type="dxa"/>
          </w:tcPr>
          <w:p>
            <w:pPr>
              <w:pStyle w:val="TableParagraph"/>
              <w:ind w:right="566"/>
              <w:rPr>
                <w:rFonts w:ascii="Carlito"/>
                <w:sz w:val="16"/>
              </w:rPr>
            </w:pPr>
            <w:r>
              <w:rPr>
                <w:rFonts w:ascii="Carlito"/>
                <w:sz w:val="16"/>
              </w:rPr>
              <w:t>9.7</w:t>
            </w:r>
          </w:p>
        </w:tc>
        <w:tc>
          <w:tcPr>
            <w:tcW w:w="1141" w:type="dxa"/>
          </w:tcPr>
          <w:p>
            <w:pPr>
              <w:pStyle w:val="TableParagraph"/>
              <w:ind w:right="359"/>
              <w:rPr>
                <w:rFonts w:ascii="Carlito"/>
                <w:sz w:val="16"/>
              </w:rPr>
            </w:pPr>
            <w:r>
              <w:rPr>
                <w:rFonts w:ascii="Carlito"/>
                <w:sz w:val="16"/>
              </w:rPr>
              <w:t>1.3</w:t>
            </w:r>
          </w:p>
        </w:tc>
        <w:tc>
          <w:tcPr>
            <w:tcW w:w="825" w:type="dxa"/>
          </w:tcPr>
          <w:p>
            <w:pPr>
              <w:pStyle w:val="TableParagraph"/>
              <w:ind w:right="372"/>
              <w:rPr>
                <w:rFonts w:ascii="Carlito"/>
                <w:sz w:val="16"/>
              </w:rPr>
            </w:pPr>
            <w:r>
              <w:rPr>
                <w:rFonts w:ascii="Carlito"/>
                <w:sz w:val="16"/>
              </w:rPr>
              <w:t>0</w:t>
            </w:r>
          </w:p>
        </w:tc>
        <w:tc>
          <w:tcPr>
            <w:tcW w:w="529" w:type="dxa"/>
          </w:tcPr>
          <w:p>
            <w:pPr>
              <w:pStyle w:val="TableParagraph"/>
              <w:ind w:right="57"/>
              <w:rPr>
                <w:rFonts w:ascii="Carlito"/>
                <w:sz w:val="16"/>
              </w:rPr>
            </w:pPr>
            <w:r>
              <w:rPr>
                <w:rFonts w:ascii="Carlito"/>
                <w:sz w:val="16"/>
              </w:rPr>
              <w:t>0</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280</w:t>
            </w:r>
          </w:p>
        </w:tc>
        <w:tc>
          <w:tcPr>
            <w:tcW w:w="1938" w:type="dxa"/>
            <w:shd w:val="clear" w:color="auto" w:fill="D9D9D9"/>
          </w:tcPr>
          <w:p>
            <w:pPr>
              <w:pStyle w:val="TableParagraph"/>
              <w:ind w:left="143"/>
              <w:jc w:val="left"/>
              <w:rPr>
                <w:rFonts w:ascii="Carlito"/>
                <w:sz w:val="16"/>
              </w:rPr>
            </w:pPr>
            <w:r>
              <w:rPr>
                <w:rFonts w:ascii="Carlito"/>
                <w:sz w:val="16"/>
              </w:rPr>
              <w:t>Guayabos</w:t>
            </w:r>
          </w:p>
        </w:tc>
        <w:tc>
          <w:tcPr>
            <w:tcW w:w="655" w:type="dxa"/>
            <w:shd w:val="clear" w:color="auto" w:fill="D9D9D9"/>
          </w:tcPr>
          <w:p>
            <w:pPr>
              <w:pStyle w:val="TableParagraph"/>
              <w:ind w:right="129"/>
              <w:rPr>
                <w:rFonts w:ascii="Carlito"/>
                <w:sz w:val="16"/>
              </w:rPr>
            </w:pPr>
            <w:r>
              <w:rPr>
                <w:rFonts w:ascii="Carlito"/>
                <w:sz w:val="16"/>
              </w:rPr>
              <w:t>0</w:t>
            </w:r>
          </w:p>
        </w:tc>
        <w:tc>
          <w:tcPr>
            <w:tcW w:w="1258" w:type="dxa"/>
            <w:shd w:val="clear" w:color="auto" w:fill="D9D9D9"/>
          </w:tcPr>
          <w:p>
            <w:pPr>
              <w:pStyle w:val="TableParagraph"/>
              <w:ind w:left="131"/>
              <w:jc w:val="left"/>
              <w:rPr>
                <w:rFonts w:ascii="Carlito"/>
                <w:sz w:val="16"/>
              </w:rPr>
            </w:pPr>
            <w:r>
              <w:rPr>
                <w:rFonts w:ascii="Carlito"/>
                <w:sz w:val="16"/>
              </w:rPr>
              <w:t>$260,000.00</w:t>
            </w:r>
          </w:p>
        </w:tc>
        <w:tc>
          <w:tcPr>
            <w:tcW w:w="1100" w:type="dxa"/>
            <w:shd w:val="clear" w:color="auto" w:fill="D9D9D9"/>
          </w:tcPr>
          <w:p>
            <w:pPr>
              <w:pStyle w:val="TableParagraph"/>
              <w:ind w:right="340"/>
              <w:rPr>
                <w:rFonts w:ascii="Carlito"/>
                <w:sz w:val="16"/>
              </w:rPr>
            </w:pPr>
            <w:r>
              <w:rPr>
                <w:rFonts w:ascii="Carlito"/>
                <w:sz w:val="16"/>
              </w:rPr>
              <w:t>218</w:t>
            </w:r>
          </w:p>
        </w:tc>
        <w:tc>
          <w:tcPr>
            <w:tcW w:w="1125" w:type="dxa"/>
            <w:shd w:val="clear" w:color="auto" w:fill="D9D9D9"/>
          </w:tcPr>
          <w:p>
            <w:pPr>
              <w:pStyle w:val="TableParagraph"/>
              <w:ind w:left="320" w:right="439"/>
              <w:jc w:val="center"/>
              <w:rPr>
                <w:rFonts w:ascii="Carlito"/>
                <w:sz w:val="16"/>
              </w:rPr>
            </w:pPr>
            <w:r>
              <w:rPr>
                <w:rFonts w:ascii="Carlito"/>
                <w:sz w:val="16"/>
              </w:rPr>
              <w:t>2008</w:t>
            </w:r>
          </w:p>
        </w:tc>
        <w:tc>
          <w:tcPr>
            <w:tcW w:w="782" w:type="dxa"/>
            <w:shd w:val="clear" w:color="auto" w:fill="D9D9D9"/>
          </w:tcPr>
          <w:p>
            <w:pPr>
              <w:pStyle w:val="TableParagraph"/>
              <w:ind w:right="233"/>
              <w:rPr>
                <w:rFonts w:ascii="Carlito"/>
                <w:sz w:val="16"/>
              </w:rPr>
            </w:pPr>
            <w:r>
              <w:rPr>
                <w:rFonts w:ascii="Carlito"/>
                <w:sz w:val="16"/>
              </w:rPr>
              <w:t>3</w:t>
            </w:r>
          </w:p>
        </w:tc>
        <w:tc>
          <w:tcPr>
            <w:tcW w:w="744" w:type="dxa"/>
            <w:shd w:val="clear" w:color="auto" w:fill="D9D9D9"/>
          </w:tcPr>
          <w:p>
            <w:pPr>
              <w:pStyle w:val="TableParagraph"/>
              <w:ind w:right="296"/>
              <w:rPr>
                <w:rFonts w:ascii="Carlito"/>
                <w:sz w:val="16"/>
              </w:rPr>
            </w:pPr>
            <w:r>
              <w:rPr>
                <w:rFonts w:ascii="Carlito"/>
                <w:sz w:val="16"/>
              </w:rPr>
              <w:t>3</w:t>
            </w:r>
          </w:p>
        </w:tc>
        <w:tc>
          <w:tcPr>
            <w:tcW w:w="815" w:type="dxa"/>
            <w:shd w:val="clear" w:color="auto" w:fill="D9D9D9"/>
          </w:tcPr>
          <w:p>
            <w:pPr>
              <w:pStyle w:val="TableParagraph"/>
              <w:ind w:left="304"/>
              <w:jc w:val="left"/>
              <w:rPr>
                <w:rFonts w:ascii="Carlito"/>
                <w:sz w:val="16"/>
              </w:rPr>
            </w:pPr>
            <w:r>
              <w:rPr>
                <w:rFonts w:ascii="Carlito"/>
                <w:sz w:val="16"/>
              </w:rPr>
              <w:t>2</w:t>
            </w:r>
          </w:p>
        </w:tc>
        <w:tc>
          <w:tcPr>
            <w:tcW w:w="1287" w:type="dxa"/>
            <w:shd w:val="clear" w:color="auto" w:fill="D9D9D9"/>
          </w:tcPr>
          <w:p>
            <w:pPr>
              <w:pStyle w:val="TableParagraph"/>
              <w:ind w:right="566"/>
              <w:rPr>
                <w:rFonts w:ascii="Carlito"/>
                <w:sz w:val="16"/>
              </w:rPr>
            </w:pPr>
            <w:r>
              <w:rPr>
                <w:rFonts w:ascii="Carlito"/>
                <w:sz w:val="16"/>
              </w:rPr>
              <w:t>7.6</w:t>
            </w:r>
          </w:p>
        </w:tc>
        <w:tc>
          <w:tcPr>
            <w:tcW w:w="1141" w:type="dxa"/>
            <w:shd w:val="clear" w:color="auto" w:fill="D9D9D9"/>
          </w:tcPr>
          <w:p>
            <w:pPr>
              <w:pStyle w:val="TableParagraph"/>
              <w:ind w:right="355"/>
              <w:rPr>
                <w:rFonts w:ascii="Carlito"/>
                <w:sz w:val="16"/>
              </w:rPr>
            </w:pPr>
            <w:r>
              <w:rPr>
                <w:rFonts w:ascii="Carlito"/>
                <w:sz w:val="16"/>
              </w:rPr>
              <w:t>5</w:t>
            </w:r>
          </w:p>
        </w:tc>
        <w:tc>
          <w:tcPr>
            <w:tcW w:w="825" w:type="dxa"/>
            <w:shd w:val="clear" w:color="auto" w:fill="D9D9D9"/>
          </w:tcPr>
          <w:p>
            <w:pPr>
              <w:pStyle w:val="TableParagraph"/>
              <w:ind w:right="372"/>
              <w:rPr>
                <w:rFonts w:ascii="Carlito"/>
                <w:sz w:val="16"/>
              </w:rPr>
            </w:pPr>
            <w:r>
              <w:rPr>
                <w:rFonts w:ascii="Carlito"/>
                <w:sz w:val="16"/>
              </w:rPr>
              <w:t>0</w:t>
            </w:r>
          </w:p>
        </w:tc>
        <w:tc>
          <w:tcPr>
            <w:tcW w:w="529" w:type="dxa"/>
            <w:shd w:val="clear" w:color="auto" w:fill="D9D9D9"/>
          </w:tcPr>
          <w:p>
            <w:pPr>
              <w:pStyle w:val="TableParagraph"/>
              <w:ind w:right="57"/>
              <w:rPr>
                <w:rFonts w:ascii="Carlito"/>
                <w:sz w:val="16"/>
              </w:rPr>
            </w:pPr>
            <w:r>
              <w:rPr>
                <w:rFonts w:ascii="Carlito"/>
                <w:sz w:val="16"/>
              </w:rPr>
              <w:t>0</w:t>
            </w:r>
          </w:p>
        </w:tc>
      </w:tr>
      <w:tr>
        <w:trPr>
          <w:trHeight w:val="288" w:hRule="atLeast"/>
        </w:trPr>
        <w:tc>
          <w:tcPr>
            <w:tcW w:w="756" w:type="dxa"/>
          </w:tcPr>
          <w:p>
            <w:pPr>
              <w:pStyle w:val="TableParagraph"/>
              <w:spacing w:line="177" w:lineRule="exact"/>
              <w:ind w:right="143"/>
              <w:rPr>
                <w:rFonts w:ascii="Carlito"/>
                <w:sz w:val="16"/>
              </w:rPr>
            </w:pPr>
            <w:r>
              <w:rPr>
                <w:rFonts w:ascii="Carlito"/>
                <w:sz w:val="16"/>
              </w:rPr>
              <w:t>281</w:t>
            </w:r>
          </w:p>
        </w:tc>
        <w:tc>
          <w:tcPr>
            <w:tcW w:w="1938" w:type="dxa"/>
          </w:tcPr>
          <w:p>
            <w:pPr>
              <w:pStyle w:val="TableParagraph"/>
              <w:spacing w:line="177" w:lineRule="exact"/>
              <w:ind w:left="143"/>
              <w:jc w:val="left"/>
              <w:rPr>
                <w:rFonts w:ascii="Carlito"/>
                <w:sz w:val="16"/>
              </w:rPr>
            </w:pPr>
            <w:r>
              <w:rPr>
                <w:rFonts w:ascii="Carlito"/>
                <w:sz w:val="16"/>
              </w:rPr>
              <w:t>Residencial Omega</w:t>
            </w:r>
          </w:p>
        </w:tc>
        <w:tc>
          <w:tcPr>
            <w:tcW w:w="655" w:type="dxa"/>
          </w:tcPr>
          <w:p>
            <w:pPr>
              <w:pStyle w:val="TableParagraph"/>
              <w:spacing w:line="177" w:lineRule="exact"/>
              <w:ind w:right="129"/>
              <w:rPr>
                <w:rFonts w:ascii="Carlito"/>
                <w:sz w:val="16"/>
              </w:rPr>
            </w:pPr>
            <w:r>
              <w:rPr>
                <w:rFonts w:ascii="Carlito"/>
                <w:sz w:val="16"/>
              </w:rPr>
              <w:t>1</w:t>
            </w:r>
          </w:p>
        </w:tc>
        <w:tc>
          <w:tcPr>
            <w:tcW w:w="1258" w:type="dxa"/>
          </w:tcPr>
          <w:p>
            <w:pPr>
              <w:pStyle w:val="TableParagraph"/>
              <w:spacing w:line="177" w:lineRule="exact"/>
              <w:ind w:left="131"/>
              <w:jc w:val="left"/>
              <w:rPr>
                <w:rFonts w:ascii="Carlito"/>
                <w:sz w:val="16"/>
              </w:rPr>
            </w:pPr>
            <w:r>
              <w:rPr>
                <w:rFonts w:ascii="Carlito"/>
                <w:sz w:val="16"/>
              </w:rPr>
              <w:t>$280,000.00</w:t>
            </w:r>
          </w:p>
        </w:tc>
        <w:tc>
          <w:tcPr>
            <w:tcW w:w="1100" w:type="dxa"/>
          </w:tcPr>
          <w:p>
            <w:pPr>
              <w:pStyle w:val="TableParagraph"/>
              <w:spacing w:line="177" w:lineRule="exact"/>
              <w:ind w:right="340"/>
              <w:rPr>
                <w:rFonts w:ascii="Carlito"/>
                <w:sz w:val="16"/>
              </w:rPr>
            </w:pPr>
            <w:r>
              <w:rPr>
                <w:rFonts w:ascii="Carlito"/>
                <w:sz w:val="16"/>
              </w:rPr>
              <w:t>240</w:t>
            </w:r>
          </w:p>
        </w:tc>
        <w:tc>
          <w:tcPr>
            <w:tcW w:w="1125" w:type="dxa"/>
          </w:tcPr>
          <w:p>
            <w:pPr>
              <w:pStyle w:val="TableParagraph"/>
              <w:spacing w:line="177" w:lineRule="exact"/>
              <w:ind w:left="320" w:right="439"/>
              <w:jc w:val="center"/>
              <w:rPr>
                <w:rFonts w:ascii="Carlito"/>
                <w:sz w:val="16"/>
              </w:rPr>
            </w:pPr>
            <w:r>
              <w:rPr>
                <w:rFonts w:ascii="Carlito"/>
                <w:sz w:val="16"/>
              </w:rPr>
              <w:t>2006</w:t>
            </w:r>
          </w:p>
        </w:tc>
        <w:tc>
          <w:tcPr>
            <w:tcW w:w="782" w:type="dxa"/>
          </w:tcPr>
          <w:p>
            <w:pPr>
              <w:pStyle w:val="TableParagraph"/>
              <w:spacing w:line="177" w:lineRule="exact"/>
              <w:ind w:right="233"/>
              <w:rPr>
                <w:rFonts w:ascii="Carlito"/>
                <w:sz w:val="16"/>
              </w:rPr>
            </w:pPr>
            <w:r>
              <w:rPr>
                <w:rFonts w:ascii="Carlito"/>
                <w:sz w:val="16"/>
              </w:rPr>
              <w:t>3</w:t>
            </w:r>
          </w:p>
        </w:tc>
        <w:tc>
          <w:tcPr>
            <w:tcW w:w="744" w:type="dxa"/>
          </w:tcPr>
          <w:p>
            <w:pPr>
              <w:pStyle w:val="TableParagraph"/>
              <w:spacing w:line="177" w:lineRule="exact"/>
              <w:ind w:right="301"/>
              <w:rPr>
                <w:rFonts w:ascii="Carlito"/>
                <w:sz w:val="16"/>
              </w:rPr>
            </w:pPr>
            <w:r>
              <w:rPr>
                <w:rFonts w:ascii="Carlito"/>
                <w:sz w:val="16"/>
              </w:rPr>
              <w:t>2.5</w:t>
            </w:r>
          </w:p>
        </w:tc>
        <w:tc>
          <w:tcPr>
            <w:tcW w:w="815" w:type="dxa"/>
          </w:tcPr>
          <w:p>
            <w:pPr>
              <w:pStyle w:val="TableParagraph"/>
              <w:spacing w:line="177" w:lineRule="exact"/>
              <w:ind w:left="304"/>
              <w:jc w:val="left"/>
              <w:rPr>
                <w:rFonts w:ascii="Carlito"/>
                <w:sz w:val="16"/>
              </w:rPr>
            </w:pPr>
            <w:r>
              <w:rPr>
                <w:rFonts w:ascii="Carlito"/>
                <w:sz w:val="16"/>
              </w:rPr>
              <w:t>2</w:t>
            </w:r>
          </w:p>
        </w:tc>
        <w:tc>
          <w:tcPr>
            <w:tcW w:w="1287" w:type="dxa"/>
          </w:tcPr>
          <w:p>
            <w:pPr>
              <w:pStyle w:val="TableParagraph"/>
              <w:spacing w:line="177" w:lineRule="exact"/>
              <w:ind w:right="567"/>
              <w:rPr>
                <w:rFonts w:ascii="Carlito"/>
                <w:sz w:val="16"/>
              </w:rPr>
            </w:pPr>
            <w:r>
              <w:rPr>
                <w:rFonts w:ascii="Carlito"/>
                <w:sz w:val="16"/>
              </w:rPr>
              <w:t>11</w:t>
            </w:r>
          </w:p>
        </w:tc>
        <w:tc>
          <w:tcPr>
            <w:tcW w:w="1141" w:type="dxa"/>
          </w:tcPr>
          <w:p>
            <w:pPr>
              <w:pStyle w:val="TableParagraph"/>
              <w:spacing w:line="177" w:lineRule="exact"/>
              <w:ind w:right="355"/>
              <w:rPr>
                <w:rFonts w:ascii="Carlito"/>
                <w:sz w:val="16"/>
              </w:rPr>
            </w:pPr>
            <w:r>
              <w:rPr>
                <w:rFonts w:ascii="Carlito"/>
                <w:sz w:val="16"/>
              </w:rPr>
              <w:t>2</w:t>
            </w:r>
          </w:p>
        </w:tc>
        <w:tc>
          <w:tcPr>
            <w:tcW w:w="825" w:type="dxa"/>
          </w:tcPr>
          <w:p>
            <w:pPr>
              <w:pStyle w:val="TableParagraph"/>
              <w:spacing w:line="177" w:lineRule="exact"/>
              <w:ind w:right="372"/>
              <w:rPr>
                <w:rFonts w:ascii="Carlito"/>
                <w:sz w:val="16"/>
              </w:rPr>
            </w:pPr>
            <w:r>
              <w:rPr>
                <w:rFonts w:ascii="Carlito"/>
                <w:sz w:val="16"/>
              </w:rPr>
              <w:t>0</w:t>
            </w:r>
          </w:p>
        </w:tc>
        <w:tc>
          <w:tcPr>
            <w:tcW w:w="529" w:type="dxa"/>
          </w:tcPr>
          <w:p>
            <w:pPr>
              <w:pStyle w:val="TableParagraph"/>
              <w:spacing w:line="177" w:lineRule="exact"/>
              <w:ind w:right="57"/>
              <w:rPr>
                <w:rFonts w:ascii="Carlito"/>
                <w:sz w:val="16"/>
              </w:rPr>
            </w:pPr>
            <w:r>
              <w:rPr>
                <w:rFonts w:ascii="Carlito"/>
                <w:sz w:val="16"/>
              </w:rPr>
              <w:t>0</w:t>
            </w:r>
          </w:p>
        </w:tc>
      </w:tr>
      <w:tr>
        <w:trPr>
          <w:trHeight w:val="392" w:hRule="atLeast"/>
        </w:trPr>
        <w:tc>
          <w:tcPr>
            <w:tcW w:w="756" w:type="dxa"/>
            <w:shd w:val="clear" w:color="auto" w:fill="D9D9D9"/>
          </w:tcPr>
          <w:p>
            <w:pPr>
              <w:pStyle w:val="TableParagraph"/>
              <w:spacing w:line="240" w:lineRule="auto" w:before="0"/>
              <w:jc w:val="left"/>
              <w:rPr>
                <w:b/>
                <w:sz w:val="17"/>
              </w:rPr>
            </w:pPr>
          </w:p>
          <w:p>
            <w:pPr>
              <w:pStyle w:val="TableParagraph"/>
              <w:spacing w:before="0"/>
              <w:ind w:right="143"/>
              <w:rPr>
                <w:rFonts w:ascii="Carlito"/>
                <w:sz w:val="16"/>
              </w:rPr>
            </w:pPr>
            <w:r>
              <w:rPr>
                <w:rFonts w:ascii="Carlito"/>
                <w:sz w:val="16"/>
              </w:rPr>
              <w:t>282</w:t>
            </w:r>
          </w:p>
        </w:tc>
        <w:tc>
          <w:tcPr>
            <w:tcW w:w="1938" w:type="dxa"/>
            <w:shd w:val="clear" w:color="auto" w:fill="D9D9D9"/>
          </w:tcPr>
          <w:p>
            <w:pPr>
              <w:pStyle w:val="TableParagraph"/>
              <w:spacing w:line="195" w:lineRule="exact" w:before="0"/>
              <w:ind w:left="143"/>
              <w:jc w:val="left"/>
              <w:rPr>
                <w:rFonts w:ascii="Carlito"/>
                <w:sz w:val="16"/>
              </w:rPr>
            </w:pPr>
            <w:r>
              <w:rPr>
                <w:rFonts w:ascii="Carlito"/>
                <w:sz w:val="16"/>
              </w:rPr>
              <w:t>Residencial Avenida</w:t>
            </w:r>
          </w:p>
          <w:p>
            <w:pPr>
              <w:pStyle w:val="TableParagraph"/>
              <w:spacing w:before="0"/>
              <w:ind w:left="143"/>
              <w:jc w:val="left"/>
              <w:rPr>
                <w:rFonts w:ascii="Carlito"/>
                <w:sz w:val="16"/>
              </w:rPr>
            </w:pPr>
            <w:r>
              <w:rPr>
                <w:rFonts w:ascii="Carlito"/>
                <w:sz w:val="16"/>
              </w:rPr>
              <w:t>San Rafael</w:t>
            </w:r>
          </w:p>
        </w:tc>
        <w:tc>
          <w:tcPr>
            <w:tcW w:w="655" w:type="dxa"/>
            <w:shd w:val="clear" w:color="auto" w:fill="D9D9D9"/>
          </w:tcPr>
          <w:p>
            <w:pPr>
              <w:pStyle w:val="TableParagraph"/>
              <w:spacing w:line="240" w:lineRule="auto" w:before="0"/>
              <w:jc w:val="left"/>
              <w:rPr>
                <w:b/>
                <w:sz w:val="17"/>
              </w:rPr>
            </w:pPr>
          </w:p>
          <w:p>
            <w:pPr>
              <w:pStyle w:val="TableParagraph"/>
              <w:spacing w:before="0"/>
              <w:ind w:right="129"/>
              <w:rPr>
                <w:rFonts w:ascii="Carlito"/>
                <w:sz w:val="16"/>
              </w:rPr>
            </w:pPr>
            <w:r>
              <w:rPr>
                <w:rFonts w:ascii="Carlito"/>
                <w:sz w:val="16"/>
              </w:rPr>
              <w:t>1</w:t>
            </w:r>
          </w:p>
        </w:tc>
        <w:tc>
          <w:tcPr>
            <w:tcW w:w="1258" w:type="dxa"/>
            <w:shd w:val="clear" w:color="auto" w:fill="D9D9D9"/>
          </w:tcPr>
          <w:p>
            <w:pPr>
              <w:pStyle w:val="TableParagraph"/>
              <w:spacing w:line="240" w:lineRule="auto" w:before="0"/>
              <w:jc w:val="left"/>
              <w:rPr>
                <w:b/>
                <w:sz w:val="17"/>
              </w:rPr>
            </w:pPr>
          </w:p>
          <w:p>
            <w:pPr>
              <w:pStyle w:val="TableParagraph"/>
              <w:spacing w:before="0"/>
              <w:ind w:left="131"/>
              <w:jc w:val="left"/>
              <w:rPr>
                <w:rFonts w:ascii="Carlito"/>
                <w:sz w:val="16"/>
              </w:rPr>
            </w:pPr>
            <w:r>
              <w:rPr>
                <w:rFonts w:ascii="Carlito"/>
                <w:sz w:val="16"/>
              </w:rPr>
              <w:t>$139,000.00</w:t>
            </w:r>
          </w:p>
        </w:tc>
        <w:tc>
          <w:tcPr>
            <w:tcW w:w="1100" w:type="dxa"/>
            <w:shd w:val="clear" w:color="auto" w:fill="D9D9D9"/>
          </w:tcPr>
          <w:p>
            <w:pPr>
              <w:pStyle w:val="TableParagraph"/>
              <w:spacing w:line="240" w:lineRule="auto" w:before="0"/>
              <w:jc w:val="left"/>
              <w:rPr>
                <w:b/>
                <w:sz w:val="17"/>
              </w:rPr>
            </w:pPr>
          </w:p>
          <w:p>
            <w:pPr>
              <w:pStyle w:val="TableParagraph"/>
              <w:spacing w:before="0"/>
              <w:ind w:right="340"/>
              <w:rPr>
                <w:rFonts w:ascii="Carlito"/>
                <w:sz w:val="16"/>
              </w:rPr>
            </w:pPr>
            <w:r>
              <w:rPr>
                <w:rFonts w:ascii="Carlito"/>
                <w:sz w:val="16"/>
              </w:rPr>
              <w:t>150</w:t>
            </w:r>
          </w:p>
        </w:tc>
        <w:tc>
          <w:tcPr>
            <w:tcW w:w="1125" w:type="dxa"/>
            <w:shd w:val="clear" w:color="auto" w:fill="D9D9D9"/>
          </w:tcPr>
          <w:p>
            <w:pPr>
              <w:pStyle w:val="TableParagraph"/>
              <w:spacing w:line="240" w:lineRule="auto" w:before="0"/>
              <w:jc w:val="left"/>
              <w:rPr>
                <w:b/>
                <w:sz w:val="17"/>
              </w:rPr>
            </w:pPr>
          </w:p>
          <w:p>
            <w:pPr>
              <w:pStyle w:val="TableParagraph"/>
              <w:spacing w:before="0"/>
              <w:ind w:left="320" w:right="439"/>
              <w:jc w:val="center"/>
              <w:rPr>
                <w:rFonts w:ascii="Carlito"/>
                <w:sz w:val="16"/>
              </w:rPr>
            </w:pPr>
            <w:r>
              <w:rPr>
                <w:rFonts w:ascii="Carlito"/>
                <w:sz w:val="16"/>
              </w:rPr>
              <w:t>2006</w:t>
            </w:r>
          </w:p>
        </w:tc>
        <w:tc>
          <w:tcPr>
            <w:tcW w:w="782" w:type="dxa"/>
            <w:shd w:val="clear" w:color="auto" w:fill="D9D9D9"/>
          </w:tcPr>
          <w:p>
            <w:pPr>
              <w:pStyle w:val="TableParagraph"/>
              <w:spacing w:line="240" w:lineRule="auto" w:before="0"/>
              <w:jc w:val="left"/>
              <w:rPr>
                <w:b/>
                <w:sz w:val="17"/>
              </w:rPr>
            </w:pPr>
          </w:p>
          <w:p>
            <w:pPr>
              <w:pStyle w:val="TableParagraph"/>
              <w:spacing w:before="0"/>
              <w:ind w:right="233"/>
              <w:rPr>
                <w:rFonts w:ascii="Carlito"/>
                <w:sz w:val="16"/>
              </w:rPr>
            </w:pPr>
            <w:r>
              <w:rPr>
                <w:rFonts w:ascii="Carlito"/>
                <w:sz w:val="16"/>
              </w:rPr>
              <w:t>3</w:t>
            </w:r>
          </w:p>
        </w:tc>
        <w:tc>
          <w:tcPr>
            <w:tcW w:w="744" w:type="dxa"/>
            <w:shd w:val="clear" w:color="auto" w:fill="D9D9D9"/>
          </w:tcPr>
          <w:p>
            <w:pPr>
              <w:pStyle w:val="TableParagraph"/>
              <w:spacing w:line="240" w:lineRule="auto" w:before="0"/>
              <w:jc w:val="left"/>
              <w:rPr>
                <w:b/>
                <w:sz w:val="17"/>
              </w:rPr>
            </w:pPr>
          </w:p>
          <w:p>
            <w:pPr>
              <w:pStyle w:val="TableParagraph"/>
              <w:spacing w:before="0"/>
              <w:ind w:right="301"/>
              <w:rPr>
                <w:rFonts w:ascii="Carlito"/>
                <w:sz w:val="16"/>
              </w:rPr>
            </w:pPr>
            <w:r>
              <w:rPr>
                <w:rFonts w:ascii="Carlito"/>
                <w:sz w:val="16"/>
              </w:rPr>
              <w:t>2.5</w:t>
            </w:r>
          </w:p>
        </w:tc>
        <w:tc>
          <w:tcPr>
            <w:tcW w:w="815" w:type="dxa"/>
            <w:shd w:val="clear" w:color="auto" w:fill="D9D9D9"/>
          </w:tcPr>
          <w:p>
            <w:pPr>
              <w:pStyle w:val="TableParagraph"/>
              <w:spacing w:line="240" w:lineRule="auto" w:before="0"/>
              <w:jc w:val="left"/>
              <w:rPr>
                <w:b/>
                <w:sz w:val="17"/>
              </w:rPr>
            </w:pPr>
          </w:p>
          <w:p>
            <w:pPr>
              <w:pStyle w:val="TableParagraph"/>
              <w:spacing w:before="0"/>
              <w:ind w:left="304"/>
              <w:jc w:val="left"/>
              <w:rPr>
                <w:rFonts w:ascii="Carlito"/>
                <w:sz w:val="16"/>
              </w:rPr>
            </w:pPr>
            <w:r>
              <w:rPr>
                <w:rFonts w:ascii="Carlito"/>
                <w:sz w:val="16"/>
              </w:rPr>
              <w:t>2</w:t>
            </w:r>
          </w:p>
        </w:tc>
        <w:tc>
          <w:tcPr>
            <w:tcW w:w="1287" w:type="dxa"/>
            <w:shd w:val="clear" w:color="auto" w:fill="D9D9D9"/>
          </w:tcPr>
          <w:p>
            <w:pPr>
              <w:pStyle w:val="TableParagraph"/>
              <w:spacing w:line="240" w:lineRule="auto" w:before="0"/>
              <w:jc w:val="left"/>
              <w:rPr>
                <w:b/>
                <w:sz w:val="17"/>
              </w:rPr>
            </w:pPr>
          </w:p>
          <w:p>
            <w:pPr>
              <w:pStyle w:val="TableParagraph"/>
              <w:spacing w:before="0"/>
              <w:ind w:right="567"/>
              <w:rPr>
                <w:rFonts w:ascii="Carlito"/>
                <w:sz w:val="16"/>
              </w:rPr>
            </w:pPr>
            <w:r>
              <w:rPr>
                <w:rFonts w:ascii="Carlito"/>
                <w:sz w:val="16"/>
              </w:rPr>
              <w:t>12</w:t>
            </w:r>
          </w:p>
        </w:tc>
        <w:tc>
          <w:tcPr>
            <w:tcW w:w="1141" w:type="dxa"/>
            <w:shd w:val="clear" w:color="auto" w:fill="D9D9D9"/>
          </w:tcPr>
          <w:p>
            <w:pPr>
              <w:pStyle w:val="TableParagraph"/>
              <w:spacing w:line="240" w:lineRule="auto" w:before="0"/>
              <w:jc w:val="left"/>
              <w:rPr>
                <w:b/>
                <w:sz w:val="17"/>
              </w:rPr>
            </w:pPr>
          </w:p>
          <w:p>
            <w:pPr>
              <w:pStyle w:val="TableParagraph"/>
              <w:spacing w:before="0"/>
              <w:ind w:right="359"/>
              <w:rPr>
                <w:rFonts w:ascii="Carlito"/>
                <w:sz w:val="16"/>
              </w:rPr>
            </w:pPr>
            <w:r>
              <w:rPr>
                <w:rFonts w:ascii="Carlito"/>
                <w:sz w:val="16"/>
              </w:rPr>
              <w:t>4.1</w:t>
            </w:r>
          </w:p>
        </w:tc>
        <w:tc>
          <w:tcPr>
            <w:tcW w:w="825" w:type="dxa"/>
            <w:shd w:val="clear" w:color="auto" w:fill="D9D9D9"/>
          </w:tcPr>
          <w:p>
            <w:pPr>
              <w:pStyle w:val="TableParagraph"/>
              <w:spacing w:line="240" w:lineRule="auto" w:before="0"/>
              <w:jc w:val="left"/>
              <w:rPr>
                <w:b/>
                <w:sz w:val="17"/>
              </w:rPr>
            </w:pPr>
          </w:p>
          <w:p>
            <w:pPr>
              <w:pStyle w:val="TableParagraph"/>
              <w:spacing w:before="0"/>
              <w:ind w:right="372"/>
              <w:rPr>
                <w:rFonts w:ascii="Carlito"/>
                <w:sz w:val="16"/>
              </w:rPr>
            </w:pPr>
            <w:r>
              <w:rPr>
                <w:rFonts w:ascii="Carlito"/>
                <w:sz w:val="16"/>
              </w:rPr>
              <w:t>0</w:t>
            </w:r>
          </w:p>
        </w:tc>
        <w:tc>
          <w:tcPr>
            <w:tcW w:w="529" w:type="dxa"/>
            <w:shd w:val="clear" w:color="auto" w:fill="D9D9D9"/>
          </w:tcPr>
          <w:p>
            <w:pPr>
              <w:pStyle w:val="TableParagraph"/>
              <w:spacing w:line="240" w:lineRule="auto" w:before="0"/>
              <w:jc w:val="left"/>
              <w:rPr>
                <w:b/>
                <w:sz w:val="17"/>
              </w:rPr>
            </w:pPr>
          </w:p>
          <w:p>
            <w:pPr>
              <w:pStyle w:val="TableParagraph"/>
              <w:spacing w:before="0"/>
              <w:ind w:right="57"/>
              <w:rPr>
                <w:rFonts w:ascii="Carlito"/>
                <w:sz w:val="16"/>
              </w:rPr>
            </w:pPr>
            <w:r>
              <w:rPr>
                <w:rFonts w:ascii="Carlito"/>
                <w:sz w:val="16"/>
              </w:rPr>
              <w:t>1</w:t>
            </w:r>
          </w:p>
        </w:tc>
      </w:tr>
    </w:tbl>
    <w:p>
      <w:pPr>
        <w:spacing w:after="0"/>
        <w:rPr>
          <w:rFonts w:ascii="Carlito"/>
          <w:sz w:val="16"/>
        </w:rPr>
        <w:sectPr>
          <w:pgSz w:w="15840" w:h="12240" w:orient="landscape"/>
          <w:pgMar w:header="0" w:footer="982" w:top="1140" w:bottom="1180" w:left="1340" w:right="1320"/>
        </w:sectPr>
      </w:pPr>
    </w:p>
    <w:p>
      <w:pPr>
        <w:pStyle w:val="BodyText"/>
        <w:rPr>
          <w:b/>
          <w:sz w:val="20"/>
        </w:rPr>
      </w:pPr>
    </w:p>
    <w:p>
      <w:pPr>
        <w:pStyle w:val="BodyText"/>
        <w:spacing w:before="10"/>
        <w:rPr>
          <w:b/>
          <w:sz w:val="16"/>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56"/>
        <w:gridCol w:w="1938"/>
        <w:gridCol w:w="656"/>
        <w:gridCol w:w="1360"/>
        <w:gridCol w:w="998"/>
        <w:gridCol w:w="1126"/>
        <w:gridCol w:w="782"/>
        <w:gridCol w:w="744"/>
        <w:gridCol w:w="815"/>
        <w:gridCol w:w="1289"/>
        <w:gridCol w:w="1139"/>
        <w:gridCol w:w="825"/>
        <w:gridCol w:w="529"/>
      </w:tblGrid>
      <w:tr>
        <w:trPr>
          <w:trHeight w:val="163" w:hRule="atLeast"/>
        </w:trPr>
        <w:tc>
          <w:tcPr>
            <w:tcW w:w="756" w:type="dxa"/>
          </w:tcPr>
          <w:p>
            <w:pPr>
              <w:pStyle w:val="TableParagraph"/>
              <w:spacing w:line="144" w:lineRule="exact" w:before="0"/>
              <w:ind w:right="143"/>
              <w:rPr>
                <w:rFonts w:ascii="Carlito"/>
                <w:sz w:val="16"/>
              </w:rPr>
            </w:pPr>
            <w:r>
              <w:rPr>
                <w:rFonts w:ascii="Carlito"/>
                <w:sz w:val="16"/>
              </w:rPr>
              <w:t>283</w:t>
            </w:r>
          </w:p>
        </w:tc>
        <w:tc>
          <w:tcPr>
            <w:tcW w:w="1938" w:type="dxa"/>
          </w:tcPr>
          <w:p>
            <w:pPr>
              <w:pStyle w:val="TableParagraph"/>
              <w:spacing w:line="144" w:lineRule="exact" w:before="0"/>
              <w:ind w:left="143"/>
              <w:jc w:val="left"/>
              <w:rPr>
                <w:rFonts w:ascii="Carlito" w:hAnsi="Carlito"/>
                <w:sz w:val="16"/>
              </w:rPr>
            </w:pPr>
            <w:r>
              <w:rPr>
                <w:rFonts w:ascii="Carlito" w:hAnsi="Carlito"/>
                <w:sz w:val="16"/>
              </w:rPr>
              <w:t>Tres Ríos</w:t>
            </w:r>
          </w:p>
        </w:tc>
        <w:tc>
          <w:tcPr>
            <w:tcW w:w="656" w:type="dxa"/>
          </w:tcPr>
          <w:p>
            <w:pPr>
              <w:pStyle w:val="TableParagraph"/>
              <w:spacing w:line="144" w:lineRule="exact" w:before="0"/>
              <w:ind w:right="130"/>
              <w:rPr>
                <w:rFonts w:ascii="Carlito"/>
                <w:sz w:val="16"/>
              </w:rPr>
            </w:pPr>
            <w:r>
              <w:rPr>
                <w:rFonts w:ascii="Carlito"/>
                <w:sz w:val="16"/>
              </w:rPr>
              <w:t>0</w:t>
            </w:r>
          </w:p>
        </w:tc>
        <w:tc>
          <w:tcPr>
            <w:tcW w:w="1360" w:type="dxa"/>
          </w:tcPr>
          <w:p>
            <w:pPr>
              <w:pStyle w:val="TableParagraph"/>
              <w:spacing w:line="144" w:lineRule="exact" w:before="0"/>
              <w:ind w:right="418"/>
              <w:rPr>
                <w:rFonts w:ascii="Carlito"/>
                <w:sz w:val="16"/>
              </w:rPr>
            </w:pPr>
            <w:r>
              <w:rPr>
                <w:rFonts w:ascii="Carlito"/>
                <w:sz w:val="16"/>
              </w:rPr>
              <w:t>$180,000.00</w:t>
            </w:r>
          </w:p>
        </w:tc>
        <w:tc>
          <w:tcPr>
            <w:tcW w:w="998" w:type="dxa"/>
          </w:tcPr>
          <w:p>
            <w:pPr>
              <w:pStyle w:val="TableParagraph"/>
              <w:spacing w:line="144" w:lineRule="exact" w:before="0"/>
              <w:ind w:right="341"/>
              <w:rPr>
                <w:rFonts w:ascii="Carlito"/>
                <w:sz w:val="16"/>
              </w:rPr>
            </w:pPr>
            <w:r>
              <w:rPr>
                <w:rFonts w:ascii="Carlito"/>
                <w:sz w:val="16"/>
              </w:rPr>
              <w:t>133</w:t>
            </w:r>
          </w:p>
        </w:tc>
        <w:tc>
          <w:tcPr>
            <w:tcW w:w="1126" w:type="dxa"/>
          </w:tcPr>
          <w:p>
            <w:pPr>
              <w:pStyle w:val="TableParagraph"/>
              <w:spacing w:line="144" w:lineRule="exact" w:before="0"/>
              <w:ind w:left="318" w:right="440"/>
              <w:jc w:val="center"/>
              <w:rPr>
                <w:rFonts w:ascii="Carlito"/>
                <w:sz w:val="16"/>
              </w:rPr>
            </w:pPr>
            <w:r>
              <w:rPr>
                <w:rFonts w:ascii="Carlito"/>
                <w:sz w:val="16"/>
              </w:rPr>
              <w:t>2006</w:t>
            </w:r>
          </w:p>
        </w:tc>
        <w:tc>
          <w:tcPr>
            <w:tcW w:w="782" w:type="dxa"/>
          </w:tcPr>
          <w:p>
            <w:pPr>
              <w:pStyle w:val="TableParagraph"/>
              <w:spacing w:line="144" w:lineRule="exact" w:before="0"/>
              <w:ind w:right="235"/>
              <w:rPr>
                <w:rFonts w:ascii="Carlito"/>
                <w:sz w:val="16"/>
              </w:rPr>
            </w:pPr>
            <w:r>
              <w:rPr>
                <w:rFonts w:ascii="Carlito"/>
                <w:sz w:val="16"/>
              </w:rPr>
              <w:t>3</w:t>
            </w:r>
          </w:p>
        </w:tc>
        <w:tc>
          <w:tcPr>
            <w:tcW w:w="744" w:type="dxa"/>
          </w:tcPr>
          <w:p>
            <w:pPr>
              <w:pStyle w:val="TableParagraph"/>
              <w:spacing w:line="144" w:lineRule="exact" w:before="0"/>
              <w:ind w:right="303"/>
              <w:rPr>
                <w:rFonts w:ascii="Carlito"/>
                <w:sz w:val="16"/>
              </w:rPr>
            </w:pPr>
            <w:r>
              <w:rPr>
                <w:rFonts w:ascii="Carlito"/>
                <w:sz w:val="16"/>
              </w:rPr>
              <w:t>2.5</w:t>
            </w:r>
          </w:p>
        </w:tc>
        <w:tc>
          <w:tcPr>
            <w:tcW w:w="815" w:type="dxa"/>
          </w:tcPr>
          <w:p>
            <w:pPr>
              <w:pStyle w:val="TableParagraph"/>
              <w:spacing w:line="144" w:lineRule="exact" w:before="0"/>
              <w:ind w:left="302"/>
              <w:jc w:val="left"/>
              <w:rPr>
                <w:rFonts w:ascii="Carlito"/>
                <w:sz w:val="16"/>
              </w:rPr>
            </w:pPr>
            <w:r>
              <w:rPr>
                <w:rFonts w:ascii="Carlito"/>
                <w:sz w:val="16"/>
              </w:rPr>
              <w:t>2</w:t>
            </w:r>
          </w:p>
        </w:tc>
        <w:tc>
          <w:tcPr>
            <w:tcW w:w="1289" w:type="dxa"/>
          </w:tcPr>
          <w:p>
            <w:pPr>
              <w:pStyle w:val="TableParagraph"/>
              <w:spacing w:line="144" w:lineRule="exact" w:before="0"/>
              <w:ind w:right="570"/>
              <w:rPr>
                <w:rFonts w:ascii="Carlito"/>
                <w:sz w:val="16"/>
              </w:rPr>
            </w:pPr>
            <w:r>
              <w:rPr>
                <w:rFonts w:ascii="Carlito"/>
                <w:sz w:val="16"/>
              </w:rPr>
              <w:t>10.6</w:t>
            </w:r>
          </w:p>
        </w:tc>
        <w:tc>
          <w:tcPr>
            <w:tcW w:w="1139" w:type="dxa"/>
          </w:tcPr>
          <w:p>
            <w:pPr>
              <w:pStyle w:val="TableParagraph"/>
              <w:spacing w:line="144" w:lineRule="exact" w:before="0"/>
              <w:ind w:right="361"/>
              <w:rPr>
                <w:rFonts w:ascii="Carlito"/>
                <w:sz w:val="16"/>
              </w:rPr>
            </w:pPr>
            <w:r>
              <w:rPr>
                <w:rFonts w:ascii="Carlito"/>
                <w:sz w:val="16"/>
              </w:rPr>
              <w:t>4.7</w:t>
            </w:r>
          </w:p>
        </w:tc>
        <w:tc>
          <w:tcPr>
            <w:tcW w:w="825" w:type="dxa"/>
          </w:tcPr>
          <w:p>
            <w:pPr>
              <w:pStyle w:val="TableParagraph"/>
              <w:spacing w:line="144" w:lineRule="exact" w:before="0"/>
              <w:ind w:right="374"/>
              <w:rPr>
                <w:rFonts w:ascii="Carlito"/>
                <w:sz w:val="16"/>
              </w:rPr>
            </w:pPr>
            <w:r>
              <w:rPr>
                <w:rFonts w:ascii="Carlito"/>
                <w:sz w:val="16"/>
              </w:rPr>
              <w:t>0</w:t>
            </w:r>
          </w:p>
        </w:tc>
        <w:tc>
          <w:tcPr>
            <w:tcW w:w="529" w:type="dxa"/>
          </w:tcPr>
          <w:p>
            <w:pPr>
              <w:pStyle w:val="TableParagraph"/>
              <w:spacing w:line="144" w:lineRule="exact" w:before="0"/>
              <w:ind w:right="59"/>
              <w:rPr>
                <w:rFonts w:ascii="Carlito"/>
                <w:sz w:val="16"/>
              </w:rPr>
            </w:pPr>
            <w:r>
              <w:rPr>
                <w:rFonts w:ascii="Carlito"/>
                <w:sz w:val="16"/>
              </w:rPr>
              <w:t>1</w:t>
            </w:r>
          </w:p>
        </w:tc>
      </w:tr>
      <w:tr>
        <w:trPr>
          <w:trHeight w:val="288" w:hRule="atLeast"/>
        </w:trPr>
        <w:tc>
          <w:tcPr>
            <w:tcW w:w="756" w:type="dxa"/>
            <w:shd w:val="clear" w:color="auto" w:fill="D9D9D9"/>
          </w:tcPr>
          <w:p>
            <w:pPr>
              <w:pStyle w:val="TableParagraph"/>
              <w:ind w:right="143"/>
              <w:rPr>
                <w:rFonts w:ascii="Carlito"/>
                <w:sz w:val="16"/>
              </w:rPr>
            </w:pPr>
            <w:r>
              <w:rPr>
                <w:rFonts w:ascii="Carlito"/>
                <w:sz w:val="16"/>
              </w:rPr>
              <w:t>284</w:t>
            </w:r>
          </w:p>
        </w:tc>
        <w:tc>
          <w:tcPr>
            <w:tcW w:w="1938" w:type="dxa"/>
            <w:shd w:val="clear" w:color="auto" w:fill="D9D9D9"/>
          </w:tcPr>
          <w:p>
            <w:pPr>
              <w:pStyle w:val="TableParagraph"/>
              <w:ind w:left="143"/>
              <w:jc w:val="left"/>
              <w:rPr>
                <w:rFonts w:ascii="Carlito" w:hAnsi="Carlito"/>
                <w:sz w:val="16"/>
              </w:rPr>
            </w:pPr>
            <w:r>
              <w:rPr>
                <w:rFonts w:ascii="Carlito" w:hAnsi="Carlito"/>
                <w:sz w:val="16"/>
              </w:rPr>
              <w:t>Tres Ríos</w:t>
            </w:r>
          </w:p>
        </w:tc>
        <w:tc>
          <w:tcPr>
            <w:tcW w:w="656" w:type="dxa"/>
            <w:shd w:val="clear" w:color="auto" w:fill="D9D9D9"/>
          </w:tcPr>
          <w:p>
            <w:pPr>
              <w:pStyle w:val="TableParagraph"/>
              <w:ind w:right="130"/>
              <w:rPr>
                <w:rFonts w:ascii="Carlito"/>
                <w:sz w:val="16"/>
              </w:rPr>
            </w:pPr>
            <w:r>
              <w:rPr>
                <w:rFonts w:ascii="Carlito"/>
                <w:sz w:val="16"/>
              </w:rPr>
              <w:t>1</w:t>
            </w:r>
          </w:p>
        </w:tc>
        <w:tc>
          <w:tcPr>
            <w:tcW w:w="1360" w:type="dxa"/>
            <w:shd w:val="clear" w:color="auto" w:fill="D9D9D9"/>
          </w:tcPr>
          <w:p>
            <w:pPr>
              <w:pStyle w:val="TableParagraph"/>
              <w:ind w:right="415"/>
              <w:rPr>
                <w:rFonts w:ascii="Carlito"/>
                <w:sz w:val="16"/>
              </w:rPr>
            </w:pPr>
            <w:r>
              <w:rPr>
                <w:rFonts w:ascii="Carlito"/>
                <w:sz w:val="16"/>
              </w:rPr>
              <w:t>$210,000.00</w:t>
            </w:r>
          </w:p>
        </w:tc>
        <w:tc>
          <w:tcPr>
            <w:tcW w:w="998" w:type="dxa"/>
            <w:shd w:val="clear" w:color="auto" w:fill="D9D9D9"/>
          </w:tcPr>
          <w:p>
            <w:pPr>
              <w:pStyle w:val="TableParagraph"/>
              <w:ind w:right="341"/>
              <w:rPr>
                <w:rFonts w:ascii="Carlito"/>
                <w:sz w:val="16"/>
              </w:rPr>
            </w:pPr>
            <w:r>
              <w:rPr>
                <w:rFonts w:ascii="Carlito"/>
                <w:sz w:val="16"/>
              </w:rPr>
              <w:t>185</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3</w:t>
            </w:r>
          </w:p>
        </w:tc>
        <w:tc>
          <w:tcPr>
            <w:tcW w:w="744" w:type="dxa"/>
            <w:shd w:val="clear" w:color="auto" w:fill="D9D9D9"/>
          </w:tcPr>
          <w:p>
            <w:pPr>
              <w:pStyle w:val="TableParagraph"/>
              <w:ind w:right="303"/>
              <w:rPr>
                <w:rFonts w:ascii="Carlito"/>
                <w:sz w:val="16"/>
              </w:rPr>
            </w:pPr>
            <w:r>
              <w:rPr>
                <w:rFonts w:ascii="Carlito"/>
                <w:sz w:val="16"/>
              </w:rPr>
              <w:t>2.5</w:t>
            </w:r>
          </w:p>
        </w:tc>
        <w:tc>
          <w:tcPr>
            <w:tcW w:w="815" w:type="dxa"/>
            <w:shd w:val="clear" w:color="auto" w:fill="D9D9D9"/>
          </w:tcPr>
          <w:p>
            <w:pPr>
              <w:pStyle w:val="TableParagraph"/>
              <w:ind w:left="302"/>
              <w:jc w:val="left"/>
              <w:rPr>
                <w:rFonts w:ascii="Carlito"/>
                <w:sz w:val="16"/>
              </w:rPr>
            </w:pPr>
            <w:r>
              <w:rPr>
                <w:rFonts w:ascii="Carlito"/>
                <w:sz w:val="16"/>
              </w:rPr>
              <w:t>2</w:t>
            </w:r>
          </w:p>
        </w:tc>
        <w:tc>
          <w:tcPr>
            <w:tcW w:w="1289" w:type="dxa"/>
            <w:shd w:val="clear" w:color="auto" w:fill="D9D9D9"/>
          </w:tcPr>
          <w:p>
            <w:pPr>
              <w:pStyle w:val="TableParagraph"/>
              <w:ind w:right="570"/>
              <w:rPr>
                <w:rFonts w:ascii="Carlito"/>
                <w:sz w:val="16"/>
              </w:rPr>
            </w:pPr>
            <w:r>
              <w:rPr>
                <w:rFonts w:ascii="Carlito"/>
                <w:sz w:val="16"/>
              </w:rPr>
              <w:t>12.6</w:t>
            </w:r>
          </w:p>
        </w:tc>
        <w:tc>
          <w:tcPr>
            <w:tcW w:w="1139" w:type="dxa"/>
            <w:shd w:val="clear" w:color="auto" w:fill="D9D9D9"/>
          </w:tcPr>
          <w:p>
            <w:pPr>
              <w:pStyle w:val="TableParagraph"/>
              <w:ind w:right="357"/>
              <w:rPr>
                <w:rFonts w:ascii="Carlito"/>
                <w:sz w:val="16"/>
              </w:rPr>
            </w:pPr>
            <w:r>
              <w:rPr>
                <w:rFonts w:ascii="Carlito"/>
                <w:sz w:val="16"/>
              </w:rPr>
              <w:t>3</w:t>
            </w:r>
          </w:p>
        </w:tc>
        <w:tc>
          <w:tcPr>
            <w:tcW w:w="825" w:type="dxa"/>
            <w:shd w:val="clear" w:color="auto" w:fill="D9D9D9"/>
          </w:tcPr>
          <w:p>
            <w:pPr>
              <w:pStyle w:val="TableParagraph"/>
              <w:ind w:right="374"/>
              <w:rPr>
                <w:rFonts w:ascii="Carlito"/>
                <w:sz w:val="16"/>
              </w:rPr>
            </w:pPr>
            <w:r>
              <w:rPr>
                <w:rFonts w:ascii="Carlito"/>
                <w:sz w:val="16"/>
              </w:rPr>
              <w:t>0</w:t>
            </w:r>
          </w:p>
        </w:tc>
        <w:tc>
          <w:tcPr>
            <w:tcW w:w="529"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285</w:t>
            </w:r>
          </w:p>
        </w:tc>
        <w:tc>
          <w:tcPr>
            <w:tcW w:w="1938" w:type="dxa"/>
          </w:tcPr>
          <w:p>
            <w:pPr>
              <w:pStyle w:val="TableParagraph"/>
              <w:ind w:left="143"/>
              <w:jc w:val="left"/>
              <w:rPr>
                <w:rFonts w:ascii="Carlito"/>
                <w:sz w:val="16"/>
              </w:rPr>
            </w:pPr>
            <w:r>
              <w:rPr>
                <w:rFonts w:ascii="Carlito"/>
                <w:sz w:val="16"/>
              </w:rPr>
              <w:t>Lomas de Ayarco</w:t>
            </w:r>
          </w:p>
        </w:tc>
        <w:tc>
          <w:tcPr>
            <w:tcW w:w="656" w:type="dxa"/>
          </w:tcPr>
          <w:p>
            <w:pPr>
              <w:pStyle w:val="TableParagraph"/>
              <w:ind w:right="130"/>
              <w:rPr>
                <w:rFonts w:ascii="Carlito"/>
                <w:sz w:val="16"/>
              </w:rPr>
            </w:pPr>
            <w:r>
              <w:rPr>
                <w:rFonts w:ascii="Carlito"/>
                <w:sz w:val="16"/>
              </w:rPr>
              <w:t>1</w:t>
            </w:r>
          </w:p>
        </w:tc>
        <w:tc>
          <w:tcPr>
            <w:tcW w:w="1360" w:type="dxa"/>
          </w:tcPr>
          <w:p>
            <w:pPr>
              <w:pStyle w:val="TableParagraph"/>
              <w:ind w:right="418"/>
              <w:rPr>
                <w:rFonts w:ascii="Carlito"/>
                <w:sz w:val="16"/>
              </w:rPr>
            </w:pPr>
            <w:r>
              <w:rPr>
                <w:rFonts w:ascii="Carlito"/>
                <w:sz w:val="16"/>
              </w:rPr>
              <w:t>$375,000.00</w:t>
            </w:r>
          </w:p>
        </w:tc>
        <w:tc>
          <w:tcPr>
            <w:tcW w:w="998" w:type="dxa"/>
          </w:tcPr>
          <w:p>
            <w:pPr>
              <w:pStyle w:val="TableParagraph"/>
              <w:ind w:right="341"/>
              <w:rPr>
                <w:rFonts w:ascii="Carlito"/>
                <w:sz w:val="16"/>
              </w:rPr>
            </w:pPr>
            <w:r>
              <w:rPr>
                <w:rFonts w:ascii="Carlito"/>
                <w:sz w:val="16"/>
              </w:rPr>
              <w:t>318</w:t>
            </w:r>
          </w:p>
        </w:tc>
        <w:tc>
          <w:tcPr>
            <w:tcW w:w="1126" w:type="dxa"/>
          </w:tcPr>
          <w:p>
            <w:pPr>
              <w:pStyle w:val="TableParagraph"/>
              <w:ind w:left="318" w:right="440"/>
              <w:jc w:val="center"/>
              <w:rPr>
                <w:rFonts w:ascii="Carlito"/>
                <w:sz w:val="16"/>
              </w:rPr>
            </w:pPr>
            <w:r>
              <w:rPr>
                <w:rFonts w:ascii="Carlito"/>
                <w:sz w:val="16"/>
              </w:rPr>
              <w:t>2006</w:t>
            </w:r>
          </w:p>
        </w:tc>
        <w:tc>
          <w:tcPr>
            <w:tcW w:w="782" w:type="dxa"/>
          </w:tcPr>
          <w:p>
            <w:pPr>
              <w:pStyle w:val="TableParagraph"/>
              <w:ind w:right="235"/>
              <w:rPr>
                <w:rFonts w:ascii="Carlito"/>
                <w:sz w:val="16"/>
              </w:rPr>
            </w:pPr>
            <w:r>
              <w:rPr>
                <w:rFonts w:ascii="Carlito"/>
                <w:sz w:val="16"/>
              </w:rPr>
              <w:t>4</w:t>
            </w:r>
          </w:p>
        </w:tc>
        <w:tc>
          <w:tcPr>
            <w:tcW w:w="744" w:type="dxa"/>
          </w:tcPr>
          <w:p>
            <w:pPr>
              <w:pStyle w:val="TableParagraph"/>
              <w:ind w:right="303"/>
              <w:rPr>
                <w:rFonts w:ascii="Carlito"/>
                <w:sz w:val="16"/>
              </w:rPr>
            </w:pPr>
            <w:r>
              <w:rPr>
                <w:rFonts w:ascii="Carlito"/>
                <w:sz w:val="16"/>
              </w:rPr>
              <w:t>3.5</w:t>
            </w:r>
          </w:p>
        </w:tc>
        <w:tc>
          <w:tcPr>
            <w:tcW w:w="815" w:type="dxa"/>
          </w:tcPr>
          <w:p>
            <w:pPr>
              <w:pStyle w:val="TableParagraph"/>
              <w:ind w:left="302"/>
              <w:jc w:val="left"/>
              <w:rPr>
                <w:rFonts w:ascii="Carlito"/>
                <w:sz w:val="16"/>
              </w:rPr>
            </w:pPr>
            <w:r>
              <w:rPr>
                <w:rFonts w:ascii="Carlito"/>
                <w:sz w:val="16"/>
              </w:rPr>
              <w:t>2</w:t>
            </w:r>
          </w:p>
        </w:tc>
        <w:tc>
          <w:tcPr>
            <w:tcW w:w="1289" w:type="dxa"/>
          </w:tcPr>
          <w:p>
            <w:pPr>
              <w:pStyle w:val="TableParagraph"/>
              <w:ind w:right="570"/>
              <w:rPr>
                <w:rFonts w:ascii="Carlito"/>
                <w:sz w:val="16"/>
              </w:rPr>
            </w:pPr>
            <w:r>
              <w:rPr>
                <w:rFonts w:ascii="Carlito"/>
                <w:sz w:val="16"/>
              </w:rPr>
              <w:t>8.1</w:t>
            </w:r>
          </w:p>
        </w:tc>
        <w:tc>
          <w:tcPr>
            <w:tcW w:w="1139" w:type="dxa"/>
          </w:tcPr>
          <w:p>
            <w:pPr>
              <w:pStyle w:val="TableParagraph"/>
              <w:ind w:right="361"/>
              <w:rPr>
                <w:rFonts w:ascii="Carlito"/>
                <w:sz w:val="16"/>
              </w:rPr>
            </w:pPr>
            <w:r>
              <w:rPr>
                <w:rFonts w:ascii="Carlito"/>
                <w:sz w:val="16"/>
              </w:rPr>
              <w:t>2.9</w:t>
            </w:r>
          </w:p>
        </w:tc>
        <w:tc>
          <w:tcPr>
            <w:tcW w:w="825" w:type="dxa"/>
          </w:tcPr>
          <w:p>
            <w:pPr>
              <w:pStyle w:val="TableParagraph"/>
              <w:ind w:right="374"/>
              <w:rPr>
                <w:rFonts w:ascii="Carlito"/>
                <w:sz w:val="16"/>
              </w:rPr>
            </w:pPr>
            <w:r>
              <w:rPr>
                <w:rFonts w:ascii="Carlito"/>
                <w:sz w:val="16"/>
              </w:rPr>
              <w:t>0</w:t>
            </w:r>
          </w:p>
        </w:tc>
        <w:tc>
          <w:tcPr>
            <w:tcW w:w="529" w:type="dxa"/>
          </w:tcPr>
          <w:p>
            <w:pPr>
              <w:pStyle w:val="TableParagraph"/>
              <w:ind w:right="59"/>
              <w:rPr>
                <w:rFonts w:ascii="Carlito"/>
                <w:sz w:val="16"/>
              </w:rPr>
            </w:pPr>
            <w:r>
              <w:rPr>
                <w:rFonts w:ascii="Carlito"/>
                <w:sz w:val="16"/>
              </w:rPr>
              <w:t>0</w:t>
            </w:r>
          </w:p>
        </w:tc>
      </w:tr>
      <w:tr>
        <w:trPr>
          <w:trHeight w:val="288" w:hRule="atLeast"/>
        </w:trPr>
        <w:tc>
          <w:tcPr>
            <w:tcW w:w="756" w:type="dxa"/>
            <w:shd w:val="clear" w:color="auto" w:fill="D9D9D9"/>
          </w:tcPr>
          <w:p>
            <w:pPr>
              <w:pStyle w:val="TableParagraph"/>
              <w:spacing w:before="92"/>
              <w:ind w:right="143"/>
              <w:rPr>
                <w:rFonts w:ascii="Carlito"/>
                <w:sz w:val="16"/>
              </w:rPr>
            </w:pPr>
            <w:r>
              <w:rPr>
                <w:rFonts w:ascii="Carlito"/>
                <w:sz w:val="16"/>
              </w:rPr>
              <w:t>286</w:t>
            </w:r>
          </w:p>
        </w:tc>
        <w:tc>
          <w:tcPr>
            <w:tcW w:w="1938" w:type="dxa"/>
            <w:shd w:val="clear" w:color="auto" w:fill="D9D9D9"/>
          </w:tcPr>
          <w:p>
            <w:pPr>
              <w:pStyle w:val="TableParagraph"/>
              <w:spacing w:before="92"/>
              <w:ind w:left="143"/>
              <w:jc w:val="left"/>
              <w:rPr>
                <w:rFonts w:ascii="Carlito"/>
                <w:sz w:val="16"/>
              </w:rPr>
            </w:pPr>
            <w:r>
              <w:rPr>
                <w:rFonts w:ascii="Carlito"/>
                <w:sz w:val="16"/>
              </w:rPr>
              <w:t>Guayabos</w:t>
            </w:r>
          </w:p>
        </w:tc>
        <w:tc>
          <w:tcPr>
            <w:tcW w:w="656" w:type="dxa"/>
            <w:shd w:val="clear" w:color="auto" w:fill="D9D9D9"/>
          </w:tcPr>
          <w:p>
            <w:pPr>
              <w:pStyle w:val="TableParagraph"/>
              <w:spacing w:before="92"/>
              <w:ind w:right="130"/>
              <w:rPr>
                <w:rFonts w:ascii="Carlito"/>
                <w:sz w:val="16"/>
              </w:rPr>
            </w:pPr>
            <w:r>
              <w:rPr>
                <w:rFonts w:ascii="Carlito"/>
                <w:sz w:val="16"/>
              </w:rPr>
              <w:t>0</w:t>
            </w:r>
          </w:p>
        </w:tc>
        <w:tc>
          <w:tcPr>
            <w:tcW w:w="1360" w:type="dxa"/>
            <w:shd w:val="clear" w:color="auto" w:fill="D9D9D9"/>
          </w:tcPr>
          <w:p>
            <w:pPr>
              <w:pStyle w:val="TableParagraph"/>
              <w:spacing w:before="92"/>
              <w:ind w:right="418"/>
              <w:rPr>
                <w:rFonts w:ascii="Carlito"/>
                <w:sz w:val="16"/>
              </w:rPr>
            </w:pPr>
            <w:r>
              <w:rPr>
                <w:rFonts w:ascii="Carlito"/>
                <w:sz w:val="16"/>
              </w:rPr>
              <w:t>$264,000.00</w:t>
            </w:r>
          </w:p>
        </w:tc>
        <w:tc>
          <w:tcPr>
            <w:tcW w:w="998" w:type="dxa"/>
            <w:shd w:val="clear" w:color="auto" w:fill="D9D9D9"/>
          </w:tcPr>
          <w:p>
            <w:pPr>
              <w:pStyle w:val="TableParagraph"/>
              <w:spacing w:before="92"/>
              <w:ind w:right="341"/>
              <w:rPr>
                <w:rFonts w:ascii="Carlito"/>
                <w:sz w:val="16"/>
              </w:rPr>
            </w:pPr>
            <w:r>
              <w:rPr>
                <w:rFonts w:ascii="Carlito"/>
                <w:sz w:val="16"/>
              </w:rPr>
              <w:t>270</w:t>
            </w:r>
          </w:p>
        </w:tc>
        <w:tc>
          <w:tcPr>
            <w:tcW w:w="1126" w:type="dxa"/>
            <w:shd w:val="clear" w:color="auto" w:fill="D9D9D9"/>
          </w:tcPr>
          <w:p>
            <w:pPr>
              <w:pStyle w:val="TableParagraph"/>
              <w:spacing w:before="92"/>
              <w:ind w:left="318" w:right="440"/>
              <w:jc w:val="center"/>
              <w:rPr>
                <w:rFonts w:ascii="Carlito"/>
                <w:sz w:val="16"/>
              </w:rPr>
            </w:pPr>
            <w:r>
              <w:rPr>
                <w:rFonts w:ascii="Carlito"/>
                <w:sz w:val="16"/>
              </w:rPr>
              <w:t>2011</w:t>
            </w:r>
          </w:p>
        </w:tc>
        <w:tc>
          <w:tcPr>
            <w:tcW w:w="782" w:type="dxa"/>
            <w:shd w:val="clear" w:color="auto" w:fill="D9D9D9"/>
          </w:tcPr>
          <w:p>
            <w:pPr>
              <w:pStyle w:val="TableParagraph"/>
              <w:spacing w:before="92"/>
              <w:ind w:right="235"/>
              <w:rPr>
                <w:rFonts w:ascii="Carlito"/>
                <w:sz w:val="16"/>
              </w:rPr>
            </w:pPr>
            <w:r>
              <w:rPr>
                <w:rFonts w:ascii="Carlito"/>
                <w:sz w:val="16"/>
              </w:rPr>
              <w:t>5</w:t>
            </w:r>
          </w:p>
        </w:tc>
        <w:tc>
          <w:tcPr>
            <w:tcW w:w="744" w:type="dxa"/>
            <w:shd w:val="clear" w:color="auto" w:fill="D9D9D9"/>
          </w:tcPr>
          <w:p>
            <w:pPr>
              <w:pStyle w:val="TableParagraph"/>
              <w:spacing w:before="92"/>
              <w:ind w:right="303"/>
              <w:rPr>
                <w:rFonts w:ascii="Carlito"/>
                <w:sz w:val="16"/>
              </w:rPr>
            </w:pPr>
            <w:r>
              <w:rPr>
                <w:rFonts w:ascii="Carlito"/>
                <w:sz w:val="16"/>
              </w:rPr>
              <w:t>4.5</w:t>
            </w:r>
          </w:p>
        </w:tc>
        <w:tc>
          <w:tcPr>
            <w:tcW w:w="815" w:type="dxa"/>
            <w:shd w:val="clear" w:color="auto" w:fill="D9D9D9"/>
          </w:tcPr>
          <w:p>
            <w:pPr>
              <w:pStyle w:val="TableParagraph"/>
              <w:spacing w:before="92"/>
              <w:ind w:left="302"/>
              <w:jc w:val="left"/>
              <w:rPr>
                <w:rFonts w:ascii="Carlito"/>
                <w:sz w:val="16"/>
              </w:rPr>
            </w:pPr>
            <w:r>
              <w:rPr>
                <w:rFonts w:ascii="Carlito"/>
                <w:sz w:val="16"/>
              </w:rPr>
              <w:t>3</w:t>
            </w:r>
          </w:p>
        </w:tc>
        <w:tc>
          <w:tcPr>
            <w:tcW w:w="1289" w:type="dxa"/>
            <w:shd w:val="clear" w:color="auto" w:fill="D9D9D9"/>
          </w:tcPr>
          <w:p>
            <w:pPr>
              <w:pStyle w:val="TableParagraph"/>
              <w:spacing w:before="92"/>
              <w:ind w:right="570"/>
              <w:rPr>
                <w:rFonts w:ascii="Carlito"/>
                <w:sz w:val="16"/>
              </w:rPr>
            </w:pPr>
            <w:r>
              <w:rPr>
                <w:rFonts w:ascii="Carlito"/>
                <w:sz w:val="16"/>
              </w:rPr>
              <w:t>7.4</w:t>
            </w:r>
          </w:p>
        </w:tc>
        <w:tc>
          <w:tcPr>
            <w:tcW w:w="1139" w:type="dxa"/>
            <w:shd w:val="clear" w:color="auto" w:fill="D9D9D9"/>
          </w:tcPr>
          <w:p>
            <w:pPr>
              <w:pStyle w:val="TableParagraph"/>
              <w:spacing w:before="92"/>
              <w:ind w:right="357"/>
              <w:rPr>
                <w:rFonts w:ascii="Carlito"/>
                <w:sz w:val="16"/>
              </w:rPr>
            </w:pPr>
            <w:r>
              <w:rPr>
                <w:rFonts w:ascii="Carlito"/>
                <w:sz w:val="16"/>
              </w:rPr>
              <w:t>5</w:t>
            </w:r>
          </w:p>
        </w:tc>
        <w:tc>
          <w:tcPr>
            <w:tcW w:w="825" w:type="dxa"/>
            <w:shd w:val="clear" w:color="auto" w:fill="D9D9D9"/>
          </w:tcPr>
          <w:p>
            <w:pPr>
              <w:pStyle w:val="TableParagraph"/>
              <w:spacing w:before="92"/>
              <w:ind w:right="374"/>
              <w:rPr>
                <w:rFonts w:ascii="Carlito"/>
                <w:sz w:val="16"/>
              </w:rPr>
            </w:pPr>
            <w:r>
              <w:rPr>
                <w:rFonts w:ascii="Carlito"/>
                <w:sz w:val="16"/>
              </w:rPr>
              <w:t>0</w:t>
            </w:r>
          </w:p>
        </w:tc>
        <w:tc>
          <w:tcPr>
            <w:tcW w:w="529" w:type="dxa"/>
            <w:shd w:val="clear" w:color="auto" w:fill="D9D9D9"/>
          </w:tcPr>
          <w:p>
            <w:pPr>
              <w:pStyle w:val="TableParagraph"/>
              <w:spacing w:before="92"/>
              <w:ind w:right="59"/>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287</w:t>
            </w:r>
          </w:p>
        </w:tc>
        <w:tc>
          <w:tcPr>
            <w:tcW w:w="1938" w:type="dxa"/>
          </w:tcPr>
          <w:p>
            <w:pPr>
              <w:pStyle w:val="TableParagraph"/>
              <w:ind w:left="143"/>
              <w:jc w:val="left"/>
              <w:rPr>
                <w:rFonts w:ascii="Carlito" w:hAnsi="Carlito"/>
                <w:sz w:val="16"/>
              </w:rPr>
            </w:pPr>
            <w:r>
              <w:rPr>
                <w:rFonts w:ascii="Carlito" w:hAnsi="Carlito"/>
                <w:sz w:val="16"/>
              </w:rPr>
              <w:t>Tres Ríos</w:t>
            </w:r>
          </w:p>
        </w:tc>
        <w:tc>
          <w:tcPr>
            <w:tcW w:w="656" w:type="dxa"/>
          </w:tcPr>
          <w:p>
            <w:pPr>
              <w:pStyle w:val="TableParagraph"/>
              <w:ind w:right="130"/>
              <w:rPr>
                <w:rFonts w:ascii="Carlito"/>
                <w:sz w:val="16"/>
              </w:rPr>
            </w:pPr>
            <w:r>
              <w:rPr>
                <w:rFonts w:ascii="Carlito"/>
                <w:sz w:val="16"/>
              </w:rPr>
              <w:t>1</w:t>
            </w:r>
          </w:p>
        </w:tc>
        <w:tc>
          <w:tcPr>
            <w:tcW w:w="1360" w:type="dxa"/>
          </w:tcPr>
          <w:p>
            <w:pPr>
              <w:pStyle w:val="TableParagraph"/>
              <w:ind w:right="418"/>
              <w:rPr>
                <w:rFonts w:ascii="Carlito"/>
                <w:sz w:val="16"/>
              </w:rPr>
            </w:pPr>
            <w:r>
              <w:rPr>
                <w:rFonts w:ascii="Carlito"/>
                <w:sz w:val="16"/>
              </w:rPr>
              <w:t>$250,000.00</w:t>
            </w:r>
          </w:p>
        </w:tc>
        <w:tc>
          <w:tcPr>
            <w:tcW w:w="998" w:type="dxa"/>
          </w:tcPr>
          <w:p>
            <w:pPr>
              <w:pStyle w:val="TableParagraph"/>
              <w:ind w:right="341"/>
              <w:rPr>
                <w:rFonts w:ascii="Carlito"/>
                <w:sz w:val="16"/>
              </w:rPr>
            </w:pPr>
            <w:r>
              <w:rPr>
                <w:rFonts w:ascii="Carlito"/>
                <w:sz w:val="16"/>
              </w:rPr>
              <w:t>215</w:t>
            </w:r>
          </w:p>
        </w:tc>
        <w:tc>
          <w:tcPr>
            <w:tcW w:w="1126" w:type="dxa"/>
          </w:tcPr>
          <w:p>
            <w:pPr>
              <w:pStyle w:val="TableParagraph"/>
              <w:ind w:left="318" w:right="440"/>
              <w:jc w:val="center"/>
              <w:rPr>
                <w:rFonts w:ascii="Carlito"/>
                <w:sz w:val="16"/>
              </w:rPr>
            </w:pPr>
            <w:r>
              <w:rPr>
                <w:rFonts w:ascii="Carlito"/>
                <w:sz w:val="16"/>
              </w:rPr>
              <w:t>2009</w:t>
            </w:r>
          </w:p>
        </w:tc>
        <w:tc>
          <w:tcPr>
            <w:tcW w:w="782" w:type="dxa"/>
          </w:tcPr>
          <w:p>
            <w:pPr>
              <w:pStyle w:val="TableParagraph"/>
              <w:ind w:right="235"/>
              <w:rPr>
                <w:rFonts w:ascii="Carlito"/>
                <w:sz w:val="16"/>
              </w:rPr>
            </w:pPr>
            <w:r>
              <w:rPr>
                <w:rFonts w:ascii="Carlito"/>
                <w:sz w:val="16"/>
              </w:rPr>
              <w:t>3</w:t>
            </w:r>
          </w:p>
        </w:tc>
        <w:tc>
          <w:tcPr>
            <w:tcW w:w="744" w:type="dxa"/>
          </w:tcPr>
          <w:p>
            <w:pPr>
              <w:pStyle w:val="TableParagraph"/>
              <w:ind w:right="303"/>
              <w:rPr>
                <w:rFonts w:ascii="Carlito"/>
                <w:sz w:val="16"/>
              </w:rPr>
            </w:pPr>
            <w:r>
              <w:rPr>
                <w:rFonts w:ascii="Carlito"/>
                <w:sz w:val="16"/>
              </w:rPr>
              <w:t>2.5</w:t>
            </w:r>
          </w:p>
        </w:tc>
        <w:tc>
          <w:tcPr>
            <w:tcW w:w="815" w:type="dxa"/>
          </w:tcPr>
          <w:p>
            <w:pPr>
              <w:pStyle w:val="TableParagraph"/>
              <w:ind w:left="302"/>
              <w:jc w:val="left"/>
              <w:rPr>
                <w:rFonts w:ascii="Carlito"/>
                <w:sz w:val="16"/>
              </w:rPr>
            </w:pPr>
            <w:r>
              <w:rPr>
                <w:rFonts w:ascii="Carlito"/>
                <w:sz w:val="16"/>
              </w:rPr>
              <w:t>2</w:t>
            </w:r>
          </w:p>
        </w:tc>
        <w:tc>
          <w:tcPr>
            <w:tcW w:w="1289" w:type="dxa"/>
          </w:tcPr>
          <w:p>
            <w:pPr>
              <w:pStyle w:val="TableParagraph"/>
              <w:ind w:right="570"/>
              <w:rPr>
                <w:rFonts w:ascii="Carlito"/>
                <w:sz w:val="16"/>
              </w:rPr>
            </w:pPr>
            <w:r>
              <w:rPr>
                <w:rFonts w:ascii="Carlito"/>
                <w:sz w:val="16"/>
              </w:rPr>
              <w:t>12.6</w:t>
            </w:r>
          </w:p>
        </w:tc>
        <w:tc>
          <w:tcPr>
            <w:tcW w:w="1139" w:type="dxa"/>
          </w:tcPr>
          <w:p>
            <w:pPr>
              <w:pStyle w:val="TableParagraph"/>
              <w:ind w:right="357"/>
              <w:rPr>
                <w:rFonts w:ascii="Carlito"/>
                <w:sz w:val="16"/>
              </w:rPr>
            </w:pPr>
            <w:r>
              <w:rPr>
                <w:rFonts w:ascii="Carlito"/>
                <w:sz w:val="16"/>
              </w:rPr>
              <w:t>3</w:t>
            </w:r>
          </w:p>
        </w:tc>
        <w:tc>
          <w:tcPr>
            <w:tcW w:w="825" w:type="dxa"/>
          </w:tcPr>
          <w:p>
            <w:pPr>
              <w:pStyle w:val="TableParagraph"/>
              <w:ind w:right="374"/>
              <w:rPr>
                <w:rFonts w:ascii="Carlito"/>
                <w:sz w:val="16"/>
              </w:rPr>
            </w:pPr>
            <w:r>
              <w:rPr>
                <w:rFonts w:ascii="Carlito"/>
                <w:sz w:val="16"/>
              </w:rPr>
              <w:t>0</w:t>
            </w:r>
          </w:p>
        </w:tc>
        <w:tc>
          <w:tcPr>
            <w:tcW w:w="529" w:type="dxa"/>
          </w:tcPr>
          <w:p>
            <w:pPr>
              <w:pStyle w:val="TableParagraph"/>
              <w:ind w:right="5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288</w:t>
            </w:r>
          </w:p>
        </w:tc>
        <w:tc>
          <w:tcPr>
            <w:tcW w:w="1938" w:type="dxa"/>
            <w:shd w:val="clear" w:color="auto" w:fill="D9D9D9"/>
          </w:tcPr>
          <w:p>
            <w:pPr>
              <w:pStyle w:val="TableParagraph"/>
              <w:ind w:left="143"/>
              <w:jc w:val="left"/>
              <w:rPr>
                <w:rFonts w:ascii="Carlito"/>
                <w:sz w:val="16"/>
              </w:rPr>
            </w:pPr>
            <w:r>
              <w:rPr>
                <w:rFonts w:ascii="Carlito"/>
                <w:sz w:val="16"/>
              </w:rPr>
              <w:t>Residencial Omega</w:t>
            </w:r>
          </w:p>
        </w:tc>
        <w:tc>
          <w:tcPr>
            <w:tcW w:w="656" w:type="dxa"/>
            <w:shd w:val="clear" w:color="auto" w:fill="D9D9D9"/>
          </w:tcPr>
          <w:p>
            <w:pPr>
              <w:pStyle w:val="TableParagraph"/>
              <w:ind w:right="130"/>
              <w:rPr>
                <w:rFonts w:ascii="Carlito"/>
                <w:sz w:val="16"/>
              </w:rPr>
            </w:pPr>
            <w:r>
              <w:rPr>
                <w:rFonts w:ascii="Carlito"/>
                <w:sz w:val="16"/>
              </w:rPr>
              <w:t>0</w:t>
            </w:r>
          </w:p>
        </w:tc>
        <w:tc>
          <w:tcPr>
            <w:tcW w:w="1360" w:type="dxa"/>
            <w:shd w:val="clear" w:color="auto" w:fill="D9D9D9"/>
          </w:tcPr>
          <w:p>
            <w:pPr>
              <w:pStyle w:val="TableParagraph"/>
              <w:ind w:right="418"/>
              <w:rPr>
                <w:rFonts w:ascii="Carlito"/>
                <w:sz w:val="16"/>
              </w:rPr>
            </w:pPr>
            <w:r>
              <w:rPr>
                <w:rFonts w:ascii="Carlito"/>
                <w:sz w:val="16"/>
              </w:rPr>
              <w:t>$78,000.00</w:t>
            </w:r>
          </w:p>
        </w:tc>
        <w:tc>
          <w:tcPr>
            <w:tcW w:w="998" w:type="dxa"/>
            <w:shd w:val="clear" w:color="auto" w:fill="D9D9D9"/>
          </w:tcPr>
          <w:p>
            <w:pPr>
              <w:pStyle w:val="TableParagraph"/>
              <w:ind w:right="341"/>
              <w:rPr>
                <w:rFonts w:ascii="Carlito"/>
                <w:sz w:val="16"/>
              </w:rPr>
            </w:pPr>
            <w:r>
              <w:rPr>
                <w:rFonts w:ascii="Carlito"/>
                <w:sz w:val="16"/>
              </w:rPr>
              <w:t>85</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2</w:t>
            </w:r>
          </w:p>
        </w:tc>
        <w:tc>
          <w:tcPr>
            <w:tcW w:w="744" w:type="dxa"/>
            <w:shd w:val="clear" w:color="auto" w:fill="D9D9D9"/>
          </w:tcPr>
          <w:p>
            <w:pPr>
              <w:pStyle w:val="TableParagraph"/>
              <w:ind w:right="298"/>
              <w:rPr>
                <w:rFonts w:ascii="Carlito"/>
                <w:sz w:val="16"/>
              </w:rPr>
            </w:pPr>
            <w:r>
              <w:rPr>
                <w:rFonts w:ascii="Carlito"/>
                <w:sz w:val="16"/>
              </w:rPr>
              <w:t>2</w:t>
            </w:r>
          </w:p>
        </w:tc>
        <w:tc>
          <w:tcPr>
            <w:tcW w:w="815" w:type="dxa"/>
            <w:shd w:val="clear" w:color="auto" w:fill="D9D9D9"/>
          </w:tcPr>
          <w:p>
            <w:pPr>
              <w:pStyle w:val="TableParagraph"/>
              <w:ind w:left="302"/>
              <w:jc w:val="left"/>
              <w:rPr>
                <w:rFonts w:ascii="Carlito"/>
                <w:sz w:val="16"/>
              </w:rPr>
            </w:pPr>
            <w:r>
              <w:rPr>
                <w:rFonts w:ascii="Carlito"/>
                <w:sz w:val="16"/>
              </w:rPr>
              <w:t>1</w:t>
            </w:r>
          </w:p>
        </w:tc>
        <w:tc>
          <w:tcPr>
            <w:tcW w:w="1289" w:type="dxa"/>
            <w:shd w:val="clear" w:color="auto" w:fill="D9D9D9"/>
          </w:tcPr>
          <w:p>
            <w:pPr>
              <w:pStyle w:val="TableParagraph"/>
              <w:ind w:right="571"/>
              <w:rPr>
                <w:rFonts w:ascii="Carlito"/>
                <w:sz w:val="16"/>
              </w:rPr>
            </w:pPr>
            <w:r>
              <w:rPr>
                <w:rFonts w:ascii="Carlito"/>
                <w:sz w:val="16"/>
              </w:rPr>
              <w:t>11</w:t>
            </w:r>
          </w:p>
        </w:tc>
        <w:tc>
          <w:tcPr>
            <w:tcW w:w="1139" w:type="dxa"/>
            <w:shd w:val="clear" w:color="auto" w:fill="D9D9D9"/>
          </w:tcPr>
          <w:p>
            <w:pPr>
              <w:pStyle w:val="TableParagraph"/>
              <w:ind w:right="357"/>
              <w:rPr>
                <w:rFonts w:ascii="Carlito"/>
                <w:sz w:val="16"/>
              </w:rPr>
            </w:pPr>
            <w:r>
              <w:rPr>
                <w:rFonts w:ascii="Carlito"/>
                <w:sz w:val="16"/>
              </w:rPr>
              <w:t>2</w:t>
            </w:r>
          </w:p>
        </w:tc>
        <w:tc>
          <w:tcPr>
            <w:tcW w:w="825" w:type="dxa"/>
            <w:shd w:val="clear" w:color="auto" w:fill="D9D9D9"/>
          </w:tcPr>
          <w:p>
            <w:pPr>
              <w:pStyle w:val="TableParagraph"/>
              <w:ind w:right="374"/>
              <w:rPr>
                <w:rFonts w:ascii="Carlito"/>
                <w:sz w:val="16"/>
              </w:rPr>
            </w:pPr>
            <w:r>
              <w:rPr>
                <w:rFonts w:ascii="Carlito"/>
                <w:sz w:val="16"/>
              </w:rPr>
              <w:t>0</w:t>
            </w:r>
          </w:p>
        </w:tc>
        <w:tc>
          <w:tcPr>
            <w:tcW w:w="529"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289</w:t>
            </w:r>
          </w:p>
        </w:tc>
        <w:tc>
          <w:tcPr>
            <w:tcW w:w="1938" w:type="dxa"/>
          </w:tcPr>
          <w:p>
            <w:pPr>
              <w:pStyle w:val="TableParagraph"/>
              <w:ind w:left="143"/>
              <w:jc w:val="left"/>
              <w:rPr>
                <w:rFonts w:ascii="Carlito"/>
                <w:sz w:val="16"/>
              </w:rPr>
            </w:pPr>
            <w:r>
              <w:rPr>
                <w:rFonts w:ascii="Carlito"/>
                <w:sz w:val="16"/>
              </w:rPr>
              <w:t>Residencial Omega</w:t>
            </w:r>
          </w:p>
        </w:tc>
        <w:tc>
          <w:tcPr>
            <w:tcW w:w="656" w:type="dxa"/>
          </w:tcPr>
          <w:p>
            <w:pPr>
              <w:pStyle w:val="TableParagraph"/>
              <w:ind w:right="130"/>
              <w:rPr>
                <w:rFonts w:ascii="Carlito"/>
                <w:sz w:val="16"/>
              </w:rPr>
            </w:pPr>
            <w:r>
              <w:rPr>
                <w:rFonts w:ascii="Carlito"/>
                <w:sz w:val="16"/>
              </w:rPr>
              <w:t>0</w:t>
            </w:r>
          </w:p>
        </w:tc>
        <w:tc>
          <w:tcPr>
            <w:tcW w:w="1360" w:type="dxa"/>
          </w:tcPr>
          <w:p>
            <w:pPr>
              <w:pStyle w:val="TableParagraph"/>
              <w:ind w:right="418"/>
              <w:rPr>
                <w:rFonts w:ascii="Carlito"/>
                <w:sz w:val="16"/>
              </w:rPr>
            </w:pPr>
            <w:r>
              <w:rPr>
                <w:rFonts w:ascii="Carlito"/>
                <w:sz w:val="16"/>
              </w:rPr>
              <w:t>$118,000.00</w:t>
            </w:r>
          </w:p>
        </w:tc>
        <w:tc>
          <w:tcPr>
            <w:tcW w:w="998" w:type="dxa"/>
          </w:tcPr>
          <w:p>
            <w:pPr>
              <w:pStyle w:val="TableParagraph"/>
              <w:ind w:right="341"/>
              <w:rPr>
                <w:rFonts w:ascii="Carlito"/>
                <w:sz w:val="16"/>
              </w:rPr>
            </w:pPr>
            <w:r>
              <w:rPr>
                <w:rFonts w:ascii="Carlito"/>
                <w:sz w:val="16"/>
              </w:rPr>
              <w:t>130</w:t>
            </w:r>
          </w:p>
        </w:tc>
        <w:tc>
          <w:tcPr>
            <w:tcW w:w="1126" w:type="dxa"/>
          </w:tcPr>
          <w:p>
            <w:pPr>
              <w:pStyle w:val="TableParagraph"/>
              <w:ind w:left="318" w:right="440"/>
              <w:jc w:val="center"/>
              <w:rPr>
                <w:rFonts w:ascii="Carlito"/>
                <w:sz w:val="16"/>
              </w:rPr>
            </w:pPr>
            <w:r>
              <w:rPr>
                <w:rFonts w:ascii="Carlito"/>
                <w:sz w:val="16"/>
              </w:rPr>
              <w:t>2016</w:t>
            </w:r>
          </w:p>
        </w:tc>
        <w:tc>
          <w:tcPr>
            <w:tcW w:w="782" w:type="dxa"/>
          </w:tcPr>
          <w:p>
            <w:pPr>
              <w:pStyle w:val="TableParagraph"/>
              <w:ind w:right="235"/>
              <w:rPr>
                <w:rFonts w:ascii="Carlito"/>
                <w:sz w:val="16"/>
              </w:rPr>
            </w:pPr>
            <w:r>
              <w:rPr>
                <w:rFonts w:ascii="Carlito"/>
                <w:sz w:val="16"/>
              </w:rPr>
              <w:t>3</w:t>
            </w:r>
          </w:p>
        </w:tc>
        <w:tc>
          <w:tcPr>
            <w:tcW w:w="744" w:type="dxa"/>
          </w:tcPr>
          <w:p>
            <w:pPr>
              <w:pStyle w:val="TableParagraph"/>
              <w:ind w:right="298"/>
              <w:rPr>
                <w:rFonts w:ascii="Carlito"/>
                <w:sz w:val="16"/>
              </w:rPr>
            </w:pPr>
            <w:r>
              <w:rPr>
                <w:rFonts w:ascii="Carlito"/>
                <w:sz w:val="16"/>
              </w:rPr>
              <w:t>2</w:t>
            </w:r>
          </w:p>
        </w:tc>
        <w:tc>
          <w:tcPr>
            <w:tcW w:w="815" w:type="dxa"/>
          </w:tcPr>
          <w:p>
            <w:pPr>
              <w:pStyle w:val="TableParagraph"/>
              <w:ind w:left="302"/>
              <w:jc w:val="left"/>
              <w:rPr>
                <w:rFonts w:ascii="Carlito"/>
                <w:sz w:val="16"/>
              </w:rPr>
            </w:pPr>
            <w:r>
              <w:rPr>
                <w:rFonts w:ascii="Carlito"/>
                <w:sz w:val="16"/>
              </w:rPr>
              <w:t>1</w:t>
            </w:r>
          </w:p>
        </w:tc>
        <w:tc>
          <w:tcPr>
            <w:tcW w:w="1289" w:type="dxa"/>
          </w:tcPr>
          <w:p>
            <w:pPr>
              <w:pStyle w:val="TableParagraph"/>
              <w:ind w:right="571"/>
              <w:rPr>
                <w:rFonts w:ascii="Carlito"/>
                <w:sz w:val="16"/>
              </w:rPr>
            </w:pPr>
            <w:r>
              <w:rPr>
                <w:rFonts w:ascii="Carlito"/>
                <w:sz w:val="16"/>
              </w:rPr>
              <w:t>11</w:t>
            </w:r>
          </w:p>
        </w:tc>
        <w:tc>
          <w:tcPr>
            <w:tcW w:w="1139" w:type="dxa"/>
          </w:tcPr>
          <w:p>
            <w:pPr>
              <w:pStyle w:val="TableParagraph"/>
              <w:ind w:right="357"/>
              <w:rPr>
                <w:rFonts w:ascii="Carlito"/>
                <w:sz w:val="16"/>
              </w:rPr>
            </w:pPr>
            <w:r>
              <w:rPr>
                <w:rFonts w:ascii="Carlito"/>
                <w:sz w:val="16"/>
              </w:rPr>
              <w:t>2</w:t>
            </w:r>
          </w:p>
        </w:tc>
        <w:tc>
          <w:tcPr>
            <w:tcW w:w="825" w:type="dxa"/>
          </w:tcPr>
          <w:p>
            <w:pPr>
              <w:pStyle w:val="TableParagraph"/>
              <w:ind w:right="374"/>
              <w:rPr>
                <w:rFonts w:ascii="Carlito"/>
                <w:sz w:val="16"/>
              </w:rPr>
            </w:pPr>
            <w:r>
              <w:rPr>
                <w:rFonts w:ascii="Carlito"/>
                <w:sz w:val="16"/>
              </w:rPr>
              <w:t>0</w:t>
            </w:r>
          </w:p>
        </w:tc>
        <w:tc>
          <w:tcPr>
            <w:tcW w:w="529" w:type="dxa"/>
          </w:tcPr>
          <w:p>
            <w:pPr>
              <w:pStyle w:val="TableParagraph"/>
              <w:ind w:right="59"/>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290</w:t>
            </w:r>
          </w:p>
        </w:tc>
        <w:tc>
          <w:tcPr>
            <w:tcW w:w="1938" w:type="dxa"/>
            <w:shd w:val="clear" w:color="auto" w:fill="D9D9D9"/>
          </w:tcPr>
          <w:p>
            <w:pPr>
              <w:pStyle w:val="TableParagraph"/>
              <w:ind w:left="143"/>
              <w:jc w:val="left"/>
              <w:rPr>
                <w:rFonts w:ascii="Carlito"/>
                <w:sz w:val="16"/>
              </w:rPr>
            </w:pPr>
            <w:r>
              <w:rPr>
                <w:rFonts w:ascii="Carlito"/>
                <w:sz w:val="16"/>
              </w:rPr>
              <w:t>Pinares</w:t>
            </w:r>
          </w:p>
        </w:tc>
        <w:tc>
          <w:tcPr>
            <w:tcW w:w="656" w:type="dxa"/>
            <w:shd w:val="clear" w:color="auto" w:fill="D9D9D9"/>
          </w:tcPr>
          <w:p>
            <w:pPr>
              <w:pStyle w:val="TableParagraph"/>
              <w:ind w:right="130"/>
              <w:rPr>
                <w:rFonts w:ascii="Carlito"/>
                <w:sz w:val="16"/>
              </w:rPr>
            </w:pPr>
            <w:r>
              <w:rPr>
                <w:rFonts w:ascii="Carlito"/>
                <w:sz w:val="16"/>
              </w:rPr>
              <w:t>1</w:t>
            </w:r>
          </w:p>
        </w:tc>
        <w:tc>
          <w:tcPr>
            <w:tcW w:w="1360" w:type="dxa"/>
            <w:shd w:val="clear" w:color="auto" w:fill="D9D9D9"/>
          </w:tcPr>
          <w:p>
            <w:pPr>
              <w:pStyle w:val="TableParagraph"/>
              <w:ind w:right="418"/>
              <w:rPr>
                <w:rFonts w:ascii="Carlito"/>
                <w:sz w:val="16"/>
              </w:rPr>
            </w:pPr>
            <w:r>
              <w:rPr>
                <w:rFonts w:ascii="Carlito"/>
                <w:sz w:val="16"/>
              </w:rPr>
              <w:t>$250,000.00</w:t>
            </w:r>
          </w:p>
        </w:tc>
        <w:tc>
          <w:tcPr>
            <w:tcW w:w="998" w:type="dxa"/>
            <w:shd w:val="clear" w:color="auto" w:fill="D9D9D9"/>
          </w:tcPr>
          <w:p>
            <w:pPr>
              <w:pStyle w:val="TableParagraph"/>
              <w:ind w:right="341"/>
              <w:rPr>
                <w:rFonts w:ascii="Carlito"/>
                <w:sz w:val="16"/>
              </w:rPr>
            </w:pPr>
            <w:r>
              <w:rPr>
                <w:rFonts w:ascii="Carlito"/>
                <w:sz w:val="16"/>
              </w:rPr>
              <w:t>300</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3</w:t>
            </w:r>
          </w:p>
        </w:tc>
        <w:tc>
          <w:tcPr>
            <w:tcW w:w="744" w:type="dxa"/>
            <w:shd w:val="clear" w:color="auto" w:fill="D9D9D9"/>
          </w:tcPr>
          <w:p>
            <w:pPr>
              <w:pStyle w:val="TableParagraph"/>
              <w:ind w:right="298"/>
              <w:rPr>
                <w:rFonts w:ascii="Carlito"/>
                <w:sz w:val="16"/>
              </w:rPr>
            </w:pPr>
            <w:r>
              <w:rPr>
                <w:rFonts w:ascii="Carlito"/>
                <w:sz w:val="16"/>
              </w:rPr>
              <w:t>3</w:t>
            </w:r>
          </w:p>
        </w:tc>
        <w:tc>
          <w:tcPr>
            <w:tcW w:w="815" w:type="dxa"/>
            <w:shd w:val="clear" w:color="auto" w:fill="D9D9D9"/>
          </w:tcPr>
          <w:p>
            <w:pPr>
              <w:pStyle w:val="TableParagraph"/>
              <w:ind w:left="302"/>
              <w:jc w:val="left"/>
              <w:rPr>
                <w:rFonts w:ascii="Carlito"/>
                <w:sz w:val="16"/>
              </w:rPr>
            </w:pPr>
            <w:r>
              <w:rPr>
                <w:rFonts w:ascii="Carlito"/>
                <w:sz w:val="16"/>
              </w:rPr>
              <w:t>2</w:t>
            </w:r>
          </w:p>
        </w:tc>
        <w:tc>
          <w:tcPr>
            <w:tcW w:w="1289" w:type="dxa"/>
            <w:shd w:val="clear" w:color="auto" w:fill="D9D9D9"/>
          </w:tcPr>
          <w:p>
            <w:pPr>
              <w:pStyle w:val="TableParagraph"/>
              <w:ind w:right="570"/>
              <w:rPr>
                <w:rFonts w:ascii="Carlito"/>
                <w:sz w:val="16"/>
              </w:rPr>
            </w:pPr>
            <w:r>
              <w:rPr>
                <w:rFonts w:ascii="Carlito"/>
                <w:sz w:val="16"/>
              </w:rPr>
              <w:t>7.4</w:t>
            </w:r>
          </w:p>
        </w:tc>
        <w:tc>
          <w:tcPr>
            <w:tcW w:w="1139" w:type="dxa"/>
            <w:shd w:val="clear" w:color="auto" w:fill="D9D9D9"/>
          </w:tcPr>
          <w:p>
            <w:pPr>
              <w:pStyle w:val="TableParagraph"/>
              <w:ind w:right="361"/>
              <w:rPr>
                <w:rFonts w:ascii="Carlito"/>
                <w:sz w:val="16"/>
              </w:rPr>
            </w:pPr>
            <w:r>
              <w:rPr>
                <w:rFonts w:ascii="Carlito"/>
                <w:sz w:val="16"/>
              </w:rPr>
              <w:t>3.6</w:t>
            </w:r>
          </w:p>
        </w:tc>
        <w:tc>
          <w:tcPr>
            <w:tcW w:w="825" w:type="dxa"/>
            <w:shd w:val="clear" w:color="auto" w:fill="D9D9D9"/>
          </w:tcPr>
          <w:p>
            <w:pPr>
              <w:pStyle w:val="TableParagraph"/>
              <w:ind w:right="374"/>
              <w:rPr>
                <w:rFonts w:ascii="Carlito"/>
                <w:sz w:val="16"/>
              </w:rPr>
            </w:pPr>
            <w:r>
              <w:rPr>
                <w:rFonts w:ascii="Carlito"/>
                <w:sz w:val="16"/>
              </w:rPr>
              <w:t>0</w:t>
            </w:r>
          </w:p>
        </w:tc>
        <w:tc>
          <w:tcPr>
            <w:tcW w:w="529"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291</w:t>
            </w:r>
          </w:p>
        </w:tc>
        <w:tc>
          <w:tcPr>
            <w:tcW w:w="1938" w:type="dxa"/>
          </w:tcPr>
          <w:p>
            <w:pPr>
              <w:pStyle w:val="TableParagraph"/>
              <w:spacing w:before="92"/>
              <w:ind w:left="143"/>
              <w:jc w:val="left"/>
              <w:rPr>
                <w:rFonts w:ascii="Carlito"/>
                <w:sz w:val="16"/>
              </w:rPr>
            </w:pPr>
            <w:r>
              <w:rPr>
                <w:rFonts w:ascii="Carlito"/>
                <w:sz w:val="16"/>
              </w:rPr>
              <w:t>Lomas del Sol</w:t>
            </w:r>
          </w:p>
        </w:tc>
        <w:tc>
          <w:tcPr>
            <w:tcW w:w="656" w:type="dxa"/>
          </w:tcPr>
          <w:p>
            <w:pPr>
              <w:pStyle w:val="TableParagraph"/>
              <w:spacing w:before="92"/>
              <w:ind w:right="130"/>
              <w:rPr>
                <w:rFonts w:ascii="Carlito"/>
                <w:sz w:val="16"/>
              </w:rPr>
            </w:pPr>
            <w:r>
              <w:rPr>
                <w:rFonts w:ascii="Carlito"/>
                <w:sz w:val="16"/>
              </w:rPr>
              <w:t>1</w:t>
            </w:r>
          </w:p>
        </w:tc>
        <w:tc>
          <w:tcPr>
            <w:tcW w:w="1360" w:type="dxa"/>
          </w:tcPr>
          <w:p>
            <w:pPr>
              <w:pStyle w:val="TableParagraph"/>
              <w:spacing w:before="92"/>
              <w:ind w:right="418"/>
              <w:rPr>
                <w:rFonts w:ascii="Carlito"/>
                <w:sz w:val="16"/>
              </w:rPr>
            </w:pPr>
            <w:r>
              <w:rPr>
                <w:rFonts w:ascii="Carlito"/>
                <w:sz w:val="16"/>
              </w:rPr>
              <w:t>$107,272.73</w:t>
            </w:r>
          </w:p>
        </w:tc>
        <w:tc>
          <w:tcPr>
            <w:tcW w:w="998" w:type="dxa"/>
          </w:tcPr>
          <w:p>
            <w:pPr>
              <w:pStyle w:val="TableParagraph"/>
              <w:spacing w:before="92"/>
              <w:ind w:right="341"/>
              <w:rPr>
                <w:rFonts w:ascii="Carlito"/>
                <w:sz w:val="16"/>
              </w:rPr>
            </w:pPr>
            <w:r>
              <w:rPr>
                <w:rFonts w:ascii="Carlito"/>
                <w:sz w:val="16"/>
              </w:rPr>
              <w:t>104</w:t>
            </w:r>
          </w:p>
        </w:tc>
        <w:tc>
          <w:tcPr>
            <w:tcW w:w="1126" w:type="dxa"/>
          </w:tcPr>
          <w:p>
            <w:pPr>
              <w:pStyle w:val="TableParagraph"/>
              <w:spacing w:before="92"/>
              <w:ind w:left="318" w:right="440"/>
              <w:jc w:val="center"/>
              <w:rPr>
                <w:rFonts w:ascii="Carlito"/>
                <w:sz w:val="16"/>
              </w:rPr>
            </w:pPr>
            <w:r>
              <w:rPr>
                <w:rFonts w:ascii="Carlito"/>
                <w:sz w:val="16"/>
              </w:rPr>
              <w:t>2006</w:t>
            </w:r>
          </w:p>
        </w:tc>
        <w:tc>
          <w:tcPr>
            <w:tcW w:w="782" w:type="dxa"/>
          </w:tcPr>
          <w:p>
            <w:pPr>
              <w:pStyle w:val="TableParagraph"/>
              <w:spacing w:before="92"/>
              <w:ind w:right="235"/>
              <w:rPr>
                <w:rFonts w:ascii="Carlito"/>
                <w:sz w:val="16"/>
              </w:rPr>
            </w:pPr>
            <w:r>
              <w:rPr>
                <w:rFonts w:ascii="Carlito"/>
                <w:sz w:val="16"/>
              </w:rPr>
              <w:t>3</w:t>
            </w:r>
          </w:p>
        </w:tc>
        <w:tc>
          <w:tcPr>
            <w:tcW w:w="744" w:type="dxa"/>
          </w:tcPr>
          <w:p>
            <w:pPr>
              <w:pStyle w:val="TableParagraph"/>
              <w:spacing w:before="92"/>
              <w:ind w:right="303"/>
              <w:rPr>
                <w:rFonts w:ascii="Carlito"/>
                <w:sz w:val="16"/>
              </w:rPr>
            </w:pPr>
            <w:r>
              <w:rPr>
                <w:rFonts w:ascii="Carlito"/>
                <w:sz w:val="16"/>
              </w:rPr>
              <w:t>2.5</w:t>
            </w:r>
          </w:p>
        </w:tc>
        <w:tc>
          <w:tcPr>
            <w:tcW w:w="815" w:type="dxa"/>
          </w:tcPr>
          <w:p>
            <w:pPr>
              <w:pStyle w:val="TableParagraph"/>
              <w:spacing w:before="92"/>
              <w:ind w:left="302"/>
              <w:jc w:val="left"/>
              <w:rPr>
                <w:rFonts w:ascii="Carlito"/>
                <w:sz w:val="16"/>
              </w:rPr>
            </w:pPr>
            <w:r>
              <w:rPr>
                <w:rFonts w:ascii="Carlito"/>
                <w:sz w:val="16"/>
              </w:rPr>
              <w:t>2</w:t>
            </w:r>
          </w:p>
        </w:tc>
        <w:tc>
          <w:tcPr>
            <w:tcW w:w="1289" w:type="dxa"/>
          </w:tcPr>
          <w:p>
            <w:pPr>
              <w:pStyle w:val="TableParagraph"/>
              <w:spacing w:before="92"/>
              <w:ind w:right="566"/>
              <w:rPr>
                <w:rFonts w:ascii="Carlito"/>
                <w:sz w:val="16"/>
              </w:rPr>
            </w:pPr>
            <w:r>
              <w:rPr>
                <w:rFonts w:ascii="Carlito"/>
                <w:sz w:val="16"/>
              </w:rPr>
              <w:t>7</w:t>
            </w:r>
          </w:p>
        </w:tc>
        <w:tc>
          <w:tcPr>
            <w:tcW w:w="1139" w:type="dxa"/>
          </w:tcPr>
          <w:p>
            <w:pPr>
              <w:pStyle w:val="TableParagraph"/>
              <w:spacing w:before="92"/>
              <w:ind w:right="361"/>
              <w:rPr>
                <w:rFonts w:ascii="Carlito"/>
                <w:sz w:val="16"/>
              </w:rPr>
            </w:pPr>
            <w:r>
              <w:rPr>
                <w:rFonts w:ascii="Carlito"/>
                <w:sz w:val="16"/>
              </w:rPr>
              <w:t>3.3</w:t>
            </w:r>
          </w:p>
        </w:tc>
        <w:tc>
          <w:tcPr>
            <w:tcW w:w="825" w:type="dxa"/>
          </w:tcPr>
          <w:p>
            <w:pPr>
              <w:pStyle w:val="TableParagraph"/>
              <w:spacing w:before="92"/>
              <w:ind w:right="374"/>
              <w:rPr>
                <w:rFonts w:ascii="Carlito"/>
                <w:sz w:val="16"/>
              </w:rPr>
            </w:pPr>
            <w:r>
              <w:rPr>
                <w:rFonts w:ascii="Carlito"/>
                <w:sz w:val="16"/>
              </w:rPr>
              <w:t>1</w:t>
            </w:r>
          </w:p>
        </w:tc>
        <w:tc>
          <w:tcPr>
            <w:tcW w:w="529" w:type="dxa"/>
          </w:tcPr>
          <w:p>
            <w:pPr>
              <w:pStyle w:val="TableParagraph"/>
              <w:spacing w:before="92"/>
              <w:ind w:right="5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292</w:t>
            </w:r>
          </w:p>
        </w:tc>
        <w:tc>
          <w:tcPr>
            <w:tcW w:w="1938" w:type="dxa"/>
            <w:shd w:val="clear" w:color="auto" w:fill="D9D9D9"/>
          </w:tcPr>
          <w:p>
            <w:pPr>
              <w:pStyle w:val="TableParagraph"/>
              <w:ind w:left="143"/>
              <w:jc w:val="left"/>
              <w:rPr>
                <w:rFonts w:ascii="Carlito"/>
                <w:sz w:val="16"/>
              </w:rPr>
            </w:pPr>
            <w:r>
              <w:rPr>
                <w:rFonts w:ascii="Carlito"/>
                <w:sz w:val="16"/>
              </w:rPr>
              <w:t>Lomas de Ayarco Sur</w:t>
            </w:r>
          </w:p>
        </w:tc>
        <w:tc>
          <w:tcPr>
            <w:tcW w:w="656" w:type="dxa"/>
            <w:shd w:val="clear" w:color="auto" w:fill="D9D9D9"/>
          </w:tcPr>
          <w:p>
            <w:pPr>
              <w:pStyle w:val="TableParagraph"/>
              <w:ind w:right="130"/>
              <w:rPr>
                <w:rFonts w:ascii="Carlito"/>
                <w:sz w:val="16"/>
              </w:rPr>
            </w:pPr>
            <w:r>
              <w:rPr>
                <w:rFonts w:ascii="Carlito"/>
                <w:sz w:val="16"/>
              </w:rPr>
              <w:t>1</w:t>
            </w:r>
          </w:p>
        </w:tc>
        <w:tc>
          <w:tcPr>
            <w:tcW w:w="1360" w:type="dxa"/>
            <w:shd w:val="clear" w:color="auto" w:fill="D9D9D9"/>
          </w:tcPr>
          <w:p>
            <w:pPr>
              <w:pStyle w:val="TableParagraph"/>
              <w:ind w:right="418"/>
              <w:rPr>
                <w:rFonts w:ascii="Carlito"/>
                <w:sz w:val="16"/>
              </w:rPr>
            </w:pPr>
            <w:r>
              <w:rPr>
                <w:rFonts w:ascii="Carlito"/>
                <w:sz w:val="16"/>
              </w:rPr>
              <w:t>$240,000.00</w:t>
            </w:r>
          </w:p>
        </w:tc>
        <w:tc>
          <w:tcPr>
            <w:tcW w:w="998" w:type="dxa"/>
            <w:shd w:val="clear" w:color="auto" w:fill="D9D9D9"/>
          </w:tcPr>
          <w:p>
            <w:pPr>
              <w:pStyle w:val="TableParagraph"/>
              <w:ind w:right="341"/>
              <w:rPr>
                <w:rFonts w:ascii="Carlito"/>
                <w:sz w:val="16"/>
              </w:rPr>
            </w:pPr>
            <w:r>
              <w:rPr>
                <w:rFonts w:ascii="Carlito"/>
                <w:sz w:val="16"/>
              </w:rPr>
              <w:t>300</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3</w:t>
            </w:r>
          </w:p>
        </w:tc>
        <w:tc>
          <w:tcPr>
            <w:tcW w:w="744" w:type="dxa"/>
            <w:shd w:val="clear" w:color="auto" w:fill="D9D9D9"/>
          </w:tcPr>
          <w:p>
            <w:pPr>
              <w:pStyle w:val="TableParagraph"/>
              <w:ind w:right="303"/>
              <w:rPr>
                <w:rFonts w:ascii="Carlito"/>
                <w:sz w:val="16"/>
              </w:rPr>
            </w:pPr>
            <w:r>
              <w:rPr>
                <w:rFonts w:ascii="Carlito"/>
                <w:sz w:val="16"/>
              </w:rPr>
              <w:t>3.5</w:t>
            </w:r>
          </w:p>
        </w:tc>
        <w:tc>
          <w:tcPr>
            <w:tcW w:w="815" w:type="dxa"/>
            <w:shd w:val="clear" w:color="auto" w:fill="D9D9D9"/>
          </w:tcPr>
          <w:p>
            <w:pPr>
              <w:pStyle w:val="TableParagraph"/>
              <w:ind w:left="302"/>
              <w:jc w:val="left"/>
              <w:rPr>
                <w:rFonts w:ascii="Carlito"/>
                <w:sz w:val="16"/>
              </w:rPr>
            </w:pPr>
            <w:r>
              <w:rPr>
                <w:rFonts w:ascii="Carlito"/>
                <w:sz w:val="16"/>
              </w:rPr>
              <w:t>2</w:t>
            </w:r>
          </w:p>
        </w:tc>
        <w:tc>
          <w:tcPr>
            <w:tcW w:w="1289" w:type="dxa"/>
            <w:shd w:val="clear" w:color="auto" w:fill="D9D9D9"/>
          </w:tcPr>
          <w:p>
            <w:pPr>
              <w:pStyle w:val="TableParagraph"/>
              <w:ind w:right="570"/>
              <w:rPr>
                <w:rFonts w:ascii="Carlito"/>
                <w:sz w:val="16"/>
              </w:rPr>
            </w:pPr>
            <w:r>
              <w:rPr>
                <w:rFonts w:ascii="Carlito"/>
                <w:sz w:val="16"/>
              </w:rPr>
              <w:t>8.8</w:t>
            </w:r>
          </w:p>
        </w:tc>
        <w:tc>
          <w:tcPr>
            <w:tcW w:w="1139" w:type="dxa"/>
            <w:shd w:val="clear" w:color="auto" w:fill="D9D9D9"/>
          </w:tcPr>
          <w:p>
            <w:pPr>
              <w:pStyle w:val="TableParagraph"/>
              <w:ind w:right="361"/>
              <w:rPr>
                <w:rFonts w:ascii="Carlito"/>
                <w:sz w:val="16"/>
              </w:rPr>
            </w:pPr>
            <w:r>
              <w:rPr>
                <w:rFonts w:ascii="Carlito"/>
                <w:sz w:val="16"/>
              </w:rPr>
              <w:t>2.8</w:t>
            </w:r>
          </w:p>
        </w:tc>
        <w:tc>
          <w:tcPr>
            <w:tcW w:w="825" w:type="dxa"/>
            <w:shd w:val="clear" w:color="auto" w:fill="D9D9D9"/>
          </w:tcPr>
          <w:p>
            <w:pPr>
              <w:pStyle w:val="TableParagraph"/>
              <w:ind w:right="374"/>
              <w:rPr>
                <w:rFonts w:ascii="Carlito"/>
                <w:sz w:val="16"/>
              </w:rPr>
            </w:pPr>
            <w:r>
              <w:rPr>
                <w:rFonts w:ascii="Carlito"/>
                <w:sz w:val="16"/>
              </w:rPr>
              <w:t>0</w:t>
            </w:r>
          </w:p>
        </w:tc>
        <w:tc>
          <w:tcPr>
            <w:tcW w:w="529"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293</w:t>
            </w:r>
          </w:p>
        </w:tc>
        <w:tc>
          <w:tcPr>
            <w:tcW w:w="1938" w:type="dxa"/>
          </w:tcPr>
          <w:p>
            <w:pPr>
              <w:pStyle w:val="TableParagraph"/>
              <w:spacing w:before="92"/>
              <w:ind w:left="143"/>
              <w:jc w:val="left"/>
              <w:rPr>
                <w:rFonts w:ascii="Carlito"/>
                <w:sz w:val="16"/>
              </w:rPr>
            </w:pPr>
            <w:r>
              <w:rPr>
                <w:rFonts w:ascii="Carlito"/>
                <w:sz w:val="16"/>
              </w:rPr>
              <w:t>Lomas de Ayarco Sur</w:t>
            </w:r>
          </w:p>
        </w:tc>
        <w:tc>
          <w:tcPr>
            <w:tcW w:w="656" w:type="dxa"/>
          </w:tcPr>
          <w:p>
            <w:pPr>
              <w:pStyle w:val="TableParagraph"/>
              <w:spacing w:before="92"/>
              <w:ind w:right="130"/>
              <w:rPr>
                <w:rFonts w:ascii="Carlito"/>
                <w:sz w:val="16"/>
              </w:rPr>
            </w:pPr>
            <w:r>
              <w:rPr>
                <w:rFonts w:ascii="Carlito"/>
                <w:sz w:val="16"/>
              </w:rPr>
              <w:t>0</w:t>
            </w:r>
          </w:p>
        </w:tc>
        <w:tc>
          <w:tcPr>
            <w:tcW w:w="1360" w:type="dxa"/>
          </w:tcPr>
          <w:p>
            <w:pPr>
              <w:pStyle w:val="TableParagraph"/>
              <w:spacing w:before="92"/>
              <w:ind w:right="418"/>
              <w:rPr>
                <w:rFonts w:ascii="Carlito"/>
                <w:sz w:val="16"/>
              </w:rPr>
            </w:pPr>
            <w:r>
              <w:rPr>
                <w:rFonts w:ascii="Carlito"/>
                <w:sz w:val="16"/>
              </w:rPr>
              <w:t>$190,000.00</w:t>
            </w:r>
          </w:p>
        </w:tc>
        <w:tc>
          <w:tcPr>
            <w:tcW w:w="998" w:type="dxa"/>
          </w:tcPr>
          <w:p>
            <w:pPr>
              <w:pStyle w:val="TableParagraph"/>
              <w:spacing w:before="92"/>
              <w:ind w:right="341"/>
              <w:rPr>
                <w:rFonts w:ascii="Carlito"/>
                <w:sz w:val="16"/>
              </w:rPr>
            </w:pPr>
            <w:r>
              <w:rPr>
                <w:rFonts w:ascii="Carlito"/>
                <w:sz w:val="16"/>
              </w:rPr>
              <w:t>185</w:t>
            </w:r>
          </w:p>
        </w:tc>
        <w:tc>
          <w:tcPr>
            <w:tcW w:w="1126" w:type="dxa"/>
          </w:tcPr>
          <w:p>
            <w:pPr>
              <w:pStyle w:val="TableParagraph"/>
              <w:spacing w:before="92"/>
              <w:ind w:left="318" w:right="440"/>
              <w:jc w:val="center"/>
              <w:rPr>
                <w:rFonts w:ascii="Carlito"/>
                <w:sz w:val="16"/>
              </w:rPr>
            </w:pPr>
            <w:r>
              <w:rPr>
                <w:rFonts w:ascii="Carlito"/>
                <w:sz w:val="16"/>
              </w:rPr>
              <w:t>2006</w:t>
            </w:r>
          </w:p>
        </w:tc>
        <w:tc>
          <w:tcPr>
            <w:tcW w:w="782" w:type="dxa"/>
          </w:tcPr>
          <w:p>
            <w:pPr>
              <w:pStyle w:val="TableParagraph"/>
              <w:spacing w:before="92"/>
              <w:ind w:right="235"/>
              <w:rPr>
                <w:rFonts w:ascii="Carlito"/>
                <w:sz w:val="16"/>
              </w:rPr>
            </w:pPr>
            <w:r>
              <w:rPr>
                <w:rFonts w:ascii="Carlito"/>
                <w:sz w:val="16"/>
              </w:rPr>
              <w:t>3</w:t>
            </w:r>
          </w:p>
        </w:tc>
        <w:tc>
          <w:tcPr>
            <w:tcW w:w="744" w:type="dxa"/>
          </w:tcPr>
          <w:p>
            <w:pPr>
              <w:pStyle w:val="TableParagraph"/>
              <w:spacing w:before="92"/>
              <w:ind w:right="303"/>
              <w:rPr>
                <w:rFonts w:ascii="Carlito"/>
                <w:sz w:val="16"/>
              </w:rPr>
            </w:pPr>
            <w:r>
              <w:rPr>
                <w:rFonts w:ascii="Carlito"/>
                <w:sz w:val="16"/>
              </w:rPr>
              <w:t>3.5</w:t>
            </w:r>
          </w:p>
        </w:tc>
        <w:tc>
          <w:tcPr>
            <w:tcW w:w="815" w:type="dxa"/>
          </w:tcPr>
          <w:p>
            <w:pPr>
              <w:pStyle w:val="TableParagraph"/>
              <w:spacing w:before="92"/>
              <w:ind w:left="302"/>
              <w:jc w:val="left"/>
              <w:rPr>
                <w:rFonts w:ascii="Carlito"/>
                <w:sz w:val="16"/>
              </w:rPr>
            </w:pPr>
            <w:r>
              <w:rPr>
                <w:rFonts w:ascii="Carlito"/>
                <w:sz w:val="16"/>
              </w:rPr>
              <w:t>2</w:t>
            </w:r>
          </w:p>
        </w:tc>
        <w:tc>
          <w:tcPr>
            <w:tcW w:w="1289" w:type="dxa"/>
          </w:tcPr>
          <w:p>
            <w:pPr>
              <w:pStyle w:val="TableParagraph"/>
              <w:spacing w:before="92"/>
              <w:ind w:right="570"/>
              <w:rPr>
                <w:rFonts w:ascii="Carlito"/>
                <w:sz w:val="16"/>
              </w:rPr>
            </w:pPr>
            <w:r>
              <w:rPr>
                <w:rFonts w:ascii="Carlito"/>
                <w:sz w:val="16"/>
              </w:rPr>
              <w:t>8.8</w:t>
            </w:r>
          </w:p>
        </w:tc>
        <w:tc>
          <w:tcPr>
            <w:tcW w:w="1139" w:type="dxa"/>
          </w:tcPr>
          <w:p>
            <w:pPr>
              <w:pStyle w:val="TableParagraph"/>
              <w:spacing w:before="92"/>
              <w:ind w:right="361"/>
              <w:rPr>
                <w:rFonts w:ascii="Carlito"/>
                <w:sz w:val="16"/>
              </w:rPr>
            </w:pPr>
            <w:r>
              <w:rPr>
                <w:rFonts w:ascii="Carlito"/>
                <w:sz w:val="16"/>
              </w:rPr>
              <w:t>2.8</w:t>
            </w:r>
          </w:p>
        </w:tc>
        <w:tc>
          <w:tcPr>
            <w:tcW w:w="825" w:type="dxa"/>
          </w:tcPr>
          <w:p>
            <w:pPr>
              <w:pStyle w:val="TableParagraph"/>
              <w:spacing w:before="92"/>
              <w:ind w:right="374"/>
              <w:rPr>
                <w:rFonts w:ascii="Carlito"/>
                <w:sz w:val="16"/>
              </w:rPr>
            </w:pPr>
            <w:r>
              <w:rPr>
                <w:rFonts w:ascii="Carlito"/>
                <w:sz w:val="16"/>
              </w:rPr>
              <w:t>0</w:t>
            </w:r>
          </w:p>
        </w:tc>
        <w:tc>
          <w:tcPr>
            <w:tcW w:w="529" w:type="dxa"/>
          </w:tcPr>
          <w:p>
            <w:pPr>
              <w:pStyle w:val="TableParagraph"/>
              <w:spacing w:before="92"/>
              <w:ind w:right="5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294</w:t>
            </w:r>
          </w:p>
        </w:tc>
        <w:tc>
          <w:tcPr>
            <w:tcW w:w="1938" w:type="dxa"/>
            <w:shd w:val="clear" w:color="auto" w:fill="D9D9D9"/>
          </w:tcPr>
          <w:p>
            <w:pPr>
              <w:pStyle w:val="TableParagraph"/>
              <w:ind w:left="143"/>
              <w:jc w:val="left"/>
              <w:rPr>
                <w:rFonts w:ascii="Carlito" w:hAnsi="Carlito"/>
                <w:sz w:val="16"/>
              </w:rPr>
            </w:pPr>
            <w:r>
              <w:rPr>
                <w:rFonts w:ascii="Carlito" w:hAnsi="Carlito"/>
                <w:sz w:val="16"/>
              </w:rPr>
              <w:t>Tres Ríos</w:t>
            </w:r>
          </w:p>
        </w:tc>
        <w:tc>
          <w:tcPr>
            <w:tcW w:w="656" w:type="dxa"/>
            <w:shd w:val="clear" w:color="auto" w:fill="D9D9D9"/>
          </w:tcPr>
          <w:p>
            <w:pPr>
              <w:pStyle w:val="TableParagraph"/>
              <w:ind w:right="130"/>
              <w:rPr>
                <w:rFonts w:ascii="Carlito"/>
                <w:sz w:val="16"/>
              </w:rPr>
            </w:pPr>
            <w:r>
              <w:rPr>
                <w:rFonts w:ascii="Carlito"/>
                <w:sz w:val="16"/>
              </w:rPr>
              <w:t>0</w:t>
            </w:r>
          </w:p>
        </w:tc>
        <w:tc>
          <w:tcPr>
            <w:tcW w:w="1360" w:type="dxa"/>
            <w:shd w:val="clear" w:color="auto" w:fill="D9D9D9"/>
          </w:tcPr>
          <w:p>
            <w:pPr>
              <w:pStyle w:val="TableParagraph"/>
              <w:ind w:right="418"/>
              <w:rPr>
                <w:rFonts w:ascii="Carlito"/>
                <w:sz w:val="16"/>
              </w:rPr>
            </w:pPr>
            <w:r>
              <w:rPr>
                <w:rFonts w:ascii="Carlito"/>
                <w:sz w:val="16"/>
              </w:rPr>
              <w:t>$285,000.00</w:t>
            </w:r>
          </w:p>
        </w:tc>
        <w:tc>
          <w:tcPr>
            <w:tcW w:w="998" w:type="dxa"/>
            <w:shd w:val="clear" w:color="auto" w:fill="D9D9D9"/>
          </w:tcPr>
          <w:p>
            <w:pPr>
              <w:pStyle w:val="TableParagraph"/>
              <w:ind w:right="341"/>
              <w:rPr>
                <w:rFonts w:ascii="Carlito"/>
                <w:sz w:val="16"/>
              </w:rPr>
            </w:pPr>
            <w:r>
              <w:rPr>
                <w:rFonts w:ascii="Carlito"/>
                <w:sz w:val="16"/>
              </w:rPr>
              <w:t>175</w:t>
            </w:r>
          </w:p>
        </w:tc>
        <w:tc>
          <w:tcPr>
            <w:tcW w:w="1126" w:type="dxa"/>
            <w:shd w:val="clear" w:color="auto" w:fill="D9D9D9"/>
          </w:tcPr>
          <w:p>
            <w:pPr>
              <w:pStyle w:val="TableParagraph"/>
              <w:ind w:left="318" w:right="440"/>
              <w:jc w:val="center"/>
              <w:rPr>
                <w:rFonts w:ascii="Carlito"/>
                <w:sz w:val="16"/>
              </w:rPr>
            </w:pPr>
            <w:r>
              <w:rPr>
                <w:rFonts w:ascii="Carlito"/>
                <w:sz w:val="16"/>
              </w:rPr>
              <w:t>2013</w:t>
            </w:r>
          </w:p>
        </w:tc>
        <w:tc>
          <w:tcPr>
            <w:tcW w:w="782" w:type="dxa"/>
            <w:shd w:val="clear" w:color="auto" w:fill="D9D9D9"/>
          </w:tcPr>
          <w:p>
            <w:pPr>
              <w:pStyle w:val="TableParagraph"/>
              <w:ind w:right="235"/>
              <w:rPr>
                <w:rFonts w:ascii="Carlito"/>
                <w:sz w:val="16"/>
              </w:rPr>
            </w:pPr>
            <w:r>
              <w:rPr>
                <w:rFonts w:ascii="Carlito"/>
                <w:sz w:val="16"/>
              </w:rPr>
              <w:t>3</w:t>
            </w:r>
          </w:p>
        </w:tc>
        <w:tc>
          <w:tcPr>
            <w:tcW w:w="744" w:type="dxa"/>
            <w:shd w:val="clear" w:color="auto" w:fill="D9D9D9"/>
          </w:tcPr>
          <w:p>
            <w:pPr>
              <w:pStyle w:val="TableParagraph"/>
              <w:ind w:right="303"/>
              <w:rPr>
                <w:rFonts w:ascii="Carlito"/>
                <w:sz w:val="16"/>
              </w:rPr>
            </w:pPr>
            <w:r>
              <w:rPr>
                <w:rFonts w:ascii="Carlito"/>
                <w:sz w:val="16"/>
              </w:rPr>
              <w:t>2.5</w:t>
            </w:r>
          </w:p>
        </w:tc>
        <w:tc>
          <w:tcPr>
            <w:tcW w:w="815" w:type="dxa"/>
            <w:shd w:val="clear" w:color="auto" w:fill="D9D9D9"/>
          </w:tcPr>
          <w:p>
            <w:pPr>
              <w:pStyle w:val="TableParagraph"/>
              <w:ind w:left="302"/>
              <w:jc w:val="left"/>
              <w:rPr>
                <w:rFonts w:ascii="Carlito"/>
                <w:sz w:val="16"/>
              </w:rPr>
            </w:pPr>
            <w:r>
              <w:rPr>
                <w:rFonts w:ascii="Carlito"/>
                <w:sz w:val="16"/>
              </w:rPr>
              <w:t>2</w:t>
            </w:r>
          </w:p>
        </w:tc>
        <w:tc>
          <w:tcPr>
            <w:tcW w:w="1289" w:type="dxa"/>
            <w:shd w:val="clear" w:color="auto" w:fill="D9D9D9"/>
          </w:tcPr>
          <w:p>
            <w:pPr>
              <w:pStyle w:val="TableParagraph"/>
              <w:ind w:right="570"/>
              <w:rPr>
                <w:rFonts w:ascii="Carlito"/>
                <w:sz w:val="16"/>
              </w:rPr>
            </w:pPr>
            <w:r>
              <w:rPr>
                <w:rFonts w:ascii="Carlito"/>
                <w:sz w:val="16"/>
              </w:rPr>
              <w:t>12.6</w:t>
            </w:r>
          </w:p>
        </w:tc>
        <w:tc>
          <w:tcPr>
            <w:tcW w:w="1139" w:type="dxa"/>
            <w:shd w:val="clear" w:color="auto" w:fill="D9D9D9"/>
          </w:tcPr>
          <w:p>
            <w:pPr>
              <w:pStyle w:val="TableParagraph"/>
              <w:ind w:right="357"/>
              <w:rPr>
                <w:rFonts w:ascii="Carlito"/>
                <w:sz w:val="16"/>
              </w:rPr>
            </w:pPr>
            <w:r>
              <w:rPr>
                <w:rFonts w:ascii="Carlito"/>
                <w:sz w:val="16"/>
              </w:rPr>
              <w:t>3</w:t>
            </w:r>
          </w:p>
        </w:tc>
        <w:tc>
          <w:tcPr>
            <w:tcW w:w="825" w:type="dxa"/>
            <w:shd w:val="clear" w:color="auto" w:fill="D9D9D9"/>
          </w:tcPr>
          <w:p>
            <w:pPr>
              <w:pStyle w:val="TableParagraph"/>
              <w:ind w:right="374"/>
              <w:rPr>
                <w:rFonts w:ascii="Carlito"/>
                <w:sz w:val="16"/>
              </w:rPr>
            </w:pPr>
            <w:r>
              <w:rPr>
                <w:rFonts w:ascii="Carlito"/>
                <w:sz w:val="16"/>
              </w:rPr>
              <w:t>0</w:t>
            </w:r>
          </w:p>
        </w:tc>
        <w:tc>
          <w:tcPr>
            <w:tcW w:w="529"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6" w:type="dxa"/>
          </w:tcPr>
          <w:p>
            <w:pPr>
              <w:pStyle w:val="TableParagraph"/>
              <w:spacing w:before="92"/>
              <w:ind w:right="143"/>
              <w:rPr>
                <w:rFonts w:ascii="Carlito"/>
                <w:sz w:val="16"/>
              </w:rPr>
            </w:pPr>
            <w:r>
              <w:rPr>
                <w:rFonts w:ascii="Carlito"/>
                <w:sz w:val="16"/>
              </w:rPr>
              <w:t>295</w:t>
            </w:r>
          </w:p>
        </w:tc>
        <w:tc>
          <w:tcPr>
            <w:tcW w:w="1938" w:type="dxa"/>
          </w:tcPr>
          <w:p>
            <w:pPr>
              <w:pStyle w:val="TableParagraph"/>
              <w:spacing w:before="92"/>
              <w:ind w:left="143"/>
              <w:jc w:val="left"/>
              <w:rPr>
                <w:rFonts w:ascii="Carlito"/>
                <w:sz w:val="16"/>
              </w:rPr>
            </w:pPr>
            <w:r>
              <w:rPr>
                <w:rFonts w:ascii="Carlito"/>
                <w:sz w:val="16"/>
              </w:rPr>
              <w:t>Lomas de Ayarco Sur</w:t>
            </w:r>
          </w:p>
        </w:tc>
        <w:tc>
          <w:tcPr>
            <w:tcW w:w="656" w:type="dxa"/>
          </w:tcPr>
          <w:p>
            <w:pPr>
              <w:pStyle w:val="TableParagraph"/>
              <w:spacing w:before="92"/>
              <w:ind w:right="130"/>
              <w:rPr>
                <w:rFonts w:ascii="Carlito"/>
                <w:sz w:val="16"/>
              </w:rPr>
            </w:pPr>
            <w:r>
              <w:rPr>
                <w:rFonts w:ascii="Carlito"/>
                <w:sz w:val="16"/>
              </w:rPr>
              <w:t>0</w:t>
            </w:r>
          </w:p>
        </w:tc>
        <w:tc>
          <w:tcPr>
            <w:tcW w:w="1360" w:type="dxa"/>
          </w:tcPr>
          <w:p>
            <w:pPr>
              <w:pStyle w:val="TableParagraph"/>
              <w:spacing w:before="92"/>
              <w:ind w:right="418"/>
              <w:rPr>
                <w:rFonts w:ascii="Carlito"/>
                <w:sz w:val="16"/>
              </w:rPr>
            </w:pPr>
            <w:r>
              <w:rPr>
                <w:rFonts w:ascii="Carlito"/>
                <w:sz w:val="16"/>
              </w:rPr>
              <w:t>$170,000.00</w:t>
            </w:r>
          </w:p>
        </w:tc>
        <w:tc>
          <w:tcPr>
            <w:tcW w:w="998" w:type="dxa"/>
          </w:tcPr>
          <w:p>
            <w:pPr>
              <w:pStyle w:val="TableParagraph"/>
              <w:spacing w:before="92"/>
              <w:ind w:right="341"/>
              <w:rPr>
                <w:rFonts w:ascii="Carlito"/>
                <w:sz w:val="16"/>
              </w:rPr>
            </w:pPr>
            <w:r>
              <w:rPr>
                <w:rFonts w:ascii="Carlito"/>
                <w:sz w:val="16"/>
              </w:rPr>
              <w:t>160</w:t>
            </w:r>
          </w:p>
        </w:tc>
        <w:tc>
          <w:tcPr>
            <w:tcW w:w="1126" w:type="dxa"/>
          </w:tcPr>
          <w:p>
            <w:pPr>
              <w:pStyle w:val="TableParagraph"/>
              <w:spacing w:before="92"/>
              <w:ind w:left="318" w:right="440"/>
              <w:jc w:val="center"/>
              <w:rPr>
                <w:rFonts w:ascii="Carlito"/>
                <w:sz w:val="16"/>
              </w:rPr>
            </w:pPr>
            <w:r>
              <w:rPr>
                <w:rFonts w:ascii="Carlito"/>
                <w:sz w:val="16"/>
              </w:rPr>
              <w:t>2015</w:t>
            </w:r>
          </w:p>
        </w:tc>
        <w:tc>
          <w:tcPr>
            <w:tcW w:w="782" w:type="dxa"/>
          </w:tcPr>
          <w:p>
            <w:pPr>
              <w:pStyle w:val="TableParagraph"/>
              <w:spacing w:before="92"/>
              <w:ind w:right="235"/>
              <w:rPr>
                <w:rFonts w:ascii="Carlito"/>
                <w:sz w:val="16"/>
              </w:rPr>
            </w:pPr>
            <w:r>
              <w:rPr>
                <w:rFonts w:ascii="Carlito"/>
                <w:sz w:val="16"/>
              </w:rPr>
              <w:t>3</w:t>
            </w:r>
          </w:p>
        </w:tc>
        <w:tc>
          <w:tcPr>
            <w:tcW w:w="744" w:type="dxa"/>
          </w:tcPr>
          <w:p>
            <w:pPr>
              <w:pStyle w:val="TableParagraph"/>
              <w:spacing w:before="92"/>
              <w:ind w:right="303"/>
              <w:rPr>
                <w:rFonts w:ascii="Carlito"/>
                <w:sz w:val="16"/>
              </w:rPr>
            </w:pPr>
            <w:r>
              <w:rPr>
                <w:rFonts w:ascii="Carlito"/>
                <w:sz w:val="16"/>
              </w:rPr>
              <w:t>2.5</w:t>
            </w:r>
          </w:p>
        </w:tc>
        <w:tc>
          <w:tcPr>
            <w:tcW w:w="815" w:type="dxa"/>
          </w:tcPr>
          <w:p>
            <w:pPr>
              <w:pStyle w:val="TableParagraph"/>
              <w:spacing w:before="92"/>
              <w:ind w:left="302"/>
              <w:jc w:val="left"/>
              <w:rPr>
                <w:rFonts w:ascii="Carlito"/>
                <w:sz w:val="16"/>
              </w:rPr>
            </w:pPr>
            <w:r>
              <w:rPr>
                <w:rFonts w:ascii="Carlito"/>
                <w:sz w:val="16"/>
              </w:rPr>
              <w:t>2</w:t>
            </w:r>
          </w:p>
        </w:tc>
        <w:tc>
          <w:tcPr>
            <w:tcW w:w="1289" w:type="dxa"/>
          </w:tcPr>
          <w:p>
            <w:pPr>
              <w:pStyle w:val="TableParagraph"/>
              <w:spacing w:before="92"/>
              <w:ind w:right="570"/>
              <w:rPr>
                <w:rFonts w:ascii="Carlito"/>
                <w:sz w:val="16"/>
              </w:rPr>
            </w:pPr>
            <w:r>
              <w:rPr>
                <w:rFonts w:ascii="Carlito"/>
                <w:sz w:val="16"/>
              </w:rPr>
              <w:t>8.8</w:t>
            </w:r>
          </w:p>
        </w:tc>
        <w:tc>
          <w:tcPr>
            <w:tcW w:w="1139" w:type="dxa"/>
          </w:tcPr>
          <w:p>
            <w:pPr>
              <w:pStyle w:val="TableParagraph"/>
              <w:spacing w:before="92"/>
              <w:ind w:right="361"/>
              <w:rPr>
                <w:rFonts w:ascii="Carlito"/>
                <w:sz w:val="16"/>
              </w:rPr>
            </w:pPr>
            <w:r>
              <w:rPr>
                <w:rFonts w:ascii="Carlito"/>
                <w:sz w:val="16"/>
              </w:rPr>
              <w:t>2.8</w:t>
            </w:r>
          </w:p>
        </w:tc>
        <w:tc>
          <w:tcPr>
            <w:tcW w:w="825" w:type="dxa"/>
          </w:tcPr>
          <w:p>
            <w:pPr>
              <w:pStyle w:val="TableParagraph"/>
              <w:spacing w:before="92"/>
              <w:ind w:right="374"/>
              <w:rPr>
                <w:rFonts w:ascii="Carlito"/>
                <w:sz w:val="16"/>
              </w:rPr>
            </w:pPr>
            <w:r>
              <w:rPr>
                <w:rFonts w:ascii="Carlito"/>
                <w:sz w:val="16"/>
              </w:rPr>
              <w:t>0</w:t>
            </w:r>
          </w:p>
        </w:tc>
        <w:tc>
          <w:tcPr>
            <w:tcW w:w="529" w:type="dxa"/>
          </w:tcPr>
          <w:p>
            <w:pPr>
              <w:pStyle w:val="TableParagraph"/>
              <w:spacing w:before="92"/>
              <w:ind w:right="5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296</w:t>
            </w:r>
          </w:p>
        </w:tc>
        <w:tc>
          <w:tcPr>
            <w:tcW w:w="1938" w:type="dxa"/>
            <w:shd w:val="clear" w:color="auto" w:fill="D9D9D9"/>
          </w:tcPr>
          <w:p>
            <w:pPr>
              <w:pStyle w:val="TableParagraph"/>
              <w:ind w:left="143"/>
              <w:jc w:val="left"/>
              <w:rPr>
                <w:rFonts w:ascii="Carlito"/>
                <w:sz w:val="16"/>
              </w:rPr>
            </w:pPr>
            <w:r>
              <w:rPr>
                <w:rFonts w:ascii="Carlito"/>
                <w:sz w:val="16"/>
              </w:rPr>
              <w:t>Altamonte</w:t>
            </w:r>
          </w:p>
        </w:tc>
        <w:tc>
          <w:tcPr>
            <w:tcW w:w="656" w:type="dxa"/>
            <w:shd w:val="clear" w:color="auto" w:fill="D9D9D9"/>
          </w:tcPr>
          <w:p>
            <w:pPr>
              <w:pStyle w:val="TableParagraph"/>
              <w:ind w:right="130"/>
              <w:rPr>
                <w:rFonts w:ascii="Carlito"/>
                <w:sz w:val="16"/>
              </w:rPr>
            </w:pPr>
            <w:r>
              <w:rPr>
                <w:rFonts w:ascii="Carlito"/>
                <w:sz w:val="16"/>
              </w:rPr>
              <w:t>1</w:t>
            </w:r>
          </w:p>
        </w:tc>
        <w:tc>
          <w:tcPr>
            <w:tcW w:w="1360" w:type="dxa"/>
            <w:shd w:val="clear" w:color="auto" w:fill="D9D9D9"/>
          </w:tcPr>
          <w:p>
            <w:pPr>
              <w:pStyle w:val="TableParagraph"/>
              <w:ind w:right="418"/>
              <w:rPr>
                <w:rFonts w:ascii="Carlito"/>
                <w:sz w:val="16"/>
              </w:rPr>
            </w:pPr>
            <w:r>
              <w:rPr>
                <w:rFonts w:ascii="Carlito"/>
                <w:sz w:val="16"/>
              </w:rPr>
              <w:t>$975,000.00</w:t>
            </w:r>
          </w:p>
        </w:tc>
        <w:tc>
          <w:tcPr>
            <w:tcW w:w="998" w:type="dxa"/>
            <w:shd w:val="clear" w:color="auto" w:fill="D9D9D9"/>
          </w:tcPr>
          <w:p>
            <w:pPr>
              <w:pStyle w:val="TableParagraph"/>
              <w:ind w:right="341"/>
              <w:rPr>
                <w:rFonts w:ascii="Carlito"/>
                <w:sz w:val="16"/>
              </w:rPr>
            </w:pPr>
            <w:r>
              <w:rPr>
                <w:rFonts w:ascii="Carlito"/>
                <w:sz w:val="16"/>
              </w:rPr>
              <w:t>600</w:t>
            </w:r>
          </w:p>
        </w:tc>
        <w:tc>
          <w:tcPr>
            <w:tcW w:w="1126" w:type="dxa"/>
            <w:shd w:val="clear" w:color="auto" w:fill="D9D9D9"/>
          </w:tcPr>
          <w:p>
            <w:pPr>
              <w:pStyle w:val="TableParagraph"/>
              <w:ind w:left="318" w:right="440"/>
              <w:jc w:val="center"/>
              <w:rPr>
                <w:rFonts w:ascii="Carlito"/>
                <w:sz w:val="16"/>
              </w:rPr>
            </w:pPr>
            <w:r>
              <w:rPr>
                <w:rFonts w:ascii="Carlito"/>
                <w:sz w:val="16"/>
              </w:rPr>
              <w:t>1989</w:t>
            </w:r>
          </w:p>
        </w:tc>
        <w:tc>
          <w:tcPr>
            <w:tcW w:w="782" w:type="dxa"/>
            <w:shd w:val="clear" w:color="auto" w:fill="D9D9D9"/>
          </w:tcPr>
          <w:p>
            <w:pPr>
              <w:pStyle w:val="TableParagraph"/>
              <w:ind w:right="235"/>
              <w:rPr>
                <w:rFonts w:ascii="Carlito"/>
                <w:sz w:val="16"/>
              </w:rPr>
            </w:pPr>
            <w:r>
              <w:rPr>
                <w:rFonts w:ascii="Carlito"/>
                <w:sz w:val="16"/>
              </w:rPr>
              <w:t>4</w:t>
            </w:r>
          </w:p>
        </w:tc>
        <w:tc>
          <w:tcPr>
            <w:tcW w:w="744" w:type="dxa"/>
            <w:shd w:val="clear" w:color="auto" w:fill="D9D9D9"/>
          </w:tcPr>
          <w:p>
            <w:pPr>
              <w:pStyle w:val="TableParagraph"/>
              <w:ind w:right="303"/>
              <w:rPr>
                <w:rFonts w:ascii="Carlito"/>
                <w:sz w:val="16"/>
              </w:rPr>
            </w:pPr>
            <w:r>
              <w:rPr>
                <w:rFonts w:ascii="Carlito"/>
                <w:sz w:val="16"/>
              </w:rPr>
              <w:t>3.5</w:t>
            </w:r>
          </w:p>
        </w:tc>
        <w:tc>
          <w:tcPr>
            <w:tcW w:w="815" w:type="dxa"/>
            <w:shd w:val="clear" w:color="auto" w:fill="D9D9D9"/>
          </w:tcPr>
          <w:p>
            <w:pPr>
              <w:pStyle w:val="TableParagraph"/>
              <w:ind w:left="302"/>
              <w:jc w:val="left"/>
              <w:rPr>
                <w:rFonts w:ascii="Carlito"/>
                <w:sz w:val="16"/>
              </w:rPr>
            </w:pPr>
            <w:r>
              <w:rPr>
                <w:rFonts w:ascii="Carlito"/>
                <w:sz w:val="16"/>
              </w:rPr>
              <w:t>1</w:t>
            </w:r>
          </w:p>
        </w:tc>
        <w:tc>
          <w:tcPr>
            <w:tcW w:w="1289" w:type="dxa"/>
            <w:shd w:val="clear" w:color="auto" w:fill="D9D9D9"/>
          </w:tcPr>
          <w:p>
            <w:pPr>
              <w:pStyle w:val="TableParagraph"/>
              <w:ind w:right="570"/>
              <w:rPr>
                <w:rFonts w:ascii="Carlito"/>
                <w:sz w:val="16"/>
              </w:rPr>
            </w:pPr>
            <w:r>
              <w:rPr>
                <w:rFonts w:ascii="Carlito"/>
                <w:sz w:val="16"/>
              </w:rPr>
              <w:t>6.6</w:t>
            </w:r>
          </w:p>
        </w:tc>
        <w:tc>
          <w:tcPr>
            <w:tcW w:w="1139" w:type="dxa"/>
            <w:shd w:val="clear" w:color="auto" w:fill="D9D9D9"/>
          </w:tcPr>
          <w:p>
            <w:pPr>
              <w:pStyle w:val="TableParagraph"/>
              <w:ind w:right="361"/>
              <w:rPr>
                <w:rFonts w:ascii="Carlito"/>
                <w:sz w:val="16"/>
              </w:rPr>
            </w:pPr>
            <w:r>
              <w:rPr>
                <w:rFonts w:ascii="Carlito"/>
                <w:sz w:val="16"/>
              </w:rPr>
              <w:t>5.8</w:t>
            </w:r>
          </w:p>
        </w:tc>
        <w:tc>
          <w:tcPr>
            <w:tcW w:w="825" w:type="dxa"/>
            <w:shd w:val="clear" w:color="auto" w:fill="D9D9D9"/>
          </w:tcPr>
          <w:p>
            <w:pPr>
              <w:pStyle w:val="TableParagraph"/>
              <w:ind w:right="374"/>
              <w:rPr>
                <w:rFonts w:ascii="Carlito"/>
                <w:sz w:val="16"/>
              </w:rPr>
            </w:pPr>
            <w:r>
              <w:rPr>
                <w:rFonts w:ascii="Carlito"/>
                <w:sz w:val="16"/>
              </w:rPr>
              <w:t>0</w:t>
            </w:r>
          </w:p>
        </w:tc>
        <w:tc>
          <w:tcPr>
            <w:tcW w:w="529" w:type="dxa"/>
            <w:shd w:val="clear" w:color="auto" w:fill="D9D9D9"/>
          </w:tcPr>
          <w:p>
            <w:pPr>
              <w:pStyle w:val="TableParagraph"/>
              <w:ind w:right="59"/>
              <w:rPr>
                <w:rFonts w:ascii="Carlito"/>
                <w:sz w:val="16"/>
              </w:rPr>
            </w:pPr>
            <w:r>
              <w:rPr>
                <w:rFonts w:ascii="Carlito"/>
                <w:sz w:val="16"/>
              </w:rPr>
              <w:t>1</w:t>
            </w:r>
          </w:p>
        </w:tc>
      </w:tr>
      <w:tr>
        <w:trPr>
          <w:trHeight w:val="288" w:hRule="atLeast"/>
        </w:trPr>
        <w:tc>
          <w:tcPr>
            <w:tcW w:w="756" w:type="dxa"/>
          </w:tcPr>
          <w:p>
            <w:pPr>
              <w:pStyle w:val="TableParagraph"/>
              <w:spacing w:before="92"/>
              <w:ind w:right="143"/>
              <w:rPr>
                <w:rFonts w:ascii="Carlito"/>
                <w:sz w:val="16"/>
              </w:rPr>
            </w:pPr>
            <w:r>
              <w:rPr>
                <w:rFonts w:ascii="Carlito"/>
                <w:sz w:val="16"/>
              </w:rPr>
              <w:t>297</w:t>
            </w:r>
          </w:p>
        </w:tc>
        <w:tc>
          <w:tcPr>
            <w:tcW w:w="1938" w:type="dxa"/>
          </w:tcPr>
          <w:p>
            <w:pPr>
              <w:pStyle w:val="TableParagraph"/>
              <w:spacing w:before="92"/>
              <w:ind w:left="143"/>
              <w:jc w:val="left"/>
              <w:rPr>
                <w:rFonts w:ascii="Carlito"/>
                <w:sz w:val="16"/>
              </w:rPr>
            </w:pPr>
            <w:r>
              <w:rPr>
                <w:rFonts w:ascii="Carlito"/>
                <w:sz w:val="16"/>
              </w:rPr>
              <w:t>Curridabat</w:t>
            </w:r>
          </w:p>
        </w:tc>
        <w:tc>
          <w:tcPr>
            <w:tcW w:w="656" w:type="dxa"/>
          </w:tcPr>
          <w:p>
            <w:pPr>
              <w:pStyle w:val="TableParagraph"/>
              <w:spacing w:before="92"/>
              <w:ind w:right="130"/>
              <w:rPr>
                <w:rFonts w:ascii="Carlito"/>
                <w:sz w:val="16"/>
              </w:rPr>
            </w:pPr>
            <w:r>
              <w:rPr>
                <w:rFonts w:ascii="Carlito"/>
                <w:sz w:val="16"/>
              </w:rPr>
              <w:t>1</w:t>
            </w:r>
          </w:p>
        </w:tc>
        <w:tc>
          <w:tcPr>
            <w:tcW w:w="1360" w:type="dxa"/>
          </w:tcPr>
          <w:p>
            <w:pPr>
              <w:pStyle w:val="TableParagraph"/>
              <w:spacing w:before="92"/>
              <w:ind w:right="418"/>
              <w:rPr>
                <w:rFonts w:ascii="Carlito"/>
                <w:sz w:val="16"/>
              </w:rPr>
            </w:pPr>
            <w:r>
              <w:rPr>
                <w:rFonts w:ascii="Carlito"/>
                <w:sz w:val="16"/>
              </w:rPr>
              <w:t>$480,000.00</w:t>
            </w:r>
          </w:p>
        </w:tc>
        <w:tc>
          <w:tcPr>
            <w:tcW w:w="998" w:type="dxa"/>
          </w:tcPr>
          <w:p>
            <w:pPr>
              <w:pStyle w:val="TableParagraph"/>
              <w:spacing w:before="92"/>
              <w:ind w:right="341"/>
              <w:rPr>
                <w:rFonts w:ascii="Carlito"/>
                <w:sz w:val="16"/>
              </w:rPr>
            </w:pPr>
            <w:r>
              <w:rPr>
                <w:rFonts w:ascii="Carlito"/>
                <w:sz w:val="16"/>
              </w:rPr>
              <w:t>600</w:t>
            </w:r>
          </w:p>
        </w:tc>
        <w:tc>
          <w:tcPr>
            <w:tcW w:w="1126" w:type="dxa"/>
          </w:tcPr>
          <w:p>
            <w:pPr>
              <w:pStyle w:val="TableParagraph"/>
              <w:spacing w:before="92"/>
              <w:ind w:left="318" w:right="440"/>
              <w:jc w:val="center"/>
              <w:rPr>
                <w:rFonts w:ascii="Carlito"/>
                <w:sz w:val="16"/>
              </w:rPr>
            </w:pPr>
            <w:r>
              <w:rPr>
                <w:rFonts w:ascii="Carlito"/>
                <w:sz w:val="16"/>
              </w:rPr>
              <w:t>2006</w:t>
            </w:r>
          </w:p>
        </w:tc>
        <w:tc>
          <w:tcPr>
            <w:tcW w:w="782" w:type="dxa"/>
          </w:tcPr>
          <w:p>
            <w:pPr>
              <w:pStyle w:val="TableParagraph"/>
              <w:spacing w:before="92"/>
              <w:ind w:right="235"/>
              <w:rPr>
                <w:rFonts w:ascii="Carlito"/>
                <w:sz w:val="16"/>
              </w:rPr>
            </w:pPr>
            <w:r>
              <w:rPr>
                <w:rFonts w:ascii="Carlito"/>
                <w:sz w:val="16"/>
              </w:rPr>
              <w:t>4</w:t>
            </w:r>
          </w:p>
        </w:tc>
        <w:tc>
          <w:tcPr>
            <w:tcW w:w="744" w:type="dxa"/>
          </w:tcPr>
          <w:p>
            <w:pPr>
              <w:pStyle w:val="TableParagraph"/>
              <w:spacing w:before="92"/>
              <w:ind w:right="298"/>
              <w:rPr>
                <w:rFonts w:ascii="Carlito"/>
                <w:sz w:val="16"/>
              </w:rPr>
            </w:pPr>
            <w:r>
              <w:rPr>
                <w:rFonts w:ascii="Carlito"/>
                <w:sz w:val="16"/>
              </w:rPr>
              <w:t>2</w:t>
            </w:r>
          </w:p>
        </w:tc>
        <w:tc>
          <w:tcPr>
            <w:tcW w:w="815" w:type="dxa"/>
          </w:tcPr>
          <w:p>
            <w:pPr>
              <w:pStyle w:val="TableParagraph"/>
              <w:spacing w:before="92"/>
              <w:ind w:left="302"/>
              <w:jc w:val="left"/>
              <w:rPr>
                <w:rFonts w:ascii="Carlito"/>
                <w:sz w:val="16"/>
              </w:rPr>
            </w:pPr>
            <w:r>
              <w:rPr>
                <w:rFonts w:ascii="Carlito"/>
                <w:sz w:val="16"/>
              </w:rPr>
              <w:t>1</w:t>
            </w:r>
          </w:p>
        </w:tc>
        <w:tc>
          <w:tcPr>
            <w:tcW w:w="1289" w:type="dxa"/>
          </w:tcPr>
          <w:p>
            <w:pPr>
              <w:pStyle w:val="TableParagraph"/>
              <w:spacing w:before="92"/>
              <w:ind w:right="570"/>
              <w:rPr>
                <w:rFonts w:ascii="Carlito"/>
                <w:sz w:val="16"/>
              </w:rPr>
            </w:pPr>
            <w:r>
              <w:rPr>
                <w:rFonts w:ascii="Carlito"/>
                <w:sz w:val="16"/>
              </w:rPr>
              <w:t>4.9</w:t>
            </w:r>
          </w:p>
        </w:tc>
        <w:tc>
          <w:tcPr>
            <w:tcW w:w="1139" w:type="dxa"/>
          </w:tcPr>
          <w:p>
            <w:pPr>
              <w:pStyle w:val="TableParagraph"/>
              <w:spacing w:before="92"/>
              <w:ind w:right="361"/>
              <w:rPr>
                <w:rFonts w:ascii="Carlito"/>
                <w:sz w:val="16"/>
              </w:rPr>
            </w:pPr>
            <w:r>
              <w:rPr>
                <w:rFonts w:ascii="Carlito"/>
                <w:sz w:val="16"/>
              </w:rPr>
              <w:t>4.5</w:t>
            </w:r>
          </w:p>
        </w:tc>
        <w:tc>
          <w:tcPr>
            <w:tcW w:w="825" w:type="dxa"/>
          </w:tcPr>
          <w:p>
            <w:pPr>
              <w:pStyle w:val="TableParagraph"/>
              <w:spacing w:before="92"/>
              <w:ind w:right="374"/>
              <w:rPr>
                <w:rFonts w:ascii="Carlito"/>
                <w:sz w:val="16"/>
              </w:rPr>
            </w:pPr>
            <w:r>
              <w:rPr>
                <w:rFonts w:ascii="Carlito"/>
                <w:sz w:val="16"/>
              </w:rPr>
              <w:t>0</w:t>
            </w:r>
          </w:p>
        </w:tc>
        <w:tc>
          <w:tcPr>
            <w:tcW w:w="529" w:type="dxa"/>
          </w:tcPr>
          <w:p>
            <w:pPr>
              <w:pStyle w:val="TableParagraph"/>
              <w:spacing w:before="92"/>
              <w:ind w:right="5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298</w:t>
            </w:r>
          </w:p>
        </w:tc>
        <w:tc>
          <w:tcPr>
            <w:tcW w:w="1938" w:type="dxa"/>
            <w:shd w:val="clear" w:color="auto" w:fill="D9D9D9"/>
          </w:tcPr>
          <w:p>
            <w:pPr>
              <w:pStyle w:val="TableParagraph"/>
              <w:ind w:left="143"/>
              <w:jc w:val="left"/>
              <w:rPr>
                <w:rFonts w:ascii="Carlito"/>
                <w:sz w:val="16"/>
              </w:rPr>
            </w:pPr>
            <w:r>
              <w:rPr>
                <w:rFonts w:ascii="Carlito"/>
                <w:sz w:val="16"/>
              </w:rPr>
              <w:t>Pinares</w:t>
            </w:r>
          </w:p>
        </w:tc>
        <w:tc>
          <w:tcPr>
            <w:tcW w:w="656" w:type="dxa"/>
            <w:shd w:val="clear" w:color="auto" w:fill="D9D9D9"/>
          </w:tcPr>
          <w:p>
            <w:pPr>
              <w:pStyle w:val="TableParagraph"/>
              <w:ind w:right="130"/>
              <w:rPr>
                <w:rFonts w:ascii="Carlito"/>
                <w:sz w:val="16"/>
              </w:rPr>
            </w:pPr>
            <w:r>
              <w:rPr>
                <w:rFonts w:ascii="Carlito"/>
                <w:sz w:val="16"/>
              </w:rPr>
              <w:t>1</w:t>
            </w:r>
          </w:p>
        </w:tc>
        <w:tc>
          <w:tcPr>
            <w:tcW w:w="1360" w:type="dxa"/>
            <w:shd w:val="clear" w:color="auto" w:fill="D9D9D9"/>
          </w:tcPr>
          <w:p>
            <w:pPr>
              <w:pStyle w:val="TableParagraph"/>
              <w:ind w:right="418"/>
              <w:rPr>
                <w:rFonts w:ascii="Carlito"/>
                <w:sz w:val="16"/>
              </w:rPr>
            </w:pPr>
            <w:r>
              <w:rPr>
                <w:rFonts w:ascii="Carlito"/>
                <w:sz w:val="16"/>
              </w:rPr>
              <w:t>$430,000.00</w:t>
            </w:r>
          </w:p>
        </w:tc>
        <w:tc>
          <w:tcPr>
            <w:tcW w:w="998" w:type="dxa"/>
            <w:shd w:val="clear" w:color="auto" w:fill="D9D9D9"/>
          </w:tcPr>
          <w:p>
            <w:pPr>
              <w:pStyle w:val="TableParagraph"/>
              <w:ind w:right="341"/>
              <w:rPr>
                <w:rFonts w:ascii="Carlito"/>
                <w:sz w:val="16"/>
              </w:rPr>
            </w:pPr>
            <w:r>
              <w:rPr>
                <w:rFonts w:ascii="Carlito"/>
                <w:sz w:val="16"/>
              </w:rPr>
              <w:t>325</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3</w:t>
            </w:r>
          </w:p>
        </w:tc>
        <w:tc>
          <w:tcPr>
            <w:tcW w:w="744" w:type="dxa"/>
            <w:shd w:val="clear" w:color="auto" w:fill="D9D9D9"/>
          </w:tcPr>
          <w:p>
            <w:pPr>
              <w:pStyle w:val="TableParagraph"/>
              <w:ind w:right="303"/>
              <w:rPr>
                <w:rFonts w:ascii="Carlito"/>
                <w:sz w:val="16"/>
              </w:rPr>
            </w:pPr>
            <w:r>
              <w:rPr>
                <w:rFonts w:ascii="Carlito"/>
                <w:sz w:val="16"/>
              </w:rPr>
              <w:t>2.5</w:t>
            </w:r>
          </w:p>
        </w:tc>
        <w:tc>
          <w:tcPr>
            <w:tcW w:w="815" w:type="dxa"/>
            <w:shd w:val="clear" w:color="auto" w:fill="D9D9D9"/>
          </w:tcPr>
          <w:p>
            <w:pPr>
              <w:pStyle w:val="TableParagraph"/>
              <w:ind w:left="302"/>
              <w:jc w:val="left"/>
              <w:rPr>
                <w:rFonts w:ascii="Carlito"/>
                <w:sz w:val="16"/>
              </w:rPr>
            </w:pPr>
            <w:r>
              <w:rPr>
                <w:rFonts w:ascii="Carlito"/>
                <w:sz w:val="16"/>
              </w:rPr>
              <w:t>2</w:t>
            </w:r>
          </w:p>
        </w:tc>
        <w:tc>
          <w:tcPr>
            <w:tcW w:w="1289" w:type="dxa"/>
            <w:shd w:val="clear" w:color="auto" w:fill="D9D9D9"/>
          </w:tcPr>
          <w:p>
            <w:pPr>
              <w:pStyle w:val="TableParagraph"/>
              <w:ind w:right="570"/>
              <w:rPr>
                <w:rFonts w:ascii="Carlito"/>
                <w:sz w:val="16"/>
              </w:rPr>
            </w:pPr>
            <w:r>
              <w:rPr>
                <w:rFonts w:ascii="Carlito"/>
                <w:sz w:val="16"/>
              </w:rPr>
              <w:t>7.4</w:t>
            </w:r>
          </w:p>
        </w:tc>
        <w:tc>
          <w:tcPr>
            <w:tcW w:w="1139" w:type="dxa"/>
            <w:shd w:val="clear" w:color="auto" w:fill="D9D9D9"/>
          </w:tcPr>
          <w:p>
            <w:pPr>
              <w:pStyle w:val="TableParagraph"/>
              <w:ind w:right="361"/>
              <w:rPr>
                <w:rFonts w:ascii="Carlito"/>
                <w:sz w:val="16"/>
              </w:rPr>
            </w:pPr>
            <w:r>
              <w:rPr>
                <w:rFonts w:ascii="Carlito"/>
                <w:sz w:val="16"/>
              </w:rPr>
              <w:t>3.6</w:t>
            </w:r>
          </w:p>
        </w:tc>
        <w:tc>
          <w:tcPr>
            <w:tcW w:w="825" w:type="dxa"/>
            <w:shd w:val="clear" w:color="auto" w:fill="D9D9D9"/>
          </w:tcPr>
          <w:p>
            <w:pPr>
              <w:pStyle w:val="TableParagraph"/>
              <w:ind w:right="374"/>
              <w:rPr>
                <w:rFonts w:ascii="Carlito"/>
                <w:sz w:val="16"/>
              </w:rPr>
            </w:pPr>
            <w:r>
              <w:rPr>
                <w:rFonts w:ascii="Carlito"/>
                <w:sz w:val="16"/>
              </w:rPr>
              <w:t>0</w:t>
            </w:r>
          </w:p>
        </w:tc>
        <w:tc>
          <w:tcPr>
            <w:tcW w:w="529"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299</w:t>
            </w:r>
          </w:p>
        </w:tc>
        <w:tc>
          <w:tcPr>
            <w:tcW w:w="1938" w:type="dxa"/>
          </w:tcPr>
          <w:p>
            <w:pPr>
              <w:pStyle w:val="TableParagraph"/>
              <w:ind w:left="143"/>
              <w:jc w:val="left"/>
              <w:rPr>
                <w:rFonts w:ascii="Carlito"/>
                <w:sz w:val="16"/>
              </w:rPr>
            </w:pPr>
            <w:r>
              <w:rPr>
                <w:rFonts w:ascii="Carlito"/>
                <w:sz w:val="16"/>
              </w:rPr>
              <w:t>Pinares</w:t>
            </w:r>
          </w:p>
        </w:tc>
        <w:tc>
          <w:tcPr>
            <w:tcW w:w="656" w:type="dxa"/>
          </w:tcPr>
          <w:p>
            <w:pPr>
              <w:pStyle w:val="TableParagraph"/>
              <w:ind w:right="130"/>
              <w:rPr>
                <w:rFonts w:ascii="Carlito"/>
                <w:sz w:val="16"/>
              </w:rPr>
            </w:pPr>
            <w:r>
              <w:rPr>
                <w:rFonts w:ascii="Carlito"/>
                <w:sz w:val="16"/>
              </w:rPr>
              <w:t>0</w:t>
            </w:r>
          </w:p>
        </w:tc>
        <w:tc>
          <w:tcPr>
            <w:tcW w:w="1360" w:type="dxa"/>
          </w:tcPr>
          <w:p>
            <w:pPr>
              <w:pStyle w:val="TableParagraph"/>
              <w:ind w:right="418"/>
              <w:rPr>
                <w:rFonts w:ascii="Carlito"/>
                <w:sz w:val="16"/>
              </w:rPr>
            </w:pPr>
            <w:r>
              <w:rPr>
                <w:rFonts w:ascii="Carlito"/>
                <w:sz w:val="16"/>
              </w:rPr>
              <w:t>$190,000.00</w:t>
            </w:r>
          </w:p>
        </w:tc>
        <w:tc>
          <w:tcPr>
            <w:tcW w:w="998" w:type="dxa"/>
          </w:tcPr>
          <w:p>
            <w:pPr>
              <w:pStyle w:val="TableParagraph"/>
              <w:ind w:right="341"/>
              <w:rPr>
                <w:rFonts w:ascii="Carlito"/>
                <w:sz w:val="16"/>
              </w:rPr>
            </w:pPr>
            <w:r>
              <w:rPr>
                <w:rFonts w:ascii="Carlito"/>
                <w:sz w:val="16"/>
              </w:rPr>
              <w:t>179</w:t>
            </w:r>
          </w:p>
        </w:tc>
        <w:tc>
          <w:tcPr>
            <w:tcW w:w="1126" w:type="dxa"/>
          </w:tcPr>
          <w:p>
            <w:pPr>
              <w:pStyle w:val="TableParagraph"/>
              <w:ind w:left="318" w:right="440"/>
              <w:jc w:val="center"/>
              <w:rPr>
                <w:rFonts w:ascii="Carlito"/>
                <w:sz w:val="16"/>
              </w:rPr>
            </w:pPr>
            <w:r>
              <w:rPr>
                <w:rFonts w:ascii="Carlito"/>
                <w:sz w:val="16"/>
              </w:rPr>
              <w:t>2006</w:t>
            </w:r>
          </w:p>
        </w:tc>
        <w:tc>
          <w:tcPr>
            <w:tcW w:w="782" w:type="dxa"/>
          </w:tcPr>
          <w:p>
            <w:pPr>
              <w:pStyle w:val="TableParagraph"/>
              <w:ind w:right="235"/>
              <w:rPr>
                <w:rFonts w:ascii="Carlito"/>
                <w:sz w:val="16"/>
              </w:rPr>
            </w:pPr>
            <w:r>
              <w:rPr>
                <w:rFonts w:ascii="Carlito"/>
                <w:sz w:val="16"/>
              </w:rPr>
              <w:t>3</w:t>
            </w:r>
          </w:p>
        </w:tc>
        <w:tc>
          <w:tcPr>
            <w:tcW w:w="744" w:type="dxa"/>
          </w:tcPr>
          <w:p>
            <w:pPr>
              <w:pStyle w:val="TableParagraph"/>
              <w:ind w:right="303"/>
              <w:rPr>
                <w:rFonts w:ascii="Carlito"/>
                <w:sz w:val="16"/>
              </w:rPr>
            </w:pPr>
            <w:r>
              <w:rPr>
                <w:rFonts w:ascii="Carlito"/>
                <w:sz w:val="16"/>
              </w:rPr>
              <w:t>2.5</w:t>
            </w:r>
          </w:p>
        </w:tc>
        <w:tc>
          <w:tcPr>
            <w:tcW w:w="815" w:type="dxa"/>
          </w:tcPr>
          <w:p>
            <w:pPr>
              <w:pStyle w:val="TableParagraph"/>
              <w:ind w:left="302"/>
              <w:jc w:val="left"/>
              <w:rPr>
                <w:rFonts w:ascii="Carlito"/>
                <w:sz w:val="16"/>
              </w:rPr>
            </w:pPr>
            <w:r>
              <w:rPr>
                <w:rFonts w:ascii="Carlito"/>
                <w:sz w:val="16"/>
              </w:rPr>
              <w:t>2</w:t>
            </w:r>
          </w:p>
        </w:tc>
        <w:tc>
          <w:tcPr>
            <w:tcW w:w="1289" w:type="dxa"/>
          </w:tcPr>
          <w:p>
            <w:pPr>
              <w:pStyle w:val="TableParagraph"/>
              <w:ind w:right="570"/>
              <w:rPr>
                <w:rFonts w:ascii="Carlito"/>
                <w:sz w:val="16"/>
              </w:rPr>
            </w:pPr>
            <w:r>
              <w:rPr>
                <w:rFonts w:ascii="Carlito"/>
                <w:sz w:val="16"/>
              </w:rPr>
              <w:t>7.4</w:t>
            </w:r>
          </w:p>
        </w:tc>
        <w:tc>
          <w:tcPr>
            <w:tcW w:w="1139" w:type="dxa"/>
          </w:tcPr>
          <w:p>
            <w:pPr>
              <w:pStyle w:val="TableParagraph"/>
              <w:ind w:right="361"/>
              <w:rPr>
                <w:rFonts w:ascii="Carlito"/>
                <w:sz w:val="16"/>
              </w:rPr>
            </w:pPr>
            <w:r>
              <w:rPr>
                <w:rFonts w:ascii="Carlito"/>
                <w:sz w:val="16"/>
              </w:rPr>
              <w:t>3.6</w:t>
            </w:r>
          </w:p>
        </w:tc>
        <w:tc>
          <w:tcPr>
            <w:tcW w:w="825" w:type="dxa"/>
          </w:tcPr>
          <w:p>
            <w:pPr>
              <w:pStyle w:val="TableParagraph"/>
              <w:ind w:right="374"/>
              <w:rPr>
                <w:rFonts w:ascii="Carlito"/>
                <w:sz w:val="16"/>
              </w:rPr>
            </w:pPr>
            <w:r>
              <w:rPr>
                <w:rFonts w:ascii="Carlito"/>
                <w:sz w:val="16"/>
              </w:rPr>
              <w:t>0</w:t>
            </w:r>
          </w:p>
        </w:tc>
        <w:tc>
          <w:tcPr>
            <w:tcW w:w="529" w:type="dxa"/>
          </w:tcPr>
          <w:p>
            <w:pPr>
              <w:pStyle w:val="TableParagraph"/>
              <w:ind w:right="59"/>
              <w:rPr>
                <w:rFonts w:ascii="Carlito"/>
                <w:sz w:val="16"/>
              </w:rPr>
            </w:pPr>
            <w:r>
              <w:rPr>
                <w:rFonts w:ascii="Carlito"/>
                <w:sz w:val="16"/>
              </w:rPr>
              <w:t>0</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300</w:t>
            </w:r>
          </w:p>
        </w:tc>
        <w:tc>
          <w:tcPr>
            <w:tcW w:w="1938" w:type="dxa"/>
            <w:shd w:val="clear" w:color="auto" w:fill="D9D9D9"/>
          </w:tcPr>
          <w:p>
            <w:pPr>
              <w:pStyle w:val="TableParagraph"/>
              <w:ind w:left="143"/>
              <w:jc w:val="left"/>
              <w:rPr>
                <w:rFonts w:ascii="Carlito"/>
                <w:sz w:val="16"/>
              </w:rPr>
            </w:pPr>
            <w:r>
              <w:rPr>
                <w:rFonts w:ascii="Carlito"/>
                <w:sz w:val="16"/>
              </w:rPr>
              <w:t>Freses</w:t>
            </w:r>
          </w:p>
        </w:tc>
        <w:tc>
          <w:tcPr>
            <w:tcW w:w="656" w:type="dxa"/>
            <w:shd w:val="clear" w:color="auto" w:fill="D9D9D9"/>
          </w:tcPr>
          <w:p>
            <w:pPr>
              <w:pStyle w:val="TableParagraph"/>
              <w:ind w:right="130"/>
              <w:rPr>
                <w:rFonts w:ascii="Carlito"/>
                <w:sz w:val="16"/>
              </w:rPr>
            </w:pPr>
            <w:r>
              <w:rPr>
                <w:rFonts w:ascii="Carlito"/>
                <w:sz w:val="16"/>
              </w:rPr>
              <w:t>1</w:t>
            </w:r>
          </w:p>
        </w:tc>
        <w:tc>
          <w:tcPr>
            <w:tcW w:w="1360" w:type="dxa"/>
            <w:shd w:val="clear" w:color="auto" w:fill="D9D9D9"/>
          </w:tcPr>
          <w:p>
            <w:pPr>
              <w:pStyle w:val="TableParagraph"/>
              <w:ind w:right="418"/>
              <w:rPr>
                <w:rFonts w:ascii="Carlito"/>
                <w:sz w:val="16"/>
              </w:rPr>
            </w:pPr>
            <w:r>
              <w:rPr>
                <w:rFonts w:ascii="Carlito"/>
                <w:sz w:val="16"/>
              </w:rPr>
              <w:t>$730,000.00</w:t>
            </w:r>
          </w:p>
        </w:tc>
        <w:tc>
          <w:tcPr>
            <w:tcW w:w="998" w:type="dxa"/>
            <w:shd w:val="clear" w:color="auto" w:fill="D9D9D9"/>
          </w:tcPr>
          <w:p>
            <w:pPr>
              <w:pStyle w:val="TableParagraph"/>
              <w:ind w:right="341"/>
              <w:rPr>
                <w:rFonts w:ascii="Carlito"/>
                <w:sz w:val="16"/>
              </w:rPr>
            </w:pPr>
            <w:r>
              <w:rPr>
                <w:rFonts w:ascii="Carlito"/>
                <w:sz w:val="16"/>
              </w:rPr>
              <w:t>460</w:t>
            </w:r>
          </w:p>
        </w:tc>
        <w:tc>
          <w:tcPr>
            <w:tcW w:w="1126" w:type="dxa"/>
            <w:shd w:val="clear" w:color="auto" w:fill="D9D9D9"/>
          </w:tcPr>
          <w:p>
            <w:pPr>
              <w:pStyle w:val="TableParagraph"/>
              <w:ind w:left="318" w:right="440"/>
              <w:jc w:val="center"/>
              <w:rPr>
                <w:rFonts w:ascii="Carlito"/>
                <w:sz w:val="16"/>
              </w:rPr>
            </w:pPr>
            <w:r>
              <w:rPr>
                <w:rFonts w:ascii="Carlito"/>
                <w:sz w:val="16"/>
              </w:rPr>
              <w:t>1986</w:t>
            </w:r>
          </w:p>
        </w:tc>
        <w:tc>
          <w:tcPr>
            <w:tcW w:w="782" w:type="dxa"/>
            <w:shd w:val="clear" w:color="auto" w:fill="D9D9D9"/>
          </w:tcPr>
          <w:p>
            <w:pPr>
              <w:pStyle w:val="TableParagraph"/>
              <w:ind w:right="235"/>
              <w:rPr>
                <w:rFonts w:ascii="Carlito"/>
                <w:sz w:val="16"/>
              </w:rPr>
            </w:pPr>
            <w:r>
              <w:rPr>
                <w:rFonts w:ascii="Carlito"/>
                <w:sz w:val="16"/>
              </w:rPr>
              <w:t>4</w:t>
            </w:r>
          </w:p>
        </w:tc>
        <w:tc>
          <w:tcPr>
            <w:tcW w:w="744" w:type="dxa"/>
            <w:shd w:val="clear" w:color="auto" w:fill="D9D9D9"/>
          </w:tcPr>
          <w:p>
            <w:pPr>
              <w:pStyle w:val="TableParagraph"/>
              <w:ind w:right="303"/>
              <w:rPr>
                <w:rFonts w:ascii="Carlito"/>
                <w:sz w:val="16"/>
              </w:rPr>
            </w:pPr>
            <w:r>
              <w:rPr>
                <w:rFonts w:ascii="Carlito"/>
                <w:sz w:val="16"/>
              </w:rPr>
              <w:t>4.5</w:t>
            </w:r>
          </w:p>
        </w:tc>
        <w:tc>
          <w:tcPr>
            <w:tcW w:w="815" w:type="dxa"/>
            <w:shd w:val="clear" w:color="auto" w:fill="D9D9D9"/>
          </w:tcPr>
          <w:p>
            <w:pPr>
              <w:pStyle w:val="TableParagraph"/>
              <w:ind w:left="302"/>
              <w:jc w:val="left"/>
              <w:rPr>
                <w:rFonts w:ascii="Carlito"/>
                <w:sz w:val="16"/>
              </w:rPr>
            </w:pPr>
            <w:r>
              <w:rPr>
                <w:rFonts w:ascii="Carlito"/>
                <w:sz w:val="16"/>
              </w:rPr>
              <w:t>2</w:t>
            </w:r>
          </w:p>
        </w:tc>
        <w:tc>
          <w:tcPr>
            <w:tcW w:w="1289" w:type="dxa"/>
            <w:shd w:val="clear" w:color="auto" w:fill="D9D9D9"/>
          </w:tcPr>
          <w:p>
            <w:pPr>
              <w:pStyle w:val="TableParagraph"/>
              <w:ind w:right="570"/>
              <w:rPr>
                <w:rFonts w:ascii="Carlito"/>
                <w:sz w:val="16"/>
              </w:rPr>
            </w:pPr>
            <w:r>
              <w:rPr>
                <w:rFonts w:ascii="Carlito"/>
                <w:sz w:val="16"/>
              </w:rPr>
              <w:t>5.2</w:t>
            </w:r>
          </w:p>
        </w:tc>
        <w:tc>
          <w:tcPr>
            <w:tcW w:w="1139" w:type="dxa"/>
            <w:shd w:val="clear" w:color="auto" w:fill="D9D9D9"/>
          </w:tcPr>
          <w:p>
            <w:pPr>
              <w:pStyle w:val="TableParagraph"/>
              <w:ind w:right="361"/>
              <w:rPr>
                <w:rFonts w:ascii="Carlito"/>
                <w:sz w:val="16"/>
              </w:rPr>
            </w:pPr>
            <w:r>
              <w:rPr>
                <w:rFonts w:ascii="Carlito"/>
                <w:sz w:val="16"/>
              </w:rPr>
              <w:t>5.2</w:t>
            </w:r>
          </w:p>
        </w:tc>
        <w:tc>
          <w:tcPr>
            <w:tcW w:w="825" w:type="dxa"/>
            <w:shd w:val="clear" w:color="auto" w:fill="D9D9D9"/>
          </w:tcPr>
          <w:p>
            <w:pPr>
              <w:pStyle w:val="TableParagraph"/>
              <w:ind w:right="374"/>
              <w:rPr>
                <w:rFonts w:ascii="Carlito"/>
                <w:sz w:val="16"/>
              </w:rPr>
            </w:pPr>
            <w:r>
              <w:rPr>
                <w:rFonts w:ascii="Carlito"/>
                <w:sz w:val="16"/>
              </w:rPr>
              <w:t>0</w:t>
            </w:r>
          </w:p>
        </w:tc>
        <w:tc>
          <w:tcPr>
            <w:tcW w:w="529"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6" w:type="dxa"/>
          </w:tcPr>
          <w:p>
            <w:pPr>
              <w:pStyle w:val="TableParagraph"/>
              <w:ind w:right="143"/>
              <w:rPr>
                <w:rFonts w:ascii="Carlito"/>
                <w:sz w:val="16"/>
              </w:rPr>
            </w:pPr>
            <w:r>
              <w:rPr>
                <w:rFonts w:ascii="Carlito"/>
                <w:sz w:val="16"/>
              </w:rPr>
              <w:t>301</w:t>
            </w:r>
          </w:p>
        </w:tc>
        <w:tc>
          <w:tcPr>
            <w:tcW w:w="1938" w:type="dxa"/>
          </w:tcPr>
          <w:p>
            <w:pPr>
              <w:pStyle w:val="TableParagraph"/>
              <w:ind w:left="143"/>
              <w:jc w:val="left"/>
              <w:rPr>
                <w:rFonts w:ascii="Carlito"/>
                <w:sz w:val="16"/>
              </w:rPr>
            </w:pPr>
            <w:r>
              <w:rPr>
                <w:rFonts w:ascii="Carlito"/>
                <w:sz w:val="16"/>
              </w:rPr>
              <w:t>Altamonte</w:t>
            </w:r>
          </w:p>
        </w:tc>
        <w:tc>
          <w:tcPr>
            <w:tcW w:w="656" w:type="dxa"/>
          </w:tcPr>
          <w:p>
            <w:pPr>
              <w:pStyle w:val="TableParagraph"/>
              <w:ind w:right="130"/>
              <w:rPr>
                <w:rFonts w:ascii="Carlito"/>
                <w:sz w:val="16"/>
              </w:rPr>
            </w:pPr>
            <w:r>
              <w:rPr>
                <w:rFonts w:ascii="Carlito"/>
                <w:sz w:val="16"/>
              </w:rPr>
              <w:t>1</w:t>
            </w:r>
          </w:p>
        </w:tc>
        <w:tc>
          <w:tcPr>
            <w:tcW w:w="1360" w:type="dxa"/>
          </w:tcPr>
          <w:p>
            <w:pPr>
              <w:pStyle w:val="TableParagraph"/>
              <w:ind w:right="418"/>
              <w:rPr>
                <w:rFonts w:ascii="Carlito"/>
                <w:sz w:val="16"/>
              </w:rPr>
            </w:pPr>
            <w:r>
              <w:rPr>
                <w:rFonts w:ascii="Carlito"/>
                <w:sz w:val="16"/>
              </w:rPr>
              <w:t>$300,000.00</w:t>
            </w:r>
          </w:p>
        </w:tc>
        <w:tc>
          <w:tcPr>
            <w:tcW w:w="998" w:type="dxa"/>
          </w:tcPr>
          <w:p>
            <w:pPr>
              <w:pStyle w:val="TableParagraph"/>
              <w:ind w:right="341"/>
              <w:rPr>
                <w:rFonts w:ascii="Carlito"/>
                <w:sz w:val="16"/>
              </w:rPr>
            </w:pPr>
            <w:r>
              <w:rPr>
                <w:rFonts w:ascii="Carlito"/>
                <w:sz w:val="16"/>
              </w:rPr>
              <w:t>261</w:t>
            </w:r>
          </w:p>
        </w:tc>
        <w:tc>
          <w:tcPr>
            <w:tcW w:w="1126" w:type="dxa"/>
          </w:tcPr>
          <w:p>
            <w:pPr>
              <w:pStyle w:val="TableParagraph"/>
              <w:ind w:left="318" w:right="440"/>
              <w:jc w:val="center"/>
              <w:rPr>
                <w:rFonts w:ascii="Carlito"/>
                <w:sz w:val="16"/>
              </w:rPr>
            </w:pPr>
            <w:r>
              <w:rPr>
                <w:rFonts w:ascii="Carlito"/>
                <w:sz w:val="16"/>
              </w:rPr>
              <w:t>2006</w:t>
            </w:r>
          </w:p>
        </w:tc>
        <w:tc>
          <w:tcPr>
            <w:tcW w:w="782" w:type="dxa"/>
          </w:tcPr>
          <w:p>
            <w:pPr>
              <w:pStyle w:val="TableParagraph"/>
              <w:ind w:right="235"/>
              <w:rPr>
                <w:rFonts w:ascii="Carlito"/>
                <w:sz w:val="16"/>
              </w:rPr>
            </w:pPr>
            <w:r>
              <w:rPr>
                <w:rFonts w:ascii="Carlito"/>
                <w:sz w:val="16"/>
              </w:rPr>
              <w:t>3</w:t>
            </w:r>
          </w:p>
        </w:tc>
        <w:tc>
          <w:tcPr>
            <w:tcW w:w="744" w:type="dxa"/>
          </w:tcPr>
          <w:p>
            <w:pPr>
              <w:pStyle w:val="TableParagraph"/>
              <w:ind w:right="303"/>
              <w:rPr>
                <w:rFonts w:ascii="Carlito"/>
                <w:sz w:val="16"/>
              </w:rPr>
            </w:pPr>
            <w:r>
              <w:rPr>
                <w:rFonts w:ascii="Carlito"/>
                <w:sz w:val="16"/>
              </w:rPr>
              <w:t>3.5</w:t>
            </w:r>
          </w:p>
        </w:tc>
        <w:tc>
          <w:tcPr>
            <w:tcW w:w="815" w:type="dxa"/>
          </w:tcPr>
          <w:p>
            <w:pPr>
              <w:pStyle w:val="TableParagraph"/>
              <w:ind w:left="302"/>
              <w:jc w:val="left"/>
              <w:rPr>
                <w:rFonts w:ascii="Carlito"/>
                <w:sz w:val="16"/>
              </w:rPr>
            </w:pPr>
            <w:r>
              <w:rPr>
                <w:rFonts w:ascii="Carlito"/>
                <w:sz w:val="16"/>
              </w:rPr>
              <w:t>2</w:t>
            </w:r>
          </w:p>
        </w:tc>
        <w:tc>
          <w:tcPr>
            <w:tcW w:w="1289" w:type="dxa"/>
          </w:tcPr>
          <w:p>
            <w:pPr>
              <w:pStyle w:val="TableParagraph"/>
              <w:ind w:right="570"/>
              <w:rPr>
                <w:rFonts w:ascii="Carlito"/>
                <w:sz w:val="16"/>
              </w:rPr>
            </w:pPr>
            <w:r>
              <w:rPr>
                <w:rFonts w:ascii="Carlito"/>
                <w:sz w:val="16"/>
              </w:rPr>
              <w:t>6.6</w:t>
            </w:r>
          </w:p>
        </w:tc>
        <w:tc>
          <w:tcPr>
            <w:tcW w:w="1139" w:type="dxa"/>
          </w:tcPr>
          <w:p>
            <w:pPr>
              <w:pStyle w:val="TableParagraph"/>
              <w:ind w:right="361"/>
              <w:rPr>
                <w:rFonts w:ascii="Carlito"/>
                <w:sz w:val="16"/>
              </w:rPr>
            </w:pPr>
            <w:r>
              <w:rPr>
                <w:rFonts w:ascii="Carlito"/>
                <w:sz w:val="16"/>
              </w:rPr>
              <w:t>5.8</w:t>
            </w:r>
          </w:p>
        </w:tc>
        <w:tc>
          <w:tcPr>
            <w:tcW w:w="825" w:type="dxa"/>
          </w:tcPr>
          <w:p>
            <w:pPr>
              <w:pStyle w:val="TableParagraph"/>
              <w:ind w:right="374"/>
              <w:rPr>
                <w:rFonts w:ascii="Carlito"/>
                <w:sz w:val="16"/>
              </w:rPr>
            </w:pPr>
            <w:r>
              <w:rPr>
                <w:rFonts w:ascii="Carlito"/>
                <w:sz w:val="16"/>
              </w:rPr>
              <w:t>0</w:t>
            </w:r>
          </w:p>
        </w:tc>
        <w:tc>
          <w:tcPr>
            <w:tcW w:w="529" w:type="dxa"/>
          </w:tcPr>
          <w:p>
            <w:pPr>
              <w:pStyle w:val="TableParagraph"/>
              <w:ind w:right="59"/>
              <w:rPr>
                <w:rFonts w:ascii="Carlito"/>
                <w:sz w:val="16"/>
              </w:rPr>
            </w:pPr>
            <w:r>
              <w:rPr>
                <w:rFonts w:ascii="Carlito"/>
                <w:sz w:val="16"/>
              </w:rPr>
              <w:t>0</w:t>
            </w:r>
          </w:p>
        </w:tc>
      </w:tr>
      <w:tr>
        <w:trPr>
          <w:trHeight w:val="392" w:hRule="atLeast"/>
        </w:trPr>
        <w:tc>
          <w:tcPr>
            <w:tcW w:w="756" w:type="dxa"/>
            <w:shd w:val="clear" w:color="auto" w:fill="D9D9D9"/>
          </w:tcPr>
          <w:p>
            <w:pPr>
              <w:pStyle w:val="TableParagraph"/>
              <w:spacing w:line="240" w:lineRule="auto" w:before="0"/>
              <w:jc w:val="left"/>
              <w:rPr>
                <w:b/>
                <w:sz w:val="17"/>
              </w:rPr>
            </w:pPr>
          </w:p>
          <w:p>
            <w:pPr>
              <w:pStyle w:val="TableParagraph"/>
              <w:spacing w:line="177" w:lineRule="exact" w:before="0"/>
              <w:ind w:right="143"/>
              <w:rPr>
                <w:rFonts w:ascii="Carlito"/>
                <w:sz w:val="16"/>
              </w:rPr>
            </w:pPr>
            <w:r>
              <w:rPr>
                <w:rFonts w:ascii="Carlito"/>
                <w:sz w:val="16"/>
              </w:rPr>
              <w:t>302</w:t>
            </w:r>
          </w:p>
        </w:tc>
        <w:tc>
          <w:tcPr>
            <w:tcW w:w="1938" w:type="dxa"/>
            <w:shd w:val="clear" w:color="auto" w:fill="D9D9D9"/>
          </w:tcPr>
          <w:p>
            <w:pPr>
              <w:pStyle w:val="TableParagraph"/>
              <w:spacing w:line="195" w:lineRule="exact" w:before="0"/>
              <w:ind w:left="143"/>
              <w:jc w:val="left"/>
              <w:rPr>
                <w:rFonts w:ascii="Carlito"/>
                <w:sz w:val="16"/>
              </w:rPr>
            </w:pPr>
            <w:r>
              <w:rPr>
                <w:rFonts w:ascii="Carlito"/>
                <w:sz w:val="16"/>
              </w:rPr>
              <w:t>San Antonio</w:t>
            </w:r>
            <w:r>
              <w:rPr>
                <w:rFonts w:ascii="Carlito"/>
                <w:spacing w:val="-11"/>
                <w:sz w:val="16"/>
              </w:rPr>
              <w:t> </w:t>
            </w:r>
            <w:r>
              <w:rPr>
                <w:rFonts w:ascii="Carlito"/>
                <w:sz w:val="16"/>
              </w:rPr>
              <w:t>de</w:t>
            </w:r>
          </w:p>
          <w:p>
            <w:pPr>
              <w:pStyle w:val="TableParagraph"/>
              <w:spacing w:line="177" w:lineRule="exact" w:before="1"/>
              <w:ind w:left="143"/>
              <w:jc w:val="left"/>
              <w:rPr>
                <w:rFonts w:ascii="Carlito"/>
                <w:sz w:val="16"/>
              </w:rPr>
            </w:pPr>
            <w:r>
              <w:rPr>
                <w:rFonts w:ascii="Carlito"/>
                <w:sz w:val="16"/>
              </w:rPr>
              <w:t>Desamparados</w:t>
            </w:r>
          </w:p>
        </w:tc>
        <w:tc>
          <w:tcPr>
            <w:tcW w:w="656" w:type="dxa"/>
            <w:shd w:val="clear" w:color="auto" w:fill="D9D9D9"/>
          </w:tcPr>
          <w:p>
            <w:pPr>
              <w:pStyle w:val="TableParagraph"/>
              <w:spacing w:line="240" w:lineRule="auto" w:before="0"/>
              <w:jc w:val="left"/>
              <w:rPr>
                <w:b/>
                <w:sz w:val="17"/>
              </w:rPr>
            </w:pPr>
          </w:p>
          <w:p>
            <w:pPr>
              <w:pStyle w:val="TableParagraph"/>
              <w:spacing w:line="177" w:lineRule="exact" w:before="0"/>
              <w:ind w:right="130"/>
              <w:rPr>
                <w:rFonts w:ascii="Carlito"/>
                <w:sz w:val="16"/>
              </w:rPr>
            </w:pPr>
            <w:r>
              <w:rPr>
                <w:rFonts w:ascii="Carlito"/>
                <w:sz w:val="16"/>
              </w:rPr>
              <w:t>0</w:t>
            </w:r>
          </w:p>
        </w:tc>
        <w:tc>
          <w:tcPr>
            <w:tcW w:w="1360" w:type="dxa"/>
            <w:shd w:val="clear" w:color="auto" w:fill="D9D9D9"/>
          </w:tcPr>
          <w:p>
            <w:pPr>
              <w:pStyle w:val="TableParagraph"/>
              <w:spacing w:line="240" w:lineRule="auto" w:before="0"/>
              <w:jc w:val="left"/>
              <w:rPr>
                <w:b/>
                <w:sz w:val="17"/>
              </w:rPr>
            </w:pPr>
          </w:p>
          <w:p>
            <w:pPr>
              <w:pStyle w:val="TableParagraph"/>
              <w:spacing w:line="177" w:lineRule="exact" w:before="0"/>
              <w:ind w:right="418"/>
              <w:rPr>
                <w:rFonts w:ascii="Carlito"/>
                <w:sz w:val="16"/>
              </w:rPr>
            </w:pPr>
            <w:r>
              <w:rPr>
                <w:rFonts w:ascii="Carlito"/>
                <w:sz w:val="16"/>
              </w:rPr>
              <w:t>$145,454.55</w:t>
            </w:r>
          </w:p>
        </w:tc>
        <w:tc>
          <w:tcPr>
            <w:tcW w:w="998" w:type="dxa"/>
            <w:shd w:val="clear" w:color="auto" w:fill="D9D9D9"/>
          </w:tcPr>
          <w:p>
            <w:pPr>
              <w:pStyle w:val="TableParagraph"/>
              <w:spacing w:line="240" w:lineRule="auto" w:before="0"/>
              <w:jc w:val="left"/>
              <w:rPr>
                <w:b/>
                <w:sz w:val="17"/>
              </w:rPr>
            </w:pPr>
          </w:p>
          <w:p>
            <w:pPr>
              <w:pStyle w:val="TableParagraph"/>
              <w:spacing w:line="177" w:lineRule="exact" w:before="0"/>
              <w:ind w:right="341"/>
              <w:rPr>
                <w:rFonts w:ascii="Carlito"/>
                <w:sz w:val="16"/>
              </w:rPr>
            </w:pPr>
            <w:r>
              <w:rPr>
                <w:rFonts w:ascii="Carlito"/>
                <w:sz w:val="16"/>
              </w:rPr>
              <w:t>130</w:t>
            </w:r>
          </w:p>
        </w:tc>
        <w:tc>
          <w:tcPr>
            <w:tcW w:w="1126" w:type="dxa"/>
            <w:shd w:val="clear" w:color="auto" w:fill="D9D9D9"/>
          </w:tcPr>
          <w:p>
            <w:pPr>
              <w:pStyle w:val="TableParagraph"/>
              <w:spacing w:line="240" w:lineRule="auto" w:before="0"/>
              <w:jc w:val="left"/>
              <w:rPr>
                <w:b/>
                <w:sz w:val="17"/>
              </w:rPr>
            </w:pPr>
          </w:p>
          <w:p>
            <w:pPr>
              <w:pStyle w:val="TableParagraph"/>
              <w:spacing w:line="177" w:lineRule="exact" w:before="0"/>
              <w:ind w:left="318" w:right="440"/>
              <w:jc w:val="center"/>
              <w:rPr>
                <w:rFonts w:ascii="Carlito"/>
                <w:sz w:val="16"/>
              </w:rPr>
            </w:pPr>
            <w:r>
              <w:rPr>
                <w:rFonts w:ascii="Carlito"/>
                <w:sz w:val="16"/>
              </w:rPr>
              <w:t>2010</w:t>
            </w:r>
          </w:p>
        </w:tc>
        <w:tc>
          <w:tcPr>
            <w:tcW w:w="782" w:type="dxa"/>
            <w:shd w:val="clear" w:color="auto" w:fill="D9D9D9"/>
          </w:tcPr>
          <w:p>
            <w:pPr>
              <w:pStyle w:val="TableParagraph"/>
              <w:spacing w:line="240" w:lineRule="auto" w:before="0"/>
              <w:jc w:val="left"/>
              <w:rPr>
                <w:b/>
                <w:sz w:val="17"/>
              </w:rPr>
            </w:pPr>
          </w:p>
          <w:p>
            <w:pPr>
              <w:pStyle w:val="TableParagraph"/>
              <w:spacing w:line="177" w:lineRule="exact" w:before="0"/>
              <w:ind w:right="235"/>
              <w:rPr>
                <w:rFonts w:ascii="Carlito"/>
                <w:sz w:val="16"/>
              </w:rPr>
            </w:pPr>
            <w:r>
              <w:rPr>
                <w:rFonts w:ascii="Carlito"/>
                <w:sz w:val="16"/>
              </w:rPr>
              <w:t>3</w:t>
            </w:r>
          </w:p>
        </w:tc>
        <w:tc>
          <w:tcPr>
            <w:tcW w:w="744" w:type="dxa"/>
            <w:shd w:val="clear" w:color="auto" w:fill="D9D9D9"/>
          </w:tcPr>
          <w:p>
            <w:pPr>
              <w:pStyle w:val="TableParagraph"/>
              <w:spacing w:line="240" w:lineRule="auto" w:before="0"/>
              <w:jc w:val="left"/>
              <w:rPr>
                <w:b/>
                <w:sz w:val="17"/>
              </w:rPr>
            </w:pPr>
          </w:p>
          <w:p>
            <w:pPr>
              <w:pStyle w:val="TableParagraph"/>
              <w:spacing w:line="177" w:lineRule="exact" w:before="0"/>
              <w:ind w:right="303"/>
              <w:rPr>
                <w:rFonts w:ascii="Carlito"/>
                <w:sz w:val="16"/>
              </w:rPr>
            </w:pPr>
            <w:r>
              <w:rPr>
                <w:rFonts w:ascii="Carlito"/>
                <w:sz w:val="16"/>
              </w:rPr>
              <w:t>2.5</w:t>
            </w:r>
          </w:p>
        </w:tc>
        <w:tc>
          <w:tcPr>
            <w:tcW w:w="815" w:type="dxa"/>
            <w:shd w:val="clear" w:color="auto" w:fill="D9D9D9"/>
          </w:tcPr>
          <w:p>
            <w:pPr>
              <w:pStyle w:val="TableParagraph"/>
              <w:spacing w:line="240" w:lineRule="auto" w:before="0"/>
              <w:jc w:val="left"/>
              <w:rPr>
                <w:b/>
                <w:sz w:val="17"/>
              </w:rPr>
            </w:pPr>
          </w:p>
          <w:p>
            <w:pPr>
              <w:pStyle w:val="TableParagraph"/>
              <w:spacing w:line="177" w:lineRule="exact" w:before="0"/>
              <w:ind w:left="302"/>
              <w:jc w:val="left"/>
              <w:rPr>
                <w:rFonts w:ascii="Carlito"/>
                <w:sz w:val="16"/>
              </w:rPr>
            </w:pPr>
            <w:r>
              <w:rPr>
                <w:rFonts w:ascii="Carlito"/>
                <w:sz w:val="16"/>
              </w:rPr>
              <w:t>2</w:t>
            </w:r>
          </w:p>
        </w:tc>
        <w:tc>
          <w:tcPr>
            <w:tcW w:w="1289" w:type="dxa"/>
            <w:shd w:val="clear" w:color="auto" w:fill="D9D9D9"/>
          </w:tcPr>
          <w:p>
            <w:pPr>
              <w:pStyle w:val="TableParagraph"/>
              <w:spacing w:line="240" w:lineRule="auto" w:before="0"/>
              <w:jc w:val="left"/>
              <w:rPr>
                <w:b/>
                <w:sz w:val="17"/>
              </w:rPr>
            </w:pPr>
          </w:p>
          <w:p>
            <w:pPr>
              <w:pStyle w:val="TableParagraph"/>
              <w:spacing w:line="177" w:lineRule="exact" w:before="0"/>
              <w:ind w:right="570"/>
              <w:rPr>
                <w:rFonts w:ascii="Carlito"/>
                <w:sz w:val="16"/>
              </w:rPr>
            </w:pPr>
            <w:r>
              <w:rPr>
                <w:rFonts w:ascii="Carlito"/>
                <w:sz w:val="16"/>
              </w:rPr>
              <w:t>6.6</w:t>
            </w:r>
          </w:p>
        </w:tc>
        <w:tc>
          <w:tcPr>
            <w:tcW w:w="1139" w:type="dxa"/>
            <w:shd w:val="clear" w:color="auto" w:fill="D9D9D9"/>
          </w:tcPr>
          <w:p>
            <w:pPr>
              <w:pStyle w:val="TableParagraph"/>
              <w:spacing w:line="240" w:lineRule="auto" w:before="0"/>
              <w:jc w:val="left"/>
              <w:rPr>
                <w:b/>
                <w:sz w:val="17"/>
              </w:rPr>
            </w:pPr>
          </w:p>
          <w:p>
            <w:pPr>
              <w:pStyle w:val="TableParagraph"/>
              <w:spacing w:line="177" w:lineRule="exact" w:before="0"/>
              <w:ind w:right="361"/>
              <w:rPr>
                <w:rFonts w:ascii="Carlito"/>
                <w:sz w:val="16"/>
              </w:rPr>
            </w:pPr>
            <w:r>
              <w:rPr>
                <w:rFonts w:ascii="Carlito"/>
                <w:sz w:val="16"/>
              </w:rPr>
              <w:t>1.3</w:t>
            </w:r>
          </w:p>
        </w:tc>
        <w:tc>
          <w:tcPr>
            <w:tcW w:w="825" w:type="dxa"/>
            <w:shd w:val="clear" w:color="auto" w:fill="D9D9D9"/>
          </w:tcPr>
          <w:p>
            <w:pPr>
              <w:pStyle w:val="TableParagraph"/>
              <w:spacing w:line="240" w:lineRule="auto" w:before="0"/>
              <w:jc w:val="left"/>
              <w:rPr>
                <w:b/>
                <w:sz w:val="17"/>
              </w:rPr>
            </w:pPr>
          </w:p>
          <w:p>
            <w:pPr>
              <w:pStyle w:val="TableParagraph"/>
              <w:spacing w:line="177" w:lineRule="exact" w:before="0"/>
              <w:ind w:right="374"/>
              <w:rPr>
                <w:rFonts w:ascii="Carlito"/>
                <w:sz w:val="16"/>
              </w:rPr>
            </w:pPr>
            <w:r>
              <w:rPr>
                <w:rFonts w:ascii="Carlito"/>
                <w:sz w:val="16"/>
              </w:rPr>
              <w:t>0</w:t>
            </w:r>
          </w:p>
        </w:tc>
        <w:tc>
          <w:tcPr>
            <w:tcW w:w="529" w:type="dxa"/>
            <w:shd w:val="clear" w:color="auto" w:fill="D9D9D9"/>
          </w:tcPr>
          <w:p>
            <w:pPr>
              <w:pStyle w:val="TableParagraph"/>
              <w:spacing w:line="240" w:lineRule="auto" w:before="0"/>
              <w:jc w:val="left"/>
              <w:rPr>
                <w:b/>
                <w:sz w:val="17"/>
              </w:rPr>
            </w:pPr>
          </w:p>
          <w:p>
            <w:pPr>
              <w:pStyle w:val="TableParagraph"/>
              <w:spacing w:line="177" w:lineRule="exact" w:before="0"/>
              <w:ind w:right="59"/>
              <w:rPr>
                <w:rFonts w:ascii="Carlito"/>
                <w:sz w:val="16"/>
              </w:rPr>
            </w:pPr>
            <w:r>
              <w:rPr>
                <w:rFonts w:ascii="Carlito"/>
                <w:sz w:val="16"/>
              </w:rPr>
              <w:t>0</w:t>
            </w:r>
          </w:p>
        </w:tc>
      </w:tr>
      <w:tr>
        <w:trPr>
          <w:trHeight w:val="287" w:hRule="atLeast"/>
        </w:trPr>
        <w:tc>
          <w:tcPr>
            <w:tcW w:w="756" w:type="dxa"/>
          </w:tcPr>
          <w:p>
            <w:pPr>
              <w:pStyle w:val="TableParagraph"/>
              <w:ind w:right="143"/>
              <w:rPr>
                <w:rFonts w:ascii="Carlito"/>
                <w:sz w:val="16"/>
              </w:rPr>
            </w:pPr>
            <w:r>
              <w:rPr>
                <w:rFonts w:ascii="Carlito"/>
                <w:sz w:val="16"/>
              </w:rPr>
              <w:t>303</w:t>
            </w:r>
          </w:p>
        </w:tc>
        <w:tc>
          <w:tcPr>
            <w:tcW w:w="1938" w:type="dxa"/>
          </w:tcPr>
          <w:p>
            <w:pPr>
              <w:pStyle w:val="TableParagraph"/>
              <w:ind w:left="143"/>
              <w:jc w:val="left"/>
              <w:rPr>
                <w:rFonts w:ascii="Carlito" w:hAnsi="Carlito"/>
                <w:sz w:val="16"/>
              </w:rPr>
            </w:pPr>
            <w:r>
              <w:rPr>
                <w:rFonts w:ascii="Carlito" w:hAnsi="Carlito"/>
                <w:sz w:val="16"/>
              </w:rPr>
              <w:t>Tres Ríos</w:t>
            </w:r>
          </w:p>
        </w:tc>
        <w:tc>
          <w:tcPr>
            <w:tcW w:w="656" w:type="dxa"/>
          </w:tcPr>
          <w:p>
            <w:pPr>
              <w:pStyle w:val="TableParagraph"/>
              <w:ind w:right="130"/>
              <w:rPr>
                <w:rFonts w:ascii="Carlito"/>
                <w:sz w:val="16"/>
              </w:rPr>
            </w:pPr>
            <w:r>
              <w:rPr>
                <w:rFonts w:ascii="Carlito"/>
                <w:sz w:val="16"/>
              </w:rPr>
              <w:t>1</w:t>
            </w:r>
          </w:p>
        </w:tc>
        <w:tc>
          <w:tcPr>
            <w:tcW w:w="1360" w:type="dxa"/>
          </w:tcPr>
          <w:p>
            <w:pPr>
              <w:pStyle w:val="TableParagraph"/>
              <w:ind w:right="418"/>
              <w:rPr>
                <w:rFonts w:ascii="Carlito"/>
                <w:sz w:val="16"/>
              </w:rPr>
            </w:pPr>
            <w:r>
              <w:rPr>
                <w:rFonts w:ascii="Carlito"/>
                <w:sz w:val="16"/>
              </w:rPr>
              <w:t>$178,000.00</w:t>
            </w:r>
          </w:p>
        </w:tc>
        <w:tc>
          <w:tcPr>
            <w:tcW w:w="998" w:type="dxa"/>
          </w:tcPr>
          <w:p>
            <w:pPr>
              <w:pStyle w:val="TableParagraph"/>
              <w:ind w:right="341"/>
              <w:rPr>
                <w:rFonts w:ascii="Carlito"/>
                <w:sz w:val="16"/>
              </w:rPr>
            </w:pPr>
            <w:r>
              <w:rPr>
                <w:rFonts w:ascii="Carlito"/>
                <w:sz w:val="16"/>
              </w:rPr>
              <w:t>185</w:t>
            </w:r>
          </w:p>
        </w:tc>
        <w:tc>
          <w:tcPr>
            <w:tcW w:w="1126" w:type="dxa"/>
          </w:tcPr>
          <w:p>
            <w:pPr>
              <w:pStyle w:val="TableParagraph"/>
              <w:ind w:left="318" w:right="440"/>
              <w:jc w:val="center"/>
              <w:rPr>
                <w:rFonts w:ascii="Carlito"/>
                <w:sz w:val="16"/>
              </w:rPr>
            </w:pPr>
            <w:r>
              <w:rPr>
                <w:rFonts w:ascii="Carlito"/>
                <w:sz w:val="16"/>
              </w:rPr>
              <w:t>2006</w:t>
            </w:r>
          </w:p>
        </w:tc>
        <w:tc>
          <w:tcPr>
            <w:tcW w:w="782" w:type="dxa"/>
          </w:tcPr>
          <w:p>
            <w:pPr>
              <w:pStyle w:val="TableParagraph"/>
              <w:ind w:right="235"/>
              <w:rPr>
                <w:rFonts w:ascii="Carlito"/>
                <w:sz w:val="16"/>
              </w:rPr>
            </w:pPr>
            <w:r>
              <w:rPr>
                <w:rFonts w:ascii="Carlito"/>
                <w:sz w:val="16"/>
              </w:rPr>
              <w:t>3</w:t>
            </w:r>
          </w:p>
        </w:tc>
        <w:tc>
          <w:tcPr>
            <w:tcW w:w="744" w:type="dxa"/>
          </w:tcPr>
          <w:p>
            <w:pPr>
              <w:pStyle w:val="TableParagraph"/>
              <w:ind w:right="298"/>
              <w:rPr>
                <w:rFonts w:ascii="Carlito"/>
                <w:sz w:val="16"/>
              </w:rPr>
            </w:pPr>
            <w:r>
              <w:rPr>
                <w:rFonts w:ascii="Carlito"/>
                <w:sz w:val="16"/>
              </w:rPr>
              <w:t>2</w:t>
            </w:r>
          </w:p>
        </w:tc>
        <w:tc>
          <w:tcPr>
            <w:tcW w:w="815" w:type="dxa"/>
          </w:tcPr>
          <w:p>
            <w:pPr>
              <w:pStyle w:val="TableParagraph"/>
              <w:ind w:left="302"/>
              <w:jc w:val="left"/>
              <w:rPr>
                <w:rFonts w:ascii="Carlito"/>
                <w:sz w:val="16"/>
              </w:rPr>
            </w:pPr>
            <w:r>
              <w:rPr>
                <w:rFonts w:ascii="Carlito"/>
                <w:sz w:val="16"/>
              </w:rPr>
              <w:t>1</w:t>
            </w:r>
          </w:p>
        </w:tc>
        <w:tc>
          <w:tcPr>
            <w:tcW w:w="1289" w:type="dxa"/>
          </w:tcPr>
          <w:p>
            <w:pPr>
              <w:pStyle w:val="TableParagraph"/>
              <w:ind w:right="570"/>
              <w:rPr>
                <w:rFonts w:ascii="Carlito"/>
                <w:sz w:val="16"/>
              </w:rPr>
            </w:pPr>
            <w:r>
              <w:rPr>
                <w:rFonts w:ascii="Carlito"/>
                <w:sz w:val="16"/>
              </w:rPr>
              <w:t>12.6</w:t>
            </w:r>
          </w:p>
        </w:tc>
        <w:tc>
          <w:tcPr>
            <w:tcW w:w="1139" w:type="dxa"/>
          </w:tcPr>
          <w:p>
            <w:pPr>
              <w:pStyle w:val="TableParagraph"/>
              <w:ind w:right="357"/>
              <w:rPr>
                <w:rFonts w:ascii="Carlito"/>
                <w:sz w:val="16"/>
              </w:rPr>
            </w:pPr>
            <w:r>
              <w:rPr>
                <w:rFonts w:ascii="Carlito"/>
                <w:sz w:val="16"/>
              </w:rPr>
              <w:t>3</w:t>
            </w:r>
          </w:p>
        </w:tc>
        <w:tc>
          <w:tcPr>
            <w:tcW w:w="825" w:type="dxa"/>
          </w:tcPr>
          <w:p>
            <w:pPr>
              <w:pStyle w:val="TableParagraph"/>
              <w:ind w:right="374"/>
              <w:rPr>
                <w:rFonts w:ascii="Carlito"/>
                <w:sz w:val="16"/>
              </w:rPr>
            </w:pPr>
            <w:r>
              <w:rPr>
                <w:rFonts w:ascii="Carlito"/>
                <w:sz w:val="16"/>
              </w:rPr>
              <w:t>0</w:t>
            </w:r>
          </w:p>
        </w:tc>
        <w:tc>
          <w:tcPr>
            <w:tcW w:w="529" w:type="dxa"/>
          </w:tcPr>
          <w:p>
            <w:pPr>
              <w:pStyle w:val="TableParagraph"/>
              <w:ind w:right="59"/>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304</w:t>
            </w:r>
          </w:p>
        </w:tc>
        <w:tc>
          <w:tcPr>
            <w:tcW w:w="1938" w:type="dxa"/>
            <w:shd w:val="clear" w:color="auto" w:fill="D9D9D9"/>
          </w:tcPr>
          <w:p>
            <w:pPr>
              <w:pStyle w:val="TableParagraph"/>
              <w:ind w:left="143"/>
              <w:jc w:val="left"/>
              <w:rPr>
                <w:rFonts w:ascii="Carlito"/>
                <w:sz w:val="16"/>
              </w:rPr>
            </w:pPr>
            <w:r>
              <w:rPr>
                <w:rFonts w:ascii="Carlito"/>
                <w:sz w:val="16"/>
              </w:rPr>
              <w:t>Pinares</w:t>
            </w:r>
          </w:p>
        </w:tc>
        <w:tc>
          <w:tcPr>
            <w:tcW w:w="656" w:type="dxa"/>
            <w:shd w:val="clear" w:color="auto" w:fill="D9D9D9"/>
          </w:tcPr>
          <w:p>
            <w:pPr>
              <w:pStyle w:val="TableParagraph"/>
              <w:ind w:right="130"/>
              <w:rPr>
                <w:rFonts w:ascii="Carlito"/>
                <w:sz w:val="16"/>
              </w:rPr>
            </w:pPr>
            <w:r>
              <w:rPr>
                <w:rFonts w:ascii="Carlito"/>
                <w:sz w:val="16"/>
              </w:rPr>
              <w:t>1</w:t>
            </w:r>
          </w:p>
        </w:tc>
        <w:tc>
          <w:tcPr>
            <w:tcW w:w="1360" w:type="dxa"/>
            <w:shd w:val="clear" w:color="auto" w:fill="D9D9D9"/>
          </w:tcPr>
          <w:p>
            <w:pPr>
              <w:pStyle w:val="TableParagraph"/>
              <w:ind w:right="418"/>
              <w:rPr>
                <w:rFonts w:ascii="Carlito"/>
                <w:sz w:val="16"/>
              </w:rPr>
            </w:pPr>
            <w:r>
              <w:rPr>
                <w:rFonts w:ascii="Carlito"/>
                <w:sz w:val="16"/>
              </w:rPr>
              <w:t>$450,000.00</w:t>
            </w:r>
          </w:p>
        </w:tc>
        <w:tc>
          <w:tcPr>
            <w:tcW w:w="998" w:type="dxa"/>
            <w:shd w:val="clear" w:color="auto" w:fill="D9D9D9"/>
          </w:tcPr>
          <w:p>
            <w:pPr>
              <w:pStyle w:val="TableParagraph"/>
              <w:ind w:right="341"/>
              <w:rPr>
                <w:rFonts w:ascii="Carlito"/>
                <w:sz w:val="16"/>
              </w:rPr>
            </w:pPr>
            <w:r>
              <w:rPr>
                <w:rFonts w:ascii="Carlito"/>
                <w:sz w:val="16"/>
              </w:rPr>
              <w:t>300</w:t>
            </w:r>
          </w:p>
        </w:tc>
        <w:tc>
          <w:tcPr>
            <w:tcW w:w="1126" w:type="dxa"/>
            <w:shd w:val="clear" w:color="auto" w:fill="D9D9D9"/>
          </w:tcPr>
          <w:p>
            <w:pPr>
              <w:pStyle w:val="TableParagraph"/>
              <w:ind w:left="318" w:right="440"/>
              <w:jc w:val="center"/>
              <w:rPr>
                <w:rFonts w:ascii="Carlito"/>
                <w:sz w:val="16"/>
              </w:rPr>
            </w:pPr>
            <w:r>
              <w:rPr>
                <w:rFonts w:ascii="Carlito"/>
                <w:sz w:val="16"/>
              </w:rPr>
              <w:t>2007</w:t>
            </w:r>
          </w:p>
        </w:tc>
        <w:tc>
          <w:tcPr>
            <w:tcW w:w="782" w:type="dxa"/>
            <w:shd w:val="clear" w:color="auto" w:fill="D9D9D9"/>
          </w:tcPr>
          <w:p>
            <w:pPr>
              <w:pStyle w:val="TableParagraph"/>
              <w:ind w:right="235"/>
              <w:rPr>
                <w:rFonts w:ascii="Carlito"/>
                <w:sz w:val="16"/>
              </w:rPr>
            </w:pPr>
            <w:r>
              <w:rPr>
                <w:rFonts w:ascii="Carlito"/>
                <w:sz w:val="16"/>
              </w:rPr>
              <w:t>3</w:t>
            </w:r>
          </w:p>
        </w:tc>
        <w:tc>
          <w:tcPr>
            <w:tcW w:w="744" w:type="dxa"/>
            <w:shd w:val="clear" w:color="auto" w:fill="D9D9D9"/>
          </w:tcPr>
          <w:p>
            <w:pPr>
              <w:pStyle w:val="TableParagraph"/>
              <w:ind w:right="298"/>
              <w:rPr>
                <w:rFonts w:ascii="Carlito"/>
                <w:sz w:val="16"/>
              </w:rPr>
            </w:pPr>
            <w:r>
              <w:rPr>
                <w:rFonts w:ascii="Carlito"/>
                <w:sz w:val="16"/>
              </w:rPr>
              <w:t>3</w:t>
            </w:r>
          </w:p>
        </w:tc>
        <w:tc>
          <w:tcPr>
            <w:tcW w:w="815" w:type="dxa"/>
            <w:shd w:val="clear" w:color="auto" w:fill="D9D9D9"/>
          </w:tcPr>
          <w:p>
            <w:pPr>
              <w:pStyle w:val="TableParagraph"/>
              <w:ind w:left="302"/>
              <w:jc w:val="left"/>
              <w:rPr>
                <w:rFonts w:ascii="Carlito"/>
                <w:sz w:val="16"/>
              </w:rPr>
            </w:pPr>
            <w:r>
              <w:rPr>
                <w:rFonts w:ascii="Carlito"/>
                <w:sz w:val="16"/>
              </w:rPr>
              <w:t>2</w:t>
            </w:r>
          </w:p>
        </w:tc>
        <w:tc>
          <w:tcPr>
            <w:tcW w:w="1289" w:type="dxa"/>
            <w:shd w:val="clear" w:color="auto" w:fill="D9D9D9"/>
          </w:tcPr>
          <w:p>
            <w:pPr>
              <w:pStyle w:val="TableParagraph"/>
              <w:ind w:right="570"/>
              <w:rPr>
                <w:rFonts w:ascii="Carlito"/>
                <w:sz w:val="16"/>
              </w:rPr>
            </w:pPr>
            <w:r>
              <w:rPr>
                <w:rFonts w:ascii="Carlito"/>
                <w:sz w:val="16"/>
              </w:rPr>
              <w:t>7.4</w:t>
            </w:r>
          </w:p>
        </w:tc>
        <w:tc>
          <w:tcPr>
            <w:tcW w:w="1139" w:type="dxa"/>
            <w:shd w:val="clear" w:color="auto" w:fill="D9D9D9"/>
          </w:tcPr>
          <w:p>
            <w:pPr>
              <w:pStyle w:val="TableParagraph"/>
              <w:ind w:right="361"/>
              <w:rPr>
                <w:rFonts w:ascii="Carlito"/>
                <w:sz w:val="16"/>
              </w:rPr>
            </w:pPr>
            <w:r>
              <w:rPr>
                <w:rFonts w:ascii="Carlito"/>
                <w:sz w:val="16"/>
              </w:rPr>
              <w:t>3.6</w:t>
            </w:r>
          </w:p>
        </w:tc>
        <w:tc>
          <w:tcPr>
            <w:tcW w:w="825" w:type="dxa"/>
            <w:shd w:val="clear" w:color="auto" w:fill="D9D9D9"/>
          </w:tcPr>
          <w:p>
            <w:pPr>
              <w:pStyle w:val="TableParagraph"/>
              <w:ind w:right="374"/>
              <w:rPr>
                <w:rFonts w:ascii="Carlito"/>
                <w:sz w:val="16"/>
              </w:rPr>
            </w:pPr>
            <w:r>
              <w:rPr>
                <w:rFonts w:ascii="Carlito"/>
                <w:sz w:val="16"/>
              </w:rPr>
              <w:t>0</w:t>
            </w:r>
          </w:p>
        </w:tc>
        <w:tc>
          <w:tcPr>
            <w:tcW w:w="529" w:type="dxa"/>
            <w:shd w:val="clear" w:color="auto" w:fill="D9D9D9"/>
          </w:tcPr>
          <w:p>
            <w:pPr>
              <w:pStyle w:val="TableParagraph"/>
              <w:ind w:right="59"/>
              <w:rPr>
                <w:rFonts w:ascii="Carlito"/>
                <w:sz w:val="16"/>
              </w:rPr>
            </w:pPr>
            <w:r>
              <w:rPr>
                <w:rFonts w:ascii="Carlito"/>
                <w:sz w:val="16"/>
              </w:rPr>
              <w:t>0</w:t>
            </w:r>
          </w:p>
        </w:tc>
      </w:tr>
      <w:tr>
        <w:trPr>
          <w:trHeight w:val="288" w:hRule="atLeast"/>
        </w:trPr>
        <w:tc>
          <w:tcPr>
            <w:tcW w:w="756" w:type="dxa"/>
          </w:tcPr>
          <w:p>
            <w:pPr>
              <w:pStyle w:val="TableParagraph"/>
              <w:spacing w:line="177" w:lineRule="exact"/>
              <w:ind w:right="143"/>
              <w:rPr>
                <w:rFonts w:ascii="Carlito"/>
                <w:sz w:val="16"/>
              </w:rPr>
            </w:pPr>
            <w:r>
              <w:rPr>
                <w:rFonts w:ascii="Carlito"/>
                <w:sz w:val="16"/>
              </w:rPr>
              <w:t>305</w:t>
            </w:r>
          </w:p>
        </w:tc>
        <w:tc>
          <w:tcPr>
            <w:tcW w:w="1938" w:type="dxa"/>
          </w:tcPr>
          <w:p>
            <w:pPr>
              <w:pStyle w:val="TableParagraph"/>
              <w:spacing w:line="177" w:lineRule="exact"/>
              <w:ind w:left="143"/>
              <w:jc w:val="left"/>
              <w:rPr>
                <w:rFonts w:ascii="Carlito"/>
                <w:sz w:val="16"/>
              </w:rPr>
            </w:pPr>
            <w:r>
              <w:rPr>
                <w:rFonts w:ascii="Carlito"/>
                <w:sz w:val="16"/>
              </w:rPr>
              <w:t>Lomas de Ayarco</w:t>
            </w:r>
          </w:p>
        </w:tc>
        <w:tc>
          <w:tcPr>
            <w:tcW w:w="656" w:type="dxa"/>
          </w:tcPr>
          <w:p>
            <w:pPr>
              <w:pStyle w:val="TableParagraph"/>
              <w:spacing w:line="177" w:lineRule="exact"/>
              <w:ind w:right="130"/>
              <w:rPr>
                <w:rFonts w:ascii="Carlito"/>
                <w:sz w:val="16"/>
              </w:rPr>
            </w:pPr>
            <w:r>
              <w:rPr>
                <w:rFonts w:ascii="Carlito"/>
                <w:sz w:val="16"/>
              </w:rPr>
              <w:t>1</w:t>
            </w:r>
          </w:p>
        </w:tc>
        <w:tc>
          <w:tcPr>
            <w:tcW w:w="1360" w:type="dxa"/>
          </w:tcPr>
          <w:p>
            <w:pPr>
              <w:pStyle w:val="TableParagraph"/>
              <w:spacing w:line="177" w:lineRule="exact"/>
              <w:ind w:right="415"/>
              <w:rPr>
                <w:rFonts w:ascii="Carlito"/>
                <w:sz w:val="16"/>
              </w:rPr>
            </w:pPr>
            <w:r>
              <w:rPr>
                <w:rFonts w:ascii="Carlito"/>
                <w:sz w:val="16"/>
              </w:rPr>
              <w:t>$260,000.00</w:t>
            </w:r>
          </w:p>
        </w:tc>
        <w:tc>
          <w:tcPr>
            <w:tcW w:w="998" w:type="dxa"/>
          </w:tcPr>
          <w:p>
            <w:pPr>
              <w:pStyle w:val="TableParagraph"/>
              <w:spacing w:line="177" w:lineRule="exact"/>
              <w:ind w:right="341"/>
              <w:rPr>
                <w:rFonts w:ascii="Carlito"/>
                <w:sz w:val="16"/>
              </w:rPr>
            </w:pPr>
            <w:r>
              <w:rPr>
                <w:rFonts w:ascii="Carlito"/>
                <w:sz w:val="16"/>
              </w:rPr>
              <w:t>270</w:t>
            </w:r>
          </w:p>
        </w:tc>
        <w:tc>
          <w:tcPr>
            <w:tcW w:w="1126" w:type="dxa"/>
          </w:tcPr>
          <w:p>
            <w:pPr>
              <w:pStyle w:val="TableParagraph"/>
              <w:spacing w:line="177" w:lineRule="exact"/>
              <w:ind w:left="318" w:right="440"/>
              <w:jc w:val="center"/>
              <w:rPr>
                <w:rFonts w:ascii="Carlito"/>
                <w:sz w:val="16"/>
              </w:rPr>
            </w:pPr>
            <w:r>
              <w:rPr>
                <w:rFonts w:ascii="Carlito"/>
                <w:sz w:val="16"/>
              </w:rPr>
              <w:t>2006</w:t>
            </w:r>
          </w:p>
        </w:tc>
        <w:tc>
          <w:tcPr>
            <w:tcW w:w="782" w:type="dxa"/>
          </w:tcPr>
          <w:p>
            <w:pPr>
              <w:pStyle w:val="TableParagraph"/>
              <w:spacing w:line="177" w:lineRule="exact"/>
              <w:ind w:right="235"/>
              <w:rPr>
                <w:rFonts w:ascii="Carlito"/>
                <w:sz w:val="16"/>
              </w:rPr>
            </w:pPr>
            <w:r>
              <w:rPr>
                <w:rFonts w:ascii="Carlito"/>
                <w:sz w:val="16"/>
              </w:rPr>
              <w:t>3</w:t>
            </w:r>
          </w:p>
        </w:tc>
        <w:tc>
          <w:tcPr>
            <w:tcW w:w="744" w:type="dxa"/>
          </w:tcPr>
          <w:p>
            <w:pPr>
              <w:pStyle w:val="TableParagraph"/>
              <w:spacing w:line="177" w:lineRule="exact"/>
              <w:ind w:right="298"/>
              <w:rPr>
                <w:rFonts w:ascii="Carlito"/>
                <w:sz w:val="16"/>
              </w:rPr>
            </w:pPr>
            <w:r>
              <w:rPr>
                <w:rFonts w:ascii="Carlito"/>
                <w:sz w:val="16"/>
              </w:rPr>
              <w:t>3</w:t>
            </w:r>
          </w:p>
        </w:tc>
        <w:tc>
          <w:tcPr>
            <w:tcW w:w="815" w:type="dxa"/>
          </w:tcPr>
          <w:p>
            <w:pPr>
              <w:pStyle w:val="TableParagraph"/>
              <w:spacing w:line="177" w:lineRule="exact"/>
              <w:ind w:left="302"/>
              <w:jc w:val="left"/>
              <w:rPr>
                <w:rFonts w:ascii="Carlito"/>
                <w:sz w:val="16"/>
              </w:rPr>
            </w:pPr>
            <w:r>
              <w:rPr>
                <w:rFonts w:ascii="Carlito"/>
                <w:sz w:val="16"/>
              </w:rPr>
              <w:t>2</w:t>
            </w:r>
          </w:p>
        </w:tc>
        <w:tc>
          <w:tcPr>
            <w:tcW w:w="1289" w:type="dxa"/>
          </w:tcPr>
          <w:p>
            <w:pPr>
              <w:pStyle w:val="TableParagraph"/>
              <w:spacing w:line="177" w:lineRule="exact"/>
              <w:ind w:right="570"/>
              <w:rPr>
                <w:rFonts w:ascii="Carlito"/>
                <w:sz w:val="16"/>
              </w:rPr>
            </w:pPr>
            <w:r>
              <w:rPr>
                <w:rFonts w:ascii="Carlito"/>
                <w:sz w:val="16"/>
              </w:rPr>
              <w:t>8.55</w:t>
            </w:r>
          </w:p>
        </w:tc>
        <w:tc>
          <w:tcPr>
            <w:tcW w:w="1139" w:type="dxa"/>
          </w:tcPr>
          <w:p>
            <w:pPr>
              <w:pStyle w:val="TableParagraph"/>
              <w:spacing w:line="177" w:lineRule="exact"/>
              <w:ind w:right="361"/>
              <w:rPr>
                <w:rFonts w:ascii="Carlito"/>
                <w:sz w:val="16"/>
              </w:rPr>
            </w:pPr>
            <w:r>
              <w:rPr>
                <w:rFonts w:ascii="Carlito"/>
                <w:sz w:val="16"/>
              </w:rPr>
              <w:t>2.9</w:t>
            </w:r>
          </w:p>
        </w:tc>
        <w:tc>
          <w:tcPr>
            <w:tcW w:w="825" w:type="dxa"/>
          </w:tcPr>
          <w:p>
            <w:pPr>
              <w:pStyle w:val="TableParagraph"/>
              <w:spacing w:line="177" w:lineRule="exact"/>
              <w:ind w:right="374"/>
              <w:rPr>
                <w:rFonts w:ascii="Carlito"/>
                <w:sz w:val="16"/>
              </w:rPr>
            </w:pPr>
            <w:r>
              <w:rPr>
                <w:rFonts w:ascii="Carlito"/>
                <w:sz w:val="16"/>
              </w:rPr>
              <w:t>0</w:t>
            </w:r>
          </w:p>
        </w:tc>
        <w:tc>
          <w:tcPr>
            <w:tcW w:w="529" w:type="dxa"/>
          </w:tcPr>
          <w:p>
            <w:pPr>
              <w:pStyle w:val="TableParagraph"/>
              <w:spacing w:line="177" w:lineRule="exact"/>
              <w:ind w:right="59"/>
              <w:rPr>
                <w:rFonts w:ascii="Carlito"/>
                <w:sz w:val="16"/>
              </w:rPr>
            </w:pPr>
            <w:r>
              <w:rPr>
                <w:rFonts w:ascii="Carlito"/>
                <w:sz w:val="16"/>
              </w:rPr>
              <w:t>1</w:t>
            </w:r>
          </w:p>
        </w:tc>
      </w:tr>
      <w:tr>
        <w:trPr>
          <w:trHeight w:val="287" w:hRule="atLeast"/>
        </w:trPr>
        <w:tc>
          <w:tcPr>
            <w:tcW w:w="756" w:type="dxa"/>
            <w:shd w:val="clear" w:color="auto" w:fill="D9D9D9"/>
          </w:tcPr>
          <w:p>
            <w:pPr>
              <w:pStyle w:val="TableParagraph"/>
              <w:ind w:right="143"/>
              <w:rPr>
                <w:rFonts w:ascii="Carlito"/>
                <w:sz w:val="16"/>
              </w:rPr>
            </w:pPr>
            <w:r>
              <w:rPr>
                <w:rFonts w:ascii="Carlito"/>
                <w:sz w:val="16"/>
              </w:rPr>
              <w:t>306</w:t>
            </w:r>
          </w:p>
        </w:tc>
        <w:tc>
          <w:tcPr>
            <w:tcW w:w="1938" w:type="dxa"/>
            <w:shd w:val="clear" w:color="auto" w:fill="D9D9D9"/>
          </w:tcPr>
          <w:p>
            <w:pPr>
              <w:pStyle w:val="TableParagraph"/>
              <w:ind w:left="143"/>
              <w:jc w:val="left"/>
              <w:rPr>
                <w:rFonts w:ascii="Carlito" w:hAnsi="Carlito"/>
                <w:sz w:val="16"/>
              </w:rPr>
            </w:pPr>
            <w:r>
              <w:rPr>
                <w:rFonts w:ascii="Carlito" w:hAnsi="Carlito"/>
                <w:sz w:val="16"/>
              </w:rPr>
              <w:t>Monterán</w:t>
            </w:r>
          </w:p>
        </w:tc>
        <w:tc>
          <w:tcPr>
            <w:tcW w:w="656" w:type="dxa"/>
            <w:shd w:val="clear" w:color="auto" w:fill="D9D9D9"/>
          </w:tcPr>
          <w:p>
            <w:pPr>
              <w:pStyle w:val="TableParagraph"/>
              <w:ind w:right="130"/>
              <w:rPr>
                <w:rFonts w:ascii="Carlito"/>
                <w:sz w:val="16"/>
              </w:rPr>
            </w:pPr>
            <w:r>
              <w:rPr>
                <w:rFonts w:ascii="Carlito"/>
                <w:sz w:val="16"/>
              </w:rPr>
              <w:t>0</w:t>
            </w:r>
          </w:p>
        </w:tc>
        <w:tc>
          <w:tcPr>
            <w:tcW w:w="1360" w:type="dxa"/>
            <w:shd w:val="clear" w:color="auto" w:fill="D9D9D9"/>
          </w:tcPr>
          <w:p>
            <w:pPr>
              <w:pStyle w:val="TableParagraph"/>
              <w:ind w:right="418"/>
              <w:rPr>
                <w:rFonts w:ascii="Carlito"/>
                <w:sz w:val="16"/>
              </w:rPr>
            </w:pPr>
            <w:r>
              <w:rPr>
                <w:rFonts w:ascii="Carlito"/>
                <w:sz w:val="16"/>
              </w:rPr>
              <w:t>$167,000.00</w:t>
            </w:r>
          </w:p>
        </w:tc>
        <w:tc>
          <w:tcPr>
            <w:tcW w:w="998" w:type="dxa"/>
            <w:shd w:val="clear" w:color="auto" w:fill="D9D9D9"/>
          </w:tcPr>
          <w:p>
            <w:pPr>
              <w:pStyle w:val="TableParagraph"/>
              <w:ind w:right="341"/>
              <w:rPr>
                <w:rFonts w:ascii="Carlito"/>
                <w:sz w:val="16"/>
              </w:rPr>
            </w:pPr>
            <w:r>
              <w:rPr>
                <w:rFonts w:ascii="Carlito"/>
                <w:sz w:val="16"/>
              </w:rPr>
              <w:t>155</w:t>
            </w:r>
          </w:p>
        </w:tc>
        <w:tc>
          <w:tcPr>
            <w:tcW w:w="1126" w:type="dxa"/>
            <w:shd w:val="clear" w:color="auto" w:fill="D9D9D9"/>
          </w:tcPr>
          <w:p>
            <w:pPr>
              <w:pStyle w:val="TableParagraph"/>
              <w:ind w:left="318" w:right="440"/>
              <w:jc w:val="center"/>
              <w:rPr>
                <w:rFonts w:ascii="Carlito"/>
                <w:sz w:val="16"/>
              </w:rPr>
            </w:pPr>
            <w:r>
              <w:rPr>
                <w:rFonts w:ascii="Carlito"/>
                <w:sz w:val="16"/>
              </w:rPr>
              <w:t>2006</w:t>
            </w:r>
          </w:p>
        </w:tc>
        <w:tc>
          <w:tcPr>
            <w:tcW w:w="782" w:type="dxa"/>
            <w:shd w:val="clear" w:color="auto" w:fill="D9D9D9"/>
          </w:tcPr>
          <w:p>
            <w:pPr>
              <w:pStyle w:val="TableParagraph"/>
              <w:ind w:right="235"/>
              <w:rPr>
                <w:rFonts w:ascii="Carlito"/>
                <w:sz w:val="16"/>
              </w:rPr>
            </w:pPr>
            <w:r>
              <w:rPr>
                <w:rFonts w:ascii="Carlito"/>
                <w:sz w:val="16"/>
              </w:rPr>
              <w:t>3</w:t>
            </w:r>
          </w:p>
        </w:tc>
        <w:tc>
          <w:tcPr>
            <w:tcW w:w="744" w:type="dxa"/>
            <w:shd w:val="clear" w:color="auto" w:fill="D9D9D9"/>
          </w:tcPr>
          <w:p>
            <w:pPr>
              <w:pStyle w:val="TableParagraph"/>
              <w:ind w:right="303"/>
              <w:rPr>
                <w:rFonts w:ascii="Carlito"/>
                <w:sz w:val="16"/>
              </w:rPr>
            </w:pPr>
            <w:r>
              <w:rPr>
                <w:rFonts w:ascii="Carlito"/>
                <w:sz w:val="16"/>
              </w:rPr>
              <w:t>2.5</w:t>
            </w:r>
          </w:p>
        </w:tc>
        <w:tc>
          <w:tcPr>
            <w:tcW w:w="815" w:type="dxa"/>
            <w:shd w:val="clear" w:color="auto" w:fill="D9D9D9"/>
          </w:tcPr>
          <w:p>
            <w:pPr>
              <w:pStyle w:val="TableParagraph"/>
              <w:ind w:left="302"/>
              <w:jc w:val="left"/>
              <w:rPr>
                <w:rFonts w:ascii="Carlito"/>
                <w:sz w:val="16"/>
              </w:rPr>
            </w:pPr>
            <w:r>
              <w:rPr>
                <w:rFonts w:ascii="Carlito"/>
                <w:sz w:val="16"/>
              </w:rPr>
              <w:t>2</w:t>
            </w:r>
          </w:p>
        </w:tc>
        <w:tc>
          <w:tcPr>
            <w:tcW w:w="1289" w:type="dxa"/>
            <w:shd w:val="clear" w:color="auto" w:fill="D9D9D9"/>
          </w:tcPr>
          <w:p>
            <w:pPr>
              <w:pStyle w:val="TableParagraph"/>
              <w:ind w:right="570"/>
              <w:rPr>
                <w:rFonts w:ascii="Carlito"/>
                <w:sz w:val="16"/>
              </w:rPr>
            </w:pPr>
            <w:r>
              <w:rPr>
                <w:rFonts w:ascii="Carlito"/>
                <w:sz w:val="16"/>
              </w:rPr>
              <w:t>8.7</w:t>
            </w:r>
          </w:p>
        </w:tc>
        <w:tc>
          <w:tcPr>
            <w:tcW w:w="1139" w:type="dxa"/>
            <w:shd w:val="clear" w:color="auto" w:fill="D9D9D9"/>
          </w:tcPr>
          <w:p>
            <w:pPr>
              <w:pStyle w:val="TableParagraph"/>
              <w:ind w:right="361"/>
              <w:rPr>
                <w:rFonts w:ascii="Carlito"/>
                <w:sz w:val="16"/>
              </w:rPr>
            </w:pPr>
            <w:r>
              <w:rPr>
                <w:rFonts w:ascii="Carlito"/>
                <w:sz w:val="16"/>
              </w:rPr>
              <w:t>5.8</w:t>
            </w:r>
          </w:p>
        </w:tc>
        <w:tc>
          <w:tcPr>
            <w:tcW w:w="825" w:type="dxa"/>
            <w:shd w:val="clear" w:color="auto" w:fill="D9D9D9"/>
          </w:tcPr>
          <w:p>
            <w:pPr>
              <w:pStyle w:val="TableParagraph"/>
              <w:ind w:right="374"/>
              <w:rPr>
                <w:rFonts w:ascii="Carlito"/>
                <w:sz w:val="16"/>
              </w:rPr>
            </w:pPr>
            <w:r>
              <w:rPr>
                <w:rFonts w:ascii="Carlito"/>
                <w:sz w:val="16"/>
              </w:rPr>
              <w:t>1</w:t>
            </w:r>
          </w:p>
        </w:tc>
        <w:tc>
          <w:tcPr>
            <w:tcW w:w="529" w:type="dxa"/>
            <w:shd w:val="clear" w:color="auto" w:fill="D9D9D9"/>
          </w:tcPr>
          <w:p>
            <w:pPr>
              <w:pStyle w:val="TableParagraph"/>
              <w:ind w:right="59"/>
              <w:rPr>
                <w:rFonts w:ascii="Carlito"/>
                <w:sz w:val="16"/>
              </w:rPr>
            </w:pPr>
            <w:r>
              <w:rPr>
                <w:rFonts w:ascii="Carlito"/>
                <w:sz w:val="16"/>
              </w:rPr>
              <w:t>1</w:t>
            </w:r>
          </w:p>
        </w:tc>
      </w:tr>
    </w:tbl>
    <w:p>
      <w:pPr>
        <w:spacing w:after="0"/>
        <w:rPr>
          <w:rFonts w:ascii="Carlito"/>
          <w:sz w:val="16"/>
        </w:rPr>
        <w:sectPr>
          <w:pgSz w:w="15840" w:h="12240" w:orient="landscape"/>
          <w:pgMar w:header="0" w:footer="982" w:top="1140" w:bottom="1180" w:left="1340" w:right="1320"/>
        </w:sectPr>
      </w:pPr>
    </w:p>
    <w:p>
      <w:pPr>
        <w:pStyle w:val="Heading2"/>
        <w:numPr>
          <w:ilvl w:val="0"/>
          <w:numId w:val="41"/>
        </w:numPr>
        <w:tabs>
          <w:tab w:pos="1760" w:val="left" w:leader="none"/>
          <w:tab w:pos="1761" w:val="left" w:leader="none"/>
        </w:tabs>
        <w:spacing w:line="240" w:lineRule="auto" w:before="75" w:after="0"/>
        <w:ind w:left="1040" w:right="1504" w:firstLine="0"/>
        <w:jc w:val="left"/>
      </w:pPr>
      <w:bookmarkStart w:name="_bookmark68" w:id="95"/>
      <w:bookmarkEnd w:id="95"/>
      <w:r>
        <w:rPr>
          <w:b w:val="0"/>
        </w:rPr>
      </w:r>
      <w:bookmarkStart w:name="_bookmark68" w:id="96"/>
      <w:bookmarkEnd w:id="96"/>
      <w:r>
        <w:rPr/>
        <w:t>A</w:t>
      </w:r>
      <w:r>
        <w:rPr/>
        <w:t>nexo 5: Resultados Estadísticos del Modelo de Estimación de</w:t>
      </w:r>
      <w:r>
        <w:rPr>
          <w:spacing w:val="-34"/>
        </w:rPr>
        <w:t> </w:t>
      </w:r>
      <w:r>
        <w:rPr/>
        <w:t>Influencia del Servicio de Vista sobre el Precio de los</w:t>
      </w:r>
      <w:r>
        <w:rPr>
          <w:spacing w:val="-4"/>
        </w:rPr>
        <w:t> </w:t>
      </w:r>
      <w:r>
        <w:rPr/>
        <w:t>Inmuebles</w:t>
      </w:r>
    </w:p>
    <w:p>
      <w:pPr>
        <w:pStyle w:val="BodyText"/>
        <w:spacing w:before="6"/>
        <w:rPr>
          <w:b/>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22"/>
        <w:gridCol w:w="769"/>
        <w:gridCol w:w="1057"/>
        <w:gridCol w:w="769"/>
        <w:gridCol w:w="576"/>
        <w:gridCol w:w="288"/>
        <w:gridCol w:w="532"/>
        <w:gridCol w:w="865"/>
      </w:tblGrid>
      <w:tr>
        <w:trPr>
          <w:trHeight w:val="443" w:hRule="atLeast"/>
        </w:trPr>
        <w:tc>
          <w:tcPr>
            <w:tcW w:w="3891" w:type="dxa"/>
            <w:gridSpan w:val="2"/>
          </w:tcPr>
          <w:p>
            <w:pPr>
              <w:pStyle w:val="TableParagraph"/>
              <w:spacing w:line="290" w:lineRule="exact" w:before="0"/>
              <w:ind w:left="50"/>
              <w:jc w:val="left"/>
              <w:rPr>
                <w:b/>
                <w:sz w:val="26"/>
              </w:rPr>
            </w:pPr>
            <w:r>
              <w:rPr>
                <w:b/>
                <w:sz w:val="26"/>
              </w:rPr>
              <w:t>I- Modelo Número 1</w:t>
            </w:r>
          </w:p>
        </w:tc>
        <w:tc>
          <w:tcPr>
            <w:tcW w:w="4087" w:type="dxa"/>
            <w:gridSpan w:val="6"/>
            <w:vMerge w:val="restart"/>
          </w:tcPr>
          <w:p>
            <w:pPr>
              <w:pStyle w:val="TableParagraph"/>
              <w:spacing w:line="240" w:lineRule="auto" w:before="0"/>
              <w:jc w:val="left"/>
              <w:rPr>
                <w:rFonts w:ascii="Times New Roman"/>
                <w:sz w:val="16"/>
              </w:rPr>
            </w:pPr>
          </w:p>
        </w:tc>
      </w:tr>
      <w:tr>
        <w:trPr>
          <w:trHeight w:val="539" w:hRule="atLeast"/>
        </w:trPr>
        <w:tc>
          <w:tcPr>
            <w:tcW w:w="3891" w:type="dxa"/>
            <w:gridSpan w:val="2"/>
          </w:tcPr>
          <w:p>
            <w:pPr>
              <w:pStyle w:val="TableParagraph"/>
              <w:spacing w:line="240" w:lineRule="auto" w:before="144"/>
              <w:ind w:left="50"/>
              <w:jc w:val="left"/>
              <w:rPr>
                <w:b/>
                <w:sz w:val="26"/>
              </w:rPr>
            </w:pPr>
            <w:r>
              <w:rPr>
                <w:b/>
                <w:sz w:val="26"/>
              </w:rPr>
              <w:t>A- Regresión/ACR/VIF</w:t>
            </w:r>
          </w:p>
        </w:tc>
        <w:tc>
          <w:tcPr>
            <w:tcW w:w="4087" w:type="dxa"/>
            <w:gridSpan w:val="6"/>
            <w:vMerge/>
            <w:tcBorders>
              <w:top w:val="nil"/>
            </w:tcBorders>
          </w:tcPr>
          <w:p>
            <w:pPr>
              <w:rPr>
                <w:sz w:val="2"/>
                <w:szCs w:val="2"/>
              </w:rPr>
            </w:pPr>
          </w:p>
        </w:tc>
      </w:tr>
      <w:tr>
        <w:trPr>
          <w:trHeight w:val="366" w:hRule="atLeast"/>
        </w:trPr>
        <w:tc>
          <w:tcPr>
            <w:tcW w:w="3891" w:type="dxa"/>
            <w:gridSpan w:val="2"/>
          </w:tcPr>
          <w:p>
            <w:pPr>
              <w:pStyle w:val="TableParagraph"/>
              <w:spacing w:line="240" w:lineRule="auto" w:before="96"/>
              <w:ind w:left="50"/>
              <w:jc w:val="left"/>
              <w:rPr>
                <w:rFonts w:ascii="Courier New"/>
                <w:b/>
                <w:sz w:val="16"/>
              </w:rPr>
            </w:pPr>
            <w:r>
              <w:rPr>
                <w:rFonts w:ascii="Courier New"/>
                <w:b/>
                <w:sz w:val="16"/>
              </w:rPr>
              <w:t>Analysis of Variance</w:t>
            </w:r>
          </w:p>
        </w:tc>
        <w:tc>
          <w:tcPr>
            <w:tcW w:w="4087" w:type="dxa"/>
            <w:gridSpan w:val="6"/>
            <w:vMerge/>
            <w:tcBorders>
              <w:top w:val="nil"/>
            </w:tcBorders>
          </w:tcPr>
          <w:p>
            <w:pPr>
              <w:rPr>
                <w:sz w:val="2"/>
                <w:szCs w:val="2"/>
              </w:rPr>
            </w:pPr>
          </w:p>
        </w:tc>
      </w:tr>
      <w:tr>
        <w:trPr>
          <w:trHeight w:val="270" w:hRule="atLeast"/>
        </w:trPr>
        <w:tc>
          <w:tcPr>
            <w:tcW w:w="3891" w:type="dxa"/>
            <w:gridSpan w:val="2"/>
          </w:tcPr>
          <w:p>
            <w:pPr>
              <w:pStyle w:val="TableParagraph"/>
              <w:tabs>
                <w:tab w:pos="3505" w:val="left" w:leader="none"/>
              </w:tabs>
              <w:spacing w:line="161" w:lineRule="exact" w:before="89"/>
              <w:ind w:left="50"/>
              <w:jc w:val="left"/>
              <w:rPr>
                <w:rFonts w:ascii="Courier New"/>
                <w:b/>
                <w:sz w:val="16"/>
              </w:rPr>
            </w:pPr>
            <w:r>
              <w:rPr>
                <w:rFonts w:ascii="Courier New"/>
                <w:b/>
                <w:sz w:val="16"/>
              </w:rPr>
              <w:t>Source</w:t>
              <w:tab/>
              <w:t>DF</w:t>
            </w:r>
          </w:p>
        </w:tc>
        <w:tc>
          <w:tcPr>
            <w:tcW w:w="1057" w:type="dxa"/>
          </w:tcPr>
          <w:p>
            <w:pPr>
              <w:pStyle w:val="TableParagraph"/>
              <w:spacing w:line="161" w:lineRule="exact" w:before="89"/>
              <w:ind w:left="-2"/>
              <w:rPr>
                <w:rFonts w:ascii="Courier New"/>
                <w:b/>
                <w:sz w:val="16"/>
              </w:rPr>
            </w:pPr>
            <w:r>
              <w:rPr>
                <w:rFonts w:ascii="Courier New"/>
                <w:b/>
                <w:sz w:val="16"/>
              </w:rPr>
              <w:t>Adj SS</w:t>
            </w:r>
          </w:p>
        </w:tc>
        <w:tc>
          <w:tcPr>
            <w:tcW w:w="1345" w:type="dxa"/>
            <w:gridSpan w:val="2"/>
          </w:tcPr>
          <w:p>
            <w:pPr>
              <w:pStyle w:val="TableParagraph"/>
              <w:spacing w:line="161" w:lineRule="exact" w:before="89"/>
              <w:ind w:left="669"/>
              <w:jc w:val="left"/>
              <w:rPr>
                <w:rFonts w:ascii="Courier New"/>
                <w:b/>
                <w:sz w:val="16"/>
              </w:rPr>
            </w:pPr>
            <w:r>
              <w:rPr>
                <w:rFonts w:ascii="Courier New"/>
                <w:b/>
                <w:sz w:val="16"/>
              </w:rPr>
              <w:t>Adj MS</w:t>
            </w:r>
          </w:p>
        </w:tc>
        <w:tc>
          <w:tcPr>
            <w:tcW w:w="820" w:type="dxa"/>
            <w:gridSpan w:val="2"/>
          </w:tcPr>
          <w:p>
            <w:pPr>
              <w:pStyle w:val="TableParagraph"/>
              <w:spacing w:line="161" w:lineRule="exact" w:before="89"/>
              <w:ind w:left="92"/>
              <w:jc w:val="left"/>
              <w:rPr>
                <w:rFonts w:ascii="Courier New"/>
                <w:b/>
                <w:sz w:val="16"/>
              </w:rPr>
            </w:pPr>
            <w:r>
              <w:rPr>
                <w:rFonts w:ascii="Courier New"/>
                <w:b/>
                <w:sz w:val="16"/>
              </w:rPr>
              <w:t>F-Value</w:t>
            </w:r>
          </w:p>
        </w:tc>
        <w:tc>
          <w:tcPr>
            <w:tcW w:w="865" w:type="dxa"/>
          </w:tcPr>
          <w:p>
            <w:pPr>
              <w:pStyle w:val="TableParagraph"/>
              <w:spacing w:line="161" w:lineRule="exact" w:before="89"/>
              <w:ind w:right="51"/>
              <w:rPr>
                <w:rFonts w:ascii="Courier New"/>
                <w:b/>
                <w:sz w:val="16"/>
              </w:rPr>
            </w:pPr>
            <w:r>
              <w:rPr>
                <w:rFonts w:ascii="Courier New"/>
                <w:b/>
                <w:sz w:val="16"/>
              </w:rPr>
              <w:t>P-Value</w:t>
            </w:r>
          </w:p>
        </w:tc>
      </w:tr>
      <w:tr>
        <w:trPr>
          <w:trHeight w:val="182" w:hRule="atLeast"/>
        </w:trPr>
        <w:tc>
          <w:tcPr>
            <w:tcW w:w="3891" w:type="dxa"/>
            <w:gridSpan w:val="2"/>
          </w:tcPr>
          <w:p>
            <w:pPr>
              <w:pStyle w:val="TableParagraph"/>
              <w:tabs>
                <w:tab w:pos="3697" w:val="right" w:leader="none"/>
              </w:tabs>
              <w:spacing w:line="162" w:lineRule="exact" w:before="0"/>
              <w:ind w:left="50"/>
              <w:jc w:val="left"/>
              <w:rPr>
                <w:rFonts w:ascii="Courier New"/>
                <w:b/>
                <w:sz w:val="16"/>
              </w:rPr>
            </w:pPr>
            <w:r>
              <w:rPr>
                <w:rFonts w:ascii="Courier New"/>
                <w:b/>
                <w:sz w:val="16"/>
              </w:rPr>
              <w:t>Regression</w:t>
              <w:tab/>
              <w:t>10</w:t>
            </w:r>
          </w:p>
        </w:tc>
        <w:tc>
          <w:tcPr>
            <w:tcW w:w="1057" w:type="dxa"/>
          </w:tcPr>
          <w:p>
            <w:pPr>
              <w:pStyle w:val="TableParagraph"/>
              <w:spacing w:line="162" w:lineRule="exact" w:before="0"/>
              <w:ind w:left="-2"/>
              <w:rPr>
                <w:rFonts w:ascii="Courier New"/>
                <w:b/>
                <w:sz w:val="16"/>
              </w:rPr>
            </w:pPr>
            <w:r>
              <w:rPr>
                <w:rFonts w:ascii="Courier New"/>
                <w:b/>
                <w:spacing w:val="-1"/>
                <w:sz w:val="16"/>
              </w:rPr>
              <w:t>7.83779E+12</w:t>
            </w:r>
          </w:p>
        </w:tc>
        <w:tc>
          <w:tcPr>
            <w:tcW w:w="1345" w:type="dxa"/>
            <w:gridSpan w:val="2"/>
          </w:tcPr>
          <w:p>
            <w:pPr>
              <w:pStyle w:val="TableParagraph"/>
              <w:spacing w:line="162" w:lineRule="exact" w:before="0"/>
              <w:ind w:left="189"/>
              <w:jc w:val="left"/>
              <w:rPr>
                <w:rFonts w:ascii="Courier New"/>
                <w:b/>
                <w:sz w:val="16"/>
              </w:rPr>
            </w:pPr>
            <w:r>
              <w:rPr>
                <w:rFonts w:ascii="Courier New"/>
                <w:b/>
                <w:sz w:val="16"/>
              </w:rPr>
              <w:t>7.83779E+11</w:t>
            </w:r>
          </w:p>
        </w:tc>
        <w:tc>
          <w:tcPr>
            <w:tcW w:w="820" w:type="dxa"/>
            <w:gridSpan w:val="2"/>
          </w:tcPr>
          <w:p>
            <w:pPr>
              <w:pStyle w:val="TableParagraph"/>
              <w:spacing w:line="162" w:lineRule="exact" w:before="0"/>
              <w:ind w:left="284"/>
              <w:jc w:val="left"/>
              <w:rPr>
                <w:rFonts w:ascii="Courier New"/>
                <w:b/>
                <w:sz w:val="16"/>
              </w:rPr>
            </w:pPr>
            <w:r>
              <w:rPr>
                <w:rFonts w:ascii="Courier New"/>
                <w:b/>
                <w:sz w:val="16"/>
              </w:rPr>
              <w:t>25.69</w:t>
            </w:r>
          </w:p>
        </w:tc>
        <w:tc>
          <w:tcPr>
            <w:tcW w:w="865" w:type="dxa"/>
          </w:tcPr>
          <w:p>
            <w:pPr>
              <w:pStyle w:val="TableParagraph"/>
              <w:spacing w:line="162" w:lineRule="exact" w:before="0"/>
              <w:ind w:right="54"/>
              <w:rPr>
                <w:rFonts w:ascii="Courier New"/>
                <w:b/>
                <w:sz w:val="16"/>
              </w:rPr>
            </w:pPr>
            <w:r>
              <w:rPr>
                <w:rFonts w:ascii="Courier New"/>
                <w:b/>
                <w:sz w:val="16"/>
              </w:rPr>
              <w:t>0.000</w:t>
            </w:r>
          </w:p>
        </w:tc>
      </w:tr>
      <w:tr>
        <w:trPr>
          <w:trHeight w:val="182" w:hRule="atLeast"/>
        </w:trPr>
        <w:tc>
          <w:tcPr>
            <w:tcW w:w="3891" w:type="dxa"/>
            <w:gridSpan w:val="2"/>
          </w:tcPr>
          <w:p>
            <w:pPr>
              <w:pStyle w:val="TableParagraph"/>
              <w:tabs>
                <w:tab w:pos="3697" w:val="right" w:leader="none"/>
              </w:tabs>
              <w:spacing w:line="161" w:lineRule="exact" w:before="1"/>
              <w:ind w:left="241"/>
              <w:jc w:val="left"/>
              <w:rPr>
                <w:rFonts w:ascii="Courier New" w:hAnsi="Courier New"/>
                <w:b/>
                <w:sz w:val="16"/>
              </w:rPr>
            </w:pPr>
            <w:r>
              <w:rPr>
                <w:rFonts w:ascii="Courier New" w:hAnsi="Courier New"/>
                <w:b/>
                <w:sz w:val="16"/>
              </w:rPr>
              <w:t>Área de Construcción</w:t>
            </w:r>
            <w:r>
              <w:rPr>
                <w:rFonts w:ascii="Courier New" w:hAnsi="Courier New"/>
                <w:b/>
                <w:spacing w:val="-11"/>
                <w:sz w:val="16"/>
              </w:rPr>
              <w:t> </w:t>
            </w:r>
            <w:r>
              <w:rPr>
                <w:rFonts w:ascii="Courier New" w:hAnsi="Courier New"/>
                <w:b/>
                <w:sz w:val="16"/>
              </w:rPr>
              <w:t>en</w:t>
            </w:r>
            <w:r>
              <w:rPr>
                <w:rFonts w:ascii="Courier New" w:hAnsi="Courier New"/>
                <w:b/>
                <w:spacing w:val="-3"/>
                <w:sz w:val="16"/>
              </w:rPr>
              <w:t> </w:t>
            </w:r>
            <w:r>
              <w:rPr>
                <w:rFonts w:ascii="Courier New" w:hAnsi="Courier New"/>
                <w:b/>
                <w:sz w:val="16"/>
              </w:rPr>
              <w:t>metros</w:t>
              <w:tab/>
              <w:t>1</w:t>
            </w:r>
          </w:p>
        </w:tc>
        <w:tc>
          <w:tcPr>
            <w:tcW w:w="1057" w:type="dxa"/>
          </w:tcPr>
          <w:p>
            <w:pPr>
              <w:pStyle w:val="TableParagraph"/>
              <w:spacing w:line="161" w:lineRule="exact" w:before="1"/>
              <w:ind w:left="-2"/>
              <w:rPr>
                <w:rFonts w:ascii="Courier New"/>
                <w:b/>
                <w:sz w:val="16"/>
              </w:rPr>
            </w:pPr>
            <w:r>
              <w:rPr>
                <w:rFonts w:ascii="Courier New"/>
                <w:b/>
                <w:sz w:val="16"/>
              </w:rPr>
              <w:t>1338237434</w:t>
            </w:r>
          </w:p>
        </w:tc>
        <w:tc>
          <w:tcPr>
            <w:tcW w:w="1345" w:type="dxa"/>
            <w:gridSpan w:val="2"/>
          </w:tcPr>
          <w:p>
            <w:pPr>
              <w:pStyle w:val="TableParagraph"/>
              <w:spacing w:line="161" w:lineRule="exact" w:before="1"/>
              <w:ind w:left="285"/>
              <w:jc w:val="left"/>
              <w:rPr>
                <w:rFonts w:ascii="Courier New"/>
                <w:b/>
                <w:sz w:val="16"/>
              </w:rPr>
            </w:pPr>
            <w:r>
              <w:rPr>
                <w:rFonts w:ascii="Courier New"/>
                <w:b/>
                <w:sz w:val="16"/>
              </w:rPr>
              <w:t>1338237434</w:t>
            </w:r>
          </w:p>
        </w:tc>
        <w:tc>
          <w:tcPr>
            <w:tcW w:w="820" w:type="dxa"/>
            <w:gridSpan w:val="2"/>
          </w:tcPr>
          <w:p>
            <w:pPr>
              <w:pStyle w:val="TableParagraph"/>
              <w:spacing w:line="161" w:lineRule="exact" w:before="1"/>
              <w:ind w:left="383"/>
              <w:jc w:val="left"/>
              <w:rPr>
                <w:rFonts w:ascii="Courier New"/>
                <w:b/>
                <w:sz w:val="16"/>
              </w:rPr>
            </w:pPr>
            <w:r>
              <w:rPr>
                <w:rFonts w:ascii="Courier New"/>
                <w:b/>
                <w:sz w:val="16"/>
              </w:rPr>
              <w:t>0.04</w:t>
            </w:r>
          </w:p>
        </w:tc>
        <w:tc>
          <w:tcPr>
            <w:tcW w:w="865" w:type="dxa"/>
          </w:tcPr>
          <w:p>
            <w:pPr>
              <w:pStyle w:val="TableParagraph"/>
              <w:spacing w:line="161" w:lineRule="exact" w:before="1"/>
              <w:ind w:right="53"/>
              <w:rPr>
                <w:rFonts w:ascii="Courier New"/>
                <w:b/>
                <w:sz w:val="16"/>
              </w:rPr>
            </w:pPr>
            <w:r>
              <w:rPr>
                <w:rFonts w:ascii="Courier New"/>
                <w:b/>
                <w:sz w:val="16"/>
              </w:rPr>
              <w:t>0.834</w:t>
            </w:r>
          </w:p>
        </w:tc>
      </w:tr>
      <w:tr>
        <w:trPr>
          <w:trHeight w:val="180" w:hRule="atLeast"/>
        </w:trPr>
        <w:tc>
          <w:tcPr>
            <w:tcW w:w="3891" w:type="dxa"/>
            <w:gridSpan w:val="2"/>
          </w:tcPr>
          <w:p>
            <w:pPr>
              <w:pStyle w:val="TableParagraph"/>
              <w:tabs>
                <w:tab w:pos="3697" w:val="right" w:leader="none"/>
              </w:tabs>
              <w:spacing w:line="160" w:lineRule="exact" w:before="0"/>
              <w:ind w:left="241"/>
              <w:jc w:val="left"/>
              <w:rPr>
                <w:rFonts w:ascii="Courier New" w:hAnsi="Courier New"/>
                <w:b/>
                <w:sz w:val="16"/>
              </w:rPr>
            </w:pPr>
            <w:r>
              <w:rPr>
                <w:rFonts w:ascii="Courier New" w:hAnsi="Courier New"/>
                <w:b/>
                <w:sz w:val="16"/>
              </w:rPr>
              <w:t>Año</w:t>
            </w:r>
            <w:r>
              <w:rPr>
                <w:rFonts w:ascii="Courier New" w:hAnsi="Courier New"/>
                <w:b/>
                <w:spacing w:val="-2"/>
                <w:sz w:val="16"/>
              </w:rPr>
              <w:t> </w:t>
            </w:r>
            <w:r>
              <w:rPr>
                <w:rFonts w:ascii="Courier New" w:hAnsi="Courier New"/>
                <w:b/>
                <w:sz w:val="16"/>
              </w:rPr>
              <w:t>de</w:t>
            </w:r>
            <w:r>
              <w:rPr>
                <w:rFonts w:ascii="Courier New" w:hAnsi="Courier New"/>
                <w:b/>
                <w:spacing w:val="-2"/>
                <w:sz w:val="16"/>
              </w:rPr>
              <w:t> </w:t>
            </w:r>
            <w:r>
              <w:rPr>
                <w:rFonts w:ascii="Courier New" w:hAnsi="Courier New"/>
                <w:b/>
                <w:sz w:val="16"/>
              </w:rPr>
              <w:t>Construcción</w:t>
              <w:tab/>
              <w:t>1</w:t>
            </w:r>
          </w:p>
        </w:tc>
        <w:tc>
          <w:tcPr>
            <w:tcW w:w="1057" w:type="dxa"/>
          </w:tcPr>
          <w:p>
            <w:pPr>
              <w:pStyle w:val="TableParagraph"/>
              <w:spacing w:line="160" w:lineRule="exact" w:before="0"/>
              <w:ind w:left="-2"/>
              <w:rPr>
                <w:rFonts w:ascii="Courier New"/>
                <w:b/>
                <w:sz w:val="16"/>
              </w:rPr>
            </w:pPr>
            <w:r>
              <w:rPr>
                <w:rFonts w:ascii="Courier New"/>
                <w:b/>
                <w:spacing w:val="-1"/>
                <w:sz w:val="16"/>
              </w:rPr>
              <w:t>18359779789</w:t>
            </w:r>
          </w:p>
        </w:tc>
        <w:tc>
          <w:tcPr>
            <w:tcW w:w="1345" w:type="dxa"/>
            <w:gridSpan w:val="2"/>
          </w:tcPr>
          <w:p>
            <w:pPr>
              <w:pStyle w:val="TableParagraph"/>
              <w:spacing w:line="160" w:lineRule="exact" w:before="0"/>
              <w:ind w:left="189"/>
              <w:jc w:val="left"/>
              <w:rPr>
                <w:rFonts w:ascii="Courier New"/>
                <w:b/>
                <w:sz w:val="16"/>
              </w:rPr>
            </w:pPr>
            <w:r>
              <w:rPr>
                <w:rFonts w:ascii="Courier New"/>
                <w:b/>
                <w:sz w:val="16"/>
              </w:rPr>
              <w:t>18359779789</w:t>
            </w:r>
          </w:p>
        </w:tc>
        <w:tc>
          <w:tcPr>
            <w:tcW w:w="820" w:type="dxa"/>
            <w:gridSpan w:val="2"/>
          </w:tcPr>
          <w:p>
            <w:pPr>
              <w:pStyle w:val="TableParagraph"/>
              <w:spacing w:line="160" w:lineRule="exact" w:before="0"/>
              <w:ind w:left="380"/>
              <w:jc w:val="left"/>
              <w:rPr>
                <w:rFonts w:ascii="Courier New"/>
                <w:b/>
                <w:sz w:val="16"/>
              </w:rPr>
            </w:pPr>
            <w:r>
              <w:rPr>
                <w:rFonts w:ascii="Courier New"/>
                <w:b/>
                <w:sz w:val="16"/>
              </w:rPr>
              <w:t>0.60</w:t>
            </w:r>
          </w:p>
        </w:tc>
        <w:tc>
          <w:tcPr>
            <w:tcW w:w="865" w:type="dxa"/>
          </w:tcPr>
          <w:p>
            <w:pPr>
              <w:pStyle w:val="TableParagraph"/>
              <w:spacing w:line="160" w:lineRule="exact" w:before="0"/>
              <w:ind w:right="54"/>
              <w:rPr>
                <w:rFonts w:ascii="Courier New"/>
                <w:b/>
                <w:sz w:val="16"/>
              </w:rPr>
            </w:pPr>
            <w:r>
              <w:rPr>
                <w:rFonts w:ascii="Courier New"/>
                <w:b/>
                <w:sz w:val="16"/>
              </w:rPr>
              <w:t>0.439</w:t>
            </w:r>
          </w:p>
        </w:tc>
      </w:tr>
      <w:tr>
        <w:trPr>
          <w:trHeight w:val="182" w:hRule="atLeast"/>
        </w:trPr>
        <w:tc>
          <w:tcPr>
            <w:tcW w:w="3891" w:type="dxa"/>
            <w:gridSpan w:val="2"/>
          </w:tcPr>
          <w:p>
            <w:pPr>
              <w:pStyle w:val="TableParagraph"/>
              <w:tabs>
                <w:tab w:pos="3697" w:val="right" w:leader="none"/>
              </w:tabs>
              <w:spacing w:line="162" w:lineRule="exact" w:before="0"/>
              <w:ind w:left="241"/>
              <w:jc w:val="left"/>
              <w:rPr>
                <w:rFonts w:ascii="Courier New" w:hAnsi="Courier New"/>
                <w:b/>
                <w:sz w:val="16"/>
              </w:rPr>
            </w:pPr>
            <w:r>
              <w:rPr>
                <w:rFonts w:ascii="Courier New" w:hAnsi="Courier New"/>
                <w:b/>
                <w:sz w:val="16"/>
              </w:rPr>
              <w:t>Número</w:t>
            </w:r>
            <w:r>
              <w:rPr>
                <w:rFonts w:ascii="Courier New" w:hAnsi="Courier New"/>
                <w:b/>
                <w:spacing w:val="-3"/>
                <w:sz w:val="16"/>
              </w:rPr>
              <w:t> </w:t>
            </w:r>
            <w:r>
              <w:rPr>
                <w:rFonts w:ascii="Courier New" w:hAnsi="Courier New"/>
                <w:b/>
                <w:sz w:val="16"/>
              </w:rPr>
              <w:t>de</w:t>
            </w:r>
            <w:r>
              <w:rPr>
                <w:rFonts w:ascii="Courier New" w:hAnsi="Courier New"/>
                <w:b/>
                <w:spacing w:val="-2"/>
                <w:sz w:val="16"/>
              </w:rPr>
              <w:t> </w:t>
            </w:r>
            <w:r>
              <w:rPr>
                <w:rFonts w:ascii="Courier New" w:hAnsi="Courier New"/>
                <w:b/>
                <w:sz w:val="16"/>
              </w:rPr>
              <w:t>Habitaciones</w:t>
              <w:tab/>
              <w:t>1</w:t>
            </w:r>
          </w:p>
        </w:tc>
        <w:tc>
          <w:tcPr>
            <w:tcW w:w="1057" w:type="dxa"/>
          </w:tcPr>
          <w:p>
            <w:pPr>
              <w:pStyle w:val="TableParagraph"/>
              <w:spacing w:line="162" w:lineRule="exact" w:before="0"/>
              <w:ind w:left="-2"/>
              <w:rPr>
                <w:rFonts w:ascii="Courier New"/>
                <w:b/>
                <w:sz w:val="16"/>
              </w:rPr>
            </w:pPr>
            <w:r>
              <w:rPr>
                <w:rFonts w:ascii="Courier New"/>
                <w:b/>
                <w:spacing w:val="-1"/>
                <w:sz w:val="16"/>
              </w:rPr>
              <w:t>1.48989E+11</w:t>
            </w:r>
          </w:p>
        </w:tc>
        <w:tc>
          <w:tcPr>
            <w:tcW w:w="1345" w:type="dxa"/>
            <w:gridSpan w:val="2"/>
          </w:tcPr>
          <w:p>
            <w:pPr>
              <w:pStyle w:val="TableParagraph"/>
              <w:spacing w:line="162" w:lineRule="exact" w:before="0"/>
              <w:ind w:left="189"/>
              <w:jc w:val="left"/>
              <w:rPr>
                <w:rFonts w:ascii="Courier New"/>
                <w:b/>
                <w:sz w:val="16"/>
              </w:rPr>
            </w:pPr>
            <w:r>
              <w:rPr>
                <w:rFonts w:ascii="Courier New"/>
                <w:b/>
                <w:sz w:val="16"/>
              </w:rPr>
              <w:t>1.48989E+11</w:t>
            </w:r>
          </w:p>
        </w:tc>
        <w:tc>
          <w:tcPr>
            <w:tcW w:w="820" w:type="dxa"/>
            <w:gridSpan w:val="2"/>
          </w:tcPr>
          <w:p>
            <w:pPr>
              <w:pStyle w:val="TableParagraph"/>
              <w:spacing w:line="162" w:lineRule="exact" w:before="0"/>
              <w:ind w:left="380"/>
              <w:jc w:val="left"/>
              <w:rPr>
                <w:rFonts w:ascii="Courier New"/>
                <w:b/>
                <w:sz w:val="16"/>
              </w:rPr>
            </w:pPr>
            <w:r>
              <w:rPr>
                <w:rFonts w:ascii="Courier New"/>
                <w:b/>
                <w:sz w:val="16"/>
              </w:rPr>
              <w:t>4.88</w:t>
            </w:r>
          </w:p>
        </w:tc>
        <w:tc>
          <w:tcPr>
            <w:tcW w:w="865" w:type="dxa"/>
          </w:tcPr>
          <w:p>
            <w:pPr>
              <w:pStyle w:val="TableParagraph"/>
              <w:spacing w:line="162" w:lineRule="exact" w:before="0"/>
              <w:ind w:right="54"/>
              <w:rPr>
                <w:rFonts w:ascii="Courier New"/>
                <w:b/>
                <w:sz w:val="16"/>
              </w:rPr>
            </w:pPr>
            <w:r>
              <w:rPr>
                <w:rFonts w:ascii="Courier New"/>
                <w:b/>
                <w:sz w:val="16"/>
              </w:rPr>
              <w:t>0.028</w:t>
            </w:r>
          </w:p>
        </w:tc>
      </w:tr>
      <w:tr>
        <w:trPr>
          <w:trHeight w:val="182" w:hRule="atLeast"/>
        </w:trPr>
        <w:tc>
          <w:tcPr>
            <w:tcW w:w="3891" w:type="dxa"/>
            <w:gridSpan w:val="2"/>
          </w:tcPr>
          <w:p>
            <w:pPr>
              <w:pStyle w:val="TableParagraph"/>
              <w:tabs>
                <w:tab w:pos="3697" w:val="right" w:leader="none"/>
              </w:tabs>
              <w:spacing w:line="161" w:lineRule="exact" w:before="1"/>
              <w:ind w:left="241"/>
              <w:jc w:val="left"/>
              <w:rPr>
                <w:rFonts w:ascii="Courier New" w:hAnsi="Courier New"/>
                <w:b/>
                <w:sz w:val="16"/>
              </w:rPr>
            </w:pPr>
            <w:r>
              <w:rPr>
                <w:rFonts w:ascii="Courier New" w:hAnsi="Courier New"/>
                <w:b/>
                <w:sz w:val="16"/>
              </w:rPr>
              <w:t>Número</w:t>
            </w:r>
            <w:r>
              <w:rPr>
                <w:rFonts w:ascii="Courier New" w:hAnsi="Courier New"/>
                <w:b/>
                <w:spacing w:val="-2"/>
                <w:sz w:val="16"/>
              </w:rPr>
              <w:t> </w:t>
            </w:r>
            <w:r>
              <w:rPr>
                <w:rFonts w:ascii="Courier New" w:hAnsi="Courier New"/>
                <w:b/>
                <w:sz w:val="16"/>
              </w:rPr>
              <w:t>de</w:t>
            </w:r>
            <w:r>
              <w:rPr>
                <w:rFonts w:ascii="Courier New" w:hAnsi="Courier New"/>
                <w:b/>
                <w:spacing w:val="-1"/>
                <w:sz w:val="16"/>
              </w:rPr>
              <w:t> </w:t>
            </w:r>
            <w:r>
              <w:rPr>
                <w:rFonts w:ascii="Courier New" w:hAnsi="Courier New"/>
                <w:b/>
                <w:sz w:val="16"/>
              </w:rPr>
              <w:t>Baños</w:t>
              <w:tab/>
              <w:t>1</w:t>
            </w:r>
          </w:p>
        </w:tc>
        <w:tc>
          <w:tcPr>
            <w:tcW w:w="1057" w:type="dxa"/>
          </w:tcPr>
          <w:p>
            <w:pPr>
              <w:pStyle w:val="TableParagraph"/>
              <w:spacing w:line="161" w:lineRule="exact" w:before="1"/>
              <w:ind w:left="-2"/>
              <w:rPr>
                <w:rFonts w:ascii="Courier New"/>
                <w:b/>
                <w:sz w:val="16"/>
              </w:rPr>
            </w:pPr>
            <w:r>
              <w:rPr>
                <w:rFonts w:ascii="Courier New"/>
                <w:b/>
                <w:spacing w:val="-1"/>
                <w:sz w:val="16"/>
              </w:rPr>
              <w:t>1.88965E+12</w:t>
            </w:r>
          </w:p>
        </w:tc>
        <w:tc>
          <w:tcPr>
            <w:tcW w:w="1345" w:type="dxa"/>
            <w:gridSpan w:val="2"/>
          </w:tcPr>
          <w:p>
            <w:pPr>
              <w:pStyle w:val="TableParagraph"/>
              <w:spacing w:line="161" w:lineRule="exact" w:before="1"/>
              <w:ind w:left="189"/>
              <w:jc w:val="left"/>
              <w:rPr>
                <w:rFonts w:ascii="Courier New"/>
                <w:b/>
                <w:sz w:val="16"/>
              </w:rPr>
            </w:pPr>
            <w:r>
              <w:rPr>
                <w:rFonts w:ascii="Courier New"/>
                <w:b/>
                <w:sz w:val="16"/>
              </w:rPr>
              <w:t>1.88965E+12</w:t>
            </w:r>
          </w:p>
        </w:tc>
        <w:tc>
          <w:tcPr>
            <w:tcW w:w="820" w:type="dxa"/>
            <w:gridSpan w:val="2"/>
          </w:tcPr>
          <w:p>
            <w:pPr>
              <w:pStyle w:val="TableParagraph"/>
              <w:spacing w:line="161" w:lineRule="exact" w:before="1"/>
              <w:ind w:left="284"/>
              <w:jc w:val="left"/>
              <w:rPr>
                <w:rFonts w:ascii="Courier New"/>
                <w:b/>
                <w:sz w:val="16"/>
              </w:rPr>
            </w:pPr>
            <w:r>
              <w:rPr>
                <w:rFonts w:ascii="Courier New"/>
                <w:b/>
                <w:sz w:val="16"/>
              </w:rPr>
              <w:t>61.93</w:t>
            </w:r>
          </w:p>
        </w:tc>
        <w:tc>
          <w:tcPr>
            <w:tcW w:w="865" w:type="dxa"/>
          </w:tcPr>
          <w:p>
            <w:pPr>
              <w:pStyle w:val="TableParagraph"/>
              <w:spacing w:line="161" w:lineRule="exact" w:before="1"/>
              <w:ind w:right="51"/>
              <w:rPr>
                <w:rFonts w:ascii="Courier New"/>
                <w:b/>
                <w:sz w:val="16"/>
              </w:rPr>
            </w:pPr>
            <w:r>
              <w:rPr>
                <w:rFonts w:ascii="Courier New"/>
                <w:b/>
                <w:sz w:val="16"/>
              </w:rPr>
              <w:t>0.000</w:t>
            </w:r>
          </w:p>
        </w:tc>
      </w:tr>
      <w:tr>
        <w:trPr>
          <w:trHeight w:val="180" w:hRule="atLeast"/>
        </w:trPr>
        <w:tc>
          <w:tcPr>
            <w:tcW w:w="3891" w:type="dxa"/>
            <w:gridSpan w:val="2"/>
          </w:tcPr>
          <w:p>
            <w:pPr>
              <w:pStyle w:val="TableParagraph"/>
              <w:tabs>
                <w:tab w:pos="3697" w:val="right" w:leader="none"/>
              </w:tabs>
              <w:spacing w:line="160" w:lineRule="exact" w:before="0"/>
              <w:ind w:left="241"/>
              <w:jc w:val="left"/>
              <w:rPr>
                <w:rFonts w:ascii="Courier New" w:hAnsi="Courier New"/>
                <w:b/>
                <w:sz w:val="16"/>
              </w:rPr>
            </w:pPr>
            <w:r>
              <w:rPr>
                <w:rFonts w:ascii="Courier New" w:hAnsi="Courier New"/>
                <w:b/>
                <w:sz w:val="16"/>
              </w:rPr>
              <w:t>Número</w:t>
            </w:r>
            <w:r>
              <w:rPr>
                <w:rFonts w:ascii="Courier New" w:hAnsi="Courier New"/>
                <w:b/>
                <w:spacing w:val="-2"/>
                <w:sz w:val="16"/>
              </w:rPr>
              <w:t> </w:t>
            </w:r>
            <w:r>
              <w:rPr>
                <w:rFonts w:ascii="Courier New" w:hAnsi="Courier New"/>
                <w:b/>
                <w:sz w:val="16"/>
              </w:rPr>
              <w:t>de</w:t>
            </w:r>
            <w:r>
              <w:rPr>
                <w:rFonts w:ascii="Courier New" w:hAnsi="Courier New"/>
                <w:b/>
                <w:spacing w:val="-2"/>
                <w:sz w:val="16"/>
              </w:rPr>
              <w:t> </w:t>
            </w:r>
            <w:r>
              <w:rPr>
                <w:rFonts w:ascii="Courier New" w:hAnsi="Courier New"/>
                <w:b/>
                <w:sz w:val="16"/>
              </w:rPr>
              <w:t>Plantas</w:t>
              <w:tab/>
              <w:t>1</w:t>
            </w:r>
          </w:p>
        </w:tc>
        <w:tc>
          <w:tcPr>
            <w:tcW w:w="1057" w:type="dxa"/>
          </w:tcPr>
          <w:p>
            <w:pPr>
              <w:pStyle w:val="TableParagraph"/>
              <w:spacing w:line="160" w:lineRule="exact" w:before="0"/>
              <w:ind w:left="-2"/>
              <w:rPr>
                <w:rFonts w:ascii="Courier New"/>
                <w:b/>
                <w:sz w:val="16"/>
              </w:rPr>
            </w:pPr>
            <w:r>
              <w:rPr>
                <w:rFonts w:ascii="Courier New"/>
                <w:b/>
                <w:spacing w:val="-1"/>
                <w:sz w:val="16"/>
              </w:rPr>
              <w:t>2.69580E+11</w:t>
            </w:r>
          </w:p>
        </w:tc>
        <w:tc>
          <w:tcPr>
            <w:tcW w:w="1345" w:type="dxa"/>
            <w:gridSpan w:val="2"/>
          </w:tcPr>
          <w:p>
            <w:pPr>
              <w:pStyle w:val="TableParagraph"/>
              <w:spacing w:line="160" w:lineRule="exact" w:before="0"/>
              <w:ind w:left="189"/>
              <w:jc w:val="left"/>
              <w:rPr>
                <w:rFonts w:ascii="Courier New"/>
                <w:b/>
                <w:sz w:val="16"/>
              </w:rPr>
            </w:pPr>
            <w:r>
              <w:rPr>
                <w:rFonts w:ascii="Courier New"/>
                <w:b/>
                <w:sz w:val="16"/>
              </w:rPr>
              <w:t>2.69580E+11</w:t>
            </w:r>
          </w:p>
        </w:tc>
        <w:tc>
          <w:tcPr>
            <w:tcW w:w="820" w:type="dxa"/>
            <w:gridSpan w:val="2"/>
          </w:tcPr>
          <w:p>
            <w:pPr>
              <w:pStyle w:val="TableParagraph"/>
              <w:spacing w:line="160" w:lineRule="exact" w:before="0"/>
              <w:ind w:left="380"/>
              <w:jc w:val="left"/>
              <w:rPr>
                <w:rFonts w:ascii="Courier New"/>
                <w:b/>
                <w:sz w:val="16"/>
              </w:rPr>
            </w:pPr>
            <w:r>
              <w:rPr>
                <w:rFonts w:ascii="Courier New"/>
                <w:b/>
                <w:sz w:val="16"/>
              </w:rPr>
              <w:t>8.83</w:t>
            </w:r>
          </w:p>
        </w:tc>
        <w:tc>
          <w:tcPr>
            <w:tcW w:w="865" w:type="dxa"/>
          </w:tcPr>
          <w:p>
            <w:pPr>
              <w:pStyle w:val="TableParagraph"/>
              <w:spacing w:line="160" w:lineRule="exact" w:before="0"/>
              <w:ind w:right="54"/>
              <w:rPr>
                <w:rFonts w:ascii="Courier New"/>
                <w:b/>
                <w:sz w:val="16"/>
              </w:rPr>
            </w:pPr>
            <w:r>
              <w:rPr>
                <w:rFonts w:ascii="Courier New"/>
                <w:b/>
                <w:sz w:val="16"/>
              </w:rPr>
              <w:t>0.003</w:t>
            </w:r>
          </w:p>
        </w:tc>
      </w:tr>
      <w:tr>
        <w:trPr>
          <w:trHeight w:val="182" w:hRule="atLeast"/>
        </w:trPr>
        <w:tc>
          <w:tcPr>
            <w:tcW w:w="3891" w:type="dxa"/>
            <w:gridSpan w:val="2"/>
          </w:tcPr>
          <w:p>
            <w:pPr>
              <w:pStyle w:val="TableParagraph"/>
              <w:tabs>
                <w:tab w:pos="3697" w:val="right" w:leader="none"/>
              </w:tabs>
              <w:spacing w:line="162" w:lineRule="exact" w:before="0"/>
              <w:ind w:left="241"/>
              <w:jc w:val="left"/>
              <w:rPr>
                <w:rFonts w:ascii="Courier New" w:hAnsi="Courier New"/>
                <w:b/>
                <w:sz w:val="16"/>
              </w:rPr>
            </w:pPr>
            <w:r>
              <w:rPr>
                <w:rFonts w:ascii="Courier New" w:hAnsi="Courier New"/>
                <w:b/>
                <w:sz w:val="16"/>
              </w:rPr>
              <w:t>Distancia a San José</w:t>
            </w:r>
            <w:r>
              <w:rPr>
                <w:rFonts w:ascii="Courier New" w:hAnsi="Courier New"/>
                <w:b/>
                <w:spacing w:val="-14"/>
                <w:sz w:val="16"/>
              </w:rPr>
              <w:t> </w:t>
            </w:r>
            <w:r>
              <w:rPr>
                <w:rFonts w:ascii="Courier New" w:hAnsi="Courier New"/>
                <w:b/>
                <w:sz w:val="16"/>
              </w:rPr>
              <w:t>Centro</w:t>
            </w:r>
            <w:r>
              <w:rPr>
                <w:rFonts w:ascii="Courier New" w:hAnsi="Courier New"/>
                <w:b/>
                <w:spacing w:val="-3"/>
                <w:sz w:val="16"/>
              </w:rPr>
              <w:t> </w:t>
            </w:r>
            <w:r>
              <w:rPr>
                <w:rFonts w:ascii="Courier New" w:hAnsi="Courier New"/>
                <w:b/>
                <w:sz w:val="16"/>
              </w:rPr>
              <w:t>por</w:t>
              <w:tab/>
              <w:t>1</w:t>
            </w:r>
          </w:p>
        </w:tc>
        <w:tc>
          <w:tcPr>
            <w:tcW w:w="1057" w:type="dxa"/>
          </w:tcPr>
          <w:p>
            <w:pPr>
              <w:pStyle w:val="TableParagraph"/>
              <w:spacing w:line="162" w:lineRule="exact" w:before="0"/>
              <w:ind w:left="-2"/>
              <w:rPr>
                <w:rFonts w:ascii="Courier New"/>
                <w:b/>
                <w:sz w:val="16"/>
              </w:rPr>
            </w:pPr>
            <w:r>
              <w:rPr>
                <w:rFonts w:ascii="Courier New"/>
                <w:b/>
                <w:spacing w:val="-1"/>
                <w:sz w:val="16"/>
              </w:rPr>
              <w:t>1.15718E+11</w:t>
            </w:r>
          </w:p>
        </w:tc>
        <w:tc>
          <w:tcPr>
            <w:tcW w:w="1345" w:type="dxa"/>
            <w:gridSpan w:val="2"/>
          </w:tcPr>
          <w:p>
            <w:pPr>
              <w:pStyle w:val="TableParagraph"/>
              <w:spacing w:line="162" w:lineRule="exact" w:before="0"/>
              <w:ind w:left="189"/>
              <w:jc w:val="left"/>
              <w:rPr>
                <w:rFonts w:ascii="Courier New"/>
                <w:b/>
                <w:sz w:val="16"/>
              </w:rPr>
            </w:pPr>
            <w:r>
              <w:rPr>
                <w:rFonts w:ascii="Courier New"/>
                <w:b/>
                <w:sz w:val="16"/>
              </w:rPr>
              <w:t>1.15718E+11</w:t>
            </w:r>
          </w:p>
        </w:tc>
        <w:tc>
          <w:tcPr>
            <w:tcW w:w="820" w:type="dxa"/>
            <w:gridSpan w:val="2"/>
          </w:tcPr>
          <w:p>
            <w:pPr>
              <w:pStyle w:val="TableParagraph"/>
              <w:spacing w:line="162" w:lineRule="exact" w:before="0"/>
              <w:ind w:left="380"/>
              <w:jc w:val="left"/>
              <w:rPr>
                <w:rFonts w:ascii="Courier New"/>
                <w:b/>
                <w:sz w:val="16"/>
              </w:rPr>
            </w:pPr>
            <w:r>
              <w:rPr>
                <w:rFonts w:ascii="Courier New"/>
                <w:b/>
                <w:sz w:val="16"/>
              </w:rPr>
              <w:t>3.79</w:t>
            </w:r>
          </w:p>
        </w:tc>
        <w:tc>
          <w:tcPr>
            <w:tcW w:w="865" w:type="dxa"/>
          </w:tcPr>
          <w:p>
            <w:pPr>
              <w:pStyle w:val="TableParagraph"/>
              <w:spacing w:line="162" w:lineRule="exact" w:before="0"/>
              <w:ind w:right="54"/>
              <w:rPr>
                <w:rFonts w:ascii="Courier New"/>
                <w:b/>
                <w:sz w:val="16"/>
              </w:rPr>
            </w:pPr>
            <w:r>
              <w:rPr>
                <w:rFonts w:ascii="Courier New"/>
                <w:b/>
                <w:sz w:val="16"/>
              </w:rPr>
              <w:t>0.052</w:t>
            </w:r>
          </w:p>
        </w:tc>
      </w:tr>
      <w:tr>
        <w:trPr>
          <w:trHeight w:val="182" w:hRule="atLeast"/>
        </w:trPr>
        <w:tc>
          <w:tcPr>
            <w:tcW w:w="3891" w:type="dxa"/>
            <w:gridSpan w:val="2"/>
          </w:tcPr>
          <w:p>
            <w:pPr>
              <w:pStyle w:val="TableParagraph"/>
              <w:tabs>
                <w:tab w:pos="3698" w:val="right" w:leader="none"/>
              </w:tabs>
              <w:spacing w:line="161" w:lineRule="exact" w:before="1"/>
              <w:ind w:left="241"/>
              <w:jc w:val="left"/>
              <w:rPr>
                <w:rFonts w:ascii="Courier New"/>
                <w:b/>
                <w:sz w:val="16"/>
              </w:rPr>
            </w:pPr>
            <w:r>
              <w:rPr>
                <w:rFonts w:ascii="Courier New"/>
                <w:b/>
                <w:sz w:val="16"/>
              </w:rPr>
              <w:t>Distancia a</w:t>
            </w:r>
            <w:r>
              <w:rPr>
                <w:rFonts w:ascii="Courier New"/>
                <w:b/>
                <w:spacing w:val="-8"/>
                <w:sz w:val="16"/>
              </w:rPr>
              <w:t> </w:t>
            </w:r>
            <w:r>
              <w:rPr>
                <w:rFonts w:ascii="Courier New"/>
                <w:b/>
                <w:sz w:val="16"/>
              </w:rPr>
              <w:t>Aglomera-ciones</w:t>
            </w:r>
            <w:r>
              <w:rPr>
                <w:rFonts w:ascii="Courier New"/>
                <w:b/>
                <w:spacing w:val="-4"/>
                <w:sz w:val="16"/>
              </w:rPr>
              <w:t> </w:t>
            </w:r>
            <w:r>
              <w:rPr>
                <w:rFonts w:ascii="Courier New"/>
                <w:b/>
                <w:sz w:val="16"/>
              </w:rPr>
              <w:t>de</w:t>
              <w:tab/>
              <w:t>1</w:t>
            </w:r>
          </w:p>
        </w:tc>
        <w:tc>
          <w:tcPr>
            <w:tcW w:w="1057" w:type="dxa"/>
          </w:tcPr>
          <w:p>
            <w:pPr>
              <w:pStyle w:val="TableParagraph"/>
              <w:spacing w:line="161" w:lineRule="exact" w:before="1"/>
              <w:ind w:left="-2" w:right="1"/>
              <w:rPr>
                <w:rFonts w:ascii="Courier New"/>
                <w:b/>
                <w:sz w:val="16"/>
              </w:rPr>
            </w:pPr>
            <w:r>
              <w:rPr>
                <w:rFonts w:ascii="Courier New"/>
                <w:b/>
                <w:spacing w:val="-1"/>
                <w:sz w:val="16"/>
              </w:rPr>
              <w:t>1.57361E+11</w:t>
            </w:r>
          </w:p>
        </w:tc>
        <w:tc>
          <w:tcPr>
            <w:tcW w:w="1345" w:type="dxa"/>
            <w:gridSpan w:val="2"/>
          </w:tcPr>
          <w:p>
            <w:pPr>
              <w:pStyle w:val="TableParagraph"/>
              <w:spacing w:line="161" w:lineRule="exact" w:before="1"/>
              <w:ind w:left="190"/>
              <w:jc w:val="left"/>
              <w:rPr>
                <w:rFonts w:ascii="Courier New"/>
                <w:b/>
                <w:sz w:val="16"/>
              </w:rPr>
            </w:pPr>
            <w:r>
              <w:rPr>
                <w:rFonts w:ascii="Courier New"/>
                <w:b/>
                <w:sz w:val="16"/>
              </w:rPr>
              <w:t>1.57361E+11</w:t>
            </w:r>
          </w:p>
        </w:tc>
        <w:tc>
          <w:tcPr>
            <w:tcW w:w="820" w:type="dxa"/>
            <w:gridSpan w:val="2"/>
          </w:tcPr>
          <w:p>
            <w:pPr>
              <w:pStyle w:val="TableParagraph"/>
              <w:spacing w:line="161" w:lineRule="exact" w:before="1"/>
              <w:ind w:left="381"/>
              <w:jc w:val="left"/>
              <w:rPr>
                <w:rFonts w:ascii="Courier New"/>
                <w:b/>
                <w:sz w:val="16"/>
              </w:rPr>
            </w:pPr>
            <w:r>
              <w:rPr>
                <w:rFonts w:ascii="Courier New"/>
                <w:b/>
                <w:sz w:val="16"/>
              </w:rPr>
              <w:t>5.16</w:t>
            </w:r>
          </w:p>
        </w:tc>
        <w:tc>
          <w:tcPr>
            <w:tcW w:w="865" w:type="dxa"/>
          </w:tcPr>
          <w:p>
            <w:pPr>
              <w:pStyle w:val="TableParagraph"/>
              <w:spacing w:line="161" w:lineRule="exact" w:before="1"/>
              <w:ind w:right="51"/>
              <w:rPr>
                <w:rFonts w:ascii="Courier New"/>
                <w:b/>
                <w:sz w:val="16"/>
              </w:rPr>
            </w:pPr>
            <w:r>
              <w:rPr>
                <w:rFonts w:ascii="Courier New"/>
                <w:b/>
                <w:sz w:val="16"/>
              </w:rPr>
              <w:t>0.024</w:t>
            </w:r>
          </w:p>
        </w:tc>
      </w:tr>
      <w:tr>
        <w:trPr>
          <w:trHeight w:val="180" w:hRule="atLeast"/>
        </w:trPr>
        <w:tc>
          <w:tcPr>
            <w:tcW w:w="3891" w:type="dxa"/>
            <w:gridSpan w:val="2"/>
          </w:tcPr>
          <w:p>
            <w:pPr>
              <w:pStyle w:val="TableParagraph"/>
              <w:tabs>
                <w:tab w:pos="3697" w:val="right" w:leader="none"/>
              </w:tabs>
              <w:spacing w:line="160" w:lineRule="exact" w:before="0"/>
              <w:ind w:left="241"/>
              <w:jc w:val="left"/>
              <w:rPr>
                <w:rFonts w:ascii="Courier New"/>
                <w:b/>
                <w:sz w:val="16"/>
              </w:rPr>
            </w:pPr>
            <w:r>
              <w:rPr>
                <w:rFonts w:ascii="Courier New"/>
                <w:b/>
                <w:sz w:val="16"/>
              </w:rPr>
              <w:t>Tipo = 1 casa, 0</w:t>
            </w:r>
            <w:r>
              <w:rPr>
                <w:rFonts w:ascii="Courier New"/>
                <w:b/>
                <w:spacing w:val="-9"/>
                <w:sz w:val="16"/>
              </w:rPr>
              <w:t> </w:t>
            </w:r>
            <w:r>
              <w:rPr>
                <w:rFonts w:ascii="Courier New"/>
                <w:b/>
                <w:sz w:val="16"/>
              </w:rPr>
              <w:t>=</w:t>
            </w:r>
            <w:r>
              <w:rPr>
                <w:rFonts w:ascii="Courier New"/>
                <w:b/>
                <w:spacing w:val="-2"/>
                <w:sz w:val="16"/>
              </w:rPr>
              <w:t> </w:t>
            </w:r>
            <w:r>
              <w:rPr>
                <w:rFonts w:ascii="Courier New"/>
                <w:b/>
                <w:sz w:val="16"/>
              </w:rPr>
              <w:t>Condo</w:t>
              <w:tab/>
              <w:t>1</w:t>
            </w:r>
          </w:p>
        </w:tc>
        <w:tc>
          <w:tcPr>
            <w:tcW w:w="1057" w:type="dxa"/>
          </w:tcPr>
          <w:p>
            <w:pPr>
              <w:pStyle w:val="TableParagraph"/>
              <w:spacing w:line="160" w:lineRule="exact" w:before="0"/>
              <w:ind w:left="-2"/>
              <w:rPr>
                <w:rFonts w:ascii="Courier New"/>
                <w:b/>
                <w:sz w:val="16"/>
              </w:rPr>
            </w:pPr>
            <w:r>
              <w:rPr>
                <w:rFonts w:ascii="Courier New"/>
                <w:b/>
                <w:spacing w:val="-1"/>
                <w:sz w:val="16"/>
              </w:rPr>
              <w:t>1.06676E+11</w:t>
            </w:r>
          </w:p>
        </w:tc>
        <w:tc>
          <w:tcPr>
            <w:tcW w:w="1345" w:type="dxa"/>
            <w:gridSpan w:val="2"/>
          </w:tcPr>
          <w:p>
            <w:pPr>
              <w:pStyle w:val="TableParagraph"/>
              <w:spacing w:line="160" w:lineRule="exact" w:before="0"/>
              <w:ind w:left="189"/>
              <w:jc w:val="left"/>
              <w:rPr>
                <w:rFonts w:ascii="Courier New"/>
                <w:b/>
                <w:sz w:val="16"/>
              </w:rPr>
            </w:pPr>
            <w:r>
              <w:rPr>
                <w:rFonts w:ascii="Courier New"/>
                <w:b/>
                <w:sz w:val="16"/>
              </w:rPr>
              <w:t>1.06676E+11</w:t>
            </w:r>
          </w:p>
        </w:tc>
        <w:tc>
          <w:tcPr>
            <w:tcW w:w="820" w:type="dxa"/>
            <w:gridSpan w:val="2"/>
          </w:tcPr>
          <w:p>
            <w:pPr>
              <w:pStyle w:val="TableParagraph"/>
              <w:spacing w:line="160" w:lineRule="exact" w:before="0"/>
              <w:ind w:left="380"/>
              <w:jc w:val="left"/>
              <w:rPr>
                <w:rFonts w:ascii="Courier New"/>
                <w:b/>
                <w:sz w:val="16"/>
              </w:rPr>
            </w:pPr>
            <w:r>
              <w:rPr>
                <w:rFonts w:ascii="Courier New"/>
                <w:b/>
                <w:sz w:val="16"/>
              </w:rPr>
              <w:t>3.50</w:t>
            </w:r>
          </w:p>
        </w:tc>
        <w:tc>
          <w:tcPr>
            <w:tcW w:w="865" w:type="dxa"/>
          </w:tcPr>
          <w:p>
            <w:pPr>
              <w:pStyle w:val="TableParagraph"/>
              <w:spacing w:line="160" w:lineRule="exact" w:before="0"/>
              <w:ind w:right="54"/>
              <w:rPr>
                <w:rFonts w:ascii="Courier New"/>
                <w:b/>
                <w:sz w:val="16"/>
              </w:rPr>
            </w:pPr>
            <w:r>
              <w:rPr>
                <w:rFonts w:ascii="Courier New"/>
                <w:b/>
                <w:sz w:val="16"/>
              </w:rPr>
              <w:t>0.063</w:t>
            </w:r>
          </w:p>
        </w:tc>
      </w:tr>
      <w:tr>
        <w:trPr>
          <w:trHeight w:val="181" w:hRule="atLeast"/>
        </w:trPr>
        <w:tc>
          <w:tcPr>
            <w:tcW w:w="3891" w:type="dxa"/>
            <w:gridSpan w:val="2"/>
          </w:tcPr>
          <w:p>
            <w:pPr>
              <w:pStyle w:val="TableParagraph"/>
              <w:tabs>
                <w:tab w:pos="3697" w:val="right" w:leader="none"/>
              </w:tabs>
              <w:spacing w:line="162" w:lineRule="exact" w:before="0"/>
              <w:ind w:left="241"/>
              <w:jc w:val="left"/>
              <w:rPr>
                <w:rFonts w:ascii="Courier New"/>
                <w:b/>
                <w:sz w:val="16"/>
              </w:rPr>
            </w:pPr>
            <w:r>
              <w:rPr>
                <w:rFonts w:ascii="Courier New"/>
                <w:b/>
                <w:sz w:val="16"/>
              </w:rPr>
              <w:t>Zona de Riesgo</w:t>
            </w:r>
            <w:r>
              <w:rPr>
                <w:rFonts w:ascii="Courier New"/>
                <w:b/>
                <w:spacing w:val="-9"/>
                <w:sz w:val="16"/>
              </w:rPr>
              <w:t> </w:t>
            </w:r>
            <w:r>
              <w:rPr>
                <w:rFonts w:ascii="Courier New"/>
                <w:b/>
                <w:sz w:val="16"/>
              </w:rPr>
              <w:t>de</w:t>
            </w:r>
            <w:r>
              <w:rPr>
                <w:rFonts w:ascii="Courier New"/>
                <w:b/>
                <w:spacing w:val="-2"/>
                <w:sz w:val="16"/>
              </w:rPr>
              <w:t> </w:t>
            </w:r>
            <w:r>
              <w:rPr>
                <w:rFonts w:ascii="Courier New"/>
                <w:b/>
                <w:sz w:val="16"/>
              </w:rPr>
              <w:t>desastre</w:t>
              <w:tab/>
              <w:t>1</w:t>
            </w:r>
          </w:p>
        </w:tc>
        <w:tc>
          <w:tcPr>
            <w:tcW w:w="1057" w:type="dxa"/>
          </w:tcPr>
          <w:p>
            <w:pPr>
              <w:pStyle w:val="TableParagraph"/>
              <w:spacing w:line="162" w:lineRule="exact" w:before="0"/>
              <w:ind w:left="-2"/>
              <w:rPr>
                <w:rFonts w:ascii="Courier New"/>
                <w:b/>
                <w:sz w:val="16"/>
              </w:rPr>
            </w:pPr>
            <w:r>
              <w:rPr>
                <w:rFonts w:ascii="Courier New"/>
                <w:b/>
                <w:spacing w:val="-1"/>
                <w:sz w:val="16"/>
              </w:rPr>
              <w:t>39611862152</w:t>
            </w:r>
          </w:p>
        </w:tc>
        <w:tc>
          <w:tcPr>
            <w:tcW w:w="1345" w:type="dxa"/>
            <w:gridSpan w:val="2"/>
          </w:tcPr>
          <w:p>
            <w:pPr>
              <w:pStyle w:val="TableParagraph"/>
              <w:spacing w:line="162" w:lineRule="exact" w:before="0"/>
              <w:ind w:left="189"/>
              <w:jc w:val="left"/>
              <w:rPr>
                <w:rFonts w:ascii="Courier New"/>
                <w:b/>
                <w:sz w:val="16"/>
              </w:rPr>
            </w:pPr>
            <w:r>
              <w:rPr>
                <w:rFonts w:ascii="Courier New"/>
                <w:b/>
                <w:sz w:val="16"/>
              </w:rPr>
              <w:t>39611862152</w:t>
            </w:r>
          </w:p>
        </w:tc>
        <w:tc>
          <w:tcPr>
            <w:tcW w:w="820" w:type="dxa"/>
            <w:gridSpan w:val="2"/>
          </w:tcPr>
          <w:p>
            <w:pPr>
              <w:pStyle w:val="TableParagraph"/>
              <w:spacing w:line="162" w:lineRule="exact" w:before="0"/>
              <w:ind w:left="380"/>
              <w:jc w:val="left"/>
              <w:rPr>
                <w:rFonts w:ascii="Courier New"/>
                <w:b/>
                <w:sz w:val="16"/>
              </w:rPr>
            </w:pPr>
            <w:r>
              <w:rPr>
                <w:rFonts w:ascii="Courier New"/>
                <w:b/>
                <w:sz w:val="16"/>
              </w:rPr>
              <w:t>1.30</w:t>
            </w:r>
          </w:p>
        </w:tc>
        <w:tc>
          <w:tcPr>
            <w:tcW w:w="865" w:type="dxa"/>
          </w:tcPr>
          <w:p>
            <w:pPr>
              <w:pStyle w:val="TableParagraph"/>
              <w:spacing w:line="162" w:lineRule="exact" w:before="0"/>
              <w:ind w:right="54"/>
              <w:rPr>
                <w:rFonts w:ascii="Courier New"/>
                <w:b/>
                <w:sz w:val="16"/>
              </w:rPr>
            </w:pPr>
            <w:r>
              <w:rPr>
                <w:rFonts w:ascii="Courier New"/>
                <w:b/>
                <w:sz w:val="16"/>
              </w:rPr>
              <w:t>0.255</w:t>
            </w:r>
          </w:p>
        </w:tc>
      </w:tr>
      <w:tr>
        <w:trPr>
          <w:trHeight w:val="362" w:hRule="atLeast"/>
        </w:trPr>
        <w:tc>
          <w:tcPr>
            <w:tcW w:w="3891" w:type="dxa"/>
            <w:gridSpan w:val="2"/>
          </w:tcPr>
          <w:p>
            <w:pPr>
              <w:pStyle w:val="TableParagraph"/>
              <w:tabs>
                <w:tab w:pos="3697" w:val="right" w:leader="none"/>
              </w:tabs>
              <w:spacing w:line="181" w:lineRule="exact" w:before="1"/>
              <w:ind w:left="241"/>
              <w:jc w:val="left"/>
              <w:rPr>
                <w:rFonts w:ascii="Courier New"/>
                <w:b/>
                <w:sz w:val="16"/>
              </w:rPr>
            </w:pPr>
            <w:r>
              <w:rPr>
                <w:rFonts w:ascii="Courier New"/>
                <w:b/>
                <w:sz w:val="16"/>
              </w:rPr>
              <w:t>Vista a</w:t>
            </w:r>
            <w:r>
              <w:rPr>
                <w:rFonts w:ascii="Courier New"/>
                <w:b/>
                <w:spacing w:val="-4"/>
                <w:sz w:val="16"/>
              </w:rPr>
              <w:t> </w:t>
            </w:r>
            <w:r>
              <w:rPr>
                <w:rFonts w:ascii="Courier New"/>
                <w:b/>
                <w:sz w:val="16"/>
              </w:rPr>
              <w:t>la</w:t>
            </w:r>
            <w:r>
              <w:rPr>
                <w:rFonts w:ascii="Courier New"/>
                <w:b/>
                <w:spacing w:val="-2"/>
                <w:sz w:val="16"/>
              </w:rPr>
              <w:t> </w:t>
            </w:r>
            <w:r>
              <w:rPr>
                <w:rFonts w:ascii="Courier New"/>
                <w:b/>
                <w:sz w:val="16"/>
              </w:rPr>
              <w:t>Carpintera</w:t>
              <w:tab/>
              <w:t>1</w:t>
            </w:r>
          </w:p>
          <w:p>
            <w:pPr>
              <w:pStyle w:val="TableParagraph"/>
              <w:tabs>
                <w:tab w:pos="3697" w:val="right" w:leader="none"/>
              </w:tabs>
              <w:spacing w:line="160" w:lineRule="exact" w:before="0"/>
              <w:ind w:left="50"/>
              <w:jc w:val="left"/>
              <w:rPr>
                <w:rFonts w:ascii="Courier New"/>
                <w:b/>
                <w:sz w:val="16"/>
              </w:rPr>
            </w:pPr>
            <w:r>
              <w:rPr>
                <w:rFonts w:ascii="Courier New"/>
                <w:b/>
                <w:sz w:val="16"/>
              </w:rPr>
              <w:t>Error</w:t>
              <w:tab/>
              <w:t>291</w:t>
            </w:r>
          </w:p>
        </w:tc>
        <w:tc>
          <w:tcPr>
            <w:tcW w:w="1057" w:type="dxa"/>
          </w:tcPr>
          <w:p>
            <w:pPr>
              <w:pStyle w:val="TableParagraph"/>
              <w:spacing w:line="181" w:lineRule="exact" w:before="1"/>
              <w:ind w:left="-2"/>
              <w:jc w:val="left"/>
              <w:rPr>
                <w:rFonts w:ascii="Courier New"/>
                <w:b/>
                <w:sz w:val="16"/>
              </w:rPr>
            </w:pPr>
            <w:r>
              <w:rPr>
                <w:rFonts w:ascii="Courier New"/>
                <w:b/>
                <w:spacing w:val="-1"/>
                <w:sz w:val="16"/>
              </w:rPr>
              <w:t>3.01216E+11</w:t>
            </w:r>
          </w:p>
          <w:p>
            <w:pPr>
              <w:pStyle w:val="TableParagraph"/>
              <w:spacing w:line="160" w:lineRule="exact" w:before="0"/>
              <w:ind w:left="-2"/>
              <w:jc w:val="left"/>
              <w:rPr>
                <w:rFonts w:ascii="Courier New"/>
                <w:b/>
                <w:sz w:val="16"/>
              </w:rPr>
            </w:pPr>
            <w:r>
              <w:rPr>
                <w:rFonts w:ascii="Courier New"/>
                <w:b/>
                <w:spacing w:val="-1"/>
                <w:sz w:val="16"/>
              </w:rPr>
              <w:t>8.87939E+12</w:t>
            </w:r>
          </w:p>
        </w:tc>
        <w:tc>
          <w:tcPr>
            <w:tcW w:w="1345" w:type="dxa"/>
            <w:gridSpan w:val="2"/>
          </w:tcPr>
          <w:p>
            <w:pPr>
              <w:pStyle w:val="TableParagraph"/>
              <w:spacing w:line="181" w:lineRule="exact" w:before="1"/>
              <w:ind w:left="189"/>
              <w:jc w:val="left"/>
              <w:rPr>
                <w:rFonts w:ascii="Courier New"/>
                <w:b/>
                <w:sz w:val="16"/>
              </w:rPr>
            </w:pPr>
            <w:r>
              <w:rPr>
                <w:rFonts w:ascii="Courier New"/>
                <w:b/>
                <w:sz w:val="16"/>
              </w:rPr>
              <w:t>3.01216E+11</w:t>
            </w:r>
          </w:p>
          <w:p>
            <w:pPr>
              <w:pStyle w:val="TableParagraph"/>
              <w:spacing w:line="160" w:lineRule="exact" w:before="0"/>
              <w:ind w:left="189"/>
              <w:jc w:val="left"/>
              <w:rPr>
                <w:rFonts w:ascii="Courier New"/>
                <w:b/>
                <w:sz w:val="16"/>
              </w:rPr>
            </w:pPr>
            <w:r>
              <w:rPr>
                <w:rFonts w:ascii="Courier New"/>
                <w:b/>
                <w:sz w:val="16"/>
              </w:rPr>
              <w:t>30513375713</w:t>
            </w:r>
          </w:p>
        </w:tc>
        <w:tc>
          <w:tcPr>
            <w:tcW w:w="820" w:type="dxa"/>
            <w:gridSpan w:val="2"/>
          </w:tcPr>
          <w:p>
            <w:pPr>
              <w:pStyle w:val="TableParagraph"/>
              <w:spacing w:line="240" w:lineRule="auto" w:before="1"/>
              <w:ind w:left="380"/>
              <w:jc w:val="left"/>
              <w:rPr>
                <w:rFonts w:ascii="Courier New"/>
                <w:b/>
                <w:sz w:val="16"/>
              </w:rPr>
            </w:pPr>
            <w:r>
              <w:rPr>
                <w:rFonts w:ascii="Courier New"/>
                <w:b/>
                <w:sz w:val="16"/>
              </w:rPr>
              <w:t>9.87</w:t>
            </w:r>
          </w:p>
        </w:tc>
        <w:tc>
          <w:tcPr>
            <w:tcW w:w="865" w:type="dxa"/>
          </w:tcPr>
          <w:p>
            <w:pPr>
              <w:pStyle w:val="TableParagraph"/>
              <w:spacing w:line="240" w:lineRule="auto" w:before="1"/>
              <w:ind w:right="54"/>
              <w:rPr>
                <w:rFonts w:ascii="Courier New"/>
                <w:b/>
                <w:sz w:val="16"/>
              </w:rPr>
            </w:pPr>
            <w:r>
              <w:rPr>
                <w:rFonts w:ascii="Courier New"/>
                <w:b/>
                <w:sz w:val="16"/>
              </w:rPr>
              <w:t>0.002</w:t>
            </w:r>
          </w:p>
        </w:tc>
      </w:tr>
      <w:tr>
        <w:trPr>
          <w:trHeight w:val="182" w:hRule="atLeast"/>
        </w:trPr>
        <w:tc>
          <w:tcPr>
            <w:tcW w:w="3891" w:type="dxa"/>
            <w:gridSpan w:val="2"/>
          </w:tcPr>
          <w:p>
            <w:pPr>
              <w:pStyle w:val="TableParagraph"/>
              <w:tabs>
                <w:tab w:pos="3698" w:val="right" w:leader="none"/>
              </w:tabs>
              <w:spacing w:line="162" w:lineRule="exact" w:before="0"/>
              <w:ind w:left="241"/>
              <w:jc w:val="left"/>
              <w:rPr>
                <w:rFonts w:ascii="Courier New"/>
                <w:b/>
                <w:sz w:val="16"/>
              </w:rPr>
            </w:pPr>
            <w:r>
              <w:rPr>
                <w:rFonts w:ascii="Courier New"/>
                <w:b/>
                <w:sz w:val="16"/>
              </w:rPr>
              <w:t>Lack-of-Fit</w:t>
              <w:tab/>
              <w:t>290</w:t>
            </w:r>
          </w:p>
        </w:tc>
        <w:tc>
          <w:tcPr>
            <w:tcW w:w="1057" w:type="dxa"/>
          </w:tcPr>
          <w:p>
            <w:pPr>
              <w:pStyle w:val="TableParagraph"/>
              <w:spacing w:line="162" w:lineRule="exact" w:before="0"/>
              <w:ind w:left="-2" w:right="1"/>
              <w:rPr>
                <w:rFonts w:ascii="Courier New"/>
                <w:b/>
                <w:sz w:val="16"/>
              </w:rPr>
            </w:pPr>
            <w:r>
              <w:rPr>
                <w:rFonts w:ascii="Courier New"/>
                <w:b/>
                <w:spacing w:val="-1"/>
                <w:sz w:val="16"/>
              </w:rPr>
              <w:t>8.87939E+12</w:t>
            </w:r>
          </w:p>
        </w:tc>
        <w:tc>
          <w:tcPr>
            <w:tcW w:w="1345" w:type="dxa"/>
            <w:gridSpan w:val="2"/>
          </w:tcPr>
          <w:p>
            <w:pPr>
              <w:pStyle w:val="TableParagraph"/>
              <w:spacing w:line="162" w:lineRule="exact" w:before="0"/>
              <w:ind w:left="190"/>
              <w:jc w:val="left"/>
              <w:rPr>
                <w:rFonts w:ascii="Courier New"/>
                <w:b/>
                <w:sz w:val="16"/>
              </w:rPr>
            </w:pPr>
            <w:r>
              <w:rPr>
                <w:rFonts w:ascii="Courier New"/>
                <w:b/>
                <w:sz w:val="16"/>
              </w:rPr>
              <w:t>30618594250</w:t>
            </w:r>
          </w:p>
        </w:tc>
        <w:tc>
          <w:tcPr>
            <w:tcW w:w="820" w:type="dxa"/>
            <w:gridSpan w:val="2"/>
          </w:tcPr>
          <w:p>
            <w:pPr>
              <w:pStyle w:val="TableParagraph"/>
              <w:spacing w:line="162" w:lineRule="exact" w:before="0"/>
              <w:ind w:right="52"/>
              <w:rPr>
                <w:rFonts w:ascii="Courier New"/>
                <w:b/>
                <w:sz w:val="16"/>
              </w:rPr>
            </w:pPr>
            <w:r>
              <w:rPr>
                <w:rFonts w:ascii="Courier New"/>
                <w:b/>
                <w:sz w:val="16"/>
              </w:rPr>
              <w:t>*</w:t>
            </w:r>
          </w:p>
        </w:tc>
        <w:tc>
          <w:tcPr>
            <w:tcW w:w="865" w:type="dxa"/>
          </w:tcPr>
          <w:p>
            <w:pPr>
              <w:pStyle w:val="TableParagraph"/>
              <w:spacing w:line="162" w:lineRule="exact" w:before="0"/>
              <w:ind w:right="53"/>
              <w:rPr>
                <w:rFonts w:ascii="Courier New"/>
                <w:b/>
                <w:sz w:val="16"/>
              </w:rPr>
            </w:pPr>
            <w:r>
              <w:rPr>
                <w:rFonts w:ascii="Courier New"/>
                <w:b/>
                <w:sz w:val="16"/>
              </w:rPr>
              <w:t>*</w:t>
            </w:r>
          </w:p>
        </w:tc>
      </w:tr>
      <w:tr>
        <w:trPr>
          <w:trHeight w:val="543" w:hRule="atLeast"/>
        </w:trPr>
        <w:tc>
          <w:tcPr>
            <w:tcW w:w="3891" w:type="dxa"/>
            <w:gridSpan w:val="2"/>
          </w:tcPr>
          <w:p>
            <w:pPr>
              <w:pStyle w:val="TableParagraph"/>
              <w:tabs>
                <w:tab w:pos="3697" w:val="right" w:leader="none"/>
              </w:tabs>
              <w:spacing w:line="181" w:lineRule="exact" w:before="1"/>
              <w:ind w:left="241"/>
              <w:jc w:val="left"/>
              <w:rPr>
                <w:rFonts w:ascii="Courier New"/>
                <w:b/>
                <w:sz w:val="16"/>
              </w:rPr>
            </w:pPr>
            <w:r>
              <w:rPr>
                <w:rFonts w:ascii="Courier New"/>
                <w:b/>
                <w:sz w:val="16"/>
              </w:rPr>
              <w:t>Pure</w:t>
            </w:r>
            <w:r>
              <w:rPr>
                <w:rFonts w:ascii="Courier New"/>
                <w:b/>
                <w:spacing w:val="-2"/>
                <w:sz w:val="16"/>
              </w:rPr>
              <w:t> </w:t>
            </w:r>
            <w:r>
              <w:rPr>
                <w:rFonts w:ascii="Courier New"/>
                <w:b/>
                <w:sz w:val="16"/>
              </w:rPr>
              <w:t>Error</w:t>
              <w:tab/>
              <w:t>1</w:t>
            </w:r>
          </w:p>
          <w:p>
            <w:pPr>
              <w:pStyle w:val="TableParagraph"/>
              <w:tabs>
                <w:tab w:pos="3697" w:val="right" w:leader="none"/>
              </w:tabs>
              <w:spacing w:line="181" w:lineRule="exact" w:before="0"/>
              <w:ind w:left="50"/>
              <w:jc w:val="left"/>
              <w:rPr>
                <w:rFonts w:ascii="Courier New"/>
                <w:b/>
                <w:sz w:val="16"/>
              </w:rPr>
            </w:pPr>
            <w:r>
              <w:rPr>
                <w:rFonts w:ascii="Courier New"/>
                <w:b/>
                <w:sz w:val="16"/>
              </w:rPr>
              <w:t>Total</w:t>
              <w:tab/>
              <w:t>301</w:t>
            </w:r>
          </w:p>
        </w:tc>
        <w:tc>
          <w:tcPr>
            <w:tcW w:w="1057" w:type="dxa"/>
          </w:tcPr>
          <w:p>
            <w:pPr>
              <w:pStyle w:val="TableParagraph"/>
              <w:spacing w:line="181" w:lineRule="exact" w:before="1"/>
              <w:rPr>
                <w:rFonts w:ascii="Courier New"/>
                <w:b/>
                <w:sz w:val="16"/>
              </w:rPr>
            </w:pPr>
            <w:r>
              <w:rPr>
                <w:rFonts w:ascii="Courier New"/>
                <w:b/>
                <w:sz w:val="16"/>
              </w:rPr>
              <w:t>0</w:t>
            </w:r>
          </w:p>
          <w:p>
            <w:pPr>
              <w:pStyle w:val="TableParagraph"/>
              <w:spacing w:line="181" w:lineRule="exact" w:before="0"/>
              <w:ind w:left="-2"/>
              <w:rPr>
                <w:rFonts w:ascii="Courier New"/>
                <w:b/>
                <w:sz w:val="16"/>
              </w:rPr>
            </w:pPr>
            <w:r>
              <w:rPr>
                <w:rFonts w:ascii="Courier New"/>
                <w:b/>
                <w:spacing w:val="-1"/>
                <w:sz w:val="16"/>
              </w:rPr>
              <w:t>1.67172E+13</w:t>
            </w:r>
          </w:p>
        </w:tc>
        <w:tc>
          <w:tcPr>
            <w:tcW w:w="1345" w:type="dxa"/>
            <w:gridSpan w:val="2"/>
          </w:tcPr>
          <w:p>
            <w:pPr>
              <w:pStyle w:val="TableParagraph"/>
              <w:spacing w:line="240" w:lineRule="auto" w:before="1"/>
              <w:ind w:right="97"/>
              <w:rPr>
                <w:rFonts w:ascii="Courier New"/>
                <w:b/>
                <w:sz w:val="16"/>
              </w:rPr>
            </w:pPr>
            <w:r>
              <w:rPr>
                <w:rFonts w:ascii="Courier New"/>
                <w:b/>
                <w:sz w:val="16"/>
              </w:rPr>
              <w:t>0</w:t>
            </w:r>
          </w:p>
        </w:tc>
        <w:tc>
          <w:tcPr>
            <w:tcW w:w="820" w:type="dxa"/>
            <w:gridSpan w:val="2"/>
          </w:tcPr>
          <w:p>
            <w:pPr>
              <w:pStyle w:val="TableParagraph"/>
              <w:spacing w:line="240" w:lineRule="auto" w:before="0"/>
              <w:jc w:val="left"/>
              <w:rPr>
                <w:rFonts w:ascii="Times New Roman"/>
                <w:sz w:val="16"/>
              </w:rPr>
            </w:pPr>
          </w:p>
        </w:tc>
        <w:tc>
          <w:tcPr>
            <w:tcW w:w="865" w:type="dxa"/>
          </w:tcPr>
          <w:p>
            <w:pPr>
              <w:pStyle w:val="TableParagraph"/>
              <w:spacing w:line="240" w:lineRule="auto" w:before="0"/>
              <w:jc w:val="left"/>
              <w:rPr>
                <w:rFonts w:ascii="Times New Roman"/>
                <w:sz w:val="16"/>
              </w:rPr>
            </w:pPr>
          </w:p>
        </w:tc>
      </w:tr>
      <w:tr>
        <w:trPr>
          <w:trHeight w:val="452" w:hRule="atLeast"/>
        </w:trPr>
        <w:tc>
          <w:tcPr>
            <w:tcW w:w="3891" w:type="dxa"/>
            <w:gridSpan w:val="2"/>
          </w:tcPr>
          <w:p>
            <w:pPr>
              <w:pStyle w:val="TableParagraph"/>
              <w:spacing w:line="240" w:lineRule="auto" w:before="8"/>
              <w:jc w:val="left"/>
              <w:rPr>
                <w:b/>
                <w:sz w:val="15"/>
              </w:rPr>
            </w:pPr>
          </w:p>
          <w:p>
            <w:pPr>
              <w:pStyle w:val="TableParagraph"/>
              <w:spacing w:line="240" w:lineRule="auto" w:before="0"/>
              <w:ind w:left="50"/>
              <w:jc w:val="left"/>
              <w:rPr>
                <w:rFonts w:ascii="Courier New"/>
                <w:b/>
                <w:sz w:val="16"/>
              </w:rPr>
            </w:pPr>
            <w:r>
              <w:rPr>
                <w:rFonts w:ascii="Courier New"/>
                <w:b/>
                <w:sz w:val="16"/>
              </w:rPr>
              <w:t>Model Summary</w:t>
            </w:r>
          </w:p>
        </w:tc>
        <w:tc>
          <w:tcPr>
            <w:tcW w:w="1057" w:type="dxa"/>
          </w:tcPr>
          <w:p>
            <w:pPr>
              <w:pStyle w:val="TableParagraph"/>
              <w:spacing w:line="240" w:lineRule="auto" w:before="0"/>
              <w:jc w:val="left"/>
              <w:rPr>
                <w:rFonts w:ascii="Times New Roman"/>
                <w:sz w:val="16"/>
              </w:rPr>
            </w:pPr>
          </w:p>
        </w:tc>
        <w:tc>
          <w:tcPr>
            <w:tcW w:w="1345" w:type="dxa"/>
            <w:gridSpan w:val="2"/>
          </w:tcPr>
          <w:p>
            <w:pPr>
              <w:pStyle w:val="TableParagraph"/>
              <w:spacing w:line="240" w:lineRule="auto" w:before="0"/>
              <w:jc w:val="left"/>
              <w:rPr>
                <w:rFonts w:ascii="Times New Roman"/>
                <w:sz w:val="16"/>
              </w:rPr>
            </w:pPr>
          </w:p>
        </w:tc>
        <w:tc>
          <w:tcPr>
            <w:tcW w:w="820" w:type="dxa"/>
            <w:gridSpan w:val="2"/>
          </w:tcPr>
          <w:p>
            <w:pPr>
              <w:pStyle w:val="TableParagraph"/>
              <w:spacing w:line="240" w:lineRule="auto" w:before="0"/>
              <w:jc w:val="left"/>
              <w:rPr>
                <w:rFonts w:ascii="Times New Roman"/>
                <w:sz w:val="16"/>
              </w:rPr>
            </w:pPr>
          </w:p>
        </w:tc>
        <w:tc>
          <w:tcPr>
            <w:tcW w:w="865" w:type="dxa"/>
          </w:tcPr>
          <w:p>
            <w:pPr>
              <w:pStyle w:val="TableParagraph"/>
              <w:spacing w:line="240" w:lineRule="auto" w:before="0"/>
              <w:jc w:val="left"/>
              <w:rPr>
                <w:rFonts w:ascii="Times New Roman"/>
                <w:sz w:val="16"/>
              </w:rPr>
            </w:pPr>
          </w:p>
        </w:tc>
      </w:tr>
      <w:tr>
        <w:trPr>
          <w:trHeight w:val="454" w:hRule="atLeast"/>
        </w:trPr>
        <w:tc>
          <w:tcPr>
            <w:tcW w:w="3891" w:type="dxa"/>
            <w:gridSpan w:val="2"/>
          </w:tcPr>
          <w:p>
            <w:pPr>
              <w:pStyle w:val="TableParagraph"/>
              <w:tabs>
                <w:tab w:pos="1009" w:val="left" w:leader="none"/>
                <w:tab w:pos="1873" w:val="left" w:leader="none"/>
                <w:tab w:pos="3025" w:val="left" w:leader="none"/>
              </w:tabs>
              <w:spacing w:line="180" w:lineRule="atLeast" w:before="89"/>
              <w:ind w:left="50" w:right="285" w:firstLine="480"/>
              <w:jc w:val="left"/>
              <w:rPr>
                <w:rFonts w:ascii="Courier New"/>
                <w:b/>
                <w:sz w:val="16"/>
              </w:rPr>
            </w:pPr>
            <w:r>
              <w:rPr>
                <w:rFonts w:ascii="Courier New"/>
                <w:b/>
                <w:sz w:val="16"/>
              </w:rPr>
              <w:t>S</w:t>
              <w:tab/>
              <w:t>R-sq R-sq(adj) R-sq(pred) 174681</w:t>
            </w:r>
            <w:r>
              <w:rPr>
                <w:rFonts w:ascii="Courier New"/>
                <w:b/>
                <w:spacing w:val="88"/>
                <w:sz w:val="16"/>
              </w:rPr>
              <w:t> </w:t>
            </w:r>
            <w:r>
              <w:rPr>
                <w:rFonts w:ascii="Courier New"/>
                <w:b/>
                <w:sz w:val="16"/>
              </w:rPr>
              <w:t>46.88%</w:t>
              <w:tab/>
              <w:t>45.06%</w:t>
              <w:tab/>
              <w:t>41.36%</w:t>
            </w:r>
          </w:p>
        </w:tc>
        <w:tc>
          <w:tcPr>
            <w:tcW w:w="1057" w:type="dxa"/>
          </w:tcPr>
          <w:p>
            <w:pPr>
              <w:pStyle w:val="TableParagraph"/>
              <w:spacing w:line="240" w:lineRule="auto" w:before="0"/>
              <w:jc w:val="left"/>
              <w:rPr>
                <w:rFonts w:ascii="Times New Roman"/>
                <w:sz w:val="16"/>
              </w:rPr>
            </w:pPr>
          </w:p>
        </w:tc>
        <w:tc>
          <w:tcPr>
            <w:tcW w:w="1345" w:type="dxa"/>
            <w:gridSpan w:val="2"/>
          </w:tcPr>
          <w:p>
            <w:pPr>
              <w:pStyle w:val="TableParagraph"/>
              <w:spacing w:line="240" w:lineRule="auto" w:before="0"/>
              <w:jc w:val="left"/>
              <w:rPr>
                <w:rFonts w:ascii="Times New Roman"/>
                <w:sz w:val="16"/>
              </w:rPr>
            </w:pPr>
          </w:p>
        </w:tc>
        <w:tc>
          <w:tcPr>
            <w:tcW w:w="820" w:type="dxa"/>
            <w:gridSpan w:val="2"/>
          </w:tcPr>
          <w:p>
            <w:pPr>
              <w:pStyle w:val="TableParagraph"/>
              <w:spacing w:line="240" w:lineRule="auto" w:before="0"/>
              <w:jc w:val="left"/>
              <w:rPr>
                <w:rFonts w:ascii="Times New Roman"/>
                <w:sz w:val="16"/>
              </w:rPr>
            </w:pPr>
          </w:p>
        </w:tc>
        <w:tc>
          <w:tcPr>
            <w:tcW w:w="865" w:type="dxa"/>
          </w:tcPr>
          <w:p>
            <w:pPr>
              <w:pStyle w:val="TableParagraph"/>
              <w:spacing w:line="240" w:lineRule="auto" w:before="0"/>
              <w:jc w:val="left"/>
              <w:rPr>
                <w:rFonts w:ascii="Times New Roman"/>
                <w:sz w:val="16"/>
              </w:rPr>
            </w:pPr>
          </w:p>
        </w:tc>
      </w:tr>
      <w:tr>
        <w:trPr>
          <w:trHeight w:val="633" w:hRule="atLeast"/>
        </w:trPr>
        <w:tc>
          <w:tcPr>
            <w:tcW w:w="3122" w:type="dxa"/>
          </w:tcPr>
          <w:p>
            <w:pPr>
              <w:pStyle w:val="TableParagraph"/>
              <w:spacing w:line="240" w:lineRule="auto" w:before="0"/>
              <w:jc w:val="left"/>
              <w:rPr>
                <w:b/>
                <w:sz w:val="18"/>
              </w:rPr>
            </w:pPr>
          </w:p>
          <w:p>
            <w:pPr>
              <w:pStyle w:val="TableParagraph"/>
              <w:spacing w:line="240" w:lineRule="auto" w:before="155"/>
              <w:ind w:left="50"/>
              <w:jc w:val="left"/>
              <w:rPr>
                <w:rFonts w:ascii="Courier New"/>
                <w:b/>
                <w:sz w:val="16"/>
              </w:rPr>
            </w:pPr>
            <w:r>
              <w:rPr>
                <w:rFonts w:ascii="Courier New"/>
                <w:b/>
                <w:sz w:val="16"/>
              </w:rPr>
              <w:t>Coefficients</w:t>
            </w:r>
          </w:p>
        </w:tc>
        <w:tc>
          <w:tcPr>
            <w:tcW w:w="769" w:type="dxa"/>
          </w:tcPr>
          <w:p>
            <w:pPr>
              <w:pStyle w:val="TableParagraph"/>
              <w:spacing w:line="240" w:lineRule="auto" w:before="0"/>
              <w:jc w:val="left"/>
              <w:rPr>
                <w:rFonts w:ascii="Times New Roman"/>
                <w:sz w:val="16"/>
              </w:rPr>
            </w:pPr>
          </w:p>
        </w:tc>
        <w:tc>
          <w:tcPr>
            <w:tcW w:w="1057" w:type="dxa"/>
          </w:tcPr>
          <w:p>
            <w:pPr>
              <w:pStyle w:val="TableParagraph"/>
              <w:spacing w:line="240" w:lineRule="auto" w:before="0"/>
              <w:jc w:val="left"/>
              <w:rPr>
                <w:rFonts w:ascii="Times New Roman"/>
                <w:sz w:val="16"/>
              </w:rPr>
            </w:pPr>
          </w:p>
        </w:tc>
        <w:tc>
          <w:tcPr>
            <w:tcW w:w="769" w:type="dxa"/>
          </w:tcPr>
          <w:p>
            <w:pPr>
              <w:pStyle w:val="TableParagraph"/>
              <w:spacing w:line="240" w:lineRule="auto" w:before="0"/>
              <w:jc w:val="left"/>
              <w:rPr>
                <w:rFonts w:ascii="Times New Roman"/>
                <w:sz w:val="16"/>
              </w:rPr>
            </w:pPr>
          </w:p>
        </w:tc>
        <w:tc>
          <w:tcPr>
            <w:tcW w:w="864" w:type="dxa"/>
            <w:gridSpan w:val="2"/>
          </w:tcPr>
          <w:p>
            <w:pPr>
              <w:pStyle w:val="TableParagraph"/>
              <w:spacing w:line="240" w:lineRule="auto" w:before="0"/>
              <w:jc w:val="left"/>
              <w:rPr>
                <w:rFonts w:ascii="Times New Roman"/>
                <w:sz w:val="16"/>
              </w:rPr>
            </w:pPr>
          </w:p>
        </w:tc>
        <w:tc>
          <w:tcPr>
            <w:tcW w:w="1397" w:type="dxa"/>
            <w:gridSpan w:val="2"/>
          </w:tcPr>
          <w:p>
            <w:pPr>
              <w:pStyle w:val="TableParagraph"/>
              <w:spacing w:line="240" w:lineRule="auto" w:before="0"/>
              <w:jc w:val="left"/>
              <w:rPr>
                <w:rFonts w:ascii="Times New Roman"/>
                <w:sz w:val="16"/>
              </w:rPr>
            </w:pPr>
          </w:p>
        </w:tc>
      </w:tr>
      <w:tr>
        <w:trPr>
          <w:trHeight w:val="453" w:hRule="atLeast"/>
        </w:trPr>
        <w:tc>
          <w:tcPr>
            <w:tcW w:w="3122" w:type="dxa"/>
          </w:tcPr>
          <w:p>
            <w:pPr>
              <w:pStyle w:val="TableParagraph"/>
              <w:spacing w:line="180" w:lineRule="atLeast" w:before="89"/>
              <w:ind w:left="50" w:right="2283"/>
              <w:jc w:val="left"/>
              <w:rPr>
                <w:rFonts w:ascii="Courier New"/>
                <w:b/>
                <w:sz w:val="16"/>
              </w:rPr>
            </w:pPr>
            <w:r>
              <w:rPr>
                <w:rFonts w:ascii="Courier New"/>
                <w:b/>
                <w:sz w:val="16"/>
              </w:rPr>
              <w:t>Term Constant</w:t>
            </w:r>
          </w:p>
        </w:tc>
        <w:tc>
          <w:tcPr>
            <w:tcW w:w="769" w:type="dxa"/>
          </w:tcPr>
          <w:p>
            <w:pPr>
              <w:pStyle w:val="TableParagraph"/>
              <w:spacing w:line="180" w:lineRule="atLeast" w:before="89"/>
              <w:ind w:left="95" w:right="-19" w:firstLine="288"/>
              <w:jc w:val="left"/>
              <w:rPr>
                <w:rFonts w:ascii="Courier New"/>
                <w:b/>
                <w:sz w:val="16"/>
              </w:rPr>
            </w:pPr>
            <w:r>
              <w:rPr>
                <w:rFonts w:ascii="Courier New"/>
                <w:b/>
                <w:sz w:val="16"/>
              </w:rPr>
              <w:t>Coef 2799904</w:t>
            </w:r>
          </w:p>
        </w:tc>
        <w:tc>
          <w:tcPr>
            <w:tcW w:w="1057" w:type="dxa"/>
          </w:tcPr>
          <w:p>
            <w:pPr>
              <w:pStyle w:val="TableParagraph"/>
              <w:spacing w:line="180" w:lineRule="atLeast" w:before="89"/>
              <w:ind w:left="190" w:right="174"/>
              <w:jc w:val="left"/>
              <w:rPr>
                <w:rFonts w:ascii="Courier New"/>
                <w:b/>
                <w:sz w:val="16"/>
              </w:rPr>
            </w:pPr>
            <w:r>
              <w:rPr>
                <w:rFonts w:ascii="Courier New"/>
                <w:b/>
                <w:sz w:val="16"/>
              </w:rPr>
              <w:t>SE Coef 3643561</w:t>
            </w:r>
          </w:p>
        </w:tc>
        <w:tc>
          <w:tcPr>
            <w:tcW w:w="769" w:type="dxa"/>
          </w:tcPr>
          <w:p>
            <w:pPr>
              <w:pStyle w:val="TableParagraph"/>
              <w:spacing w:line="240" w:lineRule="auto" w:before="89"/>
              <w:ind w:left="-3" w:right="95"/>
              <w:rPr>
                <w:rFonts w:ascii="Courier New"/>
                <w:b/>
                <w:sz w:val="16"/>
              </w:rPr>
            </w:pPr>
            <w:r>
              <w:rPr>
                <w:rFonts w:ascii="Courier New"/>
                <w:b/>
                <w:spacing w:val="-1"/>
                <w:sz w:val="16"/>
              </w:rPr>
              <w:t>T-Value</w:t>
            </w:r>
          </w:p>
          <w:p>
            <w:pPr>
              <w:pStyle w:val="TableParagraph"/>
              <w:spacing w:line="161" w:lineRule="exact" w:before="3"/>
              <w:ind w:left="-3" w:right="97"/>
              <w:rPr>
                <w:rFonts w:ascii="Courier New"/>
                <w:b/>
                <w:sz w:val="16"/>
              </w:rPr>
            </w:pPr>
            <w:r>
              <w:rPr>
                <w:rFonts w:ascii="Courier New"/>
                <w:b/>
                <w:spacing w:val="-1"/>
                <w:sz w:val="16"/>
              </w:rPr>
              <w:t>0.77</w:t>
            </w:r>
          </w:p>
        </w:tc>
        <w:tc>
          <w:tcPr>
            <w:tcW w:w="864" w:type="dxa"/>
            <w:gridSpan w:val="2"/>
          </w:tcPr>
          <w:p>
            <w:pPr>
              <w:pStyle w:val="TableParagraph"/>
              <w:spacing w:line="180" w:lineRule="atLeast" w:before="89"/>
              <w:ind w:left="284" w:right="78" w:hanging="191"/>
              <w:jc w:val="left"/>
              <w:rPr>
                <w:rFonts w:ascii="Courier New"/>
                <w:b/>
                <w:sz w:val="16"/>
              </w:rPr>
            </w:pPr>
            <w:r>
              <w:rPr>
                <w:rFonts w:ascii="Courier New"/>
                <w:b/>
                <w:sz w:val="16"/>
              </w:rPr>
              <w:t>P-Value 0.443</w:t>
            </w:r>
          </w:p>
        </w:tc>
        <w:tc>
          <w:tcPr>
            <w:tcW w:w="1397" w:type="dxa"/>
            <w:gridSpan w:val="2"/>
          </w:tcPr>
          <w:p>
            <w:pPr>
              <w:pStyle w:val="TableParagraph"/>
              <w:spacing w:line="240" w:lineRule="auto" w:before="89"/>
              <w:ind w:left="191"/>
              <w:jc w:val="left"/>
              <w:rPr>
                <w:rFonts w:ascii="Courier New"/>
                <w:b/>
                <w:sz w:val="16"/>
              </w:rPr>
            </w:pPr>
            <w:r>
              <w:rPr>
                <w:rFonts w:ascii="Courier New"/>
                <w:b/>
                <w:sz w:val="16"/>
              </w:rPr>
              <w:t>VIF</w:t>
            </w:r>
          </w:p>
        </w:tc>
      </w:tr>
      <w:tr>
        <w:trPr>
          <w:trHeight w:val="180" w:hRule="atLeast"/>
        </w:trPr>
        <w:tc>
          <w:tcPr>
            <w:tcW w:w="3122" w:type="dxa"/>
          </w:tcPr>
          <w:p>
            <w:pPr>
              <w:pStyle w:val="TableParagraph"/>
              <w:spacing w:line="160" w:lineRule="exact" w:before="0"/>
              <w:ind w:left="50"/>
              <w:jc w:val="left"/>
              <w:rPr>
                <w:rFonts w:ascii="Courier New" w:hAnsi="Courier New"/>
                <w:b/>
                <w:sz w:val="16"/>
              </w:rPr>
            </w:pPr>
            <w:r>
              <w:rPr>
                <w:rFonts w:ascii="Courier New" w:hAnsi="Courier New"/>
                <w:b/>
                <w:sz w:val="16"/>
              </w:rPr>
              <w:t>Área de Construcción en metros</w:t>
            </w:r>
          </w:p>
        </w:tc>
        <w:tc>
          <w:tcPr>
            <w:tcW w:w="769" w:type="dxa"/>
          </w:tcPr>
          <w:p>
            <w:pPr>
              <w:pStyle w:val="TableParagraph"/>
              <w:spacing w:line="160" w:lineRule="exact" w:before="0"/>
              <w:ind w:left="-3" w:right="1"/>
              <w:rPr>
                <w:rFonts w:ascii="Courier New"/>
                <w:b/>
                <w:sz w:val="16"/>
              </w:rPr>
            </w:pPr>
            <w:r>
              <w:rPr>
                <w:rFonts w:ascii="Courier New"/>
                <w:b/>
                <w:sz w:val="16"/>
              </w:rPr>
              <w:t>11.8</w:t>
            </w:r>
          </w:p>
        </w:tc>
        <w:tc>
          <w:tcPr>
            <w:tcW w:w="1057" w:type="dxa"/>
          </w:tcPr>
          <w:p>
            <w:pPr>
              <w:pStyle w:val="TableParagraph"/>
              <w:spacing w:line="160" w:lineRule="exact" w:before="0"/>
              <w:ind w:left="478"/>
              <w:jc w:val="left"/>
              <w:rPr>
                <w:rFonts w:ascii="Courier New"/>
                <w:b/>
                <w:sz w:val="16"/>
              </w:rPr>
            </w:pPr>
            <w:r>
              <w:rPr>
                <w:rFonts w:ascii="Courier New"/>
                <w:b/>
                <w:sz w:val="16"/>
              </w:rPr>
              <w:t>56.4</w:t>
            </w:r>
          </w:p>
        </w:tc>
        <w:tc>
          <w:tcPr>
            <w:tcW w:w="769" w:type="dxa"/>
          </w:tcPr>
          <w:p>
            <w:pPr>
              <w:pStyle w:val="TableParagraph"/>
              <w:spacing w:line="160" w:lineRule="exact" w:before="0"/>
              <w:ind w:left="-3" w:right="97"/>
              <w:rPr>
                <w:rFonts w:ascii="Courier New"/>
                <w:b/>
                <w:sz w:val="16"/>
              </w:rPr>
            </w:pPr>
            <w:r>
              <w:rPr>
                <w:rFonts w:ascii="Courier New"/>
                <w:b/>
                <w:sz w:val="16"/>
              </w:rPr>
              <w:t>0.21</w:t>
            </w:r>
          </w:p>
        </w:tc>
        <w:tc>
          <w:tcPr>
            <w:tcW w:w="864" w:type="dxa"/>
            <w:gridSpan w:val="2"/>
          </w:tcPr>
          <w:p>
            <w:pPr>
              <w:pStyle w:val="TableParagraph"/>
              <w:spacing w:line="160" w:lineRule="exact" w:before="0"/>
              <w:ind w:left="284"/>
              <w:jc w:val="left"/>
              <w:rPr>
                <w:rFonts w:ascii="Courier New"/>
                <w:b/>
                <w:sz w:val="16"/>
              </w:rPr>
            </w:pPr>
            <w:r>
              <w:rPr>
                <w:rFonts w:ascii="Courier New"/>
                <w:b/>
                <w:sz w:val="16"/>
              </w:rPr>
              <w:t>0.834</w:t>
            </w:r>
          </w:p>
        </w:tc>
        <w:tc>
          <w:tcPr>
            <w:tcW w:w="1397" w:type="dxa"/>
            <w:gridSpan w:val="2"/>
          </w:tcPr>
          <w:p>
            <w:pPr>
              <w:pStyle w:val="TableParagraph"/>
              <w:spacing w:line="160" w:lineRule="exact" w:before="0"/>
              <w:ind w:left="92"/>
              <w:jc w:val="left"/>
              <w:rPr>
                <w:rFonts w:ascii="Courier New"/>
                <w:b/>
                <w:sz w:val="16"/>
              </w:rPr>
            </w:pPr>
            <w:r>
              <w:rPr>
                <w:rFonts w:ascii="Courier New"/>
                <w:b/>
                <w:sz w:val="16"/>
              </w:rPr>
              <w:t>1.11</w:t>
            </w:r>
          </w:p>
        </w:tc>
      </w:tr>
      <w:tr>
        <w:trPr>
          <w:trHeight w:val="182" w:hRule="atLeast"/>
        </w:trPr>
        <w:tc>
          <w:tcPr>
            <w:tcW w:w="3122" w:type="dxa"/>
          </w:tcPr>
          <w:p>
            <w:pPr>
              <w:pStyle w:val="TableParagraph"/>
              <w:spacing w:line="162" w:lineRule="exact" w:before="0"/>
              <w:ind w:left="50"/>
              <w:jc w:val="left"/>
              <w:rPr>
                <w:rFonts w:ascii="Courier New" w:hAnsi="Courier New"/>
                <w:b/>
                <w:sz w:val="16"/>
              </w:rPr>
            </w:pPr>
            <w:r>
              <w:rPr>
                <w:rFonts w:ascii="Courier New" w:hAnsi="Courier New"/>
                <w:b/>
                <w:sz w:val="16"/>
              </w:rPr>
              <w:t>Año de Construcción</w:t>
            </w:r>
          </w:p>
        </w:tc>
        <w:tc>
          <w:tcPr>
            <w:tcW w:w="769" w:type="dxa"/>
          </w:tcPr>
          <w:p>
            <w:pPr>
              <w:pStyle w:val="TableParagraph"/>
              <w:spacing w:line="162" w:lineRule="exact" w:before="0"/>
              <w:ind w:left="-3" w:right="-15"/>
              <w:rPr>
                <w:rFonts w:ascii="Courier New"/>
                <w:b/>
                <w:sz w:val="16"/>
              </w:rPr>
            </w:pPr>
            <w:r>
              <w:rPr>
                <w:rFonts w:ascii="Courier New"/>
                <w:b/>
                <w:sz w:val="16"/>
              </w:rPr>
              <w:t>-1409</w:t>
            </w:r>
          </w:p>
        </w:tc>
        <w:tc>
          <w:tcPr>
            <w:tcW w:w="1057" w:type="dxa"/>
          </w:tcPr>
          <w:p>
            <w:pPr>
              <w:pStyle w:val="TableParagraph"/>
              <w:spacing w:line="162" w:lineRule="exact" w:before="0"/>
              <w:ind w:left="480"/>
              <w:jc w:val="left"/>
              <w:rPr>
                <w:rFonts w:ascii="Courier New"/>
                <w:b/>
                <w:sz w:val="16"/>
              </w:rPr>
            </w:pPr>
            <w:r>
              <w:rPr>
                <w:rFonts w:ascii="Courier New"/>
                <w:b/>
                <w:sz w:val="16"/>
              </w:rPr>
              <w:t>1816</w:t>
            </w:r>
          </w:p>
        </w:tc>
        <w:tc>
          <w:tcPr>
            <w:tcW w:w="769" w:type="dxa"/>
          </w:tcPr>
          <w:p>
            <w:pPr>
              <w:pStyle w:val="TableParagraph"/>
              <w:spacing w:line="162" w:lineRule="exact" w:before="0"/>
              <w:ind w:left="-3" w:right="95"/>
              <w:rPr>
                <w:rFonts w:ascii="Courier New"/>
                <w:b/>
                <w:sz w:val="16"/>
              </w:rPr>
            </w:pPr>
            <w:r>
              <w:rPr>
                <w:rFonts w:ascii="Courier New"/>
                <w:b/>
                <w:sz w:val="16"/>
              </w:rPr>
              <w:t>-0.78</w:t>
            </w:r>
          </w:p>
        </w:tc>
        <w:tc>
          <w:tcPr>
            <w:tcW w:w="864" w:type="dxa"/>
            <w:gridSpan w:val="2"/>
          </w:tcPr>
          <w:p>
            <w:pPr>
              <w:pStyle w:val="TableParagraph"/>
              <w:spacing w:line="162" w:lineRule="exact" w:before="0"/>
              <w:ind w:left="286"/>
              <w:jc w:val="left"/>
              <w:rPr>
                <w:rFonts w:ascii="Courier New"/>
                <w:b/>
                <w:sz w:val="16"/>
              </w:rPr>
            </w:pPr>
            <w:r>
              <w:rPr>
                <w:rFonts w:ascii="Courier New"/>
                <w:b/>
                <w:sz w:val="16"/>
              </w:rPr>
              <w:t>0.439</w:t>
            </w:r>
          </w:p>
        </w:tc>
        <w:tc>
          <w:tcPr>
            <w:tcW w:w="1397" w:type="dxa"/>
            <w:gridSpan w:val="2"/>
          </w:tcPr>
          <w:p>
            <w:pPr>
              <w:pStyle w:val="TableParagraph"/>
              <w:spacing w:line="162" w:lineRule="exact" w:before="0"/>
              <w:ind w:left="94"/>
              <w:jc w:val="left"/>
              <w:rPr>
                <w:rFonts w:ascii="Courier New"/>
                <w:b/>
                <w:sz w:val="16"/>
              </w:rPr>
            </w:pPr>
            <w:r>
              <w:rPr>
                <w:rFonts w:ascii="Courier New"/>
                <w:b/>
                <w:sz w:val="16"/>
              </w:rPr>
              <w:t>1.19</w:t>
            </w:r>
          </w:p>
        </w:tc>
      </w:tr>
      <w:tr>
        <w:trPr>
          <w:trHeight w:val="182" w:hRule="atLeast"/>
        </w:trPr>
        <w:tc>
          <w:tcPr>
            <w:tcW w:w="3122" w:type="dxa"/>
          </w:tcPr>
          <w:p>
            <w:pPr>
              <w:pStyle w:val="TableParagraph"/>
              <w:spacing w:line="161" w:lineRule="exact" w:before="1"/>
              <w:ind w:left="50"/>
              <w:jc w:val="left"/>
              <w:rPr>
                <w:rFonts w:ascii="Courier New" w:hAnsi="Courier New"/>
                <w:b/>
                <w:sz w:val="16"/>
              </w:rPr>
            </w:pPr>
            <w:r>
              <w:rPr>
                <w:rFonts w:ascii="Courier New" w:hAnsi="Courier New"/>
                <w:b/>
                <w:sz w:val="16"/>
              </w:rPr>
              <w:t>Número de Habitaciones</w:t>
            </w:r>
          </w:p>
        </w:tc>
        <w:tc>
          <w:tcPr>
            <w:tcW w:w="769" w:type="dxa"/>
          </w:tcPr>
          <w:p>
            <w:pPr>
              <w:pStyle w:val="TableParagraph"/>
              <w:spacing w:line="161" w:lineRule="exact" w:before="1"/>
              <w:ind w:left="-3" w:right="1"/>
              <w:rPr>
                <w:rFonts w:ascii="Courier New"/>
                <w:b/>
                <w:sz w:val="16"/>
              </w:rPr>
            </w:pPr>
            <w:r>
              <w:rPr>
                <w:rFonts w:ascii="Courier New"/>
                <w:b/>
                <w:sz w:val="16"/>
              </w:rPr>
              <w:t>33633</w:t>
            </w:r>
          </w:p>
        </w:tc>
        <w:tc>
          <w:tcPr>
            <w:tcW w:w="1057" w:type="dxa"/>
          </w:tcPr>
          <w:p>
            <w:pPr>
              <w:pStyle w:val="TableParagraph"/>
              <w:spacing w:line="161" w:lineRule="exact" w:before="1"/>
              <w:ind w:left="382"/>
              <w:jc w:val="left"/>
              <w:rPr>
                <w:rFonts w:ascii="Courier New"/>
                <w:b/>
                <w:sz w:val="16"/>
              </w:rPr>
            </w:pPr>
            <w:r>
              <w:rPr>
                <w:rFonts w:ascii="Courier New"/>
                <w:b/>
                <w:sz w:val="16"/>
              </w:rPr>
              <w:t>15221</w:t>
            </w:r>
          </w:p>
        </w:tc>
        <w:tc>
          <w:tcPr>
            <w:tcW w:w="769" w:type="dxa"/>
          </w:tcPr>
          <w:p>
            <w:pPr>
              <w:pStyle w:val="TableParagraph"/>
              <w:spacing w:line="161" w:lineRule="exact" w:before="1"/>
              <w:ind w:left="-3" w:right="97"/>
              <w:rPr>
                <w:rFonts w:ascii="Courier New"/>
                <w:b/>
                <w:sz w:val="16"/>
              </w:rPr>
            </w:pPr>
            <w:r>
              <w:rPr>
                <w:rFonts w:ascii="Courier New"/>
                <w:b/>
                <w:sz w:val="16"/>
              </w:rPr>
              <w:t>2.21</w:t>
            </w:r>
          </w:p>
        </w:tc>
        <w:tc>
          <w:tcPr>
            <w:tcW w:w="864" w:type="dxa"/>
            <w:gridSpan w:val="2"/>
          </w:tcPr>
          <w:p>
            <w:pPr>
              <w:pStyle w:val="TableParagraph"/>
              <w:spacing w:line="161" w:lineRule="exact" w:before="1"/>
              <w:ind w:left="284"/>
              <w:jc w:val="left"/>
              <w:rPr>
                <w:rFonts w:ascii="Courier New"/>
                <w:b/>
                <w:sz w:val="16"/>
              </w:rPr>
            </w:pPr>
            <w:r>
              <w:rPr>
                <w:rFonts w:ascii="Courier New"/>
                <w:b/>
                <w:sz w:val="16"/>
              </w:rPr>
              <w:t>0.028</w:t>
            </w:r>
          </w:p>
        </w:tc>
        <w:tc>
          <w:tcPr>
            <w:tcW w:w="1397" w:type="dxa"/>
            <w:gridSpan w:val="2"/>
          </w:tcPr>
          <w:p>
            <w:pPr>
              <w:pStyle w:val="TableParagraph"/>
              <w:spacing w:line="161" w:lineRule="exact" w:before="1"/>
              <w:ind w:left="92"/>
              <w:jc w:val="left"/>
              <w:rPr>
                <w:rFonts w:ascii="Courier New"/>
                <w:b/>
                <w:sz w:val="16"/>
              </w:rPr>
            </w:pPr>
            <w:r>
              <w:rPr>
                <w:rFonts w:ascii="Courier New"/>
                <w:b/>
                <w:sz w:val="16"/>
              </w:rPr>
              <w:t>2.12</w:t>
            </w:r>
          </w:p>
        </w:tc>
      </w:tr>
      <w:tr>
        <w:trPr>
          <w:trHeight w:val="180" w:hRule="atLeast"/>
        </w:trPr>
        <w:tc>
          <w:tcPr>
            <w:tcW w:w="3122" w:type="dxa"/>
          </w:tcPr>
          <w:p>
            <w:pPr>
              <w:pStyle w:val="TableParagraph"/>
              <w:spacing w:line="160" w:lineRule="exact" w:before="0"/>
              <w:ind w:left="50"/>
              <w:jc w:val="left"/>
              <w:rPr>
                <w:rFonts w:ascii="Courier New" w:hAnsi="Courier New"/>
                <w:b/>
                <w:sz w:val="16"/>
              </w:rPr>
            </w:pPr>
            <w:r>
              <w:rPr>
                <w:rFonts w:ascii="Courier New" w:hAnsi="Courier New"/>
                <w:b/>
                <w:sz w:val="16"/>
              </w:rPr>
              <w:t>Número de Baños</w:t>
            </w:r>
          </w:p>
        </w:tc>
        <w:tc>
          <w:tcPr>
            <w:tcW w:w="769" w:type="dxa"/>
          </w:tcPr>
          <w:p>
            <w:pPr>
              <w:pStyle w:val="TableParagraph"/>
              <w:spacing w:line="160" w:lineRule="exact" w:before="0"/>
              <w:ind w:left="-3"/>
              <w:rPr>
                <w:rFonts w:ascii="Courier New"/>
                <w:b/>
                <w:sz w:val="16"/>
              </w:rPr>
            </w:pPr>
            <w:r>
              <w:rPr>
                <w:rFonts w:ascii="Courier New"/>
                <w:b/>
                <w:sz w:val="16"/>
              </w:rPr>
              <w:t>112841</w:t>
            </w:r>
          </w:p>
        </w:tc>
        <w:tc>
          <w:tcPr>
            <w:tcW w:w="1057" w:type="dxa"/>
          </w:tcPr>
          <w:p>
            <w:pPr>
              <w:pStyle w:val="TableParagraph"/>
              <w:spacing w:line="160" w:lineRule="exact" w:before="0"/>
              <w:ind w:left="383"/>
              <w:jc w:val="left"/>
              <w:rPr>
                <w:rFonts w:ascii="Courier New"/>
                <w:b/>
                <w:sz w:val="16"/>
              </w:rPr>
            </w:pPr>
            <w:r>
              <w:rPr>
                <w:rFonts w:ascii="Courier New"/>
                <w:b/>
                <w:sz w:val="16"/>
              </w:rPr>
              <w:t>14339</w:t>
            </w:r>
          </w:p>
        </w:tc>
        <w:tc>
          <w:tcPr>
            <w:tcW w:w="769" w:type="dxa"/>
          </w:tcPr>
          <w:p>
            <w:pPr>
              <w:pStyle w:val="TableParagraph"/>
              <w:spacing w:line="160" w:lineRule="exact" w:before="0"/>
              <w:ind w:left="-3" w:right="96"/>
              <w:rPr>
                <w:rFonts w:ascii="Courier New"/>
                <w:b/>
                <w:sz w:val="16"/>
              </w:rPr>
            </w:pPr>
            <w:r>
              <w:rPr>
                <w:rFonts w:ascii="Courier New"/>
                <w:b/>
                <w:sz w:val="16"/>
              </w:rPr>
              <w:t>7.87</w:t>
            </w:r>
          </w:p>
        </w:tc>
        <w:tc>
          <w:tcPr>
            <w:tcW w:w="864" w:type="dxa"/>
            <w:gridSpan w:val="2"/>
          </w:tcPr>
          <w:p>
            <w:pPr>
              <w:pStyle w:val="TableParagraph"/>
              <w:spacing w:line="160" w:lineRule="exact" w:before="0"/>
              <w:ind w:left="285"/>
              <w:jc w:val="left"/>
              <w:rPr>
                <w:rFonts w:ascii="Courier New"/>
                <w:b/>
                <w:sz w:val="16"/>
              </w:rPr>
            </w:pPr>
            <w:r>
              <w:rPr>
                <w:rFonts w:ascii="Courier New"/>
                <w:b/>
                <w:sz w:val="16"/>
              </w:rPr>
              <w:t>0.000</w:t>
            </w:r>
          </w:p>
        </w:tc>
        <w:tc>
          <w:tcPr>
            <w:tcW w:w="1397" w:type="dxa"/>
            <w:gridSpan w:val="2"/>
          </w:tcPr>
          <w:p>
            <w:pPr>
              <w:pStyle w:val="TableParagraph"/>
              <w:spacing w:line="160" w:lineRule="exact" w:before="0"/>
              <w:ind w:left="93"/>
              <w:jc w:val="left"/>
              <w:rPr>
                <w:rFonts w:ascii="Courier New"/>
                <w:b/>
                <w:sz w:val="16"/>
              </w:rPr>
            </w:pPr>
            <w:r>
              <w:rPr>
                <w:rFonts w:ascii="Courier New"/>
                <w:b/>
                <w:sz w:val="16"/>
              </w:rPr>
              <w:t>2.12</w:t>
            </w:r>
          </w:p>
        </w:tc>
      </w:tr>
      <w:tr>
        <w:trPr>
          <w:trHeight w:val="180" w:hRule="atLeast"/>
        </w:trPr>
        <w:tc>
          <w:tcPr>
            <w:tcW w:w="3122" w:type="dxa"/>
          </w:tcPr>
          <w:p>
            <w:pPr>
              <w:pStyle w:val="TableParagraph"/>
              <w:spacing w:line="160" w:lineRule="exact" w:before="0"/>
              <w:ind w:left="50"/>
              <w:jc w:val="left"/>
              <w:rPr>
                <w:rFonts w:ascii="Courier New" w:hAnsi="Courier New"/>
                <w:b/>
                <w:sz w:val="16"/>
              </w:rPr>
            </w:pPr>
            <w:r>
              <w:rPr>
                <w:rFonts w:ascii="Courier New" w:hAnsi="Courier New"/>
                <w:b/>
                <w:sz w:val="16"/>
              </w:rPr>
              <w:t>Número de Plantas</w:t>
            </w:r>
          </w:p>
        </w:tc>
        <w:tc>
          <w:tcPr>
            <w:tcW w:w="769" w:type="dxa"/>
          </w:tcPr>
          <w:p>
            <w:pPr>
              <w:pStyle w:val="TableParagraph"/>
              <w:spacing w:line="160" w:lineRule="exact" w:before="0"/>
              <w:ind w:left="-3" w:right="-15"/>
              <w:rPr>
                <w:rFonts w:ascii="Courier New"/>
                <w:b/>
                <w:sz w:val="16"/>
              </w:rPr>
            </w:pPr>
            <w:r>
              <w:rPr>
                <w:rFonts w:ascii="Courier New"/>
                <w:b/>
                <w:sz w:val="16"/>
              </w:rPr>
              <w:t>-72358</w:t>
            </w:r>
          </w:p>
        </w:tc>
        <w:tc>
          <w:tcPr>
            <w:tcW w:w="1057" w:type="dxa"/>
          </w:tcPr>
          <w:p>
            <w:pPr>
              <w:pStyle w:val="TableParagraph"/>
              <w:spacing w:line="160" w:lineRule="exact" w:before="0"/>
              <w:ind w:left="384"/>
              <w:jc w:val="left"/>
              <w:rPr>
                <w:rFonts w:ascii="Courier New"/>
                <w:b/>
                <w:sz w:val="16"/>
              </w:rPr>
            </w:pPr>
            <w:r>
              <w:rPr>
                <w:rFonts w:ascii="Courier New"/>
                <w:b/>
                <w:sz w:val="16"/>
              </w:rPr>
              <w:t>24344</w:t>
            </w:r>
          </w:p>
        </w:tc>
        <w:tc>
          <w:tcPr>
            <w:tcW w:w="769" w:type="dxa"/>
          </w:tcPr>
          <w:p>
            <w:pPr>
              <w:pStyle w:val="TableParagraph"/>
              <w:spacing w:line="160" w:lineRule="exact" w:before="0"/>
              <w:ind w:left="-3" w:right="95"/>
              <w:rPr>
                <w:rFonts w:ascii="Courier New"/>
                <w:b/>
                <w:sz w:val="16"/>
              </w:rPr>
            </w:pPr>
            <w:r>
              <w:rPr>
                <w:rFonts w:ascii="Courier New"/>
                <w:b/>
                <w:sz w:val="16"/>
              </w:rPr>
              <w:t>-2.97</w:t>
            </w:r>
          </w:p>
        </w:tc>
        <w:tc>
          <w:tcPr>
            <w:tcW w:w="864" w:type="dxa"/>
            <w:gridSpan w:val="2"/>
          </w:tcPr>
          <w:p>
            <w:pPr>
              <w:pStyle w:val="TableParagraph"/>
              <w:spacing w:line="160" w:lineRule="exact" w:before="0"/>
              <w:ind w:left="286"/>
              <w:jc w:val="left"/>
              <w:rPr>
                <w:rFonts w:ascii="Courier New"/>
                <w:b/>
                <w:sz w:val="16"/>
              </w:rPr>
            </w:pPr>
            <w:r>
              <w:rPr>
                <w:rFonts w:ascii="Courier New"/>
                <w:b/>
                <w:sz w:val="16"/>
              </w:rPr>
              <w:t>0.003</w:t>
            </w:r>
          </w:p>
        </w:tc>
        <w:tc>
          <w:tcPr>
            <w:tcW w:w="1397" w:type="dxa"/>
            <w:gridSpan w:val="2"/>
          </w:tcPr>
          <w:p>
            <w:pPr>
              <w:pStyle w:val="TableParagraph"/>
              <w:spacing w:line="160" w:lineRule="exact" w:before="0"/>
              <w:ind w:left="94"/>
              <w:jc w:val="left"/>
              <w:rPr>
                <w:rFonts w:ascii="Courier New"/>
                <w:b/>
                <w:sz w:val="16"/>
              </w:rPr>
            </w:pPr>
            <w:r>
              <w:rPr>
                <w:rFonts w:ascii="Courier New"/>
                <w:b/>
                <w:sz w:val="16"/>
              </w:rPr>
              <w:t>1.20</w:t>
            </w:r>
          </w:p>
        </w:tc>
      </w:tr>
      <w:tr>
        <w:trPr>
          <w:trHeight w:val="182" w:hRule="atLeast"/>
        </w:trPr>
        <w:tc>
          <w:tcPr>
            <w:tcW w:w="3122" w:type="dxa"/>
          </w:tcPr>
          <w:p>
            <w:pPr>
              <w:pStyle w:val="TableParagraph"/>
              <w:spacing w:line="162" w:lineRule="exact" w:before="0"/>
              <w:ind w:left="50"/>
              <w:jc w:val="left"/>
              <w:rPr>
                <w:rFonts w:ascii="Courier New" w:hAnsi="Courier New"/>
                <w:b/>
                <w:sz w:val="16"/>
              </w:rPr>
            </w:pPr>
            <w:r>
              <w:rPr>
                <w:rFonts w:ascii="Courier New" w:hAnsi="Courier New"/>
                <w:b/>
                <w:sz w:val="16"/>
              </w:rPr>
              <w:t>Distancia a San José Centro por</w:t>
            </w:r>
          </w:p>
        </w:tc>
        <w:tc>
          <w:tcPr>
            <w:tcW w:w="769" w:type="dxa"/>
          </w:tcPr>
          <w:p>
            <w:pPr>
              <w:pStyle w:val="TableParagraph"/>
              <w:spacing w:line="162" w:lineRule="exact" w:before="0"/>
              <w:ind w:left="-3" w:right="-15"/>
              <w:rPr>
                <w:rFonts w:ascii="Courier New"/>
                <w:b/>
                <w:sz w:val="16"/>
              </w:rPr>
            </w:pPr>
            <w:r>
              <w:rPr>
                <w:rFonts w:ascii="Courier New"/>
                <w:b/>
                <w:sz w:val="16"/>
              </w:rPr>
              <w:t>-11425</w:t>
            </w:r>
          </w:p>
        </w:tc>
        <w:tc>
          <w:tcPr>
            <w:tcW w:w="1057" w:type="dxa"/>
          </w:tcPr>
          <w:p>
            <w:pPr>
              <w:pStyle w:val="TableParagraph"/>
              <w:spacing w:line="162" w:lineRule="exact" w:before="0"/>
              <w:ind w:left="480"/>
              <w:jc w:val="left"/>
              <w:rPr>
                <w:rFonts w:ascii="Courier New"/>
                <w:b/>
                <w:sz w:val="16"/>
              </w:rPr>
            </w:pPr>
            <w:r>
              <w:rPr>
                <w:rFonts w:ascii="Courier New"/>
                <w:b/>
                <w:sz w:val="16"/>
              </w:rPr>
              <w:t>5867</w:t>
            </w:r>
          </w:p>
        </w:tc>
        <w:tc>
          <w:tcPr>
            <w:tcW w:w="769" w:type="dxa"/>
          </w:tcPr>
          <w:p>
            <w:pPr>
              <w:pStyle w:val="TableParagraph"/>
              <w:spacing w:line="162" w:lineRule="exact" w:before="0"/>
              <w:ind w:left="-3" w:right="95"/>
              <w:rPr>
                <w:rFonts w:ascii="Courier New"/>
                <w:b/>
                <w:sz w:val="16"/>
              </w:rPr>
            </w:pPr>
            <w:r>
              <w:rPr>
                <w:rFonts w:ascii="Courier New"/>
                <w:b/>
                <w:sz w:val="16"/>
              </w:rPr>
              <w:t>-1.95</w:t>
            </w:r>
          </w:p>
        </w:tc>
        <w:tc>
          <w:tcPr>
            <w:tcW w:w="864" w:type="dxa"/>
            <w:gridSpan w:val="2"/>
          </w:tcPr>
          <w:p>
            <w:pPr>
              <w:pStyle w:val="TableParagraph"/>
              <w:spacing w:line="162" w:lineRule="exact" w:before="0"/>
              <w:ind w:left="286"/>
              <w:jc w:val="left"/>
              <w:rPr>
                <w:rFonts w:ascii="Courier New"/>
                <w:b/>
                <w:sz w:val="16"/>
              </w:rPr>
            </w:pPr>
            <w:r>
              <w:rPr>
                <w:rFonts w:ascii="Courier New"/>
                <w:b/>
                <w:sz w:val="16"/>
              </w:rPr>
              <w:t>0.052</w:t>
            </w:r>
          </w:p>
        </w:tc>
        <w:tc>
          <w:tcPr>
            <w:tcW w:w="1397" w:type="dxa"/>
            <w:gridSpan w:val="2"/>
          </w:tcPr>
          <w:p>
            <w:pPr>
              <w:pStyle w:val="TableParagraph"/>
              <w:spacing w:line="162" w:lineRule="exact" w:before="0"/>
              <w:ind w:left="94"/>
              <w:jc w:val="left"/>
              <w:rPr>
                <w:rFonts w:ascii="Courier New"/>
                <w:b/>
                <w:sz w:val="16"/>
              </w:rPr>
            </w:pPr>
            <w:r>
              <w:rPr>
                <w:rFonts w:ascii="Courier New"/>
                <w:b/>
                <w:sz w:val="16"/>
              </w:rPr>
              <w:t>1.18</w:t>
            </w:r>
          </w:p>
        </w:tc>
      </w:tr>
      <w:tr>
        <w:trPr>
          <w:trHeight w:val="542" w:hRule="atLeast"/>
        </w:trPr>
        <w:tc>
          <w:tcPr>
            <w:tcW w:w="3122" w:type="dxa"/>
          </w:tcPr>
          <w:p>
            <w:pPr>
              <w:pStyle w:val="TableParagraph"/>
              <w:spacing w:line="240" w:lineRule="auto" w:before="1"/>
              <w:ind w:left="50" w:right="171"/>
              <w:jc w:val="left"/>
              <w:rPr>
                <w:rFonts w:ascii="Courier New"/>
                <w:b/>
                <w:sz w:val="16"/>
              </w:rPr>
            </w:pPr>
            <w:r>
              <w:rPr>
                <w:rFonts w:ascii="Courier New"/>
                <w:b/>
                <w:sz w:val="16"/>
              </w:rPr>
              <w:t>Distancia a Aglomera-ciones de Tipo = 1 casa, 0 = Condo</w:t>
            </w:r>
          </w:p>
          <w:p>
            <w:pPr>
              <w:pStyle w:val="TableParagraph"/>
              <w:spacing w:line="159" w:lineRule="exact" w:before="0"/>
              <w:ind w:left="241"/>
              <w:jc w:val="left"/>
              <w:rPr>
                <w:rFonts w:ascii="Courier New"/>
                <w:b/>
                <w:sz w:val="16"/>
              </w:rPr>
            </w:pPr>
            <w:r>
              <w:rPr>
                <w:rFonts w:ascii="Courier New"/>
                <w:b/>
                <w:sz w:val="16"/>
              </w:rPr>
              <w:t>1</w:t>
            </w:r>
          </w:p>
        </w:tc>
        <w:tc>
          <w:tcPr>
            <w:tcW w:w="769" w:type="dxa"/>
          </w:tcPr>
          <w:p>
            <w:pPr>
              <w:pStyle w:val="TableParagraph"/>
              <w:spacing w:line="240" w:lineRule="auto" w:before="1"/>
              <w:ind w:left="288"/>
              <w:jc w:val="left"/>
              <w:rPr>
                <w:rFonts w:ascii="Courier New"/>
                <w:b/>
                <w:sz w:val="16"/>
              </w:rPr>
            </w:pPr>
            <w:r>
              <w:rPr>
                <w:rFonts w:ascii="Courier New"/>
                <w:b/>
                <w:spacing w:val="-1"/>
                <w:sz w:val="16"/>
              </w:rPr>
              <w:t>21343</w:t>
            </w:r>
          </w:p>
          <w:p>
            <w:pPr>
              <w:pStyle w:val="TableParagraph"/>
              <w:spacing w:line="240" w:lineRule="auto" w:before="6"/>
              <w:jc w:val="left"/>
              <w:rPr>
                <w:b/>
                <w:sz w:val="15"/>
              </w:rPr>
            </w:pPr>
          </w:p>
          <w:p>
            <w:pPr>
              <w:pStyle w:val="TableParagraph"/>
              <w:spacing w:line="161" w:lineRule="exact" w:before="0"/>
              <w:ind w:left="287"/>
              <w:jc w:val="left"/>
              <w:rPr>
                <w:rFonts w:ascii="Courier New"/>
                <w:b/>
                <w:sz w:val="16"/>
              </w:rPr>
            </w:pPr>
            <w:r>
              <w:rPr>
                <w:rFonts w:ascii="Courier New"/>
                <w:b/>
                <w:spacing w:val="-1"/>
                <w:sz w:val="16"/>
              </w:rPr>
              <w:t>42728</w:t>
            </w:r>
          </w:p>
        </w:tc>
        <w:tc>
          <w:tcPr>
            <w:tcW w:w="1057" w:type="dxa"/>
          </w:tcPr>
          <w:p>
            <w:pPr>
              <w:pStyle w:val="TableParagraph"/>
              <w:spacing w:line="240" w:lineRule="auto" w:before="1"/>
              <w:ind w:left="479"/>
              <w:jc w:val="left"/>
              <w:rPr>
                <w:rFonts w:ascii="Courier New"/>
                <w:b/>
                <w:sz w:val="16"/>
              </w:rPr>
            </w:pPr>
            <w:r>
              <w:rPr>
                <w:rFonts w:ascii="Courier New"/>
                <w:b/>
                <w:sz w:val="16"/>
              </w:rPr>
              <w:t>9398</w:t>
            </w:r>
          </w:p>
          <w:p>
            <w:pPr>
              <w:pStyle w:val="TableParagraph"/>
              <w:spacing w:line="240" w:lineRule="auto" w:before="6"/>
              <w:jc w:val="left"/>
              <w:rPr>
                <w:b/>
                <w:sz w:val="15"/>
              </w:rPr>
            </w:pPr>
          </w:p>
          <w:p>
            <w:pPr>
              <w:pStyle w:val="TableParagraph"/>
              <w:spacing w:line="161" w:lineRule="exact" w:before="0"/>
              <w:ind w:left="382"/>
              <w:jc w:val="left"/>
              <w:rPr>
                <w:rFonts w:ascii="Courier New"/>
                <w:b/>
                <w:sz w:val="16"/>
              </w:rPr>
            </w:pPr>
            <w:r>
              <w:rPr>
                <w:rFonts w:ascii="Courier New"/>
                <w:b/>
                <w:sz w:val="16"/>
              </w:rPr>
              <w:t>22852</w:t>
            </w:r>
          </w:p>
        </w:tc>
        <w:tc>
          <w:tcPr>
            <w:tcW w:w="769" w:type="dxa"/>
          </w:tcPr>
          <w:p>
            <w:pPr>
              <w:pStyle w:val="TableParagraph"/>
              <w:spacing w:line="240" w:lineRule="auto" w:before="1"/>
              <w:ind w:left="286"/>
              <w:jc w:val="left"/>
              <w:rPr>
                <w:rFonts w:ascii="Courier New"/>
                <w:b/>
                <w:sz w:val="16"/>
              </w:rPr>
            </w:pPr>
            <w:r>
              <w:rPr>
                <w:rFonts w:ascii="Courier New"/>
                <w:b/>
                <w:sz w:val="16"/>
              </w:rPr>
              <w:t>2.27</w:t>
            </w:r>
          </w:p>
          <w:p>
            <w:pPr>
              <w:pStyle w:val="TableParagraph"/>
              <w:spacing w:line="240" w:lineRule="auto" w:before="6"/>
              <w:jc w:val="left"/>
              <w:rPr>
                <w:b/>
                <w:sz w:val="15"/>
              </w:rPr>
            </w:pPr>
          </w:p>
          <w:p>
            <w:pPr>
              <w:pStyle w:val="TableParagraph"/>
              <w:spacing w:line="161" w:lineRule="exact" w:before="0"/>
              <w:ind w:left="285"/>
              <w:jc w:val="left"/>
              <w:rPr>
                <w:rFonts w:ascii="Courier New"/>
                <w:b/>
                <w:sz w:val="16"/>
              </w:rPr>
            </w:pPr>
            <w:r>
              <w:rPr>
                <w:rFonts w:ascii="Courier New"/>
                <w:b/>
                <w:sz w:val="16"/>
              </w:rPr>
              <w:t>1.87</w:t>
            </w:r>
          </w:p>
        </w:tc>
        <w:tc>
          <w:tcPr>
            <w:tcW w:w="864" w:type="dxa"/>
            <w:gridSpan w:val="2"/>
          </w:tcPr>
          <w:p>
            <w:pPr>
              <w:pStyle w:val="TableParagraph"/>
              <w:spacing w:line="240" w:lineRule="auto" w:before="1"/>
              <w:ind w:left="285"/>
              <w:jc w:val="left"/>
              <w:rPr>
                <w:rFonts w:ascii="Courier New"/>
                <w:b/>
                <w:sz w:val="16"/>
              </w:rPr>
            </w:pPr>
            <w:r>
              <w:rPr>
                <w:rFonts w:ascii="Courier New"/>
                <w:b/>
                <w:sz w:val="16"/>
              </w:rPr>
              <w:t>0.024</w:t>
            </w:r>
          </w:p>
          <w:p>
            <w:pPr>
              <w:pStyle w:val="TableParagraph"/>
              <w:spacing w:line="240" w:lineRule="auto" w:before="6"/>
              <w:jc w:val="left"/>
              <w:rPr>
                <w:b/>
                <w:sz w:val="15"/>
              </w:rPr>
            </w:pPr>
          </w:p>
          <w:p>
            <w:pPr>
              <w:pStyle w:val="TableParagraph"/>
              <w:spacing w:line="161" w:lineRule="exact" w:before="0"/>
              <w:ind w:left="284"/>
              <w:jc w:val="left"/>
              <w:rPr>
                <w:rFonts w:ascii="Courier New"/>
                <w:b/>
                <w:sz w:val="16"/>
              </w:rPr>
            </w:pPr>
            <w:r>
              <w:rPr>
                <w:rFonts w:ascii="Courier New"/>
                <w:b/>
                <w:sz w:val="16"/>
              </w:rPr>
              <w:t>0.063</w:t>
            </w:r>
          </w:p>
        </w:tc>
        <w:tc>
          <w:tcPr>
            <w:tcW w:w="1397" w:type="dxa"/>
            <w:gridSpan w:val="2"/>
          </w:tcPr>
          <w:p>
            <w:pPr>
              <w:pStyle w:val="TableParagraph"/>
              <w:spacing w:line="240" w:lineRule="auto" w:before="1"/>
              <w:ind w:left="94"/>
              <w:jc w:val="left"/>
              <w:rPr>
                <w:rFonts w:ascii="Courier New"/>
                <w:b/>
                <w:sz w:val="16"/>
              </w:rPr>
            </w:pPr>
            <w:r>
              <w:rPr>
                <w:rFonts w:ascii="Courier New"/>
                <w:b/>
                <w:sz w:val="16"/>
              </w:rPr>
              <w:t>1.17</w:t>
            </w:r>
          </w:p>
          <w:p>
            <w:pPr>
              <w:pStyle w:val="TableParagraph"/>
              <w:spacing w:line="240" w:lineRule="auto" w:before="6"/>
              <w:jc w:val="left"/>
              <w:rPr>
                <w:b/>
                <w:sz w:val="15"/>
              </w:rPr>
            </w:pPr>
          </w:p>
          <w:p>
            <w:pPr>
              <w:pStyle w:val="TableParagraph"/>
              <w:spacing w:line="161" w:lineRule="exact" w:before="0"/>
              <w:ind w:left="92"/>
              <w:jc w:val="left"/>
              <w:rPr>
                <w:rFonts w:ascii="Courier New"/>
                <w:b/>
                <w:sz w:val="16"/>
              </w:rPr>
            </w:pPr>
            <w:r>
              <w:rPr>
                <w:rFonts w:ascii="Courier New"/>
                <w:b/>
                <w:sz w:val="16"/>
              </w:rPr>
              <w:t>1.21</w:t>
            </w:r>
          </w:p>
        </w:tc>
      </w:tr>
    </w:tbl>
    <w:p>
      <w:pPr>
        <w:spacing w:line="181" w:lineRule="exact" w:before="2"/>
        <w:ind w:left="1040" w:right="0" w:firstLine="0"/>
        <w:jc w:val="left"/>
        <w:rPr>
          <w:rFonts w:ascii="Courier New"/>
          <w:b/>
          <w:sz w:val="16"/>
        </w:rPr>
      </w:pPr>
      <w:r>
        <w:rPr>
          <w:rFonts w:ascii="Courier New"/>
          <w:b/>
          <w:sz w:val="16"/>
        </w:rPr>
        <w:t>Zona de Riesgo de desastre</w:t>
      </w:r>
    </w:p>
    <w:p>
      <w:pPr>
        <w:tabs>
          <w:tab w:pos="4305" w:val="left" w:leader="none"/>
          <w:tab w:pos="5265" w:val="left" w:leader="none"/>
          <w:tab w:pos="6129" w:val="left" w:leader="none"/>
          <w:tab w:pos="6993" w:val="left" w:leader="none"/>
        </w:tabs>
        <w:spacing w:line="180" w:lineRule="exact" w:before="0"/>
        <w:ind w:left="1232" w:right="0" w:firstLine="0"/>
        <w:jc w:val="left"/>
        <w:rPr>
          <w:rFonts w:ascii="Courier New"/>
          <w:b/>
          <w:sz w:val="16"/>
        </w:rPr>
      </w:pPr>
      <w:r>
        <w:rPr>
          <w:rFonts w:ascii="Courier New"/>
          <w:b/>
          <w:sz w:val="16"/>
        </w:rPr>
        <w:t>1</w:t>
        <w:tab/>
        <w:t>-38242</w:t>
        <w:tab/>
        <w:t>33564</w:t>
        <w:tab/>
        <w:t>-1.14</w:t>
        <w:tab/>
        <w:t>0.255</w:t>
      </w:r>
      <w:r>
        <w:rPr>
          <w:rFonts w:ascii="Courier New"/>
          <w:b/>
          <w:spacing w:val="94"/>
          <w:sz w:val="16"/>
        </w:rPr>
        <w:t> </w:t>
      </w:r>
      <w:r>
        <w:rPr>
          <w:rFonts w:ascii="Courier New"/>
          <w:b/>
          <w:sz w:val="16"/>
        </w:rPr>
        <w:t>1.06</w:t>
      </w:r>
    </w:p>
    <w:p>
      <w:pPr>
        <w:spacing w:line="181" w:lineRule="exact" w:before="0"/>
        <w:ind w:left="1040" w:right="0" w:firstLine="0"/>
        <w:jc w:val="left"/>
        <w:rPr>
          <w:rFonts w:ascii="Courier New"/>
          <w:b/>
          <w:sz w:val="16"/>
        </w:rPr>
      </w:pPr>
      <w:r>
        <w:rPr>
          <w:rFonts w:ascii="Courier New"/>
          <w:b/>
          <w:sz w:val="16"/>
        </w:rPr>
        <w:t>Vista a la Carpintera</w:t>
      </w:r>
    </w:p>
    <w:p>
      <w:pPr>
        <w:tabs>
          <w:tab w:pos="4401" w:val="left" w:leader="none"/>
          <w:tab w:pos="5265" w:val="left" w:leader="none"/>
          <w:tab w:pos="6225" w:val="left" w:leader="none"/>
          <w:tab w:pos="6993" w:val="left" w:leader="none"/>
        </w:tabs>
        <w:spacing w:before="3"/>
        <w:ind w:left="1232" w:right="0" w:firstLine="0"/>
        <w:jc w:val="left"/>
        <w:rPr>
          <w:rFonts w:ascii="Courier New"/>
          <w:b/>
          <w:sz w:val="16"/>
        </w:rPr>
      </w:pPr>
      <w:r>
        <w:rPr>
          <w:rFonts w:ascii="Courier New"/>
          <w:b/>
          <w:sz w:val="16"/>
        </w:rPr>
        <w:t>1</w:t>
        <w:tab/>
        <w:t>72505</w:t>
        <w:tab/>
        <w:t>23077</w:t>
        <w:tab/>
        <w:t>3.14</w:t>
        <w:tab/>
        <w:t>0.002</w:t>
      </w:r>
      <w:r>
        <w:rPr>
          <w:rFonts w:ascii="Courier New"/>
          <w:b/>
          <w:spacing w:val="94"/>
          <w:sz w:val="16"/>
        </w:rPr>
        <w:t> </w:t>
      </w:r>
      <w:r>
        <w:rPr>
          <w:rFonts w:ascii="Courier New"/>
          <w:b/>
          <w:sz w:val="16"/>
        </w:rPr>
        <w:t>1.08</w:t>
      </w:r>
    </w:p>
    <w:p>
      <w:pPr>
        <w:spacing w:after="0"/>
        <w:jc w:val="left"/>
        <w:rPr>
          <w:rFonts w:ascii="Courier New"/>
          <w:sz w:val="16"/>
        </w:rPr>
        <w:sectPr>
          <w:footerReference w:type="default" r:id="rId127"/>
          <w:pgSz w:w="12240" w:h="15840"/>
          <w:pgMar w:footer="982" w:header="0" w:top="1360" w:bottom="1180" w:left="400" w:right="180"/>
          <w:pgNumType w:start="175"/>
        </w:sectPr>
      </w:pPr>
    </w:p>
    <w:p>
      <w:pPr>
        <w:pStyle w:val="Heading1"/>
        <w:spacing w:before="72"/>
      </w:pPr>
      <w:r>
        <w:rPr/>
        <w:t>B- Heterocedasticidad</w:t>
      </w:r>
    </w:p>
    <w:p>
      <w:pPr>
        <w:pStyle w:val="BodyText"/>
        <w:rPr>
          <w:b/>
          <w:sz w:val="20"/>
        </w:rPr>
      </w:pPr>
    </w:p>
    <w:p>
      <w:pPr>
        <w:pStyle w:val="BodyText"/>
        <w:spacing w:before="2"/>
        <w:rPr>
          <w:b/>
          <w:sz w:val="26"/>
        </w:rPr>
      </w:pPr>
      <w:r>
        <w:rPr/>
        <w:drawing>
          <wp:anchor distT="0" distB="0" distL="0" distR="0" allowOverlap="1" layoutInCell="1" locked="0" behindDoc="0" simplePos="0" relativeHeight="95">
            <wp:simplePos x="0" y="0"/>
            <wp:positionH relativeFrom="page">
              <wp:posOffset>1979047</wp:posOffset>
            </wp:positionH>
            <wp:positionV relativeFrom="paragraph">
              <wp:posOffset>216206</wp:posOffset>
            </wp:positionV>
            <wp:extent cx="3858709" cy="3005804"/>
            <wp:effectExtent l="0" t="0" r="0" b="0"/>
            <wp:wrapTopAndBottom/>
            <wp:docPr id="101" name="image76.jpeg"/>
            <wp:cNvGraphicFramePr>
              <a:graphicFrameLocks noChangeAspect="1"/>
            </wp:cNvGraphicFramePr>
            <a:graphic>
              <a:graphicData uri="http://schemas.openxmlformats.org/drawingml/2006/picture">
                <pic:pic>
                  <pic:nvPicPr>
                    <pic:cNvPr id="102" name="image76.jpeg"/>
                    <pic:cNvPicPr/>
                  </pic:nvPicPr>
                  <pic:blipFill>
                    <a:blip r:embed="rId128" cstate="print"/>
                    <a:stretch>
                      <a:fillRect/>
                    </a:stretch>
                  </pic:blipFill>
                  <pic:spPr>
                    <a:xfrm>
                      <a:off x="0" y="0"/>
                      <a:ext cx="3858709" cy="3005804"/>
                    </a:xfrm>
                    <a:prstGeom prst="rect">
                      <a:avLst/>
                    </a:prstGeom>
                  </pic:spPr>
                </pic:pic>
              </a:graphicData>
            </a:graphic>
          </wp:anchor>
        </w:drawing>
      </w:r>
      <w:r>
        <w:rPr/>
        <w:drawing>
          <wp:anchor distT="0" distB="0" distL="0" distR="0" allowOverlap="1" layoutInCell="1" locked="0" behindDoc="0" simplePos="0" relativeHeight="96">
            <wp:simplePos x="0" y="0"/>
            <wp:positionH relativeFrom="page">
              <wp:posOffset>2040017</wp:posOffset>
            </wp:positionH>
            <wp:positionV relativeFrom="paragraph">
              <wp:posOffset>3357376</wp:posOffset>
            </wp:positionV>
            <wp:extent cx="3769977" cy="3021330"/>
            <wp:effectExtent l="0" t="0" r="0" b="0"/>
            <wp:wrapTopAndBottom/>
            <wp:docPr id="103" name="image77.jpeg"/>
            <wp:cNvGraphicFramePr>
              <a:graphicFrameLocks noChangeAspect="1"/>
            </wp:cNvGraphicFramePr>
            <a:graphic>
              <a:graphicData uri="http://schemas.openxmlformats.org/drawingml/2006/picture">
                <pic:pic>
                  <pic:nvPicPr>
                    <pic:cNvPr id="104" name="image77.jpeg"/>
                    <pic:cNvPicPr/>
                  </pic:nvPicPr>
                  <pic:blipFill>
                    <a:blip r:embed="rId129" cstate="print"/>
                    <a:stretch>
                      <a:fillRect/>
                    </a:stretch>
                  </pic:blipFill>
                  <pic:spPr>
                    <a:xfrm>
                      <a:off x="0" y="0"/>
                      <a:ext cx="3769977" cy="3021330"/>
                    </a:xfrm>
                    <a:prstGeom prst="rect">
                      <a:avLst/>
                    </a:prstGeom>
                  </pic:spPr>
                </pic:pic>
              </a:graphicData>
            </a:graphic>
          </wp:anchor>
        </w:drawing>
      </w:r>
    </w:p>
    <w:p>
      <w:pPr>
        <w:pStyle w:val="BodyText"/>
        <w:spacing w:before="7"/>
        <w:rPr>
          <w:b/>
          <w:sz w:val="12"/>
        </w:rPr>
      </w:pPr>
    </w:p>
    <w:p>
      <w:pPr>
        <w:spacing w:after="0"/>
        <w:rPr>
          <w:sz w:val="12"/>
        </w:rPr>
        <w:sectPr>
          <w:pgSz w:w="12240" w:h="15840"/>
          <w:pgMar w:header="0" w:footer="982" w:top="1360" w:bottom="1260" w:left="400" w:right="180"/>
        </w:sectPr>
      </w:pPr>
    </w:p>
    <w:p>
      <w:pPr>
        <w:pStyle w:val="BodyText"/>
        <w:spacing w:before="3"/>
        <w:rPr>
          <w:b/>
          <w:sz w:val="23"/>
        </w:rPr>
      </w:pPr>
    </w:p>
    <w:p>
      <w:pPr>
        <w:spacing w:before="96" w:after="6"/>
        <w:ind w:left="1713" w:right="1716" w:firstLine="0"/>
        <w:jc w:val="center"/>
        <w:rPr>
          <w:b/>
          <w:sz w:val="12"/>
        </w:rPr>
      </w:pPr>
      <w:r>
        <w:rPr>
          <w:b/>
          <w:sz w:val="18"/>
        </w:rPr>
        <w:t>ANOVA-BREUSCH PAGAN MODELO</w:t>
      </w:r>
      <w:r>
        <w:rPr>
          <w:b/>
          <w:spacing w:val="-10"/>
          <w:sz w:val="18"/>
        </w:rPr>
        <w:t> </w:t>
      </w:r>
      <w:r>
        <w:rPr>
          <w:b/>
          <w:sz w:val="18"/>
        </w:rPr>
        <w:t>1</w:t>
      </w:r>
      <w:r>
        <w:rPr>
          <w:b/>
          <w:position w:val="6"/>
          <w:sz w:val="12"/>
        </w:rPr>
        <w:t>a</w:t>
      </w:r>
    </w:p>
    <w:tbl>
      <w:tblPr>
        <w:tblW w:w="0" w:type="auto"/>
        <w:jc w:val="left"/>
        <w:tblInd w:w="5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916"/>
        <w:gridCol w:w="2945"/>
        <w:gridCol w:w="992"/>
        <w:gridCol w:w="2881"/>
        <w:gridCol w:w="989"/>
        <w:gridCol w:w="992"/>
      </w:tblGrid>
      <w:tr>
        <w:trPr>
          <w:trHeight w:val="318" w:hRule="atLeast"/>
        </w:trPr>
        <w:tc>
          <w:tcPr>
            <w:tcW w:w="1916" w:type="dxa"/>
          </w:tcPr>
          <w:p>
            <w:pPr>
              <w:pStyle w:val="TableParagraph"/>
              <w:spacing w:line="188" w:lineRule="exact" w:before="110"/>
              <w:ind w:left="25"/>
              <w:jc w:val="left"/>
              <w:rPr>
                <w:sz w:val="18"/>
              </w:rPr>
            </w:pPr>
            <w:r>
              <w:rPr>
                <w:sz w:val="18"/>
              </w:rPr>
              <w:t>Modelo</w:t>
            </w:r>
          </w:p>
        </w:tc>
        <w:tc>
          <w:tcPr>
            <w:tcW w:w="2945" w:type="dxa"/>
            <w:tcBorders>
              <w:right w:val="single" w:sz="8" w:space="0" w:color="000000"/>
            </w:tcBorders>
          </w:tcPr>
          <w:p>
            <w:pPr>
              <w:pStyle w:val="TableParagraph"/>
              <w:spacing w:line="188" w:lineRule="exact" w:before="110"/>
              <w:ind w:left="10" w:right="14"/>
              <w:jc w:val="center"/>
              <w:rPr>
                <w:sz w:val="18"/>
              </w:rPr>
            </w:pPr>
            <w:r>
              <w:rPr>
                <w:sz w:val="18"/>
              </w:rPr>
              <w:t>Suma de cuadrados</w:t>
            </w:r>
          </w:p>
        </w:tc>
        <w:tc>
          <w:tcPr>
            <w:tcW w:w="992" w:type="dxa"/>
            <w:tcBorders>
              <w:left w:val="single" w:sz="8" w:space="0" w:color="000000"/>
              <w:right w:val="single" w:sz="8" w:space="0" w:color="000000"/>
            </w:tcBorders>
          </w:tcPr>
          <w:p>
            <w:pPr>
              <w:pStyle w:val="TableParagraph"/>
              <w:spacing w:line="188" w:lineRule="exact" w:before="110"/>
              <w:ind w:left="391" w:right="400"/>
              <w:jc w:val="center"/>
              <w:rPr>
                <w:sz w:val="18"/>
              </w:rPr>
            </w:pPr>
            <w:r>
              <w:rPr>
                <w:sz w:val="18"/>
              </w:rPr>
              <w:t>gl</w:t>
            </w:r>
          </w:p>
        </w:tc>
        <w:tc>
          <w:tcPr>
            <w:tcW w:w="2881" w:type="dxa"/>
            <w:tcBorders>
              <w:left w:val="single" w:sz="8" w:space="0" w:color="000000"/>
              <w:right w:val="single" w:sz="8" w:space="0" w:color="000000"/>
            </w:tcBorders>
          </w:tcPr>
          <w:p>
            <w:pPr>
              <w:pStyle w:val="TableParagraph"/>
              <w:spacing w:line="188" w:lineRule="exact" w:before="110"/>
              <w:ind w:left="735"/>
              <w:jc w:val="left"/>
              <w:rPr>
                <w:sz w:val="18"/>
              </w:rPr>
            </w:pPr>
            <w:r>
              <w:rPr>
                <w:sz w:val="18"/>
              </w:rPr>
              <w:t>Media cuadrática</w:t>
            </w:r>
          </w:p>
        </w:tc>
        <w:tc>
          <w:tcPr>
            <w:tcW w:w="989" w:type="dxa"/>
            <w:tcBorders>
              <w:left w:val="single" w:sz="8" w:space="0" w:color="000000"/>
              <w:right w:val="single" w:sz="8" w:space="0" w:color="000000"/>
            </w:tcBorders>
          </w:tcPr>
          <w:p>
            <w:pPr>
              <w:pStyle w:val="TableParagraph"/>
              <w:spacing w:line="188" w:lineRule="exact" w:before="110"/>
              <w:ind w:right="12"/>
              <w:jc w:val="center"/>
              <w:rPr>
                <w:sz w:val="18"/>
              </w:rPr>
            </w:pPr>
            <w:r>
              <w:rPr>
                <w:w w:val="100"/>
                <w:sz w:val="18"/>
              </w:rPr>
              <w:t>F</w:t>
            </w:r>
          </w:p>
        </w:tc>
        <w:tc>
          <w:tcPr>
            <w:tcW w:w="992" w:type="dxa"/>
            <w:tcBorders>
              <w:left w:val="single" w:sz="8" w:space="0" w:color="000000"/>
            </w:tcBorders>
          </w:tcPr>
          <w:p>
            <w:pPr>
              <w:pStyle w:val="TableParagraph"/>
              <w:spacing w:line="188" w:lineRule="exact" w:before="110"/>
              <w:ind w:left="318"/>
              <w:jc w:val="left"/>
              <w:rPr>
                <w:sz w:val="18"/>
              </w:rPr>
            </w:pPr>
            <w:r>
              <w:rPr>
                <w:sz w:val="18"/>
              </w:rPr>
              <w:t>Sig.</w:t>
            </w:r>
          </w:p>
        </w:tc>
      </w:tr>
      <w:tr>
        <w:trPr>
          <w:trHeight w:val="380" w:hRule="atLeast"/>
        </w:trPr>
        <w:tc>
          <w:tcPr>
            <w:tcW w:w="1916" w:type="dxa"/>
            <w:tcBorders>
              <w:bottom w:val="nil"/>
            </w:tcBorders>
          </w:tcPr>
          <w:p>
            <w:pPr>
              <w:pStyle w:val="TableParagraph"/>
              <w:spacing w:line="240" w:lineRule="auto" w:before="114"/>
              <w:ind w:left="741"/>
              <w:jc w:val="left"/>
              <w:rPr>
                <w:sz w:val="18"/>
              </w:rPr>
            </w:pPr>
            <w:r>
              <w:rPr>
                <w:sz w:val="18"/>
              </w:rPr>
              <w:t>Regresión</w:t>
            </w:r>
          </w:p>
        </w:tc>
        <w:tc>
          <w:tcPr>
            <w:tcW w:w="2945" w:type="dxa"/>
            <w:tcBorders>
              <w:bottom w:val="nil"/>
              <w:right w:val="single" w:sz="8" w:space="0" w:color="000000"/>
            </w:tcBorders>
          </w:tcPr>
          <w:p>
            <w:pPr>
              <w:pStyle w:val="TableParagraph"/>
              <w:spacing w:line="240" w:lineRule="auto" w:before="114"/>
              <w:ind w:left="105" w:right="14"/>
              <w:jc w:val="center"/>
              <w:rPr>
                <w:sz w:val="18"/>
              </w:rPr>
            </w:pPr>
            <w:r>
              <w:rPr>
                <w:sz w:val="18"/>
              </w:rPr>
              <w:t>394408128498478500000000.000</w:t>
            </w:r>
          </w:p>
        </w:tc>
        <w:tc>
          <w:tcPr>
            <w:tcW w:w="992" w:type="dxa"/>
            <w:tcBorders>
              <w:left w:val="single" w:sz="8" w:space="0" w:color="000000"/>
              <w:bottom w:val="nil"/>
              <w:right w:val="single" w:sz="8" w:space="0" w:color="000000"/>
            </w:tcBorders>
          </w:tcPr>
          <w:p>
            <w:pPr>
              <w:pStyle w:val="TableParagraph"/>
              <w:spacing w:line="240" w:lineRule="auto" w:before="114"/>
              <w:ind w:right="31"/>
              <w:rPr>
                <w:sz w:val="18"/>
              </w:rPr>
            </w:pPr>
            <w:r>
              <w:rPr>
                <w:w w:val="95"/>
                <w:sz w:val="18"/>
              </w:rPr>
              <w:t>10</w:t>
            </w:r>
          </w:p>
        </w:tc>
        <w:tc>
          <w:tcPr>
            <w:tcW w:w="2881" w:type="dxa"/>
            <w:tcBorders>
              <w:left w:val="single" w:sz="8" w:space="0" w:color="000000"/>
              <w:bottom w:val="nil"/>
              <w:right w:val="single" w:sz="8" w:space="0" w:color="000000"/>
            </w:tcBorders>
          </w:tcPr>
          <w:p>
            <w:pPr>
              <w:pStyle w:val="TableParagraph"/>
              <w:spacing w:line="240" w:lineRule="auto" w:before="114"/>
              <w:ind w:right="36"/>
              <w:rPr>
                <w:sz w:val="18"/>
              </w:rPr>
            </w:pPr>
            <w:r>
              <w:rPr>
                <w:sz w:val="18"/>
              </w:rPr>
              <w:t>39440812849847850000000.000</w:t>
            </w:r>
          </w:p>
        </w:tc>
        <w:tc>
          <w:tcPr>
            <w:tcW w:w="989" w:type="dxa"/>
            <w:vMerge w:val="restart"/>
            <w:tcBorders>
              <w:left w:val="single" w:sz="8" w:space="0" w:color="000000"/>
              <w:right w:val="single" w:sz="8" w:space="0" w:color="000000"/>
            </w:tcBorders>
          </w:tcPr>
          <w:p>
            <w:pPr>
              <w:pStyle w:val="TableParagraph"/>
              <w:spacing w:line="240" w:lineRule="auto" w:before="114"/>
              <w:ind w:left="482"/>
              <w:jc w:val="left"/>
              <w:rPr>
                <w:sz w:val="18"/>
              </w:rPr>
            </w:pPr>
            <w:r>
              <w:rPr>
                <w:sz w:val="18"/>
              </w:rPr>
              <w:t>8.102</w:t>
            </w:r>
          </w:p>
        </w:tc>
        <w:tc>
          <w:tcPr>
            <w:tcW w:w="992" w:type="dxa"/>
            <w:vMerge w:val="restart"/>
            <w:tcBorders>
              <w:left w:val="single" w:sz="8" w:space="0" w:color="000000"/>
            </w:tcBorders>
          </w:tcPr>
          <w:p>
            <w:pPr>
              <w:pStyle w:val="TableParagraph"/>
              <w:spacing w:line="240" w:lineRule="auto" w:before="114"/>
              <w:ind w:left="510"/>
              <w:jc w:val="left"/>
              <w:rPr>
                <w:sz w:val="12"/>
              </w:rPr>
            </w:pPr>
            <w:r>
              <w:rPr>
                <w:sz w:val="18"/>
              </w:rPr>
              <w:t>.000</w:t>
            </w:r>
            <w:r>
              <w:rPr>
                <w:position w:val="5"/>
                <w:sz w:val="12"/>
              </w:rPr>
              <w:t>b</w:t>
            </w:r>
          </w:p>
        </w:tc>
      </w:tr>
      <w:tr>
        <w:trPr>
          <w:trHeight w:val="377" w:hRule="atLeast"/>
        </w:trPr>
        <w:tc>
          <w:tcPr>
            <w:tcW w:w="1916" w:type="dxa"/>
            <w:tcBorders>
              <w:top w:val="nil"/>
              <w:bottom w:val="nil"/>
            </w:tcBorders>
          </w:tcPr>
          <w:p>
            <w:pPr>
              <w:pStyle w:val="TableParagraph"/>
              <w:spacing w:line="240" w:lineRule="auto" w:before="6"/>
              <w:jc w:val="left"/>
              <w:rPr>
                <w:b/>
                <w:sz w:val="18"/>
              </w:rPr>
            </w:pPr>
          </w:p>
          <w:p>
            <w:pPr>
              <w:pStyle w:val="TableParagraph"/>
              <w:spacing w:line="144" w:lineRule="exact" w:before="0"/>
              <w:ind w:left="741"/>
              <w:jc w:val="left"/>
              <w:rPr>
                <w:sz w:val="18"/>
              </w:rPr>
            </w:pPr>
            <w:r>
              <w:rPr>
                <w:sz w:val="18"/>
              </w:rPr>
              <w:t>Residual</w:t>
            </w:r>
          </w:p>
        </w:tc>
        <w:tc>
          <w:tcPr>
            <w:tcW w:w="2945" w:type="dxa"/>
            <w:vMerge w:val="restart"/>
            <w:tcBorders>
              <w:top w:val="nil"/>
              <w:bottom w:val="nil"/>
              <w:right w:val="single" w:sz="8" w:space="0" w:color="000000"/>
            </w:tcBorders>
          </w:tcPr>
          <w:p>
            <w:pPr>
              <w:pStyle w:val="TableParagraph"/>
              <w:spacing w:line="240" w:lineRule="auto" w:before="53"/>
              <w:ind w:right="32"/>
              <w:rPr>
                <w:sz w:val="18"/>
              </w:rPr>
            </w:pPr>
            <w:r>
              <w:rPr>
                <w:sz w:val="18"/>
              </w:rPr>
              <w:t>1416644975033225700000000.00</w:t>
            </w:r>
          </w:p>
          <w:p>
            <w:pPr>
              <w:pStyle w:val="TableParagraph"/>
              <w:spacing w:line="240" w:lineRule="auto" w:before="113"/>
              <w:ind w:right="31"/>
              <w:rPr>
                <w:sz w:val="18"/>
              </w:rPr>
            </w:pPr>
            <w:r>
              <w:rPr>
                <w:w w:val="99"/>
                <w:sz w:val="18"/>
              </w:rPr>
              <w:t>0</w:t>
            </w:r>
          </w:p>
        </w:tc>
        <w:tc>
          <w:tcPr>
            <w:tcW w:w="992" w:type="dxa"/>
            <w:tcBorders>
              <w:top w:val="nil"/>
              <w:left w:val="single" w:sz="8" w:space="0" w:color="000000"/>
              <w:bottom w:val="nil"/>
              <w:right w:val="single" w:sz="8" w:space="0" w:color="000000"/>
            </w:tcBorders>
          </w:tcPr>
          <w:p>
            <w:pPr>
              <w:pStyle w:val="TableParagraph"/>
              <w:spacing w:line="240" w:lineRule="auto" w:before="53"/>
              <w:ind w:right="31"/>
              <w:rPr>
                <w:sz w:val="18"/>
              </w:rPr>
            </w:pPr>
            <w:r>
              <w:rPr>
                <w:w w:val="95"/>
                <w:sz w:val="18"/>
              </w:rPr>
              <w:t>291</w:t>
            </w:r>
          </w:p>
        </w:tc>
        <w:tc>
          <w:tcPr>
            <w:tcW w:w="2881" w:type="dxa"/>
            <w:tcBorders>
              <w:top w:val="nil"/>
              <w:left w:val="single" w:sz="8" w:space="0" w:color="000000"/>
              <w:bottom w:val="nil"/>
              <w:right w:val="single" w:sz="8" w:space="0" w:color="000000"/>
            </w:tcBorders>
          </w:tcPr>
          <w:p>
            <w:pPr>
              <w:pStyle w:val="TableParagraph"/>
              <w:spacing w:line="240" w:lineRule="auto" w:before="53"/>
              <w:ind w:right="36"/>
              <w:rPr>
                <w:sz w:val="18"/>
              </w:rPr>
            </w:pPr>
            <w:r>
              <w:rPr>
                <w:sz w:val="18"/>
              </w:rPr>
              <w:t>4868195790492185000000.000</w:t>
            </w:r>
          </w:p>
        </w:tc>
        <w:tc>
          <w:tcPr>
            <w:tcW w:w="989" w:type="dxa"/>
            <w:vMerge/>
            <w:tcBorders>
              <w:top w:val="nil"/>
              <w:left w:val="single" w:sz="8" w:space="0" w:color="000000"/>
              <w:right w:val="single" w:sz="8" w:space="0" w:color="000000"/>
            </w:tcBorders>
          </w:tcPr>
          <w:p>
            <w:pPr>
              <w:rPr>
                <w:sz w:val="2"/>
                <w:szCs w:val="2"/>
              </w:rPr>
            </w:pPr>
          </w:p>
        </w:tc>
        <w:tc>
          <w:tcPr>
            <w:tcW w:w="992" w:type="dxa"/>
            <w:vMerge/>
            <w:tcBorders>
              <w:top w:val="nil"/>
              <w:left w:val="single" w:sz="8" w:space="0" w:color="000000"/>
            </w:tcBorders>
          </w:tcPr>
          <w:p>
            <w:pPr>
              <w:rPr>
                <w:sz w:val="2"/>
                <w:szCs w:val="2"/>
              </w:rPr>
            </w:pPr>
          </w:p>
        </w:tc>
      </w:tr>
      <w:tr>
        <w:trPr>
          <w:trHeight w:val="217" w:hRule="atLeast"/>
        </w:trPr>
        <w:tc>
          <w:tcPr>
            <w:tcW w:w="1916" w:type="dxa"/>
            <w:tcBorders>
              <w:top w:val="nil"/>
              <w:bottom w:val="nil"/>
            </w:tcBorders>
          </w:tcPr>
          <w:p>
            <w:pPr>
              <w:pStyle w:val="TableParagraph"/>
              <w:spacing w:line="158" w:lineRule="exact" w:before="0"/>
              <w:ind w:left="25"/>
              <w:jc w:val="left"/>
              <w:rPr>
                <w:sz w:val="18"/>
              </w:rPr>
            </w:pPr>
            <w:r>
              <w:rPr>
                <w:w w:val="99"/>
                <w:sz w:val="18"/>
              </w:rPr>
              <w:t>1</w:t>
            </w:r>
          </w:p>
        </w:tc>
        <w:tc>
          <w:tcPr>
            <w:tcW w:w="2945" w:type="dxa"/>
            <w:vMerge/>
            <w:tcBorders>
              <w:top w:val="nil"/>
              <w:bottom w:val="nil"/>
              <w:right w:val="single" w:sz="8" w:space="0" w:color="000000"/>
            </w:tcBorders>
          </w:tcPr>
          <w:p>
            <w:pPr>
              <w:rPr>
                <w:sz w:val="2"/>
                <w:szCs w:val="2"/>
              </w:rPr>
            </w:pPr>
          </w:p>
        </w:tc>
        <w:tc>
          <w:tcPr>
            <w:tcW w:w="992" w:type="dxa"/>
            <w:tcBorders>
              <w:top w:val="nil"/>
              <w:left w:val="single" w:sz="8" w:space="0" w:color="000000"/>
              <w:bottom w:val="nil"/>
              <w:right w:val="single" w:sz="8" w:space="0" w:color="000000"/>
            </w:tcBorders>
          </w:tcPr>
          <w:p>
            <w:pPr>
              <w:pStyle w:val="TableParagraph"/>
              <w:spacing w:line="240" w:lineRule="auto" w:before="0"/>
              <w:jc w:val="left"/>
              <w:rPr>
                <w:rFonts w:ascii="Times New Roman"/>
                <w:sz w:val="14"/>
              </w:rPr>
            </w:pPr>
          </w:p>
        </w:tc>
        <w:tc>
          <w:tcPr>
            <w:tcW w:w="2881" w:type="dxa"/>
            <w:tcBorders>
              <w:top w:val="nil"/>
              <w:left w:val="single" w:sz="8" w:space="0" w:color="000000"/>
              <w:bottom w:val="nil"/>
              <w:right w:val="single" w:sz="8" w:space="0" w:color="000000"/>
            </w:tcBorders>
          </w:tcPr>
          <w:p>
            <w:pPr>
              <w:pStyle w:val="TableParagraph"/>
              <w:spacing w:line="240" w:lineRule="auto" w:before="0"/>
              <w:jc w:val="left"/>
              <w:rPr>
                <w:rFonts w:ascii="Times New Roman"/>
                <w:sz w:val="14"/>
              </w:rPr>
            </w:pPr>
          </w:p>
        </w:tc>
        <w:tc>
          <w:tcPr>
            <w:tcW w:w="989" w:type="dxa"/>
            <w:vMerge/>
            <w:tcBorders>
              <w:top w:val="nil"/>
              <w:left w:val="single" w:sz="8" w:space="0" w:color="000000"/>
              <w:right w:val="single" w:sz="8" w:space="0" w:color="000000"/>
            </w:tcBorders>
          </w:tcPr>
          <w:p>
            <w:pPr>
              <w:rPr>
                <w:sz w:val="2"/>
                <w:szCs w:val="2"/>
              </w:rPr>
            </w:pPr>
          </w:p>
        </w:tc>
        <w:tc>
          <w:tcPr>
            <w:tcW w:w="992" w:type="dxa"/>
            <w:vMerge/>
            <w:tcBorders>
              <w:top w:val="nil"/>
              <w:left w:val="single" w:sz="8" w:space="0" w:color="000000"/>
            </w:tcBorders>
          </w:tcPr>
          <w:p>
            <w:pPr>
              <w:rPr>
                <w:sz w:val="2"/>
                <w:szCs w:val="2"/>
              </w:rPr>
            </w:pPr>
          </w:p>
        </w:tc>
      </w:tr>
      <w:tr>
        <w:trPr>
          <w:trHeight w:val="581" w:hRule="atLeast"/>
        </w:trPr>
        <w:tc>
          <w:tcPr>
            <w:tcW w:w="1916" w:type="dxa"/>
            <w:tcBorders>
              <w:top w:val="nil"/>
            </w:tcBorders>
          </w:tcPr>
          <w:p>
            <w:pPr>
              <w:pStyle w:val="TableParagraph"/>
              <w:spacing w:line="240" w:lineRule="auto" w:before="6"/>
              <w:jc w:val="left"/>
              <w:rPr>
                <w:b/>
                <w:sz w:val="18"/>
              </w:rPr>
            </w:pPr>
          </w:p>
          <w:p>
            <w:pPr>
              <w:pStyle w:val="TableParagraph"/>
              <w:spacing w:line="240" w:lineRule="auto" w:before="0"/>
              <w:ind w:left="458" w:right="443"/>
              <w:jc w:val="center"/>
              <w:rPr>
                <w:sz w:val="18"/>
              </w:rPr>
            </w:pPr>
            <w:r>
              <w:rPr>
                <w:sz w:val="18"/>
              </w:rPr>
              <w:t>Total</w:t>
            </w:r>
          </w:p>
        </w:tc>
        <w:tc>
          <w:tcPr>
            <w:tcW w:w="2945" w:type="dxa"/>
            <w:tcBorders>
              <w:top w:val="nil"/>
              <w:right w:val="single" w:sz="8" w:space="0" w:color="000000"/>
            </w:tcBorders>
          </w:tcPr>
          <w:p>
            <w:pPr>
              <w:pStyle w:val="TableParagraph"/>
              <w:spacing w:line="240" w:lineRule="auto" w:before="53"/>
              <w:ind w:left="126"/>
              <w:jc w:val="left"/>
              <w:rPr>
                <w:sz w:val="18"/>
              </w:rPr>
            </w:pPr>
            <w:r>
              <w:rPr>
                <w:sz w:val="18"/>
              </w:rPr>
              <w:t>1811053103531704200000000.00</w:t>
            </w:r>
          </w:p>
          <w:p>
            <w:pPr>
              <w:pStyle w:val="TableParagraph"/>
              <w:spacing w:line="188" w:lineRule="exact" w:before="113"/>
              <w:ind w:right="31"/>
              <w:rPr>
                <w:sz w:val="18"/>
              </w:rPr>
            </w:pPr>
            <w:r>
              <w:rPr>
                <w:w w:val="99"/>
                <w:sz w:val="18"/>
              </w:rPr>
              <w:t>0</w:t>
            </w:r>
          </w:p>
        </w:tc>
        <w:tc>
          <w:tcPr>
            <w:tcW w:w="992" w:type="dxa"/>
            <w:tcBorders>
              <w:top w:val="nil"/>
              <w:left w:val="single" w:sz="8" w:space="0" w:color="000000"/>
              <w:right w:val="single" w:sz="8" w:space="0" w:color="000000"/>
            </w:tcBorders>
          </w:tcPr>
          <w:p>
            <w:pPr>
              <w:pStyle w:val="TableParagraph"/>
              <w:spacing w:line="240" w:lineRule="auto" w:before="53"/>
              <w:ind w:right="31"/>
              <w:rPr>
                <w:sz w:val="18"/>
              </w:rPr>
            </w:pPr>
            <w:r>
              <w:rPr>
                <w:w w:val="95"/>
                <w:sz w:val="18"/>
              </w:rPr>
              <w:t>301</w:t>
            </w:r>
          </w:p>
        </w:tc>
        <w:tc>
          <w:tcPr>
            <w:tcW w:w="2881" w:type="dxa"/>
            <w:tcBorders>
              <w:top w:val="nil"/>
              <w:left w:val="single" w:sz="8" w:space="0" w:color="000000"/>
              <w:right w:val="single" w:sz="8" w:space="0" w:color="000000"/>
            </w:tcBorders>
          </w:tcPr>
          <w:p>
            <w:pPr>
              <w:pStyle w:val="TableParagraph"/>
              <w:spacing w:line="240" w:lineRule="auto" w:before="0"/>
              <w:jc w:val="left"/>
              <w:rPr>
                <w:rFonts w:ascii="Times New Roman"/>
                <w:sz w:val="16"/>
              </w:rPr>
            </w:pPr>
          </w:p>
        </w:tc>
        <w:tc>
          <w:tcPr>
            <w:tcW w:w="989" w:type="dxa"/>
            <w:vMerge/>
            <w:tcBorders>
              <w:top w:val="nil"/>
              <w:left w:val="single" w:sz="8" w:space="0" w:color="000000"/>
              <w:right w:val="single" w:sz="8" w:space="0" w:color="000000"/>
            </w:tcBorders>
          </w:tcPr>
          <w:p>
            <w:pPr>
              <w:rPr>
                <w:sz w:val="2"/>
                <w:szCs w:val="2"/>
              </w:rPr>
            </w:pPr>
          </w:p>
        </w:tc>
        <w:tc>
          <w:tcPr>
            <w:tcW w:w="992"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032"/>
      </w:tblGrid>
      <w:tr>
        <w:trPr>
          <w:trHeight w:val="260" w:hRule="atLeast"/>
        </w:trPr>
        <w:tc>
          <w:tcPr>
            <w:tcW w:w="7032" w:type="dxa"/>
          </w:tcPr>
          <w:p>
            <w:pPr>
              <w:pStyle w:val="TableParagraph"/>
              <w:spacing w:line="201" w:lineRule="exact" w:before="0"/>
              <w:ind w:left="200"/>
              <w:jc w:val="left"/>
              <w:rPr>
                <w:sz w:val="18"/>
              </w:rPr>
            </w:pPr>
            <w:r>
              <w:rPr>
                <w:sz w:val="18"/>
              </w:rPr>
              <w:t>a. Variable dependiente: RES_12</w:t>
            </w:r>
          </w:p>
        </w:tc>
      </w:tr>
      <w:tr>
        <w:trPr>
          <w:trHeight w:val="1541" w:hRule="atLeast"/>
        </w:trPr>
        <w:tc>
          <w:tcPr>
            <w:tcW w:w="7032" w:type="dxa"/>
          </w:tcPr>
          <w:p>
            <w:pPr>
              <w:pStyle w:val="TableParagraph"/>
              <w:spacing w:line="372" w:lineRule="auto" w:before="53"/>
              <w:ind w:left="200" w:right="178"/>
              <w:jc w:val="left"/>
              <w:rPr>
                <w:sz w:val="18"/>
              </w:rPr>
            </w:pPr>
            <w:r>
              <w:rPr>
                <w:sz w:val="18"/>
              </w:rPr>
              <w:t>b. Variables predictoras: (Constante), VistaalaCarpintera, Tipo1casa0Condo, DistanciaaSanJoséCentroporRutaVehicularoPedestre, ZonadeRiesgodedesastre, ÁreadeConstrucciónenmetroscuadrados, NúmerodePlantas, AñodeConstrucción, DistanciaaAglomeracionesdePobrezaRíoAzulTirrasesSan, NúmerodeHabitaciones,</w:t>
            </w:r>
          </w:p>
          <w:p>
            <w:pPr>
              <w:pStyle w:val="TableParagraph"/>
              <w:spacing w:line="184" w:lineRule="exact" w:before="0"/>
              <w:ind w:left="200"/>
              <w:jc w:val="left"/>
              <w:rPr>
                <w:sz w:val="18"/>
              </w:rPr>
            </w:pPr>
            <w:r>
              <w:rPr>
                <w:sz w:val="18"/>
              </w:rPr>
              <w:t>NúmerodeBaños</w:t>
            </w:r>
          </w:p>
        </w:tc>
      </w:tr>
    </w:tbl>
    <w:p>
      <w:pPr>
        <w:pStyle w:val="BodyText"/>
        <w:rPr>
          <w:b/>
          <w:sz w:val="20"/>
        </w:rPr>
      </w:pPr>
    </w:p>
    <w:p>
      <w:pPr>
        <w:pStyle w:val="BodyText"/>
        <w:spacing w:before="10"/>
        <w:rPr>
          <w:b/>
          <w:sz w:val="23"/>
        </w:rPr>
      </w:pPr>
    </w:p>
    <w:p>
      <w:pPr>
        <w:spacing w:before="0" w:after="6"/>
        <w:ind w:left="1713" w:right="1716" w:firstLine="0"/>
        <w:jc w:val="center"/>
        <w:rPr>
          <w:b/>
          <w:sz w:val="12"/>
        </w:rPr>
      </w:pPr>
      <w:r>
        <w:rPr>
          <w:b/>
          <w:sz w:val="18"/>
        </w:rPr>
        <w:t>ANOVA ABRIDGED WHITE MODELO</w:t>
      </w:r>
      <w:r>
        <w:rPr>
          <w:b/>
          <w:spacing w:val="-8"/>
          <w:sz w:val="18"/>
        </w:rPr>
        <w:t> </w:t>
      </w:r>
      <w:r>
        <w:rPr>
          <w:b/>
          <w:sz w:val="18"/>
        </w:rPr>
        <w:t>1</w:t>
      </w:r>
      <w:r>
        <w:rPr>
          <w:b/>
          <w:position w:val="6"/>
          <w:sz w:val="12"/>
        </w:rPr>
        <w:t>a</w:t>
      </w:r>
    </w:p>
    <w:tbl>
      <w:tblPr>
        <w:tblW w:w="0" w:type="auto"/>
        <w:jc w:val="left"/>
        <w:tblInd w:w="42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6"/>
        <w:gridCol w:w="1484"/>
        <w:gridCol w:w="3033"/>
        <w:gridCol w:w="992"/>
        <w:gridCol w:w="2969"/>
        <w:gridCol w:w="992"/>
        <w:gridCol w:w="992"/>
      </w:tblGrid>
      <w:tr>
        <w:trPr>
          <w:trHeight w:val="319" w:hRule="atLeast"/>
        </w:trPr>
        <w:tc>
          <w:tcPr>
            <w:tcW w:w="1920" w:type="dxa"/>
            <w:gridSpan w:val="2"/>
          </w:tcPr>
          <w:p>
            <w:pPr>
              <w:pStyle w:val="TableParagraph"/>
              <w:spacing w:line="188" w:lineRule="exact" w:before="111"/>
              <w:ind w:left="25"/>
              <w:jc w:val="left"/>
              <w:rPr>
                <w:sz w:val="18"/>
              </w:rPr>
            </w:pPr>
            <w:r>
              <w:rPr>
                <w:sz w:val="18"/>
              </w:rPr>
              <w:t>Modelo</w:t>
            </w:r>
          </w:p>
        </w:tc>
        <w:tc>
          <w:tcPr>
            <w:tcW w:w="3033" w:type="dxa"/>
            <w:tcBorders>
              <w:right w:val="single" w:sz="8" w:space="0" w:color="000000"/>
            </w:tcBorders>
          </w:tcPr>
          <w:p>
            <w:pPr>
              <w:pStyle w:val="TableParagraph"/>
              <w:spacing w:line="188" w:lineRule="exact" w:before="111"/>
              <w:ind w:left="6" w:right="18"/>
              <w:jc w:val="center"/>
              <w:rPr>
                <w:sz w:val="18"/>
              </w:rPr>
            </w:pPr>
            <w:r>
              <w:rPr>
                <w:sz w:val="18"/>
              </w:rPr>
              <w:t>Suma de cuadrados</w:t>
            </w:r>
          </w:p>
        </w:tc>
        <w:tc>
          <w:tcPr>
            <w:tcW w:w="992" w:type="dxa"/>
            <w:tcBorders>
              <w:left w:val="single" w:sz="8" w:space="0" w:color="000000"/>
              <w:right w:val="single" w:sz="8" w:space="0" w:color="000000"/>
            </w:tcBorders>
          </w:tcPr>
          <w:p>
            <w:pPr>
              <w:pStyle w:val="TableParagraph"/>
              <w:spacing w:line="188" w:lineRule="exact" w:before="111"/>
              <w:ind w:left="391" w:right="400"/>
              <w:jc w:val="center"/>
              <w:rPr>
                <w:sz w:val="18"/>
              </w:rPr>
            </w:pPr>
            <w:r>
              <w:rPr>
                <w:sz w:val="18"/>
              </w:rPr>
              <w:t>gl</w:t>
            </w:r>
          </w:p>
        </w:tc>
        <w:tc>
          <w:tcPr>
            <w:tcW w:w="2969" w:type="dxa"/>
            <w:tcBorders>
              <w:left w:val="single" w:sz="8" w:space="0" w:color="000000"/>
              <w:right w:val="single" w:sz="8" w:space="0" w:color="000000"/>
            </w:tcBorders>
          </w:tcPr>
          <w:p>
            <w:pPr>
              <w:pStyle w:val="TableParagraph"/>
              <w:spacing w:line="188" w:lineRule="exact" w:before="111"/>
              <w:ind w:left="778"/>
              <w:jc w:val="left"/>
              <w:rPr>
                <w:sz w:val="18"/>
              </w:rPr>
            </w:pPr>
            <w:r>
              <w:rPr>
                <w:sz w:val="18"/>
              </w:rPr>
              <w:t>Media cuadrática</w:t>
            </w:r>
          </w:p>
        </w:tc>
        <w:tc>
          <w:tcPr>
            <w:tcW w:w="992" w:type="dxa"/>
            <w:tcBorders>
              <w:left w:val="single" w:sz="8" w:space="0" w:color="000000"/>
              <w:right w:val="single" w:sz="8" w:space="0" w:color="000000"/>
            </w:tcBorders>
          </w:tcPr>
          <w:p>
            <w:pPr>
              <w:pStyle w:val="TableParagraph"/>
              <w:spacing w:line="188" w:lineRule="exact" w:before="111"/>
              <w:ind w:right="7"/>
              <w:jc w:val="center"/>
              <w:rPr>
                <w:sz w:val="18"/>
              </w:rPr>
            </w:pPr>
            <w:r>
              <w:rPr>
                <w:w w:val="100"/>
                <w:sz w:val="18"/>
              </w:rPr>
              <w:t>F</w:t>
            </w:r>
          </w:p>
        </w:tc>
        <w:tc>
          <w:tcPr>
            <w:tcW w:w="992" w:type="dxa"/>
            <w:tcBorders>
              <w:left w:val="single" w:sz="8" w:space="0" w:color="000000"/>
            </w:tcBorders>
          </w:tcPr>
          <w:p>
            <w:pPr>
              <w:pStyle w:val="TableParagraph"/>
              <w:spacing w:line="188" w:lineRule="exact" w:before="111"/>
              <w:ind w:left="315"/>
              <w:jc w:val="left"/>
              <w:rPr>
                <w:sz w:val="18"/>
              </w:rPr>
            </w:pPr>
            <w:r>
              <w:rPr>
                <w:sz w:val="18"/>
              </w:rPr>
              <w:t>Sig.</w:t>
            </w:r>
          </w:p>
        </w:tc>
      </w:tr>
      <w:tr>
        <w:trPr>
          <w:trHeight w:val="380" w:hRule="atLeast"/>
        </w:trPr>
        <w:tc>
          <w:tcPr>
            <w:tcW w:w="436" w:type="dxa"/>
            <w:tcBorders>
              <w:bottom w:val="nil"/>
              <w:right w:val="nil"/>
            </w:tcBorders>
          </w:tcPr>
          <w:p>
            <w:pPr>
              <w:pStyle w:val="TableParagraph"/>
              <w:spacing w:line="240" w:lineRule="auto" w:before="0"/>
              <w:jc w:val="left"/>
              <w:rPr>
                <w:rFonts w:ascii="Times New Roman"/>
                <w:sz w:val="16"/>
              </w:rPr>
            </w:pPr>
          </w:p>
        </w:tc>
        <w:tc>
          <w:tcPr>
            <w:tcW w:w="1484" w:type="dxa"/>
            <w:tcBorders>
              <w:left w:val="nil"/>
              <w:bottom w:val="nil"/>
            </w:tcBorders>
          </w:tcPr>
          <w:p>
            <w:pPr>
              <w:pStyle w:val="TableParagraph"/>
              <w:spacing w:line="240" w:lineRule="auto" w:before="114"/>
              <w:ind w:left="331"/>
              <w:jc w:val="left"/>
              <w:rPr>
                <w:sz w:val="18"/>
              </w:rPr>
            </w:pPr>
            <w:r>
              <w:rPr>
                <w:sz w:val="18"/>
              </w:rPr>
              <w:t>Regresión</w:t>
            </w:r>
          </w:p>
        </w:tc>
        <w:tc>
          <w:tcPr>
            <w:tcW w:w="3033" w:type="dxa"/>
            <w:tcBorders>
              <w:bottom w:val="nil"/>
              <w:right w:val="single" w:sz="8" w:space="0" w:color="000000"/>
            </w:tcBorders>
          </w:tcPr>
          <w:p>
            <w:pPr>
              <w:pStyle w:val="TableParagraph"/>
              <w:spacing w:line="240" w:lineRule="auto" w:before="114"/>
              <w:ind w:left="189" w:right="18"/>
              <w:jc w:val="center"/>
              <w:rPr>
                <w:sz w:val="18"/>
              </w:rPr>
            </w:pPr>
            <w:r>
              <w:rPr>
                <w:sz w:val="18"/>
              </w:rPr>
              <w:t>456263326320693240000000.000</w:t>
            </w:r>
          </w:p>
        </w:tc>
        <w:tc>
          <w:tcPr>
            <w:tcW w:w="992" w:type="dxa"/>
            <w:tcBorders>
              <w:left w:val="single" w:sz="8" w:space="0" w:color="000000"/>
              <w:bottom w:val="nil"/>
              <w:right w:val="single" w:sz="8" w:space="0" w:color="000000"/>
            </w:tcBorders>
          </w:tcPr>
          <w:p>
            <w:pPr>
              <w:pStyle w:val="TableParagraph"/>
              <w:spacing w:line="240" w:lineRule="auto" w:before="114"/>
              <w:ind w:right="31"/>
              <w:rPr>
                <w:sz w:val="18"/>
              </w:rPr>
            </w:pPr>
            <w:r>
              <w:rPr>
                <w:w w:val="99"/>
                <w:sz w:val="18"/>
              </w:rPr>
              <w:t>2</w:t>
            </w:r>
          </w:p>
        </w:tc>
        <w:tc>
          <w:tcPr>
            <w:tcW w:w="2969" w:type="dxa"/>
            <w:tcBorders>
              <w:left w:val="single" w:sz="8" w:space="0" w:color="000000"/>
              <w:bottom w:val="nil"/>
              <w:right w:val="single" w:sz="8" w:space="0" w:color="000000"/>
            </w:tcBorders>
          </w:tcPr>
          <w:p>
            <w:pPr>
              <w:pStyle w:val="TableParagraph"/>
              <w:spacing w:line="240" w:lineRule="auto" w:before="114"/>
              <w:ind w:right="36"/>
              <w:rPr>
                <w:sz w:val="18"/>
              </w:rPr>
            </w:pPr>
            <w:r>
              <w:rPr>
                <w:sz w:val="18"/>
              </w:rPr>
              <w:t>228131663160346620000000.000</w:t>
            </w:r>
          </w:p>
        </w:tc>
        <w:tc>
          <w:tcPr>
            <w:tcW w:w="992" w:type="dxa"/>
            <w:vMerge w:val="restart"/>
            <w:tcBorders>
              <w:left w:val="single" w:sz="8" w:space="0" w:color="000000"/>
              <w:right w:val="single" w:sz="8" w:space="0" w:color="000000"/>
            </w:tcBorders>
          </w:tcPr>
          <w:p>
            <w:pPr>
              <w:pStyle w:val="TableParagraph"/>
              <w:spacing w:line="240" w:lineRule="auto" w:before="114"/>
              <w:ind w:left="386"/>
              <w:jc w:val="left"/>
              <w:rPr>
                <w:sz w:val="18"/>
              </w:rPr>
            </w:pPr>
            <w:r>
              <w:rPr>
                <w:sz w:val="18"/>
              </w:rPr>
              <w:t>50.348</w:t>
            </w:r>
          </w:p>
        </w:tc>
        <w:tc>
          <w:tcPr>
            <w:tcW w:w="992" w:type="dxa"/>
            <w:vMerge w:val="restart"/>
            <w:tcBorders>
              <w:left w:val="single" w:sz="8" w:space="0" w:color="000000"/>
            </w:tcBorders>
          </w:tcPr>
          <w:p>
            <w:pPr>
              <w:pStyle w:val="TableParagraph"/>
              <w:spacing w:line="240" w:lineRule="auto" w:before="114"/>
              <w:ind w:left="507"/>
              <w:jc w:val="left"/>
              <w:rPr>
                <w:sz w:val="12"/>
              </w:rPr>
            </w:pPr>
            <w:r>
              <w:rPr>
                <w:sz w:val="18"/>
              </w:rPr>
              <w:t>.000</w:t>
            </w:r>
            <w:r>
              <w:rPr>
                <w:position w:val="5"/>
                <w:sz w:val="12"/>
              </w:rPr>
              <w:t>b</w:t>
            </w:r>
          </w:p>
        </w:tc>
      </w:tr>
      <w:tr>
        <w:trPr>
          <w:trHeight w:val="319" w:hRule="atLeast"/>
        </w:trPr>
        <w:tc>
          <w:tcPr>
            <w:tcW w:w="436" w:type="dxa"/>
            <w:tcBorders>
              <w:top w:val="nil"/>
              <w:bottom w:val="nil"/>
              <w:right w:val="nil"/>
            </w:tcBorders>
          </w:tcPr>
          <w:p>
            <w:pPr>
              <w:pStyle w:val="TableParagraph"/>
              <w:spacing w:line="240" w:lineRule="auto" w:before="53"/>
              <w:ind w:left="25"/>
              <w:jc w:val="left"/>
              <w:rPr>
                <w:sz w:val="18"/>
              </w:rPr>
            </w:pPr>
            <w:r>
              <w:rPr>
                <w:w w:val="99"/>
                <w:sz w:val="18"/>
              </w:rPr>
              <w:t>1</w:t>
            </w:r>
          </w:p>
        </w:tc>
        <w:tc>
          <w:tcPr>
            <w:tcW w:w="1484" w:type="dxa"/>
            <w:tcBorders>
              <w:top w:val="nil"/>
              <w:left w:val="nil"/>
              <w:bottom w:val="nil"/>
            </w:tcBorders>
          </w:tcPr>
          <w:p>
            <w:pPr>
              <w:pStyle w:val="TableParagraph"/>
              <w:spacing w:line="240" w:lineRule="auto" w:before="53"/>
              <w:ind w:left="331"/>
              <w:jc w:val="left"/>
              <w:rPr>
                <w:sz w:val="18"/>
              </w:rPr>
            </w:pPr>
            <w:r>
              <w:rPr>
                <w:sz w:val="18"/>
              </w:rPr>
              <w:t>Residual</w:t>
            </w:r>
          </w:p>
        </w:tc>
        <w:tc>
          <w:tcPr>
            <w:tcW w:w="3033" w:type="dxa"/>
            <w:tcBorders>
              <w:top w:val="nil"/>
              <w:bottom w:val="nil"/>
              <w:right w:val="single" w:sz="8" w:space="0" w:color="000000"/>
            </w:tcBorders>
          </w:tcPr>
          <w:p>
            <w:pPr>
              <w:pStyle w:val="TableParagraph"/>
              <w:spacing w:line="240" w:lineRule="auto" w:before="53"/>
              <w:ind w:left="89" w:right="18"/>
              <w:jc w:val="center"/>
              <w:rPr>
                <w:sz w:val="18"/>
              </w:rPr>
            </w:pPr>
            <w:r>
              <w:rPr>
                <w:sz w:val="18"/>
              </w:rPr>
              <w:t>1354789777211011000000000.000</w:t>
            </w:r>
          </w:p>
        </w:tc>
        <w:tc>
          <w:tcPr>
            <w:tcW w:w="992" w:type="dxa"/>
            <w:tcBorders>
              <w:top w:val="nil"/>
              <w:left w:val="single" w:sz="8" w:space="0" w:color="000000"/>
              <w:bottom w:val="nil"/>
              <w:right w:val="single" w:sz="8" w:space="0" w:color="000000"/>
            </w:tcBorders>
          </w:tcPr>
          <w:p>
            <w:pPr>
              <w:pStyle w:val="TableParagraph"/>
              <w:spacing w:line="240" w:lineRule="auto" w:before="53"/>
              <w:ind w:right="31"/>
              <w:rPr>
                <w:sz w:val="18"/>
              </w:rPr>
            </w:pPr>
            <w:r>
              <w:rPr>
                <w:w w:val="95"/>
                <w:sz w:val="18"/>
              </w:rPr>
              <w:t>299</w:t>
            </w:r>
          </w:p>
        </w:tc>
        <w:tc>
          <w:tcPr>
            <w:tcW w:w="2969" w:type="dxa"/>
            <w:tcBorders>
              <w:top w:val="nil"/>
              <w:left w:val="single" w:sz="8" w:space="0" w:color="000000"/>
              <w:bottom w:val="nil"/>
              <w:right w:val="single" w:sz="8" w:space="0" w:color="000000"/>
            </w:tcBorders>
          </w:tcPr>
          <w:p>
            <w:pPr>
              <w:pStyle w:val="TableParagraph"/>
              <w:spacing w:line="240" w:lineRule="auto" w:before="53"/>
              <w:ind w:right="36"/>
              <w:rPr>
                <w:sz w:val="18"/>
              </w:rPr>
            </w:pPr>
            <w:r>
              <w:rPr>
                <w:sz w:val="18"/>
              </w:rPr>
              <w:t>4531069489000036700000.000</w:t>
            </w:r>
          </w:p>
        </w:tc>
        <w:tc>
          <w:tcPr>
            <w:tcW w:w="992" w:type="dxa"/>
            <w:vMerge/>
            <w:tcBorders>
              <w:top w:val="nil"/>
              <w:left w:val="single" w:sz="8" w:space="0" w:color="000000"/>
              <w:right w:val="single" w:sz="8" w:space="0" w:color="000000"/>
            </w:tcBorders>
          </w:tcPr>
          <w:p>
            <w:pPr>
              <w:rPr>
                <w:sz w:val="2"/>
                <w:szCs w:val="2"/>
              </w:rPr>
            </w:pPr>
          </w:p>
        </w:tc>
        <w:tc>
          <w:tcPr>
            <w:tcW w:w="992" w:type="dxa"/>
            <w:vMerge/>
            <w:tcBorders>
              <w:top w:val="nil"/>
              <w:left w:val="single" w:sz="8" w:space="0" w:color="000000"/>
            </w:tcBorders>
          </w:tcPr>
          <w:p>
            <w:pPr>
              <w:rPr>
                <w:sz w:val="2"/>
                <w:szCs w:val="2"/>
              </w:rPr>
            </w:pPr>
          </w:p>
        </w:tc>
      </w:tr>
      <w:tr>
        <w:trPr>
          <w:trHeight w:val="261" w:hRule="atLeast"/>
        </w:trPr>
        <w:tc>
          <w:tcPr>
            <w:tcW w:w="436" w:type="dxa"/>
            <w:tcBorders>
              <w:top w:val="nil"/>
              <w:right w:val="nil"/>
            </w:tcBorders>
          </w:tcPr>
          <w:p>
            <w:pPr>
              <w:pStyle w:val="TableParagraph"/>
              <w:spacing w:line="240" w:lineRule="auto" w:before="0"/>
              <w:jc w:val="left"/>
              <w:rPr>
                <w:rFonts w:ascii="Times New Roman"/>
                <w:sz w:val="16"/>
              </w:rPr>
            </w:pPr>
          </w:p>
        </w:tc>
        <w:tc>
          <w:tcPr>
            <w:tcW w:w="1484" w:type="dxa"/>
            <w:tcBorders>
              <w:top w:val="nil"/>
              <w:left w:val="nil"/>
            </w:tcBorders>
          </w:tcPr>
          <w:p>
            <w:pPr>
              <w:pStyle w:val="TableParagraph"/>
              <w:spacing w:line="188" w:lineRule="exact" w:before="53"/>
              <w:ind w:left="331"/>
              <w:jc w:val="left"/>
              <w:rPr>
                <w:sz w:val="18"/>
              </w:rPr>
            </w:pPr>
            <w:r>
              <w:rPr>
                <w:sz w:val="18"/>
              </w:rPr>
              <w:t>Total</w:t>
            </w:r>
          </w:p>
        </w:tc>
        <w:tc>
          <w:tcPr>
            <w:tcW w:w="3033" w:type="dxa"/>
            <w:tcBorders>
              <w:top w:val="nil"/>
              <w:right w:val="single" w:sz="8" w:space="0" w:color="000000"/>
            </w:tcBorders>
          </w:tcPr>
          <w:p>
            <w:pPr>
              <w:pStyle w:val="TableParagraph"/>
              <w:spacing w:line="188" w:lineRule="exact" w:before="53"/>
              <w:ind w:left="89" w:right="18"/>
              <w:jc w:val="center"/>
              <w:rPr>
                <w:sz w:val="18"/>
              </w:rPr>
            </w:pPr>
            <w:r>
              <w:rPr>
                <w:sz w:val="18"/>
              </w:rPr>
              <w:t>1811053103531704200000000.000</w:t>
            </w:r>
          </w:p>
        </w:tc>
        <w:tc>
          <w:tcPr>
            <w:tcW w:w="992" w:type="dxa"/>
            <w:tcBorders>
              <w:top w:val="nil"/>
              <w:left w:val="single" w:sz="8" w:space="0" w:color="000000"/>
              <w:right w:val="single" w:sz="8" w:space="0" w:color="000000"/>
            </w:tcBorders>
          </w:tcPr>
          <w:p>
            <w:pPr>
              <w:pStyle w:val="TableParagraph"/>
              <w:spacing w:line="188" w:lineRule="exact" w:before="53"/>
              <w:ind w:right="31"/>
              <w:rPr>
                <w:sz w:val="18"/>
              </w:rPr>
            </w:pPr>
            <w:r>
              <w:rPr>
                <w:w w:val="95"/>
                <w:sz w:val="18"/>
              </w:rPr>
              <w:t>301</w:t>
            </w:r>
          </w:p>
        </w:tc>
        <w:tc>
          <w:tcPr>
            <w:tcW w:w="2969" w:type="dxa"/>
            <w:tcBorders>
              <w:top w:val="nil"/>
              <w:left w:val="single" w:sz="8" w:space="0" w:color="000000"/>
              <w:right w:val="single" w:sz="8" w:space="0" w:color="000000"/>
            </w:tcBorders>
          </w:tcPr>
          <w:p>
            <w:pPr>
              <w:pStyle w:val="TableParagraph"/>
              <w:spacing w:line="240" w:lineRule="auto" w:before="0"/>
              <w:jc w:val="left"/>
              <w:rPr>
                <w:rFonts w:ascii="Times New Roman"/>
                <w:sz w:val="16"/>
              </w:rPr>
            </w:pPr>
          </w:p>
        </w:tc>
        <w:tc>
          <w:tcPr>
            <w:tcW w:w="992" w:type="dxa"/>
            <w:vMerge/>
            <w:tcBorders>
              <w:top w:val="nil"/>
              <w:left w:val="single" w:sz="8" w:space="0" w:color="000000"/>
              <w:right w:val="single" w:sz="8" w:space="0" w:color="000000"/>
            </w:tcBorders>
          </w:tcPr>
          <w:p>
            <w:pPr>
              <w:rPr>
                <w:sz w:val="2"/>
                <w:szCs w:val="2"/>
              </w:rPr>
            </w:pPr>
          </w:p>
        </w:tc>
        <w:tc>
          <w:tcPr>
            <w:tcW w:w="992"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86"/>
      </w:tblGrid>
      <w:tr>
        <w:trPr>
          <w:trHeight w:val="260" w:hRule="atLeast"/>
        </w:trPr>
        <w:tc>
          <w:tcPr>
            <w:tcW w:w="6786" w:type="dxa"/>
          </w:tcPr>
          <w:p>
            <w:pPr>
              <w:pStyle w:val="TableParagraph"/>
              <w:spacing w:line="201" w:lineRule="exact" w:before="0"/>
              <w:ind w:left="200"/>
              <w:jc w:val="left"/>
              <w:rPr>
                <w:sz w:val="18"/>
              </w:rPr>
            </w:pPr>
            <w:r>
              <w:rPr>
                <w:sz w:val="18"/>
              </w:rPr>
              <w:t>a. Variable dependiente: RES_12</w:t>
            </w:r>
          </w:p>
        </w:tc>
      </w:tr>
      <w:tr>
        <w:trPr>
          <w:trHeight w:val="260" w:hRule="atLeast"/>
        </w:trPr>
        <w:tc>
          <w:tcPr>
            <w:tcW w:w="6786" w:type="dxa"/>
          </w:tcPr>
          <w:p>
            <w:pPr>
              <w:pStyle w:val="TableParagraph"/>
              <w:spacing w:line="187" w:lineRule="exact" w:before="53"/>
              <w:ind w:left="200"/>
              <w:jc w:val="left"/>
              <w:rPr>
                <w:sz w:val="18"/>
              </w:rPr>
            </w:pPr>
            <w:r>
              <w:rPr>
                <w:sz w:val="18"/>
              </w:rPr>
              <w:t>b. Variables predictoras: (Constante), PRE_12, Unstandardized Predicted Value</w:t>
            </w:r>
          </w:p>
        </w:tc>
      </w:tr>
    </w:tbl>
    <w:p>
      <w:pPr>
        <w:pStyle w:val="BodyText"/>
        <w:rPr>
          <w:b/>
          <w:sz w:val="20"/>
        </w:rPr>
      </w:pPr>
    </w:p>
    <w:p>
      <w:pPr>
        <w:pStyle w:val="BodyText"/>
        <w:rPr>
          <w:b/>
          <w:sz w:val="20"/>
        </w:rPr>
      </w:pPr>
    </w:p>
    <w:p>
      <w:pPr>
        <w:pStyle w:val="BodyText"/>
        <w:spacing w:before="4"/>
        <w:rPr>
          <w:b/>
          <w:sz w:val="19"/>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314"/>
        <w:gridCol w:w="481"/>
        <w:gridCol w:w="1248"/>
        <w:gridCol w:w="1248"/>
        <w:gridCol w:w="866"/>
        <w:gridCol w:w="819"/>
      </w:tblGrid>
      <w:tr>
        <w:trPr>
          <w:trHeight w:val="445" w:hRule="atLeast"/>
        </w:trPr>
        <w:tc>
          <w:tcPr>
            <w:tcW w:w="3314" w:type="dxa"/>
          </w:tcPr>
          <w:p>
            <w:pPr>
              <w:pStyle w:val="TableParagraph"/>
              <w:spacing w:line="290" w:lineRule="exact" w:before="0"/>
              <w:ind w:left="50"/>
              <w:jc w:val="left"/>
              <w:rPr>
                <w:b/>
                <w:sz w:val="26"/>
              </w:rPr>
            </w:pPr>
            <w:r>
              <w:rPr>
                <w:b/>
                <w:sz w:val="26"/>
              </w:rPr>
              <w:t>II- Modelo Número 2</w:t>
            </w:r>
          </w:p>
        </w:tc>
        <w:tc>
          <w:tcPr>
            <w:tcW w:w="4662" w:type="dxa"/>
            <w:gridSpan w:val="5"/>
            <w:vMerge w:val="restart"/>
          </w:tcPr>
          <w:p>
            <w:pPr>
              <w:pStyle w:val="TableParagraph"/>
              <w:spacing w:line="240" w:lineRule="auto" w:before="0"/>
              <w:jc w:val="left"/>
              <w:rPr>
                <w:rFonts w:ascii="Times New Roman"/>
                <w:sz w:val="16"/>
              </w:rPr>
            </w:pPr>
          </w:p>
        </w:tc>
      </w:tr>
      <w:tr>
        <w:trPr>
          <w:trHeight w:val="561" w:hRule="atLeast"/>
        </w:trPr>
        <w:tc>
          <w:tcPr>
            <w:tcW w:w="3314" w:type="dxa"/>
          </w:tcPr>
          <w:p>
            <w:pPr>
              <w:pStyle w:val="TableParagraph"/>
              <w:spacing w:line="240" w:lineRule="auto" w:before="146"/>
              <w:ind w:left="50"/>
              <w:jc w:val="left"/>
              <w:rPr>
                <w:b/>
                <w:sz w:val="26"/>
              </w:rPr>
            </w:pPr>
            <w:r>
              <w:rPr>
                <w:b/>
                <w:sz w:val="26"/>
              </w:rPr>
              <w:t>A- Regresión/ACR/VIF</w:t>
            </w:r>
          </w:p>
        </w:tc>
        <w:tc>
          <w:tcPr>
            <w:tcW w:w="4662" w:type="dxa"/>
            <w:gridSpan w:val="5"/>
            <w:vMerge/>
            <w:tcBorders>
              <w:top w:val="nil"/>
            </w:tcBorders>
          </w:tcPr>
          <w:p>
            <w:pPr>
              <w:rPr>
                <w:sz w:val="2"/>
                <w:szCs w:val="2"/>
              </w:rPr>
            </w:pPr>
          </w:p>
        </w:tc>
      </w:tr>
      <w:tr>
        <w:trPr>
          <w:trHeight w:val="388" w:hRule="atLeast"/>
        </w:trPr>
        <w:tc>
          <w:tcPr>
            <w:tcW w:w="3314" w:type="dxa"/>
          </w:tcPr>
          <w:p>
            <w:pPr>
              <w:pStyle w:val="TableParagraph"/>
              <w:spacing w:line="240" w:lineRule="auto" w:before="116"/>
              <w:ind w:left="50"/>
              <w:jc w:val="left"/>
              <w:rPr>
                <w:rFonts w:ascii="Courier New"/>
                <w:b/>
                <w:sz w:val="16"/>
              </w:rPr>
            </w:pPr>
            <w:r>
              <w:rPr>
                <w:rFonts w:ascii="Courier New"/>
                <w:b/>
                <w:sz w:val="16"/>
              </w:rPr>
              <w:t>Analysis of Variance</w:t>
            </w:r>
          </w:p>
        </w:tc>
        <w:tc>
          <w:tcPr>
            <w:tcW w:w="4662" w:type="dxa"/>
            <w:gridSpan w:val="5"/>
            <w:vMerge/>
            <w:tcBorders>
              <w:top w:val="nil"/>
            </w:tcBorders>
          </w:tcPr>
          <w:p>
            <w:pPr>
              <w:rPr>
                <w:sz w:val="2"/>
                <w:szCs w:val="2"/>
              </w:rPr>
            </w:pPr>
          </w:p>
        </w:tc>
      </w:tr>
      <w:tr>
        <w:trPr>
          <w:trHeight w:val="271" w:hRule="atLeast"/>
        </w:trPr>
        <w:tc>
          <w:tcPr>
            <w:tcW w:w="3314" w:type="dxa"/>
          </w:tcPr>
          <w:p>
            <w:pPr>
              <w:pStyle w:val="TableParagraph"/>
              <w:spacing w:line="161" w:lineRule="exact"/>
              <w:ind w:left="50"/>
              <w:jc w:val="left"/>
              <w:rPr>
                <w:rFonts w:ascii="Courier New"/>
                <w:b/>
                <w:sz w:val="16"/>
              </w:rPr>
            </w:pPr>
            <w:r>
              <w:rPr>
                <w:rFonts w:ascii="Courier New"/>
                <w:b/>
                <w:sz w:val="16"/>
              </w:rPr>
              <w:t>Source</w:t>
            </w:r>
          </w:p>
        </w:tc>
        <w:tc>
          <w:tcPr>
            <w:tcW w:w="481" w:type="dxa"/>
          </w:tcPr>
          <w:p>
            <w:pPr>
              <w:pStyle w:val="TableParagraph"/>
              <w:spacing w:line="161" w:lineRule="exact"/>
              <w:ind w:right="95"/>
              <w:rPr>
                <w:rFonts w:ascii="Courier New"/>
                <w:b/>
                <w:sz w:val="16"/>
              </w:rPr>
            </w:pPr>
            <w:r>
              <w:rPr>
                <w:rFonts w:ascii="Courier New"/>
                <w:b/>
                <w:sz w:val="16"/>
              </w:rPr>
              <w:t>DF</w:t>
            </w:r>
          </w:p>
        </w:tc>
        <w:tc>
          <w:tcPr>
            <w:tcW w:w="1248" w:type="dxa"/>
          </w:tcPr>
          <w:p>
            <w:pPr>
              <w:pStyle w:val="TableParagraph"/>
              <w:spacing w:line="161" w:lineRule="exact"/>
              <w:ind w:right="95"/>
              <w:rPr>
                <w:rFonts w:ascii="Courier New"/>
                <w:b/>
                <w:sz w:val="16"/>
              </w:rPr>
            </w:pPr>
            <w:r>
              <w:rPr>
                <w:rFonts w:ascii="Courier New"/>
                <w:b/>
                <w:sz w:val="16"/>
              </w:rPr>
              <w:t>Adj SS</w:t>
            </w:r>
          </w:p>
        </w:tc>
        <w:tc>
          <w:tcPr>
            <w:tcW w:w="1248" w:type="dxa"/>
          </w:tcPr>
          <w:p>
            <w:pPr>
              <w:pStyle w:val="TableParagraph"/>
              <w:spacing w:line="161" w:lineRule="exact"/>
              <w:ind w:right="95"/>
              <w:rPr>
                <w:rFonts w:ascii="Courier New"/>
                <w:b/>
                <w:sz w:val="16"/>
              </w:rPr>
            </w:pPr>
            <w:r>
              <w:rPr>
                <w:rFonts w:ascii="Courier New"/>
                <w:b/>
                <w:sz w:val="16"/>
              </w:rPr>
              <w:t>Adj MS</w:t>
            </w:r>
          </w:p>
        </w:tc>
        <w:tc>
          <w:tcPr>
            <w:tcW w:w="866" w:type="dxa"/>
          </w:tcPr>
          <w:p>
            <w:pPr>
              <w:pStyle w:val="TableParagraph"/>
              <w:spacing w:line="161" w:lineRule="exact"/>
              <w:ind w:right="95"/>
              <w:rPr>
                <w:rFonts w:ascii="Courier New"/>
                <w:b/>
                <w:sz w:val="16"/>
              </w:rPr>
            </w:pPr>
            <w:r>
              <w:rPr>
                <w:rFonts w:ascii="Courier New"/>
                <w:b/>
                <w:sz w:val="16"/>
              </w:rPr>
              <w:t>F-Value</w:t>
            </w:r>
          </w:p>
        </w:tc>
        <w:tc>
          <w:tcPr>
            <w:tcW w:w="819" w:type="dxa"/>
          </w:tcPr>
          <w:p>
            <w:pPr>
              <w:pStyle w:val="TableParagraph"/>
              <w:spacing w:line="161" w:lineRule="exact"/>
              <w:ind w:right="49"/>
              <w:rPr>
                <w:rFonts w:ascii="Courier New"/>
                <w:b/>
                <w:sz w:val="16"/>
              </w:rPr>
            </w:pPr>
            <w:r>
              <w:rPr>
                <w:rFonts w:ascii="Courier New"/>
                <w:b/>
                <w:sz w:val="16"/>
              </w:rPr>
              <w:t>P-Value</w:t>
            </w:r>
          </w:p>
        </w:tc>
      </w:tr>
      <w:tr>
        <w:trPr>
          <w:trHeight w:val="181" w:hRule="atLeast"/>
        </w:trPr>
        <w:tc>
          <w:tcPr>
            <w:tcW w:w="3314" w:type="dxa"/>
          </w:tcPr>
          <w:p>
            <w:pPr>
              <w:pStyle w:val="TableParagraph"/>
              <w:spacing w:line="162" w:lineRule="exact" w:before="0"/>
              <w:ind w:left="50"/>
              <w:jc w:val="left"/>
              <w:rPr>
                <w:rFonts w:ascii="Courier New"/>
                <w:b/>
                <w:sz w:val="16"/>
              </w:rPr>
            </w:pPr>
            <w:r>
              <w:rPr>
                <w:rFonts w:ascii="Courier New"/>
                <w:b/>
                <w:sz w:val="16"/>
              </w:rPr>
              <w:t>Regression</w:t>
            </w:r>
          </w:p>
        </w:tc>
        <w:tc>
          <w:tcPr>
            <w:tcW w:w="481" w:type="dxa"/>
          </w:tcPr>
          <w:p>
            <w:pPr>
              <w:pStyle w:val="TableParagraph"/>
              <w:spacing w:line="162" w:lineRule="exact" w:before="0"/>
              <w:ind w:right="95"/>
              <w:rPr>
                <w:rFonts w:ascii="Courier New"/>
                <w:b/>
                <w:sz w:val="16"/>
              </w:rPr>
            </w:pPr>
            <w:r>
              <w:rPr>
                <w:rFonts w:ascii="Courier New"/>
                <w:b/>
                <w:sz w:val="16"/>
              </w:rPr>
              <w:t>7</w:t>
            </w:r>
          </w:p>
        </w:tc>
        <w:tc>
          <w:tcPr>
            <w:tcW w:w="1248" w:type="dxa"/>
          </w:tcPr>
          <w:p>
            <w:pPr>
              <w:pStyle w:val="TableParagraph"/>
              <w:spacing w:line="162" w:lineRule="exact" w:before="0"/>
              <w:ind w:right="95"/>
              <w:rPr>
                <w:rFonts w:ascii="Courier New"/>
                <w:b/>
                <w:sz w:val="16"/>
              </w:rPr>
            </w:pPr>
            <w:r>
              <w:rPr>
                <w:rFonts w:ascii="Courier New"/>
                <w:b/>
                <w:sz w:val="16"/>
              </w:rPr>
              <w:t>7.76830E+12</w:t>
            </w:r>
          </w:p>
        </w:tc>
        <w:tc>
          <w:tcPr>
            <w:tcW w:w="1248" w:type="dxa"/>
          </w:tcPr>
          <w:p>
            <w:pPr>
              <w:pStyle w:val="TableParagraph"/>
              <w:spacing w:line="162" w:lineRule="exact" w:before="0"/>
              <w:ind w:right="95"/>
              <w:rPr>
                <w:rFonts w:ascii="Courier New"/>
                <w:b/>
                <w:sz w:val="16"/>
              </w:rPr>
            </w:pPr>
            <w:r>
              <w:rPr>
                <w:rFonts w:ascii="Courier New"/>
                <w:b/>
                <w:sz w:val="16"/>
              </w:rPr>
              <w:t>1.10976E+12</w:t>
            </w:r>
          </w:p>
        </w:tc>
        <w:tc>
          <w:tcPr>
            <w:tcW w:w="866" w:type="dxa"/>
          </w:tcPr>
          <w:p>
            <w:pPr>
              <w:pStyle w:val="TableParagraph"/>
              <w:spacing w:line="162" w:lineRule="exact" w:before="0"/>
              <w:ind w:right="97"/>
              <w:rPr>
                <w:rFonts w:ascii="Courier New"/>
                <w:b/>
                <w:sz w:val="16"/>
              </w:rPr>
            </w:pPr>
            <w:r>
              <w:rPr>
                <w:rFonts w:ascii="Courier New"/>
                <w:b/>
                <w:sz w:val="16"/>
              </w:rPr>
              <w:t>36.46</w:t>
            </w:r>
          </w:p>
        </w:tc>
        <w:tc>
          <w:tcPr>
            <w:tcW w:w="819" w:type="dxa"/>
          </w:tcPr>
          <w:p>
            <w:pPr>
              <w:pStyle w:val="TableParagraph"/>
              <w:spacing w:line="162" w:lineRule="exact" w:before="0"/>
              <w:ind w:right="52"/>
              <w:rPr>
                <w:rFonts w:ascii="Courier New"/>
                <w:b/>
                <w:sz w:val="16"/>
              </w:rPr>
            </w:pPr>
            <w:r>
              <w:rPr>
                <w:rFonts w:ascii="Courier New"/>
                <w:b/>
                <w:sz w:val="16"/>
              </w:rPr>
              <w:t>0.000</w:t>
            </w:r>
          </w:p>
        </w:tc>
      </w:tr>
      <w:tr>
        <w:trPr>
          <w:trHeight w:val="181" w:hRule="atLeast"/>
        </w:trPr>
        <w:tc>
          <w:tcPr>
            <w:tcW w:w="3314" w:type="dxa"/>
          </w:tcPr>
          <w:p>
            <w:pPr>
              <w:pStyle w:val="TableParagraph"/>
              <w:spacing w:line="161" w:lineRule="exact" w:before="1"/>
              <w:ind w:left="241"/>
              <w:jc w:val="left"/>
              <w:rPr>
                <w:rFonts w:ascii="Courier New" w:hAnsi="Courier New"/>
                <w:b/>
                <w:sz w:val="16"/>
              </w:rPr>
            </w:pPr>
            <w:r>
              <w:rPr>
                <w:rFonts w:ascii="Courier New" w:hAnsi="Courier New"/>
                <w:b/>
                <w:sz w:val="16"/>
              </w:rPr>
              <w:t>Número de Habitaciones</w:t>
            </w:r>
          </w:p>
        </w:tc>
        <w:tc>
          <w:tcPr>
            <w:tcW w:w="481" w:type="dxa"/>
          </w:tcPr>
          <w:p>
            <w:pPr>
              <w:pStyle w:val="TableParagraph"/>
              <w:spacing w:line="161" w:lineRule="exact" w:before="1"/>
              <w:ind w:right="95"/>
              <w:rPr>
                <w:rFonts w:ascii="Courier New"/>
                <w:b/>
                <w:sz w:val="16"/>
              </w:rPr>
            </w:pPr>
            <w:r>
              <w:rPr>
                <w:rFonts w:ascii="Courier New"/>
                <w:b/>
                <w:sz w:val="16"/>
              </w:rPr>
              <w:t>1</w:t>
            </w:r>
          </w:p>
        </w:tc>
        <w:tc>
          <w:tcPr>
            <w:tcW w:w="1248" w:type="dxa"/>
          </w:tcPr>
          <w:p>
            <w:pPr>
              <w:pStyle w:val="TableParagraph"/>
              <w:spacing w:line="161" w:lineRule="exact" w:before="1"/>
              <w:ind w:right="95"/>
              <w:rPr>
                <w:rFonts w:ascii="Courier New"/>
                <w:b/>
                <w:sz w:val="16"/>
              </w:rPr>
            </w:pPr>
            <w:r>
              <w:rPr>
                <w:rFonts w:ascii="Courier New"/>
                <w:b/>
                <w:sz w:val="16"/>
              </w:rPr>
              <w:t>1.62447E+11</w:t>
            </w:r>
          </w:p>
        </w:tc>
        <w:tc>
          <w:tcPr>
            <w:tcW w:w="1248" w:type="dxa"/>
          </w:tcPr>
          <w:p>
            <w:pPr>
              <w:pStyle w:val="TableParagraph"/>
              <w:spacing w:line="161" w:lineRule="exact" w:before="1"/>
              <w:ind w:right="95"/>
              <w:rPr>
                <w:rFonts w:ascii="Courier New"/>
                <w:b/>
                <w:sz w:val="16"/>
              </w:rPr>
            </w:pPr>
            <w:r>
              <w:rPr>
                <w:rFonts w:ascii="Courier New"/>
                <w:b/>
                <w:sz w:val="16"/>
              </w:rPr>
              <w:t>1.62447E+11</w:t>
            </w:r>
          </w:p>
        </w:tc>
        <w:tc>
          <w:tcPr>
            <w:tcW w:w="866" w:type="dxa"/>
          </w:tcPr>
          <w:p>
            <w:pPr>
              <w:pStyle w:val="TableParagraph"/>
              <w:spacing w:line="161" w:lineRule="exact" w:before="1"/>
              <w:ind w:right="97"/>
              <w:rPr>
                <w:rFonts w:ascii="Courier New"/>
                <w:b/>
                <w:sz w:val="16"/>
              </w:rPr>
            </w:pPr>
            <w:r>
              <w:rPr>
                <w:rFonts w:ascii="Courier New"/>
                <w:b/>
                <w:sz w:val="16"/>
              </w:rPr>
              <w:t>5.34</w:t>
            </w:r>
          </w:p>
        </w:tc>
        <w:tc>
          <w:tcPr>
            <w:tcW w:w="819" w:type="dxa"/>
          </w:tcPr>
          <w:p>
            <w:pPr>
              <w:pStyle w:val="TableParagraph"/>
              <w:spacing w:line="161" w:lineRule="exact" w:before="1"/>
              <w:ind w:right="52"/>
              <w:rPr>
                <w:rFonts w:ascii="Courier New"/>
                <w:b/>
                <w:sz w:val="16"/>
              </w:rPr>
            </w:pPr>
            <w:r>
              <w:rPr>
                <w:rFonts w:ascii="Courier New"/>
                <w:b/>
                <w:sz w:val="16"/>
              </w:rPr>
              <w:t>0.022</w:t>
            </w:r>
          </w:p>
        </w:tc>
      </w:tr>
      <w:tr>
        <w:trPr>
          <w:trHeight w:val="180" w:hRule="atLeast"/>
        </w:trPr>
        <w:tc>
          <w:tcPr>
            <w:tcW w:w="3314" w:type="dxa"/>
          </w:tcPr>
          <w:p>
            <w:pPr>
              <w:pStyle w:val="TableParagraph"/>
              <w:spacing w:line="160" w:lineRule="exact" w:before="0"/>
              <w:ind w:left="241"/>
              <w:jc w:val="left"/>
              <w:rPr>
                <w:rFonts w:ascii="Courier New" w:hAnsi="Courier New"/>
                <w:b/>
                <w:sz w:val="16"/>
              </w:rPr>
            </w:pPr>
            <w:r>
              <w:rPr>
                <w:rFonts w:ascii="Courier New" w:hAnsi="Courier New"/>
                <w:b/>
                <w:sz w:val="16"/>
              </w:rPr>
              <w:t>Número de Baños</w:t>
            </w:r>
          </w:p>
        </w:tc>
        <w:tc>
          <w:tcPr>
            <w:tcW w:w="481" w:type="dxa"/>
          </w:tcPr>
          <w:p>
            <w:pPr>
              <w:pStyle w:val="TableParagraph"/>
              <w:spacing w:line="160" w:lineRule="exact" w:before="0"/>
              <w:ind w:right="95"/>
              <w:rPr>
                <w:rFonts w:ascii="Courier New"/>
                <w:b/>
                <w:sz w:val="16"/>
              </w:rPr>
            </w:pPr>
            <w:r>
              <w:rPr>
                <w:rFonts w:ascii="Courier New"/>
                <w:b/>
                <w:sz w:val="16"/>
              </w:rPr>
              <w:t>1</w:t>
            </w:r>
          </w:p>
        </w:tc>
        <w:tc>
          <w:tcPr>
            <w:tcW w:w="1248" w:type="dxa"/>
          </w:tcPr>
          <w:p>
            <w:pPr>
              <w:pStyle w:val="TableParagraph"/>
              <w:spacing w:line="160" w:lineRule="exact" w:before="0"/>
              <w:ind w:right="95"/>
              <w:rPr>
                <w:rFonts w:ascii="Courier New"/>
                <w:b/>
                <w:sz w:val="16"/>
              </w:rPr>
            </w:pPr>
            <w:r>
              <w:rPr>
                <w:rFonts w:ascii="Courier New"/>
                <w:b/>
                <w:sz w:val="16"/>
              </w:rPr>
              <w:t>1.97878E+12</w:t>
            </w:r>
          </w:p>
        </w:tc>
        <w:tc>
          <w:tcPr>
            <w:tcW w:w="1248" w:type="dxa"/>
          </w:tcPr>
          <w:p>
            <w:pPr>
              <w:pStyle w:val="TableParagraph"/>
              <w:spacing w:line="160" w:lineRule="exact" w:before="0"/>
              <w:ind w:right="95"/>
              <w:rPr>
                <w:rFonts w:ascii="Courier New"/>
                <w:b/>
                <w:sz w:val="16"/>
              </w:rPr>
            </w:pPr>
            <w:r>
              <w:rPr>
                <w:rFonts w:ascii="Courier New"/>
                <w:b/>
                <w:sz w:val="16"/>
              </w:rPr>
              <w:t>1.97878E+12</w:t>
            </w:r>
          </w:p>
        </w:tc>
        <w:tc>
          <w:tcPr>
            <w:tcW w:w="866" w:type="dxa"/>
          </w:tcPr>
          <w:p>
            <w:pPr>
              <w:pStyle w:val="TableParagraph"/>
              <w:spacing w:line="160" w:lineRule="exact" w:before="0"/>
              <w:ind w:right="97"/>
              <w:rPr>
                <w:rFonts w:ascii="Courier New"/>
                <w:b/>
                <w:sz w:val="16"/>
              </w:rPr>
            </w:pPr>
            <w:r>
              <w:rPr>
                <w:rFonts w:ascii="Courier New"/>
                <w:b/>
                <w:sz w:val="16"/>
              </w:rPr>
              <w:t>65.01</w:t>
            </w:r>
          </w:p>
        </w:tc>
        <w:tc>
          <w:tcPr>
            <w:tcW w:w="819" w:type="dxa"/>
          </w:tcPr>
          <w:p>
            <w:pPr>
              <w:pStyle w:val="TableParagraph"/>
              <w:spacing w:line="160" w:lineRule="exact" w:before="0"/>
              <w:ind w:right="52"/>
              <w:rPr>
                <w:rFonts w:ascii="Courier New"/>
                <w:b/>
                <w:sz w:val="16"/>
              </w:rPr>
            </w:pPr>
            <w:r>
              <w:rPr>
                <w:rFonts w:ascii="Courier New"/>
                <w:b/>
                <w:sz w:val="16"/>
              </w:rPr>
              <w:t>0.000</w:t>
            </w:r>
          </w:p>
        </w:tc>
      </w:tr>
      <w:tr>
        <w:trPr>
          <w:trHeight w:val="180" w:hRule="atLeast"/>
        </w:trPr>
        <w:tc>
          <w:tcPr>
            <w:tcW w:w="3314" w:type="dxa"/>
          </w:tcPr>
          <w:p>
            <w:pPr>
              <w:pStyle w:val="TableParagraph"/>
              <w:spacing w:line="160" w:lineRule="exact" w:before="0"/>
              <w:ind w:left="241"/>
              <w:jc w:val="left"/>
              <w:rPr>
                <w:rFonts w:ascii="Courier New" w:hAnsi="Courier New"/>
                <w:b/>
                <w:sz w:val="16"/>
              </w:rPr>
            </w:pPr>
            <w:r>
              <w:rPr>
                <w:rFonts w:ascii="Courier New" w:hAnsi="Courier New"/>
                <w:b/>
                <w:sz w:val="16"/>
              </w:rPr>
              <w:t>Número de Plantas</w:t>
            </w:r>
          </w:p>
        </w:tc>
        <w:tc>
          <w:tcPr>
            <w:tcW w:w="481" w:type="dxa"/>
          </w:tcPr>
          <w:p>
            <w:pPr>
              <w:pStyle w:val="TableParagraph"/>
              <w:spacing w:line="160" w:lineRule="exact" w:before="0"/>
              <w:ind w:right="95"/>
              <w:rPr>
                <w:rFonts w:ascii="Courier New"/>
                <w:b/>
                <w:sz w:val="16"/>
              </w:rPr>
            </w:pPr>
            <w:r>
              <w:rPr>
                <w:rFonts w:ascii="Courier New"/>
                <w:b/>
                <w:sz w:val="16"/>
              </w:rPr>
              <w:t>1</w:t>
            </w:r>
          </w:p>
        </w:tc>
        <w:tc>
          <w:tcPr>
            <w:tcW w:w="1248" w:type="dxa"/>
          </w:tcPr>
          <w:p>
            <w:pPr>
              <w:pStyle w:val="TableParagraph"/>
              <w:spacing w:line="160" w:lineRule="exact" w:before="0"/>
              <w:ind w:right="95"/>
              <w:rPr>
                <w:rFonts w:ascii="Courier New"/>
                <w:b/>
                <w:sz w:val="16"/>
              </w:rPr>
            </w:pPr>
            <w:r>
              <w:rPr>
                <w:rFonts w:ascii="Courier New"/>
                <w:b/>
                <w:sz w:val="16"/>
              </w:rPr>
              <w:t>3.23233E+11</w:t>
            </w:r>
          </w:p>
        </w:tc>
        <w:tc>
          <w:tcPr>
            <w:tcW w:w="1248" w:type="dxa"/>
          </w:tcPr>
          <w:p>
            <w:pPr>
              <w:pStyle w:val="TableParagraph"/>
              <w:spacing w:line="160" w:lineRule="exact" w:before="0"/>
              <w:ind w:right="95"/>
              <w:rPr>
                <w:rFonts w:ascii="Courier New"/>
                <w:b/>
                <w:sz w:val="16"/>
              </w:rPr>
            </w:pPr>
            <w:r>
              <w:rPr>
                <w:rFonts w:ascii="Courier New"/>
                <w:b/>
                <w:sz w:val="16"/>
              </w:rPr>
              <w:t>3.23233E+11</w:t>
            </w:r>
          </w:p>
        </w:tc>
        <w:tc>
          <w:tcPr>
            <w:tcW w:w="866" w:type="dxa"/>
          </w:tcPr>
          <w:p>
            <w:pPr>
              <w:pStyle w:val="TableParagraph"/>
              <w:spacing w:line="160" w:lineRule="exact" w:before="0"/>
              <w:ind w:right="97"/>
              <w:rPr>
                <w:rFonts w:ascii="Courier New"/>
                <w:b/>
                <w:sz w:val="16"/>
              </w:rPr>
            </w:pPr>
            <w:r>
              <w:rPr>
                <w:rFonts w:ascii="Courier New"/>
                <w:b/>
                <w:sz w:val="16"/>
              </w:rPr>
              <w:t>10.62</w:t>
            </w:r>
          </w:p>
        </w:tc>
        <w:tc>
          <w:tcPr>
            <w:tcW w:w="819" w:type="dxa"/>
          </w:tcPr>
          <w:p>
            <w:pPr>
              <w:pStyle w:val="TableParagraph"/>
              <w:spacing w:line="160" w:lineRule="exact" w:before="0"/>
              <w:ind w:right="52"/>
              <w:rPr>
                <w:rFonts w:ascii="Courier New"/>
                <w:b/>
                <w:sz w:val="16"/>
              </w:rPr>
            </w:pPr>
            <w:r>
              <w:rPr>
                <w:rFonts w:ascii="Courier New"/>
                <w:b/>
                <w:sz w:val="16"/>
              </w:rPr>
              <w:t>0.001</w:t>
            </w:r>
          </w:p>
        </w:tc>
      </w:tr>
      <w:tr>
        <w:trPr>
          <w:trHeight w:val="181" w:hRule="atLeast"/>
        </w:trPr>
        <w:tc>
          <w:tcPr>
            <w:tcW w:w="3314" w:type="dxa"/>
          </w:tcPr>
          <w:p>
            <w:pPr>
              <w:pStyle w:val="TableParagraph"/>
              <w:spacing w:line="162" w:lineRule="exact" w:before="0"/>
              <w:ind w:left="241"/>
              <w:jc w:val="left"/>
              <w:rPr>
                <w:rFonts w:ascii="Courier New" w:hAnsi="Courier New"/>
                <w:b/>
                <w:sz w:val="16"/>
              </w:rPr>
            </w:pPr>
            <w:r>
              <w:rPr>
                <w:rFonts w:ascii="Courier New" w:hAnsi="Courier New"/>
                <w:b/>
                <w:sz w:val="16"/>
              </w:rPr>
              <w:t>Distancia a San José Centro por</w:t>
            </w:r>
          </w:p>
        </w:tc>
        <w:tc>
          <w:tcPr>
            <w:tcW w:w="481" w:type="dxa"/>
          </w:tcPr>
          <w:p>
            <w:pPr>
              <w:pStyle w:val="TableParagraph"/>
              <w:spacing w:line="162" w:lineRule="exact" w:before="0"/>
              <w:ind w:right="95"/>
              <w:rPr>
                <w:rFonts w:ascii="Courier New"/>
                <w:b/>
                <w:sz w:val="16"/>
              </w:rPr>
            </w:pPr>
            <w:r>
              <w:rPr>
                <w:rFonts w:ascii="Courier New"/>
                <w:b/>
                <w:sz w:val="16"/>
              </w:rPr>
              <w:t>1</w:t>
            </w:r>
          </w:p>
        </w:tc>
        <w:tc>
          <w:tcPr>
            <w:tcW w:w="1248" w:type="dxa"/>
          </w:tcPr>
          <w:p>
            <w:pPr>
              <w:pStyle w:val="TableParagraph"/>
              <w:spacing w:line="162" w:lineRule="exact" w:before="0"/>
              <w:ind w:right="95"/>
              <w:rPr>
                <w:rFonts w:ascii="Courier New"/>
                <w:b/>
                <w:sz w:val="16"/>
              </w:rPr>
            </w:pPr>
            <w:r>
              <w:rPr>
                <w:rFonts w:ascii="Courier New"/>
                <w:b/>
                <w:sz w:val="16"/>
              </w:rPr>
              <w:t>1.42234E+11</w:t>
            </w:r>
          </w:p>
        </w:tc>
        <w:tc>
          <w:tcPr>
            <w:tcW w:w="1248" w:type="dxa"/>
          </w:tcPr>
          <w:p>
            <w:pPr>
              <w:pStyle w:val="TableParagraph"/>
              <w:spacing w:line="162" w:lineRule="exact" w:before="0"/>
              <w:ind w:right="95"/>
              <w:rPr>
                <w:rFonts w:ascii="Courier New"/>
                <w:b/>
                <w:sz w:val="16"/>
              </w:rPr>
            </w:pPr>
            <w:r>
              <w:rPr>
                <w:rFonts w:ascii="Courier New"/>
                <w:b/>
                <w:sz w:val="16"/>
              </w:rPr>
              <w:t>1.42234E+11</w:t>
            </w:r>
          </w:p>
        </w:tc>
        <w:tc>
          <w:tcPr>
            <w:tcW w:w="866" w:type="dxa"/>
          </w:tcPr>
          <w:p>
            <w:pPr>
              <w:pStyle w:val="TableParagraph"/>
              <w:spacing w:line="162" w:lineRule="exact" w:before="0"/>
              <w:ind w:right="97"/>
              <w:rPr>
                <w:rFonts w:ascii="Courier New"/>
                <w:b/>
                <w:sz w:val="16"/>
              </w:rPr>
            </w:pPr>
            <w:r>
              <w:rPr>
                <w:rFonts w:ascii="Courier New"/>
                <w:b/>
                <w:sz w:val="16"/>
              </w:rPr>
              <w:t>4.67</w:t>
            </w:r>
          </w:p>
        </w:tc>
        <w:tc>
          <w:tcPr>
            <w:tcW w:w="819" w:type="dxa"/>
          </w:tcPr>
          <w:p>
            <w:pPr>
              <w:pStyle w:val="TableParagraph"/>
              <w:spacing w:line="162" w:lineRule="exact" w:before="0"/>
              <w:ind w:right="52"/>
              <w:rPr>
                <w:rFonts w:ascii="Courier New"/>
                <w:b/>
                <w:sz w:val="16"/>
              </w:rPr>
            </w:pPr>
            <w:r>
              <w:rPr>
                <w:rFonts w:ascii="Courier New"/>
                <w:b/>
                <w:sz w:val="16"/>
              </w:rPr>
              <w:t>0.031</w:t>
            </w:r>
          </w:p>
        </w:tc>
      </w:tr>
      <w:tr>
        <w:trPr>
          <w:trHeight w:val="182" w:hRule="atLeast"/>
        </w:trPr>
        <w:tc>
          <w:tcPr>
            <w:tcW w:w="3314" w:type="dxa"/>
          </w:tcPr>
          <w:p>
            <w:pPr>
              <w:pStyle w:val="TableParagraph"/>
              <w:spacing w:line="161" w:lineRule="exact" w:before="1"/>
              <w:ind w:left="241"/>
              <w:jc w:val="left"/>
              <w:rPr>
                <w:rFonts w:ascii="Courier New"/>
                <w:b/>
                <w:sz w:val="16"/>
              </w:rPr>
            </w:pPr>
            <w:r>
              <w:rPr>
                <w:rFonts w:ascii="Courier New"/>
                <w:b/>
                <w:sz w:val="16"/>
              </w:rPr>
              <w:t>Distancia a Aglomera-ciones de</w:t>
            </w:r>
          </w:p>
        </w:tc>
        <w:tc>
          <w:tcPr>
            <w:tcW w:w="481" w:type="dxa"/>
          </w:tcPr>
          <w:p>
            <w:pPr>
              <w:pStyle w:val="TableParagraph"/>
              <w:spacing w:line="161" w:lineRule="exact" w:before="1"/>
              <w:ind w:right="94"/>
              <w:rPr>
                <w:rFonts w:ascii="Courier New"/>
                <w:b/>
                <w:sz w:val="16"/>
              </w:rPr>
            </w:pPr>
            <w:r>
              <w:rPr>
                <w:rFonts w:ascii="Courier New"/>
                <w:b/>
                <w:sz w:val="16"/>
              </w:rPr>
              <w:t>1</w:t>
            </w:r>
          </w:p>
        </w:tc>
        <w:tc>
          <w:tcPr>
            <w:tcW w:w="1248" w:type="dxa"/>
          </w:tcPr>
          <w:p>
            <w:pPr>
              <w:pStyle w:val="TableParagraph"/>
              <w:spacing w:line="161" w:lineRule="exact" w:before="1"/>
              <w:ind w:right="94"/>
              <w:rPr>
                <w:rFonts w:ascii="Courier New"/>
                <w:b/>
                <w:sz w:val="16"/>
              </w:rPr>
            </w:pPr>
            <w:r>
              <w:rPr>
                <w:rFonts w:ascii="Courier New"/>
                <w:b/>
                <w:sz w:val="16"/>
              </w:rPr>
              <w:t>1.51689E+11</w:t>
            </w:r>
          </w:p>
        </w:tc>
        <w:tc>
          <w:tcPr>
            <w:tcW w:w="1248" w:type="dxa"/>
          </w:tcPr>
          <w:p>
            <w:pPr>
              <w:pStyle w:val="TableParagraph"/>
              <w:spacing w:line="161" w:lineRule="exact" w:before="1"/>
              <w:ind w:right="94"/>
              <w:rPr>
                <w:rFonts w:ascii="Courier New"/>
                <w:b/>
                <w:sz w:val="16"/>
              </w:rPr>
            </w:pPr>
            <w:r>
              <w:rPr>
                <w:rFonts w:ascii="Courier New"/>
                <w:b/>
                <w:sz w:val="16"/>
              </w:rPr>
              <w:t>1.51689E+11</w:t>
            </w:r>
          </w:p>
        </w:tc>
        <w:tc>
          <w:tcPr>
            <w:tcW w:w="866" w:type="dxa"/>
          </w:tcPr>
          <w:p>
            <w:pPr>
              <w:pStyle w:val="TableParagraph"/>
              <w:spacing w:line="161" w:lineRule="exact" w:before="1"/>
              <w:ind w:right="97"/>
              <w:rPr>
                <w:rFonts w:ascii="Courier New"/>
                <w:b/>
                <w:sz w:val="16"/>
              </w:rPr>
            </w:pPr>
            <w:r>
              <w:rPr>
                <w:rFonts w:ascii="Courier New"/>
                <w:b/>
                <w:sz w:val="16"/>
              </w:rPr>
              <w:t>4.98</w:t>
            </w:r>
          </w:p>
        </w:tc>
        <w:tc>
          <w:tcPr>
            <w:tcW w:w="819" w:type="dxa"/>
          </w:tcPr>
          <w:p>
            <w:pPr>
              <w:pStyle w:val="TableParagraph"/>
              <w:spacing w:line="161" w:lineRule="exact" w:before="1"/>
              <w:ind w:right="52"/>
              <w:rPr>
                <w:rFonts w:ascii="Courier New"/>
                <w:b/>
                <w:sz w:val="16"/>
              </w:rPr>
            </w:pPr>
            <w:r>
              <w:rPr>
                <w:rFonts w:ascii="Courier New"/>
                <w:b/>
                <w:sz w:val="16"/>
              </w:rPr>
              <w:t>0.026</w:t>
            </w:r>
          </w:p>
        </w:tc>
      </w:tr>
      <w:tr>
        <w:trPr>
          <w:trHeight w:val="180" w:hRule="atLeast"/>
        </w:trPr>
        <w:tc>
          <w:tcPr>
            <w:tcW w:w="3314" w:type="dxa"/>
          </w:tcPr>
          <w:p>
            <w:pPr>
              <w:pStyle w:val="TableParagraph"/>
              <w:spacing w:line="160" w:lineRule="exact" w:before="0"/>
              <w:ind w:left="241"/>
              <w:jc w:val="left"/>
              <w:rPr>
                <w:rFonts w:ascii="Courier New"/>
                <w:b/>
                <w:sz w:val="16"/>
              </w:rPr>
            </w:pPr>
            <w:r>
              <w:rPr>
                <w:rFonts w:ascii="Courier New"/>
                <w:b/>
                <w:sz w:val="16"/>
              </w:rPr>
              <w:t>Tipo = 1 casa, 0 = Condo</w:t>
            </w:r>
          </w:p>
        </w:tc>
        <w:tc>
          <w:tcPr>
            <w:tcW w:w="481" w:type="dxa"/>
          </w:tcPr>
          <w:p>
            <w:pPr>
              <w:pStyle w:val="TableParagraph"/>
              <w:spacing w:line="160" w:lineRule="exact" w:before="0"/>
              <w:ind w:right="95"/>
              <w:rPr>
                <w:rFonts w:ascii="Courier New"/>
                <w:b/>
                <w:sz w:val="16"/>
              </w:rPr>
            </w:pPr>
            <w:r>
              <w:rPr>
                <w:rFonts w:ascii="Courier New"/>
                <w:b/>
                <w:sz w:val="16"/>
              </w:rPr>
              <w:t>1</w:t>
            </w:r>
          </w:p>
        </w:tc>
        <w:tc>
          <w:tcPr>
            <w:tcW w:w="1248" w:type="dxa"/>
          </w:tcPr>
          <w:p>
            <w:pPr>
              <w:pStyle w:val="TableParagraph"/>
              <w:spacing w:line="160" w:lineRule="exact" w:before="0"/>
              <w:ind w:right="95"/>
              <w:rPr>
                <w:rFonts w:ascii="Courier New"/>
                <w:b/>
                <w:sz w:val="16"/>
              </w:rPr>
            </w:pPr>
            <w:r>
              <w:rPr>
                <w:rFonts w:ascii="Courier New"/>
                <w:b/>
                <w:sz w:val="16"/>
              </w:rPr>
              <w:t>1.28806E+11</w:t>
            </w:r>
          </w:p>
        </w:tc>
        <w:tc>
          <w:tcPr>
            <w:tcW w:w="1248" w:type="dxa"/>
          </w:tcPr>
          <w:p>
            <w:pPr>
              <w:pStyle w:val="TableParagraph"/>
              <w:spacing w:line="160" w:lineRule="exact" w:before="0"/>
              <w:ind w:right="95"/>
              <w:rPr>
                <w:rFonts w:ascii="Courier New"/>
                <w:b/>
                <w:sz w:val="16"/>
              </w:rPr>
            </w:pPr>
            <w:r>
              <w:rPr>
                <w:rFonts w:ascii="Courier New"/>
                <w:b/>
                <w:sz w:val="16"/>
              </w:rPr>
              <w:t>1.28806E+11</w:t>
            </w:r>
          </w:p>
        </w:tc>
        <w:tc>
          <w:tcPr>
            <w:tcW w:w="866" w:type="dxa"/>
          </w:tcPr>
          <w:p>
            <w:pPr>
              <w:pStyle w:val="TableParagraph"/>
              <w:spacing w:line="160" w:lineRule="exact" w:before="0"/>
              <w:ind w:right="97"/>
              <w:rPr>
                <w:rFonts w:ascii="Courier New"/>
                <w:b/>
                <w:sz w:val="16"/>
              </w:rPr>
            </w:pPr>
            <w:r>
              <w:rPr>
                <w:rFonts w:ascii="Courier New"/>
                <w:b/>
                <w:sz w:val="16"/>
              </w:rPr>
              <w:t>4.23</w:t>
            </w:r>
          </w:p>
        </w:tc>
        <w:tc>
          <w:tcPr>
            <w:tcW w:w="819" w:type="dxa"/>
          </w:tcPr>
          <w:p>
            <w:pPr>
              <w:pStyle w:val="TableParagraph"/>
              <w:spacing w:line="160" w:lineRule="exact" w:before="0"/>
              <w:ind w:right="52"/>
              <w:rPr>
                <w:rFonts w:ascii="Courier New"/>
                <w:b/>
                <w:sz w:val="16"/>
              </w:rPr>
            </w:pPr>
            <w:r>
              <w:rPr>
                <w:rFonts w:ascii="Courier New"/>
                <w:b/>
                <w:sz w:val="16"/>
              </w:rPr>
              <w:t>0.041</w:t>
            </w:r>
          </w:p>
        </w:tc>
      </w:tr>
      <w:tr>
        <w:trPr>
          <w:trHeight w:val="181" w:hRule="atLeast"/>
        </w:trPr>
        <w:tc>
          <w:tcPr>
            <w:tcW w:w="3314" w:type="dxa"/>
          </w:tcPr>
          <w:p>
            <w:pPr>
              <w:pStyle w:val="TableParagraph"/>
              <w:spacing w:line="162" w:lineRule="exact" w:before="0"/>
              <w:ind w:left="241"/>
              <w:jc w:val="left"/>
              <w:rPr>
                <w:rFonts w:ascii="Courier New"/>
                <w:b/>
                <w:sz w:val="16"/>
              </w:rPr>
            </w:pPr>
            <w:r>
              <w:rPr>
                <w:rFonts w:ascii="Courier New"/>
                <w:b/>
                <w:sz w:val="16"/>
              </w:rPr>
              <w:t>Vista a la Carpintera</w:t>
            </w:r>
          </w:p>
        </w:tc>
        <w:tc>
          <w:tcPr>
            <w:tcW w:w="481" w:type="dxa"/>
          </w:tcPr>
          <w:p>
            <w:pPr>
              <w:pStyle w:val="TableParagraph"/>
              <w:spacing w:line="162" w:lineRule="exact" w:before="0"/>
              <w:ind w:right="95"/>
              <w:rPr>
                <w:rFonts w:ascii="Courier New"/>
                <w:b/>
                <w:sz w:val="16"/>
              </w:rPr>
            </w:pPr>
            <w:r>
              <w:rPr>
                <w:rFonts w:ascii="Courier New"/>
                <w:b/>
                <w:sz w:val="16"/>
              </w:rPr>
              <w:t>1</w:t>
            </w:r>
          </w:p>
        </w:tc>
        <w:tc>
          <w:tcPr>
            <w:tcW w:w="1248" w:type="dxa"/>
          </w:tcPr>
          <w:p>
            <w:pPr>
              <w:pStyle w:val="TableParagraph"/>
              <w:spacing w:line="162" w:lineRule="exact" w:before="0"/>
              <w:ind w:right="95"/>
              <w:rPr>
                <w:rFonts w:ascii="Courier New"/>
                <w:b/>
                <w:sz w:val="16"/>
              </w:rPr>
            </w:pPr>
            <w:r>
              <w:rPr>
                <w:rFonts w:ascii="Courier New"/>
                <w:b/>
                <w:sz w:val="16"/>
              </w:rPr>
              <w:t>2.94561E+11</w:t>
            </w:r>
          </w:p>
        </w:tc>
        <w:tc>
          <w:tcPr>
            <w:tcW w:w="1248" w:type="dxa"/>
          </w:tcPr>
          <w:p>
            <w:pPr>
              <w:pStyle w:val="TableParagraph"/>
              <w:spacing w:line="162" w:lineRule="exact" w:before="0"/>
              <w:ind w:right="95"/>
              <w:rPr>
                <w:rFonts w:ascii="Courier New"/>
                <w:b/>
                <w:sz w:val="16"/>
              </w:rPr>
            </w:pPr>
            <w:r>
              <w:rPr>
                <w:rFonts w:ascii="Courier New"/>
                <w:b/>
                <w:sz w:val="16"/>
              </w:rPr>
              <w:t>2.94561E+11</w:t>
            </w:r>
          </w:p>
        </w:tc>
        <w:tc>
          <w:tcPr>
            <w:tcW w:w="866" w:type="dxa"/>
          </w:tcPr>
          <w:p>
            <w:pPr>
              <w:pStyle w:val="TableParagraph"/>
              <w:spacing w:line="162" w:lineRule="exact" w:before="0"/>
              <w:ind w:right="97"/>
              <w:rPr>
                <w:rFonts w:ascii="Courier New"/>
                <w:b/>
                <w:sz w:val="16"/>
              </w:rPr>
            </w:pPr>
            <w:r>
              <w:rPr>
                <w:rFonts w:ascii="Courier New"/>
                <w:b/>
                <w:sz w:val="16"/>
              </w:rPr>
              <w:t>9.68</w:t>
            </w:r>
          </w:p>
        </w:tc>
        <w:tc>
          <w:tcPr>
            <w:tcW w:w="819" w:type="dxa"/>
          </w:tcPr>
          <w:p>
            <w:pPr>
              <w:pStyle w:val="TableParagraph"/>
              <w:spacing w:line="162" w:lineRule="exact" w:before="0"/>
              <w:ind w:right="52"/>
              <w:rPr>
                <w:rFonts w:ascii="Courier New"/>
                <w:b/>
                <w:sz w:val="16"/>
              </w:rPr>
            </w:pPr>
            <w:r>
              <w:rPr>
                <w:rFonts w:ascii="Courier New"/>
                <w:b/>
                <w:sz w:val="16"/>
              </w:rPr>
              <w:t>0.002</w:t>
            </w:r>
          </w:p>
        </w:tc>
      </w:tr>
      <w:tr>
        <w:trPr>
          <w:trHeight w:val="182" w:hRule="atLeast"/>
        </w:trPr>
        <w:tc>
          <w:tcPr>
            <w:tcW w:w="3314" w:type="dxa"/>
          </w:tcPr>
          <w:p>
            <w:pPr>
              <w:pStyle w:val="TableParagraph"/>
              <w:spacing w:line="161" w:lineRule="exact" w:before="1"/>
              <w:ind w:left="50"/>
              <w:jc w:val="left"/>
              <w:rPr>
                <w:rFonts w:ascii="Courier New"/>
                <w:b/>
                <w:sz w:val="16"/>
              </w:rPr>
            </w:pPr>
            <w:r>
              <w:rPr>
                <w:rFonts w:ascii="Courier New"/>
                <w:b/>
                <w:sz w:val="16"/>
              </w:rPr>
              <w:t>Error</w:t>
            </w:r>
          </w:p>
        </w:tc>
        <w:tc>
          <w:tcPr>
            <w:tcW w:w="481" w:type="dxa"/>
          </w:tcPr>
          <w:p>
            <w:pPr>
              <w:pStyle w:val="TableParagraph"/>
              <w:spacing w:line="161" w:lineRule="exact" w:before="1"/>
              <w:ind w:right="95"/>
              <w:rPr>
                <w:rFonts w:ascii="Courier New"/>
                <w:b/>
                <w:sz w:val="16"/>
              </w:rPr>
            </w:pPr>
            <w:r>
              <w:rPr>
                <w:rFonts w:ascii="Courier New"/>
                <w:b/>
                <w:sz w:val="16"/>
              </w:rPr>
              <w:t>294</w:t>
            </w:r>
          </w:p>
        </w:tc>
        <w:tc>
          <w:tcPr>
            <w:tcW w:w="1248" w:type="dxa"/>
          </w:tcPr>
          <w:p>
            <w:pPr>
              <w:pStyle w:val="TableParagraph"/>
              <w:spacing w:line="161" w:lineRule="exact" w:before="1"/>
              <w:ind w:right="95"/>
              <w:rPr>
                <w:rFonts w:ascii="Courier New"/>
                <w:b/>
                <w:sz w:val="16"/>
              </w:rPr>
            </w:pPr>
            <w:r>
              <w:rPr>
                <w:rFonts w:ascii="Courier New"/>
                <w:b/>
                <w:sz w:val="16"/>
              </w:rPr>
              <w:t>8.94888E+12</w:t>
            </w:r>
          </w:p>
        </w:tc>
        <w:tc>
          <w:tcPr>
            <w:tcW w:w="1248" w:type="dxa"/>
          </w:tcPr>
          <w:p>
            <w:pPr>
              <w:pStyle w:val="TableParagraph"/>
              <w:spacing w:line="161" w:lineRule="exact" w:before="1"/>
              <w:ind w:right="95"/>
              <w:rPr>
                <w:rFonts w:ascii="Courier New"/>
                <w:b/>
                <w:sz w:val="16"/>
              </w:rPr>
            </w:pPr>
            <w:r>
              <w:rPr>
                <w:rFonts w:ascii="Courier New"/>
                <w:b/>
                <w:sz w:val="16"/>
              </w:rPr>
              <w:t>30438358628</w:t>
            </w:r>
          </w:p>
        </w:tc>
        <w:tc>
          <w:tcPr>
            <w:tcW w:w="866" w:type="dxa"/>
          </w:tcPr>
          <w:p>
            <w:pPr>
              <w:pStyle w:val="TableParagraph"/>
              <w:spacing w:line="240" w:lineRule="auto" w:before="0"/>
              <w:jc w:val="left"/>
              <w:rPr>
                <w:rFonts w:ascii="Times New Roman"/>
                <w:sz w:val="12"/>
              </w:rPr>
            </w:pPr>
          </w:p>
        </w:tc>
        <w:tc>
          <w:tcPr>
            <w:tcW w:w="819" w:type="dxa"/>
          </w:tcPr>
          <w:p>
            <w:pPr>
              <w:pStyle w:val="TableParagraph"/>
              <w:spacing w:line="240" w:lineRule="auto" w:before="0"/>
              <w:jc w:val="left"/>
              <w:rPr>
                <w:rFonts w:ascii="Times New Roman"/>
                <w:sz w:val="12"/>
              </w:rPr>
            </w:pPr>
          </w:p>
        </w:tc>
      </w:tr>
      <w:tr>
        <w:trPr>
          <w:trHeight w:val="180" w:hRule="atLeast"/>
        </w:trPr>
        <w:tc>
          <w:tcPr>
            <w:tcW w:w="3314" w:type="dxa"/>
          </w:tcPr>
          <w:p>
            <w:pPr>
              <w:pStyle w:val="TableParagraph"/>
              <w:spacing w:line="160" w:lineRule="exact" w:before="0"/>
              <w:ind w:left="241"/>
              <w:jc w:val="left"/>
              <w:rPr>
                <w:rFonts w:ascii="Courier New"/>
                <w:b/>
                <w:sz w:val="16"/>
              </w:rPr>
            </w:pPr>
            <w:r>
              <w:rPr>
                <w:rFonts w:ascii="Courier New"/>
                <w:b/>
                <w:sz w:val="16"/>
              </w:rPr>
              <w:t>Lack-of-Fit</w:t>
            </w:r>
          </w:p>
        </w:tc>
        <w:tc>
          <w:tcPr>
            <w:tcW w:w="481" w:type="dxa"/>
          </w:tcPr>
          <w:p>
            <w:pPr>
              <w:pStyle w:val="TableParagraph"/>
              <w:spacing w:line="160" w:lineRule="exact" w:before="0"/>
              <w:ind w:right="93"/>
              <w:rPr>
                <w:rFonts w:ascii="Courier New"/>
                <w:b/>
                <w:sz w:val="16"/>
              </w:rPr>
            </w:pPr>
            <w:r>
              <w:rPr>
                <w:rFonts w:ascii="Courier New"/>
                <w:b/>
                <w:sz w:val="16"/>
              </w:rPr>
              <w:t>293</w:t>
            </w:r>
          </w:p>
        </w:tc>
        <w:tc>
          <w:tcPr>
            <w:tcW w:w="1248" w:type="dxa"/>
          </w:tcPr>
          <w:p>
            <w:pPr>
              <w:pStyle w:val="TableParagraph"/>
              <w:spacing w:line="160" w:lineRule="exact" w:before="0"/>
              <w:ind w:right="94"/>
              <w:rPr>
                <w:rFonts w:ascii="Courier New"/>
                <w:b/>
                <w:sz w:val="16"/>
              </w:rPr>
            </w:pPr>
            <w:r>
              <w:rPr>
                <w:rFonts w:ascii="Courier New"/>
                <w:b/>
                <w:sz w:val="16"/>
              </w:rPr>
              <w:t>8.94888E+12</w:t>
            </w:r>
          </w:p>
        </w:tc>
        <w:tc>
          <w:tcPr>
            <w:tcW w:w="1248" w:type="dxa"/>
          </w:tcPr>
          <w:p>
            <w:pPr>
              <w:pStyle w:val="TableParagraph"/>
              <w:spacing w:line="160" w:lineRule="exact" w:before="0"/>
              <w:ind w:right="94"/>
              <w:rPr>
                <w:rFonts w:ascii="Courier New"/>
                <w:b/>
                <w:sz w:val="16"/>
              </w:rPr>
            </w:pPr>
            <w:r>
              <w:rPr>
                <w:rFonts w:ascii="Courier New"/>
                <w:b/>
                <w:sz w:val="16"/>
              </w:rPr>
              <w:t>30542243811</w:t>
            </w:r>
          </w:p>
        </w:tc>
        <w:tc>
          <w:tcPr>
            <w:tcW w:w="866" w:type="dxa"/>
          </w:tcPr>
          <w:p>
            <w:pPr>
              <w:pStyle w:val="TableParagraph"/>
              <w:spacing w:line="160" w:lineRule="exact" w:before="0"/>
              <w:ind w:right="96"/>
              <w:rPr>
                <w:rFonts w:ascii="Courier New"/>
                <w:b/>
                <w:sz w:val="16"/>
              </w:rPr>
            </w:pPr>
            <w:r>
              <w:rPr>
                <w:rFonts w:ascii="Courier New"/>
                <w:b/>
                <w:sz w:val="16"/>
              </w:rPr>
              <w:t>*</w:t>
            </w:r>
          </w:p>
        </w:tc>
        <w:tc>
          <w:tcPr>
            <w:tcW w:w="819" w:type="dxa"/>
          </w:tcPr>
          <w:p>
            <w:pPr>
              <w:pStyle w:val="TableParagraph"/>
              <w:spacing w:line="160" w:lineRule="exact" w:before="0"/>
              <w:ind w:right="51"/>
              <w:rPr>
                <w:rFonts w:ascii="Courier New"/>
                <w:b/>
                <w:sz w:val="16"/>
              </w:rPr>
            </w:pPr>
            <w:r>
              <w:rPr>
                <w:rFonts w:ascii="Courier New"/>
                <w:b/>
                <w:sz w:val="16"/>
              </w:rPr>
              <w:t>*</w:t>
            </w:r>
          </w:p>
        </w:tc>
      </w:tr>
      <w:tr>
        <w:trPr>
          <w:trHeight w:val="182" w:hRule="atLeast"/>
        </w:trPr>
        <w:tc>
          <w:tcPr>
            <w:tcW w:w="3314" w:type="dxa"/>
          </w:tcPr>
          <w:p>
            <w:pPr>
              <w:pStyle w:val="TableParagraph"/>
              <w:spacing w:line="162" w:lineRule="exact" w:before="0"/>
              <w:ind w:left="241"/>
              <w:jc w:val="left"/>
              <w:rPr>
                <w:rFonts w:ascii="Courier New"/>
                <w:b/>
                <w:sz w:val="16"/>
              </w:rPr>
            </w:pPr>
            <w:r>
              <w:rPr>
                <w:rFonts w:ascii="Courier New"/>
                <w:b/>
                <w:sz w:val="16"/>
              </w:rPr>
              <w:t>Pure Error</w:t>
            </w:r>
          </w:p>
        </w:tc>
        <w:tc>
          <w:tcPr>
            <w:tcW w:w="481" w:type="dxa"/>
          </w:tcPr>
          <w:p>
            <w:pPr>
              <w:pStyle w:val="TableParagraph"/>
              <w:spacing w:line="162" w:lineRule="exact" w:before="0"/>
              <w:ind w:right="95"/>
              <w:rPr>
                <w:rFonts w:ascii="Courier New"/>
                <w:b/>
                <w:sz w:val="16"/>
              </w:rPr>
            </w:pPr>
            <w:r>
              <w:rPr>
                <w:rFonts w:ascii="Courier New"/>
                <w:b/>
                <w:sz w:val="16"/>
              </w:rPr>
              <w:t>1</w:t>
            </w:r>
          </w:p>
        </w:tc>
        <w:tc>
          <w:tcPr>
            <w:tcW w:w="1248" w:type="dxa"/>
          </w:tcPr>
          <w:p>
            <w:pPr>
              <w:pStyle w:val="TableParagraph"/>
              <w:spacing w:line="162" w:lineRule="exact" w:before="0"/>
              <w:ind w:right="95"/>
              <w:rPr>
                <w:rFonts w:ascii="Courier New"/>
                <w:b/>
                <w:sz w:val="16"/>
              </w:rPr>
            </w:pPr>
            <w:r>
              <w:rPr>
                <w:rFonts w:ascii="Courier New"/>
                <w:b/>
                <w:sz w:val="16"/>
              </w:rPr>
              <w:t>0</w:t>
            </w:r>
          </w:p>
        </w:tc>
        <w:tc>
          <w:tcPr>
            <w:tcW w:w="1248" w:type="dxa"/>
          </w:tcPr>
          <w:p>
            <w:pPr>
              <w:pStyle w:val="TableParagraph"/>
              <w:spacing w:line="162" w:lineRule="exact" w:before="0"/>
              <w:ind w:right="95"/>
              <w:rPr>
                <w:rFonts w:ascii="Courier New"/>
                <w:b/>
                <w:sz w:val="16"/>
              </w:rPr>
            </w:pPr>
            <w:r>
              <w:rPr>
                <w:rFonts w:ascii="Courier New"/>
                <w:b/>
                <w:sz w:val="16"/>
              </w:rPr>
              <w:t>0</w:t>
            </w:r>
          </w:p>
        </w:tc>
        <w:tc>
          <w:tcPr>
            <w:tcW w:w="866" w:type="dxa"/>
          </w:tcPr>
          <w:p>
            <w:pPr>
              <w:pStyle w:val="TableParagraph"/>
              <w:spacing w:line="240" w:lineRule="auto" w:before="0"/>
              <w:jc w:val="left"/>
              <w:rPr>
                <w:rFonts w:ascii="Times New Roman"/>
                <w:sz w:val="12"/>
              </w:rPr>
            </w:pPr>
          </w:p>
        </w:tc>
        <w:tc>
          <w:tcPr>
            <w:tcW w:w="819" w:type="dxa"/>
          </w:tcPr>
          <w:p>
            <w:pPr>
              <w:pStyle w:val="TableParagraph"/>
              <w:spacing w:line="240" w:lineRule="auto" w:before="0"/>
              <w:jc w:val="left"/>
              <w:rPr>
                <w:rFonts w:ascii="Times New Roman"/>
                <w:sz w:val="12"/>
              </w:rPr>
            </w:pPr>
          </w:p>
        </w:tc>
      </w:tr>
      <w:tr>
        <w:trPr>
          <w:trHeight w:val="182" w:hRule="atLeast"/>
        </w:trPr>
        <w:tc>
          <w:tcPr>
            <w:tcW w:w="3314" w:type="dxa"/>
          </w:tcPr>
          <w:p>
            <w:pPr>
              <w:pStyle w:val="TableParagraph"/>
              <w:spacing w:line="161" w:lineRule="exact" w:before="1"/>
              <w:ind w:left="50"/>
              <w:jc w:val="left"/>
              <w:rPr>
                <w:rFonts w:ascii="Courier New"/>
                <w:b/>
                <w:sz w:val="16"/>
              </w:rPr>
            </w:pPr>
            <w:r>
              <w:rPr>
                <w:rFonts w:ascii="Courier New"/>
                <w:b/>
                <w:sz w:val="16"/>
              </w:rPr>
              <w:t>Total</w:t>
            </w:r>
          </w:p>
        </w:tc>
        <w:tc>
          <w:tcPr>
            <w:tcW w:w="481" w:type="dxa"/>
          </w:tcPr>
          <w:p>
            <w:pPr>
              <w:pStyle w:val="TableParagraph"/>
              <w:spacing w:line="161" w:lineRule="exact" w:before="1"/>
              <w:ind w:right="95"/>
              <w:rPr>
                <w:rFonts w:ascii="Courier New"/>
                <w:b/>
                <w:sz w:val="16"/>
              </w:rPr>
            </w:pPr>
            <w:r>
              <w:rPr>
                <w:rFonts w:ascii="Courier New"/>
                <w:b/>
                <w:sz w:val="16"/>
              </w:rPr>
              <w:t>301</w:t>
            </w:r>
          </w:p>
        </w:tc>
        <w:tc>
          <w:tcPr>
            <w:tcW w:w="1248" w:type="dxa"/>
          </w:tcPr>
          <w:p>
            <w:pPr>
              <w:pStyle w:val="TableParagraph"/>
              <w:spacing w:line="161" w:lineRule="exact" w:before="1"/>
              <w:ind w:right="95"/>
              <w:rPr>
                <w:rFonts w:ascii="Courier New"/>
                <w:b/>
                <w:sz w:val="16"/>
              </w:rPr>
            </w:pPr>
            <w:r>
              <w:rPr>
                <w:rFonts w:ascii="Courier New"/>
                <w:b/>
                <w:sz w:val="16"/>
              </w:rPr>
              <w:t>1.67172E+13</w:t>
            </w:r>
          </w:p>
        </w:tc>
        <w:tc>
          <w:tcPr>
            <w:tcW w:w="1248" w:type="dxa"/>
          </w:tcPr>
          <w:p>
            <w:pPr>
              <w:pStyle w:val="TableParagraph"/>
              <w:spacing w:line="240" w:lineRule="auto" w:before="0"/>
              <w:jc w:val="left"/>
              <w:rPr>
                <w:rFonts w:ascii="Times New Roman"/>
                <w:sz w:val="12"/>
              </w:rPr>
            </w:pPr>
          </w:p>
        </w:tc>
        <w:tc>
          <w:tcPr>
            <w:tcW w:w="866" w:type="dxa"/>
          </w:tcPr>
          <w:p>
            <w:pPr>
              <w:pStyle w:val="TableParagraph"/>
              <w:spacing w:line="240" w:lineRule="auto" w:before="0"/>
              <w:jc w:val="left"/>
              <w:rPr>
                <w:rFonts w:ascii="Times New Roman"/>
                <w:sz w:val="12"/>
              </w:rPr>
            </w:pPr>
          </w:p>
        </w:tc>
        <w:tc>
          <w:tcPr>
            <w:tcW w:w="819" w:type="dxa"/>
          </w:tcPr>
          <w:p>
            <w:pPr>
              <w:pStyle w:val="TableParagraph"/>
              <w:spacing w:line="240" w:lineRule="auto" w:before="0"/>
              <w:jc w:val="left"/>
              <w:rPr>
                <w:rFonts w:ascii="Times New Roman"/>
                <w:sz w:val="12"/>
              </w:rPr>
            </w:pPr>
          </w:p>
        </w:tc>
      </w:tr>
    </w:tbl>
    <w:p>
      <w:pPr>
        <w:spacing w:after="0" w:line="240" w:lineRule="auto"/>
        <w:jc w:val="left"/>
        <w:rPr>
          <w:rFonts w:ascii="Times New Roman"/>
          <w:sz w:val="12"/>
        </w:rPr>
        <w:sectPr>
          <w:pgSz w:w="12240" w:h="15840"/>
          <w:pgMar w:header="0" w:footer="982" w:top="1500" w:bottom="1260" w:left="400" w:right="180"/>
        </w:sectPr>
      </w:pPr>
    </w:p>
    <w:p>
      <w:pPr>
        <w:spacing w:before="119"/>
        <w:ind w:left="1040" w:right="0" w:firstLine="0"/>
        <w:jc w:val="left"/>
        <w:rPr>
          <w:rFonts w:ascii="Courier New"/>
          <w:b/>
          <w:sz w:val="16"/>
        </w:rPr>
      </w:pPr>
      <w:r>
        <w:rPr>
          <w:rFonts w:ascii="Courier New"/>
          <w:b/>
          <w:sz w:val="16"/>
        </w:rPr>
        <w:t>Model Summary</w:t>
      </w:r>
    </w:p>
    <w:p>
      <w:pPr>
        <w:pStyle w:val="BodyText"/>
        <w:spacing w:before="1" w:after="1"/>
        <w:rPr>
          <w:rFonts w:ascii="Courier New"/>
          <w:b/>
          <w:sz w:val="16"/>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90"/>
        <w:gridCol w:w="1055"/>
        <w:gridCol w:w="1106"/>
      </w:tblGrid>
      <w:tr>
        <w:trPr>
          <w:trHeight w:val="180" w:hRule="atLeast"/>
        </w:trPr>
        <w:tc>
          <w:tcPr>
            <w:tcW w:w="1490" w:type="dxa"/>
          </w:tcPr>
          <w:p>
            <w:pPr>
              <w:pStyle w:val="TableParagraph"/>
              <w:tabs>
                <w:tab w:pos="479" w:val="left" w:leader="none"/>
              </w:tabs>
              <w:spacing w:line="161" w:lineRule="exact" w:before="0"/>
              <w:ind w:right="93"/>
              <w:rPr>
                <w:rFonts w:ascii="Courier New"/>
                <w:b/>
                <w:sz w:val="16"/>
              </w:rPr>
            </w:pPr>
            <w:r>
              <w:rPr>
                <w:rFonts w:ascii="Courier New"/>
                <w:b/>
                <w:sz w:val="16"/>
              </w:rPr>
              <w:t>S</w:t>
              <w:tab/>
            </w:r>
            <w:r>
              <w:rPr>
                <w:rFonts w:ascii="Courier New"/>
                <w:b/>
                <w:spacing w:val="-1"/>
                <w:sz w:val="16"/>
              </w:rPr>
              <w:t>R-sq</w:t>
            </w:r>
          </w:p>
        </w:tc>
        <w:tc>
          <w:tcPr>
            <w:tcW w:w="1055" w:type="dxa"/>
          </w:tcPr>
          <w:p>
            <w:pPr>
              <w:pStyle w:val="TableParagraph"/>
              <w:spacing w:line="161" w:lineRule="exact" w:before="0"/>
              <w:ind w:right="92"/>
              <w:rPr>
                <w:rFonts w:ascii="Courier New"/>
                <w:b/>
                <w:sz w:val="16"/>
              </w:rPr>
            </w:pPr>
            <w:r>
              <w:rPr>
                <w:rFonts w:ascii="Courier New"/>
                <w:b/>
                <w:sz w:val="16"/>
              </w:rPr>
              <w:t>R-sq(adj)</w:t>
            </w:r>
          </w:p>
        </w:tc>
        <w:tc>
          <w:tcPr>
            <w:tcW w:w="1106" w:type="dxa"/>
          </w:tcPr>
          <w:p>
            <w:pPr>
              <w:pStyle w:val="TableParagraph"/>
              <w:spacing w:line="161" w:lineRule="exact" w:before="0"/>
              <w:ind w:right="45"/>
              <w:rPr>
                <w:rFonts w:ascii="Courier New"/>
                <w:b/>
                <w:sz w:val="16"/>
              </w:rPr>
            </w:pPr>
            <w:r>
              <w:rPr>
                <w:rFonts w:ascii="Courier New"/>
                <w:b/>
                <w:sz w:val="16"/>
              </w:rPr>
              <w:t>R-sq(pred)</w:t>
            </w:r>
          </w:p>
        </w:tc>
      </w:tr>
      <w:tr>
        <w:trPr>
          <w:trHeight w:val="180" w:hRule="atLeast"/>
        </w:trPr>
        <w:tc>
          <w:tcPr>
            <w:tcW w:w="1490" w:type="dxa"/>
          </w:tcPr>
          <w:p>
            <w:pPr>
              <w:pStyle w:val="TableParagraph"/>
              <w:spacing w:line="161" w:lineRule="exact" w:before="0"/>
              <w:ind w:right="94"/>
              <w:rPr>
                <w:rFonts w:ascii="Courier New"/>
                <w:b/>
                <w:sz w:val="16"/>
              </w:rPr>
            </w:pPr>
            <w:r>
              <w:rPr>
                <w:rFonts w:ascii="Courier New"/>
                <w:b/>
                <w:sz w:val="16"/>
              </w:rPr>
              <w:t>174466</w:t>
            </w:r>
            <w:r>
              <w:rPr>
                <w:rFonts w:ascii="Courier New"/>
                <w:b/>
                <w:spacing w:val="84"/>
                <w:sz w:val="16"/>
              </w:rPr>
              <w:t> </w:t>
            </w:r>
            <w:r>
              <w:rPr>
                <w:rFonts w:ascii="Courier New"/>
                <w:b/>
                <w:sz w:val="16"/>
              </w:rPr>
              <w:t>46.47%</w:t>
            </w:r>
          </w:p>
        </w:tc>
        <w:tc>
          <w:tcPr>
            <w:tcW w:w="1055" w:type="dxa"/>
          </w:tcPr>
          <w:p>
            <w:pPr>
              <w:pStyle w:val="TableParagraph"/>
              <w:spacing w:line="161" w:lineRule="exact" w:before="0"/>
              <w:ind w:right="93"/>
              <w:rPr>
                <w:rFonts w:ascii="Courier New"/>
                <w:b/>
                <w:sz w:val="16"/>
              </w:rPr>
            </w:pPr>
            <w:r>
              <w:rPr>
                <w:rFonts w:ascii="Courier New"/>
                <w:b/>
                <w:sz w:val="16"/>
              </w:rPr>
              <w:t>45.19%</w:t>
            </w:r>
          </w:p>
        </w:tc>
        <w:tc>
          <w:tcPr>
            <w:tcW w:w="1106" w:type="dxa"/>
          </w:tcPr>
          <w:p>
            <w:pPr>
              <w:pStyle w:val="TableParagraph"/>
              <w:spacing w:line="161" w:lineRule="exact" w:before="0"/>
              <w:ind w:right="45"/>
              <w:rPr>
                <w:rFonts w:ascii="Courier New"/>
                <w:b/>
                <w:sz w:val="16"/>
              </w:rPr>
            </w:pPr>
            <w:r>
              <w:rPr>
                <w:rFonts w:ascii="Courier New"/>
                <w:b/>
                <w:sz w:val="16"/>
              </w:rPr>
              <w:t>42.48%</w:t>
            </w:r>
          </w:p>
        </w:tc>
      </w:tr>
    </w:tbl>
    <w:p>
      <w:pPr>
        <w:pStyle w:val="BodyText"/>
        <w:rPr>
          <w:rFonts w:ascii="Courier New"/>
          <w:b/>
          <w:sz w:val="20"/>
        </w:rPr>
      </w:pPr>
    </w:p>
    <w:p>
      <w:pPr>
        <w:pStyle w:val="BodyText"/>
        <w:rPr>
          <w:rFonts w:ascii="Courier New"/>
          <w:b/>
          <w:sz w:val="12"/>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22"/>
        <w:gridCol w:w="768"/>
        <w:gridCol w:w="864"/>
        <w:gridCol w:w="865"/>
        <w:gridCol w:w="863"/>
        <w:gridCol w:w="531"/>
      </w:tblGrid>
      <w:tr>
        <w:trPr>
          <w:trHeight w:val="272" w:hRule="atLeast"/>
        </w:trPr>
        <w:tc>
          <w:tcPr>
            <w:tcW w:w="3122" w:type="dxa"/>
          </w:tcPr>
          <w:p>
            <w:pPr>
              <w:pStyle w:val="TableParagraph"/>
              <w:spacing w:line="240" w:lineRule="auto" w:before="0"/>
              <w:ind w:left="50"/>
              <w:jc w:val="left"/>
              <w:rPr>
                <w:rFonts w:ascii="Courier New"/>
                <w:b/>
                <w:sz w:val="16"/>
              </w:rPr>
            </w:pPr>
            <w:r>
              <w:rPr>
                <w:rFonts w:ascii="Courier New"/>
                <w:b/>
                <w:sz w:val="16"/>
              </w:rPr>
              <w:t>Coefficients</w:t>
            </w:r>
          </w:p>
        </w:tc>
        <w:tc>
          <w:tcPr>
            <w:tcW w:w="3891" w:type="dxa"/>
            <w:gridSpan w:val="5"/>
          </w:tcPr>
          <w:p>
            <w:pPr>
              <w:pStyle w:val="TableParagraph"/>
              <w:spacing w:line="240" w:lineRule="auto" w:before="0"/>
              <w:jc w:val="left"/>
              <w:rPr>
                <w:rFonts w:ascii="Times New Roman"/>
                <w:sz w:val="16"/>
              </w:rPr>
            </w:pPr>
          </w:p>
        </w:tc>
      </w:tr>
      <w:tr>
        <w:trPr>
          <w:trHeight w:val="272" w:hRule="atLeast"/>
        </w:trPr>
        <w:tc>
          <w:tcPr>
            <w:tcW w:w="3122" w:type="dxa"/>
          </w:tcPr>
          <w:p>
            <w:pPr>
              <w:pStyle w:val="TableParagraph"/>
              <w:spacing w:line="161" w:lineRule="exact"/>
              <w:ind w:left="50"/>
              <w:jc w:val="left"/>
              <w:rPr>
                <w:rFonts w:ascii="Courier New"/>
                <w:b/>
                <w:sz w:val="16"/>
              </w:rPr>
            </w:pPr>
            <w:r>
              <w:rPr>
                <w:rFonts w:ascii="Courier New"/>
                <w:b/>
                <w:sz w:val="16"/>
              </w:rPr>
              <w:t>Term</w:t>
            </w:r>
          </w:p>
        </w:tc>
        <w:tc>
          <w:tcPr>
            <w:tcW w:w="768" w:type="dxa"/>
          </w:tcPr>
          <w:p>
            <w:pPr>
              <w:pStyle w:val="TableParagraph"/>
              <w:spacing w:line="161" w:lineRule="exact"/>
              <w:ind w:right="94"/>
              <w:rPr>
                <w:rFonts w:ascii="Courier New"/>
                <w:b/>
                <w:sz w:val="16"/>
              </w:rPr>
            </w:pPr>
            <w:r>
              <w:rPr>
                <w:rFonts w:ascii="Courier New"/>
                <w:b/>
                <w:sz w:val="16"/>
              </w:rPr>
              <w:t>Coef</w:t>
            </w:r>
          </w:p>
        </w:tc>
        <w:tc>
          <w:tcPr>
            <w:tcW w:w="864" w:type="dxa"/>
          </w:tcPr>
          <w:p>
            <w:pPr>
              <w:pStyle w:val="TableParagraph"/>
              <w:spacing w:line="161" w:lineRule="exact"/>
              <w:ind w:right="94"/>
              <w:rPr>
                <w:rFonts w:ascii="Courier New"/>
                <w:b/>
                <w:sz w:val="16"/>
              </w:rPr>
            </w:pPr>
            <w:r>
              <w:rPr>
                <w:rFonts w:ascii="Courier New"/>
                <w:b/>
                <w:sz w:val="16"/>
              </w:rPr>
              <w:t>SE Coef</w:t>
            </w:r>
          </w:p>
        </w:tc>
        <w:tc>
          <w:tcPr>
            <w:tcW w:w="865" w:type="dxa"/>
          </w:tcPr>
          <w:p>
            <w:pPr>
              <w:pStyle w:val="TableParagraph"/>
              <w:spacing w:line="161" w:lineRule="exact"/>
              <w:ind w:right="93"/>
              <w:rPr>
                <w:rFonts w:ascii="Courier New"/>
                <w:b/>
                <w:sz w:val="16"/>
              </w:rPr>
            </w:pPr>
            <w:r>
              <w:rPr>
                <w:rFonts w:ascii="Courier New"/>
                <w:b/>
                <w:sz w:val="16"/>
              </w:rPr>
              <w:t>T-Value</w:t>
            </w:r>
          </w:p>
        </w:tc>
        <w:tc>
          <w:tcPr>
            <w:tcW w:w="863" w:type="dxa"/>
          </w:tcPr>
          <w:p>
            <w:pPr>
              <w:pStyle w:val="TableParagraph"/>
              <w:spacing w:line="161" w:lineRule="exact"/>
              <w:ind w:right="92"/>
              <w:rPr>
                <w:rFonts w:ascii="Courier New"/>
                <w:b/>
                <w:sz w:val="16"/>
              </w:rPr>
            </w:pPr>
            <w:r>
              <w:rPr>
                <w:rFonts w:ascii="Courier New"/>
                <w:b/>
                <w:sz w:val="16"/>
              </w:rPr>
              <w:t>P-Value</w:t>
            </w:r>
          </w:p>
        </w:tc>
        <w:tc>
          <w:tcPr>
            <w:tcW w:w="531" w:type="dxa"/>
          </w:tcPr>
          <w:p>
            <w:pPr>
              <w:pStyle w:val="TableParagraph"/>
              <w:spacing w:line="161" w:lineRule="exact"/>
              <w:ind w:right="47"/>
              <w:rPr>
                <w:rFonts w:ascii="Courier New"/>
                <w:b/>
                <w:sz w:val="16"/>
              </w:rPr>
            </w:pPr>
            <w:r>
              <w:rPr>
                <w:rFonts w:ascii="Courier New"/>
                <w:b/>
                <w:sz w:val="16"/>
              </w:rPr>
              <w:t>VIF</w:t>
            </w:r>
          </w:p>
        </w:tc>
      </w:tr>
      <w:tr>
        <w:trPr>
          <w:trHeight w:val="180" w:hRule="atLeast"/>
        </w:trPr>
        <w:tc>
          <w:tcPr>
            <w:tcW w:w="3122" w:type="dxa"/>
          </w:tcPr>
          <w:p>
            <w:pPr>
              <w:pStyle w:val="TableParagraph"/>
              <w:spacing w:line="160" w:lineRule="exact" w:before="0"/>
              <w:ind w:left="50"/>
              <w:jc w:val="left"/>
              <w:rPr>
                <w:rFonts w:ascii="Courier New"/>
                <w:b/>
                <w:sz w:val="16"/>
              </w:rPr>
            </w:pPr>
            <w:r>
              <w:rPr>
                <w:rFonts w:ascii="Courier New"/>
                <w:b/>
                <w:sz w:val="16"/>
              </w:rPr>
              <w:t>Constant</w:t>
            </w:r>
          </w:p>
        </w:tc>
        <w:tc>
          <w:tcPr>
            <w:tcW w:w="768" w:type="dxa"/>
          </w:tcPr>
          <w:p>
            <w:pPr>
              <w:pStyle w:val="TableParagraph"/>
              <w:spacing w:line="160" w:lineRule="exact" w:before="0"/>
              <w:ind w:right="93"/>
              <w:rPr>
                <w:rFonts w:ascii="Courier New"/>
                <w:b/>
                <w:sz w:val="16"/>
              </w:rPr>
            </w:pPr>
            <w:r>
              <w:rPr>
                <w:rFonts w:ascii="Courier New"/>
                <w:b/>
                <w:sz w:val="16"/>
              </w:rPr>
              <w:t>-15722</w:t>
            </w:r>
          </w:p>
        </w:tc>
        <w:tc>
          <w:tcPr>
            <w:tcW w:w="864" w:type="dxa"/>
          </w:tcPr>
          <w:p>
            <w:pPr>
              <w:pStyle w:val="TableParagraph"/>
              <w:spacing w:line="160" w:lineRule="exact" w:before="0"/>
              <w:ind w:right="93"/>
              <w:rPr>
                <w:rFonts w:ascii="Courier New"/>
                <w:b/>
                <w:sz w:val="16"/>
              </w:rPr>
            </w:pPr>
            <w:r>
              <w:rPr>
                <w:rFonts w:ascii="Courier New"/>
                <w:b/>
                <w:sz w:val="16"/>
              </w:rPr>
              <w:t>83730</w:t>
            </w:r>
          </w:p>
        </w:tc>
        <w:tc>
          <w:tcPr>
            <w:tcW w:w="865" w:type="dxa"/>
          </w:tcPr>
          <w:p>
            <w:pPr>
              <w:pStyle w:val="TableParagraph"/>
              <w:spacing w:line="160" w:lineRule="exact" w:before="0"/>
              <w:ind w:right="93"/>
              <w:rPr>
                <w:rFonts w:ascii="Courier New"/>
                <w:b/>
                <w:sz w:val="16"/>
              </w:rPr>
            </w:pPr>
            <w:r>
              <w:rPr>
                <w:rFonts w:ascii="Courier New"/>
                <w:b/>
                <w:sz w:val="16"/>
              </w:rPr>
              <w:t>-0.19</w:t>
            </w:r>
          </w:p>
        </w:tc>
        <w:tc>
          <w:tcPr>
            <w:tcW w:w="863" w:type="dxa"/>
          </w:tcPr>
          <w:p>
            <w:pPr>
              <w:pStyle w:val="TableParagraph"/>
              <w:spacing w:line="160" w:lineRule="exact" w:before="0"/>
              <w:ind w:right="92"/>
              <w:rPr>
                <w:rFonts w:ascii="Courier New"/>
                <w:b/>
                <w:sz w:val="16"/>
              </w:rPr>
            </w:pPr>
            <w:r>
              <w:rPr>
                <w:rFonts w:ascii="Courier New"/>
                <w:b/>
                <w:sz w:val="16"/>
              </w:rPr>
              <w:t>0.851</w:t>
            </w:r>
          </w:p>
        </w:tc>
        <w:tc>
          <w:tcPr>
            <w:tcW w:w="531" w:type="dxa"/>
          </w:tcPr>
          <w:p>
            <w:pPr>
              <w:pStyle w:val="TableParagraph"/>
              <w:spacing w:line="240" w:lineRule="auto" w:before="0"/>
              <w:jc w:val="left"/>
              <w:rPr>
                <w:rFonts w:ascii="Times New Roman"/>
                <w:sz w:val="12"/>
              </w:rPr>
            </w:pPr>
          </w:p>
        </w:tc>
      </w:tr>
      <w:tr>
        <w:trPr>
          <w:trHeight w:val="182" w:hRule="atLeast"/>
        </w:trPr>
        <w:tc>
          <w:tcPr>
            <w:tcW w:w="3122" w:type="dxa"/>
          </w:tcPr>
          <w:p>
            <w:pPr>
              <w:pStyle w:val="TableParagraph"/>
              <w:spacing w:line="162" w:lineRule="exact" w:before="0"/>
              <w:ind w:left="50"/>
              <w:jc w:val="left"/>
              <w:rPr>
                <w:rFonts w:ascii="Courier New" w:hAnsi="Courier New"/>
                <w:b/>
                <w:sz w:val="16"/>
              </w:rPr>
            </w:pPr>
            <w:r>
              <w:rPr>
                <w:rFonts w:ascii="Courier New" w:hAnsi="Courier New"/>
                <w:b/>
                <w:sz w:val="16"/>
              </w:rPr>
              <w:t>Número de Habitaciones</w:t>
            </w:r>
          </w:p>
        </w:tc>
        <w:tc>
          <w:tcPr>
            <w:tcW w:w="768" w:type="dxa"/>
          </w:tcPr>
          <w:p>
            <w:pPr>
              <w:pStyle w:val="TableParagraph"/>
              <w:spacing w:line="162" w:lineRule="exact" w:before="0"/>
              <w:ind w:right="94"/>
              <w:rPr>
                <w:rFonts w:ascii="Courier New"/>
                <w:b/>
                <w:sz w:val="16"/>
              </w:rPr>
            </w:pPr>
            <w:r>
              <w:rPr>
                <w:rFonts w:ascii="Courier New"/>
                <w:b/>
                <w:sz w:val="16"/>
              </w:rPr>
              <w:t>34977</w:t>
            </w:r>
          </w:p>
        </w:tc>
        <w:tc>
          <w:tcPr>
            <w:tcW w:w="864" w:type="dxa"/>
          </w:tcPr>
          <w:p>
            <w:pPr>
              <w:pStyle w:val="TableParagraph"/>
              <w:spacing w:line="162" w:lineRule="exact" w:before="0"/>
              <w:ind w:right="94"/>
              <w:rPr>
                <w:rFonts w:ascii="Courier New"/>
                <w:b/>
                <w:sz w:val="16"/>
              </w:rPr>
            </w:pPr>
            <w:r>
              <w:rPr>
                <w:rFonts w:ascii="Courier New"/>
                <w:b/>
                <w:sz w:val="16"/>
              </w:rPr>
              <w:t>15140</w:t>
            </w:r>
          </w:p>
        </w:tc>
        <w:tc>
          <w:tcPr>
            <w:tcW w:w="865" w:type="dxa"/>
          </w:tcPr>
          <w:p>
            <w:pPr>
              <w:pStyle w:val="TableParagraph"/>
              <w:spacing w:line="162" w:lineRule="exact" w:before="0"/>
              <w:ind w:right="95"/>
              <w:rPr>
                <w:rFonts w:ascii="Courier New"/>
                <w:b/>
                <w:sz w:val="16"/>
              </w:rPr>
            </w:pPr>
            <w:r>
              <w:rPr>
                <w:rFonts w:ascii="Courier New"/>
                <w:b/>
                <w:sz w:val="16"/>
              </w:rPr>
              <w:t>2.31</w:t>
            </w:r>
          </w:p>
        </w:tc>
        <w:tc>
          <w:tcPr>
            <w:tcW w:w="863" w:type="dxa"/>
          </w:tcPr>
          <w:p>
            <w:pPr>
              <w:pStyle w:val="TableParagraph"/>
              <w:spacing w:line="162" w:lineRule="exact" w:before="0"/>
              <w:ind w:right="94"/>
              <w:rPr>
                <w:rFonts w:ascii="Courier New"/>
                <w:b/>
                <w:sz w:val="16"/>
              </w:rPr>
            </w:pPr>
            <w:r>
              <w:rPr>
                <w:rFonts w:ascii="Courier New"/>
                <w:b/>
                <w:sz w:val="16"/>
              </w:rPr>
              <w:t>0.022</w:t>
            </w:r>
          </w:p>
        </w:tc>
        <w:tc>
          <w:tcPr>
            <w:tcW w:w="531" w:type="dxa"/>
          </w:tcPr>
          <w:p>
            <w:pPr>
              <w:pStyle w:val="TableParagraph"/>
              <w:spacing w:line="162" w:lineRule="exact" w:before="0"/>
              <w:ind w:right="49"/>
              <w:rPr>
                <w:rFonts w:ascii="Courier New"/>
                <w:b/>
                <w:sz w:val="16"/>
              </w:rPr>
            </w:pPr>
            <w:r>
              <w:rPr>
                <w:rFonts w:ascii="Courier New"/>
                <w:b/>
                <w:sz w:val="16"/>
              </w:rPr>
              <w:t>2.10</w:t>
            </w:r>
          </w:p>
        </w:tc>
      </w:tr>
      <w:tr>
        <w:trPr>
          <w:trHeight w:val="182" w:hRule="atLeast"/>
        </w:trPr>
        <w:tc>
          <w:tcPr>
            <w:tcW w:w="3122" w:type="dxa"/>
          </w:tcPr>
          <w:p>
            <w:pPr>
              <w:pStyle w:val="TableParagraph"/>
              <w:spacing w:line="161" w:lineRule="exact" w:before="1"/>
              <w:ind w:left="50"/>
              <w:jc w:val="left"/>
              <w:rPr>
                <w:rFonts w:ascii="Courier New" w:hAnsi="Courier New"/>
                <w:b/>
                <w:sz w:val="16"/>
              </w:rPr>
            </w:pPr>
            <w:r>
              <w:rPr>
                <w:rFonts w:ascii="Courier New" w:hAnsi="Courier New"/>
                <w:b/>
                <w:sz w:val="16"/>
              </w:rPr>
              <w:t>Número de Baños</w:t>
            </w:r>
          </w:p>
        </w:tc>
        <w:tc>
          <w:tcPr>
            <w:tcW w:w="768" w:type="dxa"/>
          </w:tcPr>
          <w:p>
            <w:pPr>
              <w:pStyle w:val="TableParagraph"/>
              <w:spacing w:line="161" w:lineRule="exact" w:before="1"/>
              <w:ind w:right="94"/>
              <w:rPr>
                <w:rFonts w:ascii="Courier New"/>
                <w:b/>
                <w:sz w:val="16"/>
              </w:rPr>
            </w:pPr>
            <w:r>
              <w:rPr>
                <w:rFonts w:ascii="Courier New"/>
                <w:b/>
                <w:sz w:val="16"/>
              </w:rPr>
              <w:t>113781</w:t>
            </w:r>
          </w:p>
        </w:tc>
        <w:tc>
          <w:tcPr>
            <w:tcW w:w="864" w:type="dxa"/>
          </w:tcPr>
          <w:p>
            <w:pPr>
              <w:pStyle w:val="TableParagraph"/>
              <w:spacing w:line="161" w:lineRule="exact" w:before="1"/>
              <w:ind w:right="93"/>
              <w:rPr>
                <w:rFonts w:ascii="Courier New"/>
                <w:b/>
                <w:sz w:val="16"/>
              </w:rPr>
            </w:pPr>
            <w:r>
              <w:rPr>
                <w:rFonts w:ascii="Courier New"/>
                <w:b/>
                <w:sz w:val="16"/>
              </w:rPr>
              <w:t>14112</w:t>
            </w:r>
          </w:p>
        </w:tc>
        <w:tc>
          <w:tcPr>
            <w:tcW w:w="865" w:type="dxa"/>
          </w:tcPr>
          <w:p>
            <w:pPr>
              <w:pStyle w:val="TableParagraph"/>
              <w:spacing w:line="161" w:lineRule="exact" w:before="1"/>
              <w:ind w:right="94"/>
              <w:rPr>
                <w:rFonts w:ascii="Courier New"/>
                <w:b/>
                <w:sz w:val="16"/>
              </w:rPr>
            </w:pPr>
            <w:r>
              <w:rPr>
                <w:rFonts w:ascii="Courier New"/>
                <w:b/>
                <w:sz w:val="16"/>
              </w:rPr>
              <w:t>8.06</w:t>
            </w:r>
          </w:p>
        </w:tc>
        <w:tc>
          <w:tcPr>
            <w:tcW w:w="863" w:type="dxa"/>
          </w:tcPr>
          <w:p>
            <w:pPr>
              <w:pStyle w:val="TableParagraph"/>
              <w:spacing w:line="161" w:lineRule="exact" w:before="1"/>
              <w:ind w:right="93"/>
              <w:rPr>
                <w:rFonts w:ascii="Courier New"/>
                <w:b/>
                <w:sz w:val="16"/>
              </w:rPr>
            </w:pPr>
            <w:r>
              <w:rPr>
                <w:rFonts w:ascii="Courier New"/>
                <w:b/>
                <w:sz w:val="16"/>
              </w:rPr>
              <w:t>0.000</w:t>
            </w:r>
          </w:p>
        </w:tc>
        <w:tc>
          <w:tcPr>
            <w:tcW w:w="531" w:type="dxa"/>
          </w:tcPr>
          <w:p>
            <w:pPr>
              <w:pStyle w:val="TableParagraph"/>
              <w:spacing w:line="161" w:lineRule="exact" w:before="1"/>
              <w:ind w:right="48"/>
              <w:rPr>
                <w:rFonts w:ascii="Courier New"/>
                <w:b/>
                <w:sz w:val="16"/>
              </w:rPr>
            </w:pPr>
            <w:r>
              <w:rPr>
                <w:rFonts w:ascii="Courier New"/>
                <w:b/>
                <w:sz w:val="16"/>
              </w:rPr>
              <w:t>2.06</w:t>
            </w:r>
          </w:p>
        </w:tc>
      </w:tr>
      <w:tr>
        <w:trPr>
          <w:trHeight w:val="180" w:hRule="atLeast"/>
        </w:trPr>
        <w:tc>
          <w:tcPr>
            <w:tcW w:w="3122" w:type="dxa"/>
          </w:tcPr>
          <w:p>
            <w:pPr>
              <w:pStyle w:val="TableParagraph"/>
              <w:spacing w:line="160" w:lineRule="exact" w:before="0"/>
              <w:ind w:left="50"/>
              <w:jc w:val="left"/>
              <w:rPr>
                <w:rFonts w:ascii="Courier New" w:hAnsi="Courier New"/>
                <w:b/>
                <w:sz w:val="16"/>
              </w:rPr>
            </w:pPr>
            <w:r>
              <w:rPr>
                <w:rFonts w:ascii="Courier New" w:hAnsi="Courier New"/>
                <w:b/>
                <w:sz w:val="16"/>
              </w:rPr>
              <w:t>Número de Plantas</w:t>
            </w:r>
          </w:p>
        </w:tc>
        <w:tc>
          <w:tcPr>
            <w:tcW w:w="768" w:type="dxa"/>
          </w:tcPr>
          <w:p>
            <w:pPr>
              <w:pStyle w:val="TableParagraph"/>
              <w:spacing w:line="160" w:lineRule="exact" w:before="0"/>
              <w:ind w:right="93"/>
              <w:rPr>
                <w:rFonts w:ascii="Courier New"/>
                <w:b/>
                <w:sz w:val="16"/>
              </w:rPr>
            </w:pPr>
            <w:r>
              <w:rPr>
                <w:rFonts w:ascii="Courier New"/>
                <w:b/>
                <w:sz w:val="16"/>
              </w:rPr>
              <w:t>-76931</w:t>
            </w:r>
          </w:p>
        </w:tc>
        <w:tc>
          <w:tcPr>
            <w:tcW w:w="864" w:type="dxa"/>
          </w:tcPr>
          <w:p>
            <w:pPr>
              <w:pStyle w:val="TableParagraph"/>
              <w:spacing w:line="160" w:lineRule="exact" w:before="0"/>
              <w:ind w:right="93"/>
              <w:rPr>
                <w:rFonts w:ascii="Courier New"/>
                <w:b/>
                <w:sz w:val="16"/>
              </w:rPr>
            </w:pPr>
            <w:r>
              <w:rPr>
                <w:rFonts w:ascii="Courier New"/>
                <w:b/>
                <w:sz w:val="16"/>
              </w:rPr>
              <w:t>23608</w:t>
            </w:r>
          </w:p>
        </w:tc>
        <w:tc>
          <w:tcPr>
            <w:tcW w:w="865" w:type="dxa"/>
          </w:tcPr>
          <w:p>
            <w:pPr>
              <w:pStyle w:val="TableParagraph"/>
              <w:spacing w:line="160" w:lineRule="exact" w:before="0"/>
              <w:ind w:right="93"/>
              <w:rPr>
                <w:rFonts w:ascii="Courier New"/>
                <w:b/>
                <w:sz w:val="16"/>
              </w:rPr>
            </w:pPr>
            <w:r>
              <w:rPr>
                <w:rFonts w:ascii="Courier New"/>
                <w:b/>
                <w:sz w:val="16"/>
              </w:rPr>
              <w:t>-3.26</w:t>
            </w:r>
          </w:p>
        </w:tc>
        <w:tc>
          <w:tcPr>
            <w:tcW w:w="863" w:type="dxa"/>
          </w:tcPr>
          <w:p>
            <w:pPr>
              <w:pStyle w:val="TableParagraph"/>
              <w:spacing w:line="160" w:lineRule="exact" w:before="0"/>
              <w:ind w:right="92"/>
              <w:rPr>
                <w:rFonts w:ascii="Courier New"/>
                <w:b/>
                <w:sz w:val="16"/>
              </w:rPr>
            </w:pPr>
            <w:r>
              <w:rPr>
                <w:rFonts w:ascii="Courier New"/>
                <w:b/>
                <w:sz w:val="16"/>
              </w:rPr>
              <w:t>0.001</w:t>
            </w:r>
          </w:p>
        </w:tc>
        <w:tc>
          <w:tcPr>
            <w:tcW w:w="531" w:type="dxa"/>
          </w:tcPr>
          <w:p>
            <w:pPr>
              <w:pStyle w:val="TableParagraph"/>
              <w:spacing w:line="160" w:lineRule="exact" w:before="0"/>
              <w:ind w:right="47"/>
              <w:rPr>
                <w:rFonts w:ascii="Courier New"/>
                <w:b/>
                <w:sz w:val="16"/>
              </w:rPr>
            </w:pPr>
            <w:r>
              <w:rPr>
                <w:rFonts w:ascii="Courier New"/>
                <w:b/>
                <w:sz w:val="16"/>
              </w:rPr>
              <w:t>1.13</w:t>
            </w:r>
          </w:p>
        </w:tc>
      </w:tr>
      <w:tr>
        <w:trPr>
          <w:trHeight w:val="181" w:hRule="atLeast"/>
        </w:trPr>
        <w:tc>
          <w:tcPr>
            <w:tcW w:w="3122" w:type="dxa"/>
          </w:tcPr>
          <w:p>
            <w:pPr>
              <w:pStyle w:val="TableParagraph"/>
              <w:spacing w:line="162" w:lineRule="exact" w:before="0"/>
              <w:ind w:left="50"/>
              <w:jc w:val="left"/>
              <w:rPr>
                <w:rFonts w:ascii="Courier New" w:hAnsi="Courier New"/>
                <w:b/>
                <w:sz w:val="16"/>
              </w:rPr>
            </w:pPr>
            <w:r>
              <w:rPr>
                <w:rFonts w:ascii="Courier New" w:hAnsi="Courier New"/>
                <w:b/>
                <w:sz w:val="16"/>
              </w:rPr>
              <w:t>Distancia a San José Centro por</w:t>
            </w:r>
          </w:p>
        </w:tc>
        <w:tc>
          <w:tcPr>
            <w:tcW w:w="768" w:type="dxa"/>
          </w:tcPr>
          <w:p>
            <w:pPr>
              <w:pStyle w:val="TableParagraph"/>
              <w:spacing w:line="162" w:lineRule="exact" w:before="0"/>
              <w:ind w:right="93"/>
              <w:rPr>
                <w:rFonts w:ascii="Courier New"/>
                <w:b/>
                <w:sz w:val="16"/>
              </w:rPr>
            </w:pPr>
            <w:r>
              <w:rPr>
                <w:rFonts w:ascii="Courier New"/>
                <w:b/>
                <w:sz w:val="16"/>
              </w:rPr>
              <w:t>-12508</w:t>
            </w:r>
          </w:p>
        </w:tc>
        <w:tc>
          <w:tcPr>
            <w:tcW w:w="864" w:type="dxa"/>
          </w:tcPr>
          <w:p>
            <w:pPr>
              <w:pStyle w:val="TableParagraph"/>
              <w:spacing w:line="162" w:lineRule="exact" w:before="0"/>
              <w:ind w:right="93"/>
              <w:rPr>
                <w:rFonts w:ascii="Courier New"/>
                <w:b/>
                <w:sz w:val="16"/>
              </w:rPr>
            </w:pPr>
            <w:r>
              <w:rPr>
                <w:rFonts w:ascii="Courier New"/>
                <w:b/>
                <w:sz w:val="16"/>
              </w:rPr>
              <w:t>5786</w:t>
            </w:r>
          </w:p>
        </w:tc>
        <w:tc>
          <w:tcPr>
            <w:tcW w:w="865" w:type="dxa"/>
          </w:tcPr>
          <w:p>
            <w:pPr>
              <w:pStyle w:val="TableParagraph"/>
              <w:spacing w:line="162" w:lineRule="exact" w:before="0"/>
              <w:ind w:right="93"/>
              <w:rPr>
                <w:rFonts w:ascii="Courier New"/>
                <w:b/>
                <w:sz w:val="16"/>
              </w:rPr>
            </w:pPr>
            <w:r>
              <w:rPr>
                <w:rFonts w:ascii="Courier New"/>
                <w:b/>
                <w:sz w:val="16"/>
              </w:rPr>
              <w:t>-2.16</w:t>
            </w:r>
          </w:p>
        </w:tc>
        <w:tc>
          <w:tcPr>
            <w:tcW w:w="863" w:type="dxa"/>
          </w:tcPr>
          <w:p>
            <w:pPr>
              <w:pStyle w:val="TableParagraph"/>
              <w:spacing w:line="162" w:lineRule="exact" w:before="0"/>
              <w:ind w:right="92"/>
              <w:rPr>
                <w:rFonts w:ascii="Courier New"/>
                <w:b/>
                <w:sz w:val="16"/>
              </w:rPr>
            </w:pPr>
            <w:r>
              <w:rPr>
                <w:rFonts w:ascii="Courier New"/>
                <w:b/>
                <w:sz w:val="16"/>
              </w:rPr>
              <w:t>0.031</w:t>
            </w:r>
          </w:p>
        </w:tc>
        <w:tc>
          <w:tcPr>
            <w:tcW w:w="531" w:type="dxa"/>
          </w:tcPr>
          <w:p>
            <w:pPr>
              <w:pStyle w:val="TableParagraph"/>
              <w:spacing w:line="162" w:lineRule="exact" w:before="0"/>
              <w:ind w:right="47"/>
              <w:rPr>
                <w:rFonts w:ascii="Courier New"/>
                <w:b/>
                <w:sz w:val="16"/>
              </w:rPr>
            </w:pPr>
            <w:r>
              <w:rPr>
                <w:rFonts w:ascii="Courier New"/>
                <w:b/>
                <w:sz w:val="16"/>
              </w:rPr>
              <w:t>1.15</w:t>
            </w:r>
          </w:p>
        </w:tc>
      </w:tr>
      <w:tr>
        <w:trPr>
          <w:trHeight w:val="182" w:hRule="atLeast"/>
        </w:trPr>
        <w:tc>
          <w:tcPr>
            <w:tcW w:w="3122" w:type="dxa"/>
          </w:tcPr>
          <w:p>
            <w:pPr>
              <w:pStyle w:val="TableParagraph"/>
              <w:spacing w:line="161" w:lineRule="exact" w:before="1"/>
              <w:ind w:left="50"/>
              <w:jc w:val="left"/>
              <w:rPr>
                <w:rFonts w:ascii="Courier New"/>
                <w:b/>
                <w:sz w:val="16"/>
              </w:rPr>
            </w:pPr>
            <w:r>
              <w:rPr>
                <w:rFonts w:ascii="Courier New"/>
                <w:b/>
                <w:sz w:val="16"/>
              </w:rPr>
              <w:t>Distancia a Aglomera-ciones de</w:t>
            </w:r>
          </w:p>
        </w:tc>
        <w:tc>
          <w:tcPr>
            <w:tcW w:w="768" w:type="dxa"/>
          </w:tcPr>
          <w:p>
            <w:pPr>
              <w:pStyle w:val="TableParagraph"/>
              <w:spacing w:line="161" w:lineRule="exact" w:before="1"/>
              <w:ind w:right="93"/>
              <w:rPr>
                <w:rFonts w:ascii="Courier New"/>
                <w:b/>
                <w:sz w:val="16"/>
              </w:rPr>
            </w:pPr>
            <w:r>
              <w:rPr>
                <w:rFonts w:ascii="Courier New"/>
                <w:b/>
                <w:sz w:val="16"/>
              </w:rPr>
              <w:t>20691</w:t>
            </w:r>
          </w:p>
        </w:tc>
        <w:tc>
          <w:tcPr>
            <w:tcW w:w="864" w:type="dxa"/>
          </w:tcPr>
          <w:p>
            <w:pPr>
              <w:pStyle w:val="TableParagraph"/>
              <w:spacing w:line="161" w:lineRule="exact" w:before="1"/>
              <w:ind w:right="93"/>
              <w:rPr>
                <w:rFonts w:ascii="Courier New"/>
                <w:b/>
                <w:sz w:val="16"/>
              </w:rPr>
            </w:pPr>
            <w:r>
              <w:rPr>
                <w:rFonts w:ascii="Courier New"/>
                <w:b/>
                <w:sz w:val="16"/>
              </w:rPr>
              <w:t>9269</w:t>
            </w:r>
          </w:p>
        </w:tc>
        <w:tc>
          <w:tcPr>
            <w:tcW w:w="865" w:type="dxa"/>
          </w:tcPr>
          <w:p>
            <w:pPr>
              <w:pStyle w:val="TableParagraph"/>
              <w:spacing w:line="161" w:lineRule="exact" w:before="1"/>
              <w:ind w:right="94"/>
              <w:rPr>
                <w:rFonts w:ascii="Courier New"/>
                <w:b/>
                <w:sz w:val="16"/>
              </w:rPr>
            </w:pPr>
            <w:r>
              <w:rPr>
                <w:rFonts w:ascii="Courier New"/>
                <w:b/>
                <w:sz w:val="16"/>
              </w:rPr>
              <w:t>2.23</w:t>
            </w:r>
          </w:p>
        </w:tc>
        <w:tc>
          <w:tcPr>
            <w:tcW w:w="863" w:type="dxa"/>
          </w:tcPr>
          <w:p>
            <w:pPr>
              <w:pStyle w:val="TableParagraph"/>
              <w:spacing w:line="161" w:lineRule="exact" w:before="1"/>
              <w:ind w:right="92"/>
              <w:rPr>
                <w:rFonts w:ascii="Courier New"/>
                <w:b/>
                <w:sz w:val="16"/>
              </w:rPr>
            </w:pPr>
            <w:r>
              <w:rPr>
                <w:rFonts w:ascii="Courier New"/>
                <w:b/>
                <w:sz w:val="16"/>
              </w:rPr>
              <w:t>0.026</w:t>
            </w:r>
          </w:p>
        </w:tc>
        <w:tc>
          <w:tcPr>
            <w:tcW w:w="531" w:type="dxa"/>
          </w:tcPr>
          <w:p>
            <w:pPr>
              <w:pStyle w:val="TableParagraph"/>
              <w:spacing w:line="161" w:lineRule="exact" w:before="1"/>
              <w:ind w:right="47"/>
              <w:rPr>
                <w:rFonts w:ascii="Courier New"/>
                <w:b/>
                <w:sz w:val="16"/>
              </w:rPr>
            </w:pPr>
            <w:r>
              <w:rPr>
                <w:rFonts w:ascii="Courier New"/>
                <w:b/>
                <w:sz w:val="16"/>
              </w:rPr>
              <w:t>1.14</w:t>
            </w:r>
          </w:p>
        </w:tc>
      </w:tr>
      <w:tr>
        <w:trPr>
          <w:trHeight w:val="180" w:hRule="atLeast"/>
        </w:trPr>
        <w:tc>
          <w:tcPr>
            <w:tcW w:w="3122" w:type="dxa"/>
          </w:tcPr>
          <w:p>
            <w:pPr>
              <w:pStyle w:val="TableParagraph"/>
              <w:spacing w:line="160" w:lineRule="exact" w:before="0"/>
              <w:ind w:left="50"/>
              <w:jc w:val="left"/>
              <w:rPr>
                <w:rFonts w:ascii="Courier New"/>
                <w:b/>
                <w:sz w:val="16"/>
              </w:rPr>
            </w:pPr>
            <w:r>
              <w:rPr>
                <w:rFonts w:ascii="Courier New"/>
                <w:b/>
                <w:sz w:val="16"/>
              </w:rPr>
              <w:t>Tipo = 1 casa, 0 = Condo</w:t>
            </w:r>
          </w:p>
        </w:tc>
        <w:tc>
          <w:tcPr>
            <w:tcW w:w="768" w:type="dxa"/>
          </w:tcPr>
          <w:p>
            <w:pPr>
              <w:pStyle w:val="TableParagraph"/>
              <w:spacing w:line="240" w:lineRule="auto" w:before="0"/>
              <w:jc w:val="left"/>
              <w:rPr>
                <w:rFonts w:ascii="Times New Roman"/>
                <w:sz w:val="12"/>
              </w:rPr>
            </w:pPr>
          </w:p>
        </w:tc>
        <w:tc>
          <w:tcPr>
            <w:tcW w:w="864" w:type="dxa"/>
          </w:tcPr>
          <w:p>
            <w:pPr>
              <w:pStyle w:val="TableParagraph"/>
              <w:spacing w:line="240" w:lineRule="auto" w:before="0"/>
              <w:jc w:val="left"/>
              <w:rPr>
                <w:rFonts w:ascii="Times New Roman"/>
                <w:sz w:val="12"/>
              </w:rPr>
            </w:pPr>
          </w:p>
        </w:tc>
        <w:tc>
          <w:tcPr>
            <w:tcW w:w="865" w:type="dxa"/>
          </w:tcPr>
          <w:p>
            <w:pPr>
              <w:pStyle w:val="TableParagraph"/>
              <w:spacing w:line="240" w:lineRule="auto" w:before="0"/>
              <w:jc w:val="left"/>
              <w:rPr>
                <w:rFonts w:ascii="Times New Roman"/>
                <w:sz w:val="12"/>
              </w:rPr>
            </w:pPr>
          </w:p>
        </w:tc>
        <w:tc>
          <w:tcPr>
            <w:tcW w:w="863" w:type="dxa"/>
          </w:tcPr>
          <w:p>
            <w:pPr>
              <w:pStyle w:val="TableParagraph"/>
              <w:spacing w:line="240" w:lineRule="auto" w:before="0"/>
              <w:jc w:val="left"/>
              <w:rPr>
                <w:rFonts w:ascii="Times New Roman"/>
                <w:sz w:val="12"/>
              </w:rPr>
            </w:pPr>
          </w:p>
        </w:tc>
        <w:tc>
          <w:tcPr>
            <w:tcW w:w="531" w:type="dxa"/>
          </w:tcPr>
          <w:p>
            <w:pPr>
              <w:pStyle w:val="TableParagraph"/>
              <w:spacing w:line="240" w:lineRule="auto" w:before="0"/>
              <w:jc w:val="left"/>
              <w:rPr>
                <w:rFonts w:ascii="Times New Roman"/>
                <w:sz w:val="12"/>
              </w:rPr>
            </w:pPr>
          </w:p>
        </w:tc>
      </w:tr>
      <w:tr>
        <w:trPr>
          <w:trHeight w:val="180" w:hRule="atLeast"/>
        </w:trPr>
        <w:tc>
          <w:tcPr>
            <w:tcW w:w="3122" w:type="dxa"/>
          </w:tcPr>
          <w:p>
            <w:pPr>
              <w:pStyle w:val="TableParagraph"/>
              <w:spacing w:line="161" w:lineRule="exact" w:before="0"/>
              <w:ind w:left="241"/>
              <w:jc w:val="left"/>
              <w:rPr>
                <w:rFonts w:ascii="Courier New"/>
                <w:b/>
                <w:sz w:val="16"/>
              </w:rPr>
            </w:pPr>
            <w:r>
              <w:rPr>
                <w:rFonts w:ascii="Courier New"/>
                <w:b/>
                <w:sz w:val="16"/>
              </w:rPr>
              <w:t>1</w:t>
            </w:r>
          </w:p>
        </w:tc>
        <w:tc>
          <w:tcPr>
            <w:tcW w:w="768" w:type="dxa"/>
          </w:tcPr>
          <w:p>
            <w:pPr>
              <w:pStyle w:val="TableParagraph"/>
              <w:spacing w:line="161" w:lineRule="exact" w:before="0"/>
              <w:ind w:right="94"/>
              <w:rPr>
                <w:rFonts w:ascii="Courier New"/>
                <w:b/>
                <w:sz w:val="16"/>
              </w:rPr>
            </w:pPr>
            <w:r>
              <w:rPr>
                <w:rFonts w:ascii="Courier New"/>
                <w:b/>
                <w:sz w:val="16"/>
              </w:rPr>
              <w:t>45767</w:t>
            </w:r>
          </w:p>
        </w:tc>
        <w:tc>
          <w:tcPr>
            <w:tcW w:w="864" w:type="dxa"/>
          </w:tcPr>
          <w:p>
            <w:pPr>
              <w:pStyle w:val="TableParagraph"/>
              <w:spacing w:line="161" w:lineRule="exact" w:before="0"/>
              <w:ind w:right="94"/>
              <w:rPr>
                <w:rFonts w:ascii="Courier New"/>
                <w:b/>
                <w:sz w:val="16"/>
              </w:rPr>
            </w:pPr>
            <w:r>
              <w:rPr>
                <w:rFonts w:ascii="Courier New"/>
                <w:b/>
                <w:sz w:val="16"/>
              </w:rPr>
              <w:t>22248</w:t>
            </w:r>
          </w:p>
        </w:tc>
        <w:tc>
          <w:tcPr>
            <w:tcW w:w="865" w:type="dxa"/>
          </w:tcPr>
          <w:p>
            <w:pPr>
              <w:pStyle w:val="TableParagraph"/>
              <w:spacing w:line="161" w:lineRule="exact" w:before="0"/>
              <w:ind w:right="95"/>
              <w:rPr>
                <w:rFonts w:ascii="Courier New"/>
                <w:b/>
                <w:sz w:val="16"/>
              </w:rPr>
            </w:pPr>
            <w:r>
              <w:rPr>
                <w:rFonts w:ascii="Courier New"/>
                <w:b/>
                <w:sz w:val="16"/>
              </w:rPr>
              <w:t>2.06</w:t>
            </w:r>
          </w:p>
        </w:tc>
        <w:tc>
          <w:tcPr>
            <w:tcW w:w="863" w:type="dxa"/>
          </w:tcPr>
          <w:p>
            <w:pPr>
              <w:pStyle w:val="TableParagraph"/>
              <w:spacing w:line="161" w:lineRule="exact" w:before="0"/>
              <w:ind w:right="94"/>
              <w:rPr>
                <w:rFonts w:ascii="Courier New"/>
                <w:b/>
                <w:sz w:val="16"/>
              </w:rPr>
            </w:pPr>
            <w:r>
              <w:rPr>
                <w:rFonts w:ascii="Courier New"/>
                <w:b/>
                <w:sz w:val="16"/>
              </w:rPr>
              <w:t>0.041</w:t>
            </w:r>
          </w:p>
        </w:tc>
        <w:tc>
          <w:tcPr>
            <w:tcW w:w="531" w:type="dxa"/>
          </w:tcPr>
          <w:p>
            <w:pPr>
              <w:pStyle w:val="TableParagraph"/>
              <w:spacing w:line="161" w:lineRule="exact" w:before="0"/>
              <w:ind w:right="49"/>
              <w:rPr>
                <w:rFonts w:ascii="Courier New"/>
                <w:b/>
                <w:sz w:val="16"/>
              </w:rPr>
            </w:pPr>
            <w:r>
              <w:rPr>
                <w:rFonts w:ascii="Courier New"/>
                <w:b/>
                <w:sz w:val="16"/>
              </w:rPr>
              <w:t>1.15</w:t>
            </w:r>
          </w:p>
        </w:tc>
      </w:tr>
    </w:tbl>
    <w:p>
      <w:pPr>
        <w:spacing w:before="2"/>
        <w:ind w:left="1232" w:right="8583" w:hanging="192"/>
        <w:jc w:val="left"/>
        <w:rPr>
          <w:rFonts w:ascii="Courier New"/>
          <w:b/>
          <w:sz w:val="16"/>
        </w:rPr>
      </w:pPr>
      <w:r>
        <w:rPr>
          <w:rFonts w:ascii="Courier New"/>
          <w:b/>
          <w:sz w:val="16"/>
        </w:rPr>
        <w:t>Vista a la Carpintera 1</w:t>
      </w:r>
    </w:p>
    <w:p>
      <w:pPr>
        <w:pStyle w:val="BodyText"/>
        <w:rPr>
          <w:rFonts w:ascii="Courier New"/>
          <w:b/>
          <w:sz w:val="18"/>
        </w:rPr>
      </w:pPr>
    </w:p>
    <w:p>
      <w:pPr>
        <w:pStyle w:val="BodyText"/>
        <w:spacing w:before="2"/>
        <w:rPr>
          <w:rFonts w:ascii="Courier New"/>
          <w:b/>
          <w:sz w:val="21"/>
        </w:rPr>
      </w:pPr>
    </w:p>
    <w:p>
      <w:pPr>
        <w:pStyle w:val="Heading1"/>
      </w:pPr>
      <w:r>
        <w:rPr/>
        <w:t>B- Heterocedasticidad</w:t>
      </w:r>
    </w:p>
    <w:p>
      <w:pPr>
        <w:pStyle w:val="BodyText"/>
        <w:rPr>
          <w:b/>
          <w:sz w:val="20"/>
        </w:rPr>
      </w:pPr>
    </w:p>
    <w:p>
      <w:pPr>
        <w:pStyle w:val="BodyText"/>
        <w:spacing w:before="5"/>
        <w:rPr>
          <w:b/>
          <w:sz w:val="10"/>
        </w:rPr>
      </w:pPr>
      <w:r>
        <w:rPr/>
        <w:drawing>
          <wp:anchor distT="0" distB="0" distL="0" distR="0" allowOverlap="1" layoutInCell="1" locked="0" behindDoc="0" simplePos="0" relativeHeight="97">
            <wp:simplePos x="0" y="0"/>
            <wp:positionH relativeFrom="page">
              <wp:posOffset>2078547</wp:posOffset>
            </wp:positionH>
            <wp:positionV relativeFrom="paragraph">
              <wp:posOffset>101095</wp:posOffset>
            </wp:positionV>
            <wp:extent cx="3619714" cy="2826353"/>
            <wp:effectExtent l="0" t="0" r="0" b="0"/>
            <wp:wrapTopAndBottom/>
            <wp:docPr id="105" name="image78.jpeg"/>
            <wp:cNvGraphicFramePr>
              <a:graphicFrameLocks noChangeAspect="1"/>
            </wp:cNvGraphicFramePr>
            <a:graphic>
              <a:graphicData uri="http://schemas.openxmlformats.org/drawingml/2006/picture">
                <pic:pic>
                  <pic:nvPicPr>
                    <pic:cNvPr id="106" name="image78.jpeg"/>
                    <pic:cNvPicPr/>
                  </pic:nvPicPr>
                  <pic:blipFill>
                    <a:blip r:embed="rId130" cstate="print"/>
                    <a:stretch>
                      <a:fillRect/>
                    </a:stretch>
                  </pic:blipFill>
                  <pic:spPr>
                    <a:xfrm>
                      <a:off x="0" y="0"/>
                      <a:ext cx="3619714" cy="2826353"/>
                    </a:xfrm>
                    <a:prstGeom prst="rect">
                      <a:avLst/>
                    </a:prstGeom>
                  </pic:spPr>
                </pic:pic>
              </a:graphicData>
            </a:graphic>
          </wp:anchor>
        </w:drawing>
      </w:r>
    </w:p>
    <w:p>
      <w:pPr>
        <w:spacing w:after="0"/>
        <w:rPr>
          <w:sz w:val="10"/>
        </w:rPr>
        <w:sectPr>
          <w:pgSz w:w="12240" w:h="15840"/>
          <w:pgMar w:header="0" w:footer="982" w:top="1500" w:bottom="1260" w:left="400" w:right="180"/>
        </w:sectPr>
      </w:pPr>
    </w:p>
    <w:p>
      <w:pPr>
        <w:pStyle w:val="BodyText"/>
        <w:ind w:left="3069"/>
        <w:rPr>
          <w:sz w:val="20"/>
        </w:rPr>
      </w:pPr>
      <w:r>
        <w:rPr>
          <w:sz w:val="20"/>
        </w:rPr>
        <w:drawing>
          <wp:inline distT="0" distB="0" distL="0" distR="0">
            <wp:extent cx="3479956" cy="2743200"/>
            <wp:effectExtent l="0" t="0" r="0" b="0"/>
            <wp:docPr id="107" name="image79.jpeg"/>
            <wp:cNvGraphicFramePr>
              <a:graphicFrameLocks noChangeAspect="1"/>
            </wp:cNvGraphicFramePr>
            <a:graphic>
              <a:graphicData uri="http://schemas.openxmlformats.org/drawingml/2006/picture">
                <pic:pic>
                  <pic:nvPicPr>
                    <pic:cNvPr id="108" name="image79.jpeg"/>
                    <pic:cNvPicPr/>
                  </pic:nvPicPr>
                  <pic:blipFill>
                    <a:blip r:embed="rId131" cstate="print"/>
                    <a:stretch>
                      <a:fillRect/>
                    </a:stretch>
                  </pic:blipFill>
                  <pic:spPr>
                    <a:xfrm>
                      <a:off x="0" y="0"/>
                      <a:ext cx="3479956" cy="2743200"/>
                    </a:xfrm>
                    <a:prstGeom prst="rect">
                      <a:avLst/>
                    </a:prstGeom>
                  </pic:spPr>
                </pic:pic>
              </a:graphicData>
            </a:graphic>
          </wp:inline>
        </w:drawing>
      </w:r>
      <w:r>
        <w:rPr>
          <w:sz w:val="20"/>
        </w:rPr>
      </w:r>
    </w:p>
    <w:p>
      <w:pPr>
        <w:pStyle w:val="BodyText"/>
        <w:rPr>
          <w:b/>
          <w:sz w:val="20"/>
        </w:rPr>
      </w:pPr>
    </w:p>
    <w:p>
      <w:pPr>
        <w:pStyle w:val="BodyText"/>
        <w:spacing w:before="3"/>
        <w:rPr>
          <w:b/>
          <w:sz w:val="25"/>
        </w:rPr>
      </w:pPr>
    </w:p>
    <w:p>
      <w:pPr>
        <w:spacing w:before="96" w:after="6"/>
        <w:ind w:left="1713" w:right="2044" w:firstLine="0"/>
        <w:jc w:val="center"/>
        <w:rPr>
          <w:b/>
          <w:sz w:val="12"/>
        </w:rPr>
      </w:pPr>
      <w:r>
        <w:rPr>
          <w:b/>
          <w:sz w:val="18"/>
        </w:rPr>
        <w:t>ANOVA BREUSCH-PAGAN MODELO 2</w:t>
      </w:r>
      <w:r>
        <w:rPr>
          <w:b/>
          <w:position w:val="6"/>
          <w:sz w:val="12"/>
        </w:rPr>
        <w:t>a</w:t>
      </w:r>
    </w:p>
    <w:tbl>
      <w:tblPr>
        <w:tblW w:w="0" w:type="auto"/>
        <w:jc w:val="left"/>
        <w:tblInd w:w="1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4"/>
        <w:gridCol w:w="1486"/>
        <w:gridCol w:w="3300"/>
        <w:gridCol w:w="1007"/>
        <w:gridCol w:w="2864"/>
        <w:gridCol w:w="1004"/>
        <w:gridCol w:w="1007"/>
      </w:tblGrid>
      <w:tr>
        <w:trPr>
          <w:trHeight w:val="319" w:hRule="atLeast"/>
        </w:trPr>
        <w:tc>
          <w:tcPr>
            <w:tcW w:w="1920" w:type="dxa"/>
            <w:gridSpan w:val="2"/>
          </w:tcPr>
          <w:p>
            <w:pPr>
              <w:pStyle w:val="TableParagraph"/>
              <w:spacing w:line="189" w:lineRule="exact" w:before="110"/>
              <w:ind w:left="25"/>
              <w:jc w:val="left"/>
              <w:rPr>
                <w:sz w:val="18"/>
              </w:rPr>
            </w:pPr>
            <w:r>
              <w:rPr>
                <w:sz w:val="18"/>
              </w:rPr>
              <w:t>Modelo</w:t>
            </w:r>
          </w:p>
        </w:tc>
        <w:tc>
          <w:tcPr>
            <w:tcW w:w="3300" w:type="dxa"/>
            <w:tcBorders>
              <w:right w:val="single" w:sz="8" w:space="0" w:color="000000"/>
            </w:tcBorders>
          </w:tcPr>
          <w:p>
            <w:pPr>
              <w:pStyle w:val="TableParagraph"/>
              <w:spacing w:line="189" w:lineRule="exact" w:before="110"/>
              <w:ind w:left="822"/>
              <w:jc w:val="left"/>
              <w:rPr>
                <w:sz w:val="18"/>
              </w:rPr>
            </w:pPr>
            <w:r>
              <w:rPr>
                <w:sz w:val="18"/>
              </w:rPr>
              <w:t>Suma de cuadrados</w:t>
            </w:r>
          </w:p>
        </w:tc>
        <w:tc>
          <w:tcPr>
            <w:tcW w:w="1007" w:type="dxa"/>
            <w:tcBorders>
              <w:left w:val="single" w:sz="8" w:space="0" w:color="000000"/>
              <w:right w:val="single" w:sz="8" w:space="0" w:color="000000"/>
            </w:tcBorders>
          </w:tcPr>
          <w:p>
            <w:pPr>
              <w:pStyle w:val="TableParagraph"/>
              <w:spacing w:line="189" w:lineRule="exact" w:before="110"/>
              <w:ind w:left="400" w:right="405"/>
              <w:jc w:val="center"/>
              <w:rPr>
                <w:sz w:val="18"/>
              </w:rPr>
            </w:pPr>
            <w:r>
              <w:rPr>
                <w:sz w:val="18"/>
              </w:rPr>
              <w:t>gl</w:t>
            </w:r>
          </w:p>
        </w:tc>
        <w:tc>
          <w:tcPr>
            <w:tcW w:w="2864" w:type="dxa"/>
            <w:tcBorders>
              <w:left w:val="single" w:sz="8" w:space="0" w:color="000000"/>
              <w:right w:val="single" w:sz="8" w:space="0" w:color="000000"/>
            </w:tcBorders>
          </w:tcPr>
          <w:p>
            <w:pPr>
              <w:pStyle w:val="TableParagraph"/>
              <w:spacing w:line="189" w:lineRule="exact" w:before="110"/>
              <w:ind w:left="729"/>
              <w:jc w:val="left"/>
              <w:rPr>
                <w:sz w:val="18"/>
              </w:rPr>
            </w:pPr>
            <w:r>
              <w:rPr>
                <w:sz w:val="18"/>
              </w:rPr>
              <w:t>Media cuadrática</w:t>
            </w:r>
          </w:p>
        </w:tc>
        <w:tc>
          <w:tcPr>
            <w:tcW w:w="1004" w:type="dxa"/>
            <w:tcBorders>
              <w:left w:val="single" w:sz="8" w:space="0" w:color="000000"/>
              <w:right w:val="single" w:sz="8" w:space="0" w:color="000000"/>
            </w:tcBorders>
          </w:tcPr>
          <w:p>
            <w:pPr>
              <w:pStyle w:val="TableParagraph"/>
              <w:spacing w:line="189" w:lineRule="exact" w:before="110"/>
              <w:ind w:right="4"/>
              <w:jc w:val="center"/>
              <w:rPr>
                <w:sz w:val="18"/>
              </w:rPr>
            </w:pPr>
            <w:r>
              <w:rPr>
                <w:w w:val="100"/>
                <w:sz w:val="18"/>
              </w:rPr>
              <w:t>F</w:t>
            </w:r>
          </w:p>
        </w:tc>
        <w:tc>
          <w:tcPr>
            <w:tcW w:w="1007" w:type="dxa"/>
            <w:tcBorders>
              <w:left w:val="single" w:sz="8" w:space="0" w:color="000000"/>
            </w:tcBorders>
          </w:tcPr>
          <w:p>
            <w:pPr>
              <w:pStyle w:val="TableParagraph"/>
              <w:spacing w:line="189" w:lineRule="exact" w:before="110"/>
              <w:ind w:left="311" w:right="312"/>
              <w:jc w:val="center"/>
              <w:rPr>
                <w:sz w:val="18"/>
              </w:rPr>
            </w:pPr>
            <w:r>
              <w:rPr>
                <w:sz w:val="18"/>
              </w:rPr>
              <w:t>Sig.</w:t>
            </w:r>
          </w:p>
        </w:tc>
      </w:tr>
      <w:tr>
        <w:trPr>
          <w:trHeight w:val="380" w:hRule="atLeast"/>
        </w:trPr>
        <w:tc>
          <w:tcPr>
            <w:tcW w:w="434" w:type="dxa"/>
            <w:tcBorders>
              <w:bottom w:val="nil"/>
              <w:right w:val="nil"/>
            </w:tcBorders>
          </w:tcPr>
          <w:p>
            <w:pPr>
              <w:pStyle w:val="TableParagraph"/>
              <w:spacing w:line="240" w:lineRule="auto" w:before="0"/>
              <w:jc w:val="left"/>
              <w:rPr>
                <w:rFonts w:ascii="Times New Roman"/>
                <w:sz w:val="18"/>
              </w:rPr>
            </w:pPr>
          </w:p>
        </w:tc>
        <w:tc>
          <w:tcPr>
            <w:tcW w:w="1486" w:type="dxa"/>
            <w:tcBorders>
              <w:left w:val="nil"/>
              <w:bottom w:val="nil"/>
            </w:tcBorders>
          </w:tcPr>
          <w:p>
            <w:pPr>
              <w:pStyle w:val="TableParagraph"/>
              <w:spacing w:line="240" w:lineRule="auto" w:before="115"/>
              <w:ind w:left="330"/>
              <w:jc w:val="left"/>
              <w:rPr>
                <w:sz w:val="18"/>
              </w:rPr>
            </w:pPr>
            <w:r>
              <w:rPr>
                <w:sz w:val="18"/>
              </w:rPr>
              <w:t>Regresión</w:t>
            </w:r>
          </w:p>
        </w:tc>
        <w:tc>
          <w:tcPr>
            <w:tcW w:w="3300" w:type="dxa"/>
            <w:tcBorders>
              <w:bottom w:val="nil"/>
              <w:right w:val="single" w:sz="8" w:space="0" w:color="000000"/>
            </w:tcBorders>
          </w:tcPr>
          <w:p>
            <w:pPr>
              <w:pStyle w:val="TableParagraph"/>
              <w:spacing w:line="240" w:lineRule="auto" w:before="115"/>
              <w:ind w:right="31"/>
              <w:rPr>
                <w:sz w:val="18"/>
              </w:rPr>
            </w:pPr>
            <w:r>
              <w:rPr>
                <w:sz w:val="18"/>
              </w:rPr>
              <w:t>373256494753460600000000.000</w:t>
            </w:r>
          </w:p>
        </w:tc>
        <w:tc>
          <w:tcPr>
            <w:tcW w:w="1007" w:type="dxa"/>
            <w:tcBorders>
              <w:left w:val="single" w:sz="8" w:space="0" w:color="000000"/>
              <w:bottom w:val="nil"/>
              <w:right w:val="single" w:sz="8" w:space="0" w:color="000000"/>
            </w:tcBorders>
          </w:tcPr>
          <w:p>
            <w:pPr>
              <w:pStyle w:val="TableParagraph"/>
              <w:spacing w:line="240" w:lineRule="auto" w:before="115"/>
              <w:ind w:right="28"/>
              <w:rPr>
                <w:sz w:val="18"/>
              </w:rPr>
            </w:pPr>
            <w:r>
              <w:rPr>
                <w:w w:val="99"/>
                <w:sz w:val="18"/>
              </w:rPr>
              <w:t>8</w:t>
            </w:r>
          </w:p>
        </w:tc>
        <w:tc>
          <w:tcPr>
            <w:tcW w:w="2864" w:type="dxa"/>
            <w:tcBorders>
              <w:left w:val="single" w:sz="8" w:space="0" w:color="000000"/>
              <w:bottom w:val="nil"/>
              <w:right w:val="single" w:sz="8" w:space="0" w:color="000000"/>
            </w:tcBorders>
          </w:tcPr>
          <w:p>
            <w:pPr>
              <w:pStyle w:val="TableParagraph"/>
              <w:spacing w:line="240" w:lineRule="auto" w:before="115"/>
              <w:ind w:right="33"/>
              <w:rPr>
                <w:sz w:val="18"/>
              </w:rPr>
            </w:pPr>
            <w:r>
              <w:rPr>
                <w:sz w:val="18"/>
              </w:rPr>
              <w:t>46657061844182570000000.000</w:t>
            </w:r>
          </w:p>
        </w:tc>
        <w:tc>
          <w:tcPr>
            <w:tcW w:w="1004" w:type="dxa"/>
            <w:vMerge w:val="restart"/>
            <w:tcBorders>
              <w:left w:val="single" w:sz="8" w:space="0" w:color="000000"/>
              <w:right w:val="single" w:sz="8" w:space="0" w:color="000000"/>
            </w:tcBorders>
          </w:tcPr>
          <w:p>
            <w:pPr>
              <w:pStyle w:val="TableParagraph"/>
              <w:spacing w:line="240" w:lineRule="auto" w:before="115"/>
              <w:ind w:left="501"/>
              <w:jc w:val="left"/>
              <w:rPr>
                <w:sz w:val="18"/>
              </w:rPr>
            </w:pPr>
            <w:r>
              <w:rPr>
                <w:sz w:val="18"/>
              </w:rPr>
              <w:t>9.720</w:t>
            </w:r>
          </w:p>
        </w:tc>
        <w:tc>
          <w:tcPr>
            <w:tcW w:w="1007" w:type="dxa"/>
            <w:vMerge w:val="restart"/>
            <w:tcBorders>
              <w:left w:val="single" w:sz="8" w:space="0" w:color="000000"/>
            </w:tcBorders>
          </w:tcPr>
          <w:p>
            <w:pPr>
              <w:pStyle w:val="TableParagraph"/>
              <w:spacing w:line="240" w:lineRule="auto" w:before="115"/>
              <w:ind w:left="526"/>
              <w:jc w:val="left"/>
              <w:rPr>
                <w:sz w:val="12"/>
              </w:rPr>
            </w:pPr>
            <w:r>
              <w:rPr>
                <w:sz w:val="18"/>
              </w:rPr>
              <w:t>.000</w:t>
            </w:r>
            <w:r>
              <w:rPr>
                <w:position w:val="5"/>
                <w:sz w:val="12"/>
              </w:rPr>
              <w:t>b</w:t>
            </w:r>
          </w:p>
        </w:tc>
      </w:tr>
      <w:tr>
        <w:trPr>
          <w:trHeight w:val="319" w:hRule="atLeast"/>
        </w:trPr>
        <w:tc>
          <w:tcPr>
            <w:tcW w:w="434" w:type="dxa"/>
            <w:tcBorders>
              <w:top w:val="nil"/>
              <w:bottom w:val="nil"/>
              <w:right w:val="nil"/>
            </w:tcBorders>
          </w:tcPr>
          <w:p>
            <w:pPr>
              <w:pStyle w:val="TableParagraph"/>
              <w:spacing w:line="240" w:lineRule="auto" w:before="53"/>
              <w:ind w:left="25"/>
              <w:jc w:val="left"/>
              <w:rPr>
                <w:sz w:val="18"/>
              </w:rPr>
            </w:pPr>
            <w:r>
              <w:rPr>
                <w:w w:val="99"/>
                <w:sz w:val="18"/>
              </w:rPr>
              <w:t>2</w:t>
            </w:r>
          </w:p>
        </w:tc>
        <w:tc>
          <w:tcPr>
            <w:tcW w:w="1486" w:type="dxa"/>
            <w:tcBorders>
              <w:top w:val="nil"/>
              <w:left w:val="nil"/>
              <w:bottom w:val="nil"/>
            </w:tcBorders>
          </w:tcPr>
          <w:p>
            <w:pPr>
              <w:pStyle w:val="TableParagraph"/>
              <w:spacing w:line="240" w:lineRule="auto" w:before="53"/>
              <w:ind w:left="330"/>
              <w:jc w:val="left"/>
              <w:rPr>
                <w:sz w:val="18"/>
              </w:rPr>
            </w:pPr>
            <w:r>
              <w:rPr>
                <w:sz w:val="18"/>
              </w:rPr>
              <w:t>Residual</w:t>
            </w:r>
          </w:p>
        </w:tc>
        <w:tc>
          <w:tcPr>
            <w:tcW w:w="3300" w:type="dxa"/>
            <w:tcBorders>
              <w:top w:val="nil"/>
              <w:bottom w:val="nil"/>
              <w:right w:val="single" w:sz="8" w:space="0" w:color="000000"/>
            </w:tcBorders>
          </w:tcPr>
          <w:p>
            <w:pPr>
              <w:pStyle w:val="TableParagraph"/>
              <w:spacing w:line="240" w:lineRule="auto" w:before="53"/>
              <w:ind w:right="31"/>
              <w:rPr>
                <w:sz w:val="18"/>
              </w:rPr>
            </w:pPr>
            <w:r>
              <w:rPr>
                <w:sz w:val="18"/>
              </w:rPr>
              <w:t>1406404780066086800000000.000</w:t>
            </w:r>
          </w:p>
        </w:tc>
        <w:tc>
          <w:tcPr>
            <w:tcW w:w="1007" w:type="dxa"/>
            <w:tcBorders>
              <w:top w:val="nil"/>
              <w:left w:val="single" w:sz="8" w:space="0" w:color="000000"/>
              <w:bottom w:val="nil"/>
              <w:right w:val="single" w:sz="8" w:space="0" w:color="000000"/>
            </w:tcBorders>
          </w:tcPr>
          <w:p>
            <w:pPr>
              <w:pStyle w:val="TableParagraph"/>
              <w:spacing w:line="240" w:lineRule="auto" w:before="53"/>
              <w:ind w:right="30"/>
              <w:rPr>
                <w:sz w:val="18"/>
              </w:rPr>
            </w:pPr>
            <w:r>
              <w:rPr>
                <w:w w:val="95"/>
                <w:sz w:val="18"/>
              </w:rPr>
              <w:t>293</w:t>
            </w:r>
          </w:p>
        </w:tc>
        <w:tc>
          <w:tcPr>
            <w:tcW w:w="2864" w:type="dxa"/>
            <w:tcBorders>
              <w:top w:val="nil"/>
              <w:left w:val="single" w:sz="8" w:space="0" w:color="000000"/>
              <w:bottom w:val="nil"/>
              <w:right w:val="single" w:sz="8" w:space="0" w:color="000000"/>
            </w:tcBorders>
          </w:tcPr>
          <w:p>
            <w:pPr>
              <w:pStyle w:val="TableParagraph"/>
              <w:spacing w:line="240" w:lineRule="auto" w:before="53"/>
              <w:ind w:right="33"/>
              <w:rPr>
                <w:sz w:val="18"/>
              </w:rPr>
            </w:pPr>
            <w:r>
              <w:rPr>
                <w:sz w:val="18"/>
              </w:rPr>
              <w:t>4800016314218726000000.000</w:t>
            </w:r>
          </w:p>
        </w:tc>
        <w:tc>
          <w:tcPr>
            <w:tcW w:w="1004" w:type="dxa"/>
            <w:vMerge/>
            <w:tcBorders>
              <w:top w:val="nil"/>
              <w:left w:val="single" w:sz="8" w:space="0" w:color="000000"/>
              <w:right w:val="single" w:sz="8" w:space="0" w:color="000000"/>
            </w:tcBorders>
          </w:tcPr>
          <w:p>
            <w:pPr>
              <w:rPr>
                <w:sz w:val="2"/>
                <w:szCs w:val="2"/>
              </w:rPr>
            </w:pPr>
          </w:p>
        </w:tc>
        <w:tc>
          <w:tcPr>
            <w:tcW w:w="1007" w:type="dxa"/>
            <w:vMerge/>
            <w:tcBorders>
              <w:top w:val="nil"/>
              <w:left w:val="single" w:sz="8" w:space="0" w:color="000000"/>
            </w:tcBorders>
          </w:tcPr>
          <w:p>
            <w:pPr>
              <w:rPr>
                <w:sz w:val="2"/>
                <w:szCs w:val="2"/>
              </w:rPr>
            </w:pPr>
          </w:p>
        </w:tc>
      </w:tr>
      <w:tr>
        <w:trPr>
          <w:trHeight w:val="261" w:hRule="atLeast"/>
        </w:trPr>
        <w:tc>
          <w:tcPr>
            <w:tcW w:w="434" w:type="dxa"/>
            <w:tcBorders>
              <w:top w:val="nil"/>
              <w:right w:val="nil"/>
            </w:tcBorders>
          </w:tcPr>
          <w:p>
            <w:pPr>
              <w:pStyle w:val="TableParagraph"/>
              <w:spacing w:line="240" w:lineRule="auto" w:before="0"/>
              <w:jc w:val="left"/>
              <w:rPr>
                <w:rFonts w:ascii="Times New Roman"/>
                <w:sz w:val="18"/>
              </w:rPr>
            </w:pPr>
          </w:p>
        </w:tc>
        <w:tc>
          <w:tcPr>
            <w:tcW w:w="1486" w:type="dxa"/>
            <w:tcBorders>
              <w:top w:val="nil"/>
              <w:left w:val="nil"/>
            </w:tcBorders>
          </w:tcPr>
          <w:p>
            <w:pPr>
              <w:pStyle w:val="TableParagraph"/>
              <w:spacing w:line="188" w:lineRule="exact" w:before="53"/>
              <w:ind w:left="330"/>
              <w:jc w:val="left"/>
              <w:rPr>
                <w:sz w:val="18"/>
              </w:rPr>
            </w:pPr>
            <w:r>
              <w:rPr>
                <w:sz w:val="18"/>
              </w:rPr>
              <w:t>Total</w:t>
            </w:r>
          </w:p>
        </w:tc>
        <w:tc>
          <w:tcPr>
            <w:tcW w:w="3300" w:type="dxa"/>
            <w:tcBorders>
              <w:top w:val="nil"/>
              <w:right w:val="single" w:sz="8" w:space="0" w:color="000000"/>
            </w:tcBorders>
          </w:tcPr>
          <w:p>
            <w:pPr>
              <w:pStyle w:val="TableParagraph"/>
              <w:spacing w:line="188" w:lineRule="exact" w:before="53"/>
              <w:ind w:right="31"/>
              <w:rPr>
                <w:sz w:val="18"/>
              </w:rPr>
            </w:pPr>
            <w:r>
              <w:rPr>
                <w:sz w:val="18"/>
              </w:rPr>
              <w:t>1779661274819547300000000.000</w:t>
            </w:r>
          </w:p>
        </w:tc>
        <w:tc>
          <w:tcPr>
            <w:tcW w:w="1007" w:type="dxa"/>
            <w:tcBorders>
              <w:top w:val="nil"/>
              <w:left w:val="single" w:sz="8" w:space="0" w:color="000000"/>
              <w:right w:val="single" w:sz="8" w:space="0" w:color="000000"/>
            </w:tcBorders>
          </w:tcPr>
          <w:p>
            <w:pPr>
              <w:pStyle w:val="TableParagraph"/>
              <w:spacing w:line="188" w:lineRule="exact" w:before="53"/>
              <w:ind w:right="30"/>
              <w:rPr>
                <w:sz w:val="18"/>
              </w:rPr>
            </w:pPr>
            <w:r>
              <w:rPr>
                <w:w w:val="95"/>
                <w:sz w:val="18"/>
              </w:rPr>
              <w:t>301</w:t>
            </w:r>
          </w:p>
        </w:tc>
        <w:tc>
          <w:tcPr>
            <w:tcW w:w="2864" w:type="dxa"/>
            <w:tcBorders>
              <w:top w:val="nil"/>
              <w:left w:val="single" w:sz="8" w:space="0" w:color="000000"/>
              <w:right w:val="single" w:sz="8" w:space="0" w:color="000000"/>
            </w:tcBorders>
          </w:tcPr>
          <w:p>
            <w:pPr>
              <w:pStyle w:val="TableParagraph"/>
              <w:spacing w:line="240" w:lineRule="auto" w:before="0"/>
              <w:jc w:val="left"/>
              <w:rPr>
                <w:rFonts w:ascii="Times New Roman"/>
                <w:sz w:val="18"/>
              </w:rPr>
            </w:pPr>
          </w:p>
        </w:tc>
        <w:tc>
          <w:tcPr>
            <w:tcW w:w="1004" w:type="dxa"/>
            <w:vMerge/>
            <w:tcBorders>
              <w:top w:val="nil"/>
              <w:left w:val="single" w:sz="8" w:space="0" w:color="000000"/>
              <w:right w:val="single" w:sz="8" w:space="0" w:color="000000"/>
            </w:tcBorders>
          </w:tcPr>
          <w:p>
            <w:pPr>
              <w:rPr>
                <w:sz w:val="2"/>
                <w:szCs w:val="2"/>
              </w:rPr>
            </w:pPr>
          </w:p>
        </w:tc>
        <w:tc>
          <w:tcPr>
            <w:tcW w:w="1007" w:type="dxa"/>
            <w:vMerge/>
            <w:tcBorders>
              <w:top w:val="nil"/>
              <w:left w:val="single" w:sz="8" w:space="0" w:color="000000"/>
            </w:tcBorders>
          </w:tcPr>
          <w:p>
            <w:pPr>
              <w:rPr>
                <w:sz w:val="2"/>
                <w:szCs w:val="2"/>
              </w:rPr>
            </w:pPr>
          </w:p>
        </w:tc>
      </w:tr>
    </w:tbl>
    <w:p>
      <w:pPr>
        <w:pStyle w:val="BodyText"/>
        <w:rPr>
          <w:b/>
          <w:sz w:val="20"/>
        </w:rPr>
      </w:pPr>
    </w:p>
    <w:p>
      <w:pPr>
        <w:pStyle w:val="ListParagraph"/>
        <w:numPr>
          <w:ilvl w:val="0"/>
          <w:numId w:val="42"/>
        </w:numPr>
        <w:tabs>
          <w:tab w:pos="344" w:val="left" w:leader="none"/>
        </w:tabs>
        <w:spacing w:line="240" w:lineRule="auto" w:before="157" w:after="0"/>
        <w:ind w:left="343" w:right="0" w:hanging="204"/>
        <w:jc w:val="left"/>
        <w:rPr>
          <w:sz w:val="18"/>
        </w:rPr>
      </w:pPr>
      <w:r>
        <w:rPr>
          <w:sz w:val="18"/>
        </w:rPr>
        <w:t>Variable dependiente:</w:t>
      </w:r>
      <w:r>
        <w:rPr>
          <w:spacing w:val="-1"/>
          <w:sz w:val="18"/>
        </w:rPr>
        <w:t> </w:t>
      </w:r>
      <w:r>
        <w:rPr>
          <w:sz w:val="18"/>
        </w:rPr>
        <w:t>RES_22</w:t>
      </w:r>
    </w:p>
    <w:p>
      <w:pPr>
        <w:pStyle w:val="ListParagraph"/>
        <w:numPr>
          <w:ilvl w:val="0"/>
          <w:numId w:val="42"/>
        </w:numPr>
        <w:tabs>
          <w:tab w:pos="344" w:val="left" w:leader="none"/>
        </w:tabs>
        <w:spacing w:line="372" w:lineRule="auto" w:before="113" w:after="0"/>
        <w:ind w:left="140" w:right="1007" w:firstLine="0"/>
        <w:jc w:val="left"/>
        <w:rPr>
          <w:sz w:val="18"/>
        </w:rPr>
      </w:pPr>
      <w:r>
        <w:rPr>
          <w:sz w:val="18"/>
        </w:rPr>
        <w:t>Variables predictoras: (Constante), VistaalaCarpintera, Tipo1casa0Condo,</w:t>
      </w:r>
      <w:r>
        <w:rPr>
          <w:spacing w:val="-29"/>
          <w:sz w:val="18"/>
        </w:rPr>
        <w:t> </w:t>
      </w:r>
      <w:r>
        <w:rPr>
          <w:sz w:val="18"/>
        </w:rPr>
        <w:t>DistanciaaSanJoséCentroporRutaVehicularoPedestre, ZonadeRiesgodedesastre, NúmerodePlantas, DistanciaaAglomeracionesdePobrezaRíoAzulTirrasesSan, NúmerodeBaños, NúmerodeHabitaciones</w:t>
      </w:r>
    </w:p>
    <w:p>
      <w:pPr>
        <w:pStyle w:val="BodyText"/>
        <w:rPr>
          <w:sz w:val="27"/>
        </w:rPr>
      </w:pPr>
    </w:p>
    <w:p>
      <w:pPr>
        <w:spacing w:before="0" w:after="6"/>
        <w:ind w:left="1713" w:right="2076" w:firstLine="0"/>
        <w:jc w:val="center"/>
        <w:rPr>
          <w:b/>
          <w:sz w:val="12"/>
        </w:rPr>
      </w:pPr>
      <w:r>
        <w:rPr>
          <w:b/>
          <w:sz w:val="18"/>
        </w:rPr>
        <w:t>ANOVA ABRIDGED WHITE MODELO 2</w:t>
      </w:r>
      <w:r>
        <w:rPr>
          <w:b/>
          <w:position w:val="6"/>
          <w:sz w:val="12"/>
        </w:rPr>
        <w:t>a</w:t>
      </w:r>
    </w:p>
    <w:tbl>
      <w:tblPr>
        <w:tblW w:w="0" w:type="auto"/>
        <w:jc w:val="left"/>
        <w:tblInd w:w="1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4"/>
        <w:gridCol w:w="1486"/>
        <w:gridCol w:w="3032"/>
        <w:gridCol w:w="1004"/>
        <w:gridCol w:w="2957"/>
        <w:gridCol w:w="1005"/>
        <w:gridCol w:w="1156"/>
      </w:tblGrid>
      <w:tr>
        <w:trPr>
          <w:trHeight w:val="318" w:hRule="atLeast"/>
        </w:trPr>
        <w:tc>
          <w:tcPr>
            <w:tcW w:w="1920" w:type="dxa"/>
            <w:gridSpan w:val="2"/>
          </w:tcPr>
          <w:p>
            <w:pPr>
              <w:pStyle w:val="TableParagraph"/>
              <w:spacing w:line="188" w:lineRule="exact" w:before="110"/>
              <w:ind w:left="25"/>
              <w:jc w:val="left"/>
              <w:rPr>
                <w:sz w:val="18"/>
              </w:rPr>
            </w:pPr>
            <w:r>
              <w:rPr>
                <w:sz w:val="18"/>
              </w:rPr>
              <w:t>Modelo</w:t>
            </w:r>
          </w:p>
        </w:tc>
        <w:tc>
          <w:tcPr>
            <w:tcW w:w="3032" w:type="dxa"/>
            <w:tcBorders>
              <w:right w:val="single" w:sz="8" w:space="0" w:color="000000"/>
            </w:tcBorders>
          </w:tcPr>
          <w:p>
            <w:pPr>
              <w:pStyle w:val="TableParagraph"/>
              <w:spacing w:line="188" w:lineRule="exact" w:before="110"/>
              <w:ind w:left="686"/>
              <w:jc w:val="left"/>
              <w:rPr>
                <w:sz w:val="18"/>
              </w:rPr>
            </w:pPr>
            <w:r>
              <w:rPr>
                <w:sz w:val="18"/>
              </w:rPr>
              <w:t>Suma de cuadrados</w:t>
            </w:r>
          </w:p>
        </w:tc>
        <w:tc>
          <w:tcPr>
            <w:tcW w:w="1004" w:type="dxa"/>
            <w:tcBorders>
              <w:left w:val="single" w:sz="8" w:space="0" w:color="000000"/>
              <w:right w:val="single" w:sz="8" w:space="0" w:color="000000"/>
            </w:tcBorders>
          </w:tcPr>
          <w:p>
            <w:pPr>
              <w:pStyle w:val="TableParagraph"/>
              <w:spacing w:line="188" w:lineRule="exact" w:before="110"/>
              <w:ind w:left="395" w:right="405"/>
              <w:jc w:val="center"/>
              <w:rPr>
                <w:sz w:val="18"/>
              </w:rPr>
            </w:pPr>
            <w:r>
              <w:rPr>
                <w:sz w:val="18"/>
              </w:rPr>
              <w:t>gl</w:t>
            </w:r>
          </w:p>
        </w:tc>
        <w:tc>
          <w:tcPr>
            <w:tcW w:w="2957" w:type="dxa"/>
            <w:tcBorders>
              <w:left w:val="single" w:sz="8" w:space="0" w:color="000000"/>
              <w:right w:val="single" w:sz="8" w:space="0" w:color="000000"/>
            </w:tcBorders>
          </w:tcPr>
          <w:p>
            <w:pPr>
              <w:pStyle w:val="TableParagraph"/>
              <w:spacing w:line="188" w:lineRule="exact" w:before="110"/>
              <w:ind w:left="776"/>
              <w:jc w:val="left"/>
              <w:rPr>
                <w:sz w:val="18"/>
              </w:rPr>
            </w:pPr>
            <w:r>
              <w:rPr>
                <w:sz w:val="18"/>
              </w:rPr>
              <w:t>Media cuadrática</w:t>
            </w:r>
          </w:p>
        </w:tc>
        <w:tc>
          <w:tcPr>
            <w:tcW w:w="1005" w:type="dxa"/>
            <w:tcBorders>
              <w:left w:val="single" w:sz="8" w:space="0" w:color="000000"/>
              <w:right w:val="single" w:sz="8" w:space="0" w:color="000000"/>
            </w:tcBorders>
          </w:tcPr>
          <w:p>
            <w:pPr>
              <w:pStyle w:val="TableParagraph"/>
              <w:spacing w:line="188" w:lineRule="exact" w:before="110"/>
              <w:ind w:right="9"/>
              <w:jc w:val="center"/>
              <w:rPr>
                <w:sz w:val="18"/>
              </w:rPr>
            </w:pPr>
            <w:r>
              <w:rPr>
                <w:w w:val="100"/>
                <w:sz w:val="18"/>
              </w:rPr>
              <w:t>F</w:t>
            </w:r>
          </w:p>
        </w:tc>
        <w:tc>
          <w:tcPr>
            <w:tcW w:w="1156" w:type="dxa"/>
            <w:tcBorders>
              <w:left w:val="single" w:sz="8" w:space="0" w:color="000000"/>
            </w:tcBorders>
          </w:tcPr>
          <w:p>
            <w:pPr>
              <w:pStyle w:val="TableParagraph"/>
              <w:spacing w:line="188" w:lineRule="exact" w:before="110"/>
              <w:ind w:left="384" w:right="388"/>
              <w:jc w:val="center"/>
              <w:rPr>
                <w:sz w:val="18"/>
              </w:rPr>
            </w:pPr>
            <w:r>
              <w:rPr>
                <w:sz w:val="18"/>
              </w:rPr>
              <w:t>Sig.</w:t>
            </w:r>
          </w:p>
        </w:tc>
      </w:tr>
      <w:tr>
        <w:trPr>
          <w:trHeight w:val="380" w:hRule="atLeast"/>
        </w:trPr>
        <w:tc>
          <w:tcPr>
            <w:tcW w:w="434" w:type="dxa"/>
            <w:tcBorders>
              <w:bottom w:val="nil"/>
              <w:right w:val="nil"/>
            </w:tcBorders>
          </w:tcPr>
          <w:p>
            <w:pPr>
              <w:pStyle w:val="TableParagraph"/>
              <w:spacing w:line="240" w:lineRule="auto" w:before="0"/>
              <w:jc w:val="left"/>
              <w:rPr>
                <w:rFonts w:ascii="Times New Roman"/>
                <w:sz w:val="18"/>
              </w:rPr>
            </w:pPr>
          </w:p>
        </w:tc>
        <w:tc>
          <w:tcPr>
            <w:tcW w:w="1486" w:type="dxa"/>
            <w:tcBorders>
              <w:left w:val="nil"/>
              <w:bottom w:val="nil"/>
            </w:tcBorders>
          </w:tcPr>
          <w:p>
            <w:pPr>
              <w:pStyle w:val="TableParagraph"/>
              <w:spacing w:line="240" w:lineRule="auto" w:before="115"/>
              <w:ind w:left="330"/>
              <w:jc w:val="left"/>
              <w:rPr>
                <w:sz w:val="18"/>
              </w:rPr>
            </w:pPr>
            <w:r>
              <w:rPr>
                <w:sz w:val="18"/>
              </w:rPr>
              <w:t>Regresión</w:t>
            </w:r>
          </w:p>
        </w:tc>
        <w:tc>
          <w:tcPr>
            <w:tcW w:w="3032" w:type="dxa"/>
            <w:tcBorders>
              <w:bottom w:val="nil"/>
              <w:right w:val="single" w:sz="8" w:space="0" w:color="000000"/>
            </w:tcBorders>
          </w:tcPr>
          <w:p>
            <w:pPr>
              <w:pStyle w:val="TableParagraph"/>
              <w:spacing w:line="240" w:lineRule="auto" w:before="115"/>
              <w:ind w:right="35"/>
              <w:rPr>
                <w:sz w:val="18"/>
              </w:rPr>
            </w:pPr>
            <w:r>
              <w:rPr>
                <w:sz w:val="18"/>
              </w:rPr>
              <w:t>457884174589848260000000.000</w:t>
            </w:r>
          </w:p>
        </w:tc>
        <w:tc>
          <w:tcPr>
            <w:tcW w:w="1004" w:type="dxa"/>
            <w:tcBorders>
              <w:left w:val="single" w:sz="8" w:space="0" w:color="000000"/>
              <w:bottom w:val="nil"/>
              <w:right w:val="single" w:sz="8" w:space="0" w:color="000000"/>
            </w:tcBorders>
          </w:tcPr>
          <w:p>
            <w:pPr>
              <w:pStyle w:val="TableParagraph"/>
              <w:spacing w:line="240" w:lineRule="auto" w:before="115"/>
              <w:ind w:right="29"/>
              <w:rPr>
                <w:sz w:val="18"/>
              </w:rPr>
            </w:pPr>
            <w:r>
              <w:rPr>
                <w:w w:val="99"/>
                <w:sz w:val="18"/>
              </w:rPr>
              <w:t>2</w:t>
            </w:r>
          </w:p>
        </w:tc>
        <w:tc>
          <w:tcPr>
            <w:tcW w:w="2957" w:type="dxa"/>
            <w:tcBorders>
              <w:left w:val="single" w:sz="8" w:space="0" w:color="000000"/>
              <w:bottom w:val="nil"/>
              <w:right w:val="single" w:sz="8" w:space="0" w:color="000000"/>
            </w:tcBorders>
          </w:tcPr>
          <w:p>
            <w:pPr>
              <w:pStyle w:val="TableParagraph"/>
              <w:spacing w:line="240" w:lineRule="auto" w:before="115"/>
              <w:ind w:right="35"/>
              <w:rPr>
                <w:sz w:val="18"/>
              </w:rPr>
            </w:pPr>
            <w:r>
              <w:rPr>
                <w:sz w:val="18"/>
              </w:rPr>
              <w:t>228942087294924130000000.000</w:t>
            </w:r>
          </w:p>
        </w:tc>
        <w:tc>
          <w:tcPr>
            <w:tcW w:w="1005" w:type="dxa"/>
            <w:vMerge w:val="restart"/>
            <w:tcBorders>
              <w:left w:val="single" w:sz="8" w:space="0" w:color="000000"/>
              <w:right w:val="single" w:sz="8" w:space="0" w:color="000000"/>
            </w:tcBorders>
          </w:tcPr>
          <w:p>
            <w:pPr>
              <w:pStyle w:val="TableParagraph"/>
              <w:spacing w:line="240" w:lineRule="auto" w:before="115"/>
              <w:ind w:left="400"/>
              <w:jc w:val="left"/>
              <w:rPr>
                <w:sz w:val="18"/>
              </w:rPr>
            </w:pPr>
            <w:r>
              <w:rPr>
                <w:sz w:val="18"/>
              </w:rPr>
              <w:t>51.789</w:t>
            </w:r>
          </w:p>
        </w:tc>
        <w:tc>
          <w:tcPr>
            <w:tcW w:w="1156" w:type="dxa"/>
            <w:vMerge w:val="restart"/>
            <w:tcBorders>
              <w:left w:val="single" w:sz="8" w:space="0" w:color="000000"/>
            </w:tcBorders>
          </w:tcPr>
          <w:p>
            <w:pPr>
              <w:pStyle w:val="TableParagraph"/>
              <w:spacing w:line="240" w:lineRule="auto" w:before="115"/>
              <w:ind w:left="675"/>
              <w:jc w:val="left"/>
              <w:rPr>
                <w:sz w:val="12"/>
              </w:rPr>
            </w:pPr>
            <w:r>
              <w:rPr>
                <w:sz w:val="18"/>
              </w:rPr>
              <w:t>.000</w:t>
            </w:r>
            <w:r>
              <w:rPr>
                <w:position w:val="5"/>
                <w:sz w:val="12"/>
              </w:rPr>
              <w:t>b</w:t>
            </w:r>
          </w:p>
        </w:tc>
      </w:tr>
      <w:tr>
        <w:trPr>
          <w:trHeight w:val="319" w:hRule="atLeast"/>
        </w:trPr>
        <w:tc>
          <w:tcPr>
            <w:tcW w:w="434" w:type="dxa"/>
            <w:tcBorders>
              <w:top w:val="nil"/>
              <w:bottom w:val="nil"/>
              <w:right w:val="nil"/>
            </w:tcBorders>
          </w:tcPr>
          <w:p>
            <w:pPr>
              <w:pStyle w:val="TableParagraph"/>
              <w:spacing w:line="240" w:lineRule="auto" w:before="53"/>
              <w:ind w:left="25"/>
              <w:jc w:val="left"/>
              <w:rPr>
                <w:sz w:val="18"/>
              </w:rPr>
            </w:pPr>
            <w:r>
              <w:rPr>
                <w:w w:val="99"/>
                <w:sz w:val="18"/>
              </w:rPr>
              <w:t>2</w:t>
            </w:r>
          </w:p>
        </w:tc>
        <w:tc>
          <w:tcPr>
            <w:tcW w:w="1486" w:type="dxa"/>
            <w:tcBorders>
              <w:top w:val="nil"/>
              <w:left w:val="nil"/>
              <w:bottom w:val="nil"/>
            </w:tcBorders>
          </w:tcPr>
          <w:p>
            <w:pPr>
              <w:pStyle w:val="TableParagraph"/>
              <w:spacing w:line="240" w:lineRule="auto" w:before="53"/>
              <w:ind w:left="330"/>
              <w:jc w:val="left"/>
              <w:rPr>
                <w:sz w:val="18"/>
              </w:rPr>
            </w:pPr>
            <w:r>
              <w:rPr>
                <w:sz w:val="18"/>
              </w:rPr>
              <w:t>Residual</w:t>
            </w:r>
          </w:p>
        </w:tc>
        <w:tc>
          <w:tcPr>
            <w:tcW w:w="3032" w:type="dxa"/>
            <w:tcBorders>
              <w:top w:val="nil"/>
              <w:bottom w:val="nil"/>
              <w:right w:val="single" w:sz="8" w:space="0" w:color="000000"/>
            </w:tcBorders>
          </w:tcPr>
          <w:p>
            <w:pPr>
              <w:pStyle w:val="TableParagraph"/>
              <w:spacing w:line="240" w:lineRule="auto" w:before="53"/>
              <w:ind w:right="35"/>
              <w:rPr>
                <w:sz w:val="18"/>
              </w:rPr>
            </w:pPr>
            <w:r>
              <w:rPr>
                <w:sz w:val="18"/>
              </w:rPr>
              <w:t>1321777100229699000000000.000</w:t>
            </w:r>
          </w:p>
        </w:tc>
        <w:tc>
          <w:tcPr>
            <w:tcW w:w="1004" w:type="dxa"/>
            <w:tcBorders>
              <w:top w:val="nil"/>
              <w:left w:val="single" w:sz="8" w:space="0" w:color="000000"/>
              <w:bottom w:val="nil"/>
              <w:right w:val="single" w:sz="8" w:space="0" w:color="000000"/>
            </w:tcBorders>
          </w:tcPr>
          <w:p>
            <w:pPr>
              <w:pStyle w:val="TableParagraph"/>
              <w:spacing w:line="240" w:lineRule="auto" w:before="53"/>
              <w:ind w:right="31"/>
              <w:rPr>
                <w:sz w:val="18"/>
              </w:rPr>
            </w:pPr>
            <w:r>
              <w:rPr>
                <w:w w:val="95"/>
                <w:sz w:val="18"/>
              </w:rPr>
              <w:t>299</w:t>
            </w:r>
          </w:p>
        </w:tc>
        <w:tc>
          <w:tcPr>
            <w:tcW w:w="2957" w:type="dxa"/>
            <w:tcBorders>
              <w:top w:val="nil"/>
              <w:left w:val="single" w:sz="8" w:space="0" w:color="000000"/>
              <w:bottom w:val="nil"/>
              <w:right w:val="single" w:sz="8" w:space="0" w:color="000000"/>
            </w:tcBorders>
          </w:tcPr>
          <w:p>
            <w:pPr>
              <w:pStyle w:val="TableParagraph"/>
              <w:spacing w:line="240" w:lineRule="auto" w:before="53"/>
              <w:ind w:right="35"/>
              <w:rPr>
                <w:sz w:val="18"/>
              </w:rPr>
            </w:pPr>
            <w:r>
              <w:rPr>
                <w:sz w:val="18"/>
              </w:rPr>
              <w:t>4420659198092639000000.000</w:t>
            </w:r>
          </w:p>
        </w:tc>
        <w:tc>
          <w:tcPr>
            <w:tcW w:w="1005" w:type="dxa"/>
            <w:vMerge/>
            <w:tcBorders>
              <w:top w:val="nil"/>
              <w:left w:val="single" w:sz="8" w:space="0" w:color="000000"/>
              <w:right w:val="single" w:sz="8" w:space="0" w:color="000000"/>
            </w:tcBorders>
          </w:tcPr>
          <w:p>
            <w:pPr>
              <w:rPr>
                <w:sz w:val="2"/>
                <w:szCs w:val="2"/>
              </w:rPr>
            </w:pPr>
          </w:p>
        </w:tc>
        <w:tc>
          <w:tcPr>
            <w:tcW w:w="1156" w:type="dxa"/>
            <w:vMerge/>
            <w:tcBorders>
              <w:top w:val="nil"/>
              <w:left w:val="single" w:sz="8" w:space="0" w:color="000000"/>
            </w:tcBorders>
          </w:tcPr>
          <w:p>
            <w:pPr>
              <w:rPr>
                <w:sz w:val="2"/>
                <w:szCs w:val="2"/>
              </w:rPr>
            </w:pPr>
          </w:p>
        </w:tc>
      </w:tr>
      <w:tr>
        <w:trPr>
          <w:trHeight w:val="261" w:hRule="atLeast"/>
        </w:trPr>
        <w:tc>
          <w:tcPr>
            <w:tcW w:w="434" w:type="dxa"/>
            <w:tcBorders>
              <w:top w:val="nil"/>
              <w:right w:val="nil"/>
            </w:tcBorders>
          </w:tcPr>
          <w:p>
            <w:pPr>
              <w:pStyle w:val="TableParagraph"/>
              <w:spacing w:line="240" w:lineRule="auto" w:before="0"/>
              <w:jc w:val="left"/>
              <w:rPr>
                <w:rFonts w:ascii="Times New Roman"/>
                <w:sz w:val="18"/>
              </w:rPr>
            </w:pPr>
          </w:p>
        </w:tc>
        <w:tc>
          <w:tcPr>
            <w:tcW w:w="1486" w:type="dxa"/>
            <w:tcBorders>
              <w:top w:val="nil"/>
              <w:left w:val="nil"/>
            </w:tcBorders>
          </w:tcPr>
          <w:p>
            <w:pPr>
              <w:pStyle w:val="TableParagraph"/>
              <w:spacing w:line="188" w:lineRule="exact" w:before="53"/>
              <w:ind w:left="330"/>
              <w:jc w:val="left"/>
              <w:rPr>
                <w:sz w:val="18"/>
              </w:rPr>
            </w:pPr>
            <w:r>
              <w:rPr>
                <w:sz w:val="18"/>
              </w:rPr>
              <w:t>Total</w:t>
            </w:r>
          </w:p>
        </w:tc>
        <w:tc>
          <w:tcPr>
            <w:tcW w:w="3032" w:type="dxa"/>
            <w:tcBorders>
              <w:top w:val="nil"/>
              <w:right w:val="single" w:sz="8" w:space="0" w:color="000000"/>
            </w:tcBorders>
          </w:tcPr>
          <w:p>
            <w:pPr>
              <w:pStyle w:val="TableParagraph"/>
              <w:spacing w:line="188" w:lineRule="exact" w:before="53"/>
              <w:ind w:right="34"/>
              <w:rPr>
                <w:sz w:val="18"/>
              </w:rPr>
            </w:pPr>
            <w:r>
              <w:rPr>
                <w:sz w:val="18"/>
              </w:rPr>
              <w:t>1779661274819547300000000.000</w:t>
            </w:r>
          </w:p>
        </w:tc>
        <w:tc>
          <w:tcPr>
            <w:tcW w:w="1004" w:type="dxa"/>
            <w:tcBorders>
              <w:top w:val="nil"/>
              <w:left w:val="single" w:sz="8" w:space="0" w:color="000000"/>
              <w:right w:val="single" w:sz="8" w:space="0" w:color="000000"/>
            </w:tcBorders>
          </w:tcPr>
          <w:p>
            <w:pPr>
              <w:pStyle w:val="TableParagraph"/>
              <w:spacing w:line="188" w:lineRule="exact" w:before="53"/>
              <w:ind w:right="31"/>
              <w:rPr>
                <w:sz w:val="18"/>
              </w:rPr>
            </w:pPr>
            <w:r>
              <w:rPr>
                <w:w w:val="95"/>
                <w:sz w:val="18"/>
              </w:rPr>
              <w:t>301</w:t>
            </w:r>
          </w:p>
        </w:tc>
        <w:tc>
          <w:tcPr>
            <w:tcW w:w="2957" w:type="dxa"/>
            <w:tcBorders>
              <w:top w:val="nil"/>
              <w:left w:val="single" w:sz="8" w:space="0" w:color="000000"/>
              <w:right w:val="single" w:sz="8" w:space="0" w:color="000000"/>
            </w:tcBorders>
          </w:tcPr>
          <w:p>
            <w:pPr>
              <w:pStyle w:val="TableParagraph"/>
              <w:spacing w:line="240" w:lineRule="auto" w:before="0"/>
              <w:jc w:val="left"/>
              <w:rPr>
                <w:rFonts w:ascii="Times New Roman"/>
                <w:sz w:val="18"/>
              </w:rPr>
            </w:pPr>
          </w:p>
        </w:tc>
        <w:tc>
          <w:tcPr>
            <w:tcW w:w="1005" w:type="dxa"/>
            <w:vMerge/>
            <w:tcBorders>
              <w:top w:val="nil"/>
              <w:left w:val="single" w:sz="8" w:space="0" w:color="000000"/>
              <w:right w:val="single" w:sz="8" w:space="0" w:color="000000"/>
            </w:tcBorders>
          </w:tcPr>
          <w:p>
            <w:pPr>
              <w:rPr>
                <w:sz w:val="2"/>
                <w:szCs w:val="2"/>
              </w:rPr>
            </w:pPr>
          </w:p>
        </w:tc>
        <w:tc>
          <w:tcPr>
            <w:tcW w:w="1156"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86"/>
      </w:tblGrid>
      <w:tr>
        <w:trPr>
          <w:trHeight w:val="260" w:hRule="atLeast"/>
        </w:trPr>
        <w:tc>
          <w:tcPr>
            <w:tcW w:w="6786" w:type="dxa"/>
          </w:tcPr>
          <w:p>
            <w:pPr>
              <w:pStyle w:val="TableParagraph"/>
              <w:spacing w:line="201" w:lineRule="exact" w:before="0"/>
              <w:ind w:left="200"/>
              <w:jc w:val="left"/>
              <w:rPr>
                <w:sz w:val="18"/>
              </w:rPr>
            </w:pPr>
            <w:r>
              <w:rPr>
                <w:sz w:val="18"/>
              </w:rPr>
              <w:t>a. Variable dependiente: RES_22</w:t>
            </w:r>
          </w:p>
        </w:tc>
      </w:tr>
      <w:tr>
        <w:trPr>
          <w:trHeight w:val="260" w:hRule="atLeast"/>
        </w:trPr>
        <w:tc>
          <w:tcPr>
            <w:tcW w:w="6786" w:type="dxa"/>
          </w:tcPr>
          <w:p>
            <w:pPr>
              <w:pStyle w:val="TableParagraph"/>
              <w:spacing w:line="187" w:lineRule="exact" w:before="53"/>
              <w:ind w:left="200"/>
              <w:jc w:val="left"/>
              <w:rPr>
                <w:sz w:val="18"/>
              </w:rPr>
            </w:pPr>
            <w:r>
              <w:rPr>
                <w:sz w:val="18"/>
              </w:rPr>
              <w:t>b. Variables predictoras: (Constante), PRE_22, Unstandardized Predicted Value</w:t>
            </w:r>
          </w:p>
        </w:tc>
      </w:tr>
    </w:tbl>
    <w:p>
      <w:pPr>
        <w:spacing w:after="0" w:line="187" w:lineRule="exact"/>
        <w:jc w:val="left"/>
        <w:rPr>
          <w:sz w:val="18"/>
        </w:rPr>
        <w:sectPr>
          <w:pgSz w:w="12240" w:h="15840"/>
          <w:pgMar w:header="0" w:footer="982" w:top="1480" w:bottom="1260" w:left="400" w:right="180"/>
        </w:sect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314"/>
        <w:gridCol w:w="481"/>
        <w:gridCol w:w="1249"/>
        <w:gridCol w:w="1250"/>
        <w:gridCol w:w="866"/>
        <w:gridCol w:w="820"/>
      </w:tblGrid>
      <w:tr>
        <w:trPr>
          <w:trHeight w:val="1004" w:hRule="atLeast"/>
        </w:trPr>
        <w:tc>
          <w:tcPr>
            <w:tcW w:w="3314" w:type="dxa"/>
          </w:tcPr>
          <w:p>
            <w:pPr>
              <w:pStyle w:val="TableParagraph"/>
              <w:spacing w:line="290" w:lineRule="exact" w:before="0"/>
              <w:ind w:left="50"/>
              <w:jc w:val="left"/>
              <w:rPr>
                <w:b/>
                <w:sz w:val="26"/>
              </w:rPr>
            </w:pPr>
            <w:r>
              <w:rPr>
                <w:b/>
                <w:sz w:val="26"/>
              </w:rPr>
              <w:t>III- Modelo Número 3</w:t>
            </w:r>
          </w:p>
          <w:p>
            <w:pPr>
              <w:pStyle w:val="TableParagraph"/>
              <w:spacing w:line="240" w:lineRule="auto" w:before="9"/>
              <w:jc w:val="left"/>
              <w:rPr>
                <w:b/>
                <w:sz w:val="25"/>
              </w:rPr>
            </w:pPr>
          </w:p>
          <w:p>
            <w:pPr>
              <w:pStyle w:val="TableParagraph"/>
              <w:spacing w:line="240" w:lineRule="auto" w:before="0"/>
              <w:ind w:left="50"/>
              <w:jc w:val="left"/>
              <w:rPr>
                <w:b/>
                <w:sz w:val="26"/>
              </w:rPr>
            </w:pPr>
            <w:r>
              <w:rPr>
                <w:b/>
                <w:sz w:val="26"/>
              </w:rPr>
              <w:t>A- Regresión/ACR/VIF</w:t>
            </w:r>
          </w:p>
        </w:tc>
        <w:tc>
          <w:tcPr>
            <w:tcW w:w="4666" w:type="dxa"/>
            <w:gridSpan w:val="5"/>
            <w:vMerge w:val="restart"/>
          </w:tcPr>
          <w:p>
            <w:pPr>
              <w:pStyle w:val="TableParagraph"/>
              <w:spacing w:line="240" w:lineRule="auto" w:before="0"/>
              <w:jc w:val="left"/>
              <w:rPr>
                <w:rFonts w:ascii="Times New Roman"/>
                <w:sz w:val="16"/>
              </w:rPr>
            </w:pPr>
          </w:p>
        </w:tc>
      </w:tr>
      <w:tr>
        <w:trPr>
          <w:trHeight w:val="388" w:hRule="atLeast"/>
        </w:trPr>
        <w:tc>
          <w:tcPr>
            <w:tcW w:w="3314" w:type="dxa"/>
          </w:tcPr>
          <w:p>
            <w:pPr>
              <w:pStyle w:val="TableParagraph"/>
              <w:spacing w:line="240" w:lineRule="auto" w:before="118"/>
              <w:ind w:left="50"/>
              <w:jc w:val="left"/>
              <w:rPr>
                <w:rFonts w:ascii="Courier New"/>
                <w:b/>
                <w:sz w:val="16"/>
              </w:rPr>
            </w:pPr>
            <w:r>
              <w:rPr>
                <w:rFonts w:ascii="Courier New"/>
                <w:b/>
                <w:sz w:val="16"/>
              </w:rPr>
              <w:t>Analysis of Variance</w:t>
            </w:r>
          </w:p>
        </w:tc>
        <w:tc>
          <w:tcPr>
            <w:tcW w:w="4666" w:type="dxa"/>
            <w:gridSpan w:val="5"/>
            <w:vMerge/>
            <w:tcBorders>
              <w:top w:val="nil"/>
            </w:tcBorders>
          </w:tcPr>
          <w:p>
            <w:pPr>
              <w:rPr>
                <w:sz w:val="2"/>
                <w:szCs w:val="2"/>
              </w:rPr>
            </w:pPr>
          </w:p>
        </w:tc>
      </w:tr>
      <w:tr>
        <w:trPr>
          <w:trHeight w:val="272" w:hRule="atLeast"/>
        </w:trPr>
        <w:tc>
          <w:tcPr>
            <w:tcW w:w="3314" w:type="dxa"/>
          </w:tcPr>
          <w:p>
            <w:pPr>
              <w:pStyle w:val="TableParagraph"/>
              <w:spacing w:line="163" w:lineRule="exact" w:before="89"/>
              <w:ind w:left="50"/>
              <w:jc w:val="left"/>
              <w:rPr>
                <w:rFonts w:ascii="Courier New"/>
                <w:b/>
                <w:sz w:val="16"/>
              </w:rPr>
            </w:pPr>
            <w:r>
              <w:rPr>
                <w:rFonts w:ascii="Courier New"/>
                <w:b/>
                <w:sz w:val="16"/>
              </w:rPr>
              <w:t>Source</w:t>
            </w:r>
          </w:p>
        </w:tc>
        <w:tc>
          <w:tcPr>
            <w:tcW w:w="481" w:type="dxa"/>
          </w:tcPr>
          <w:p>
            <w:pPr>
              <w:pStyle w:val="TableParagraph"/>
              <w:spacing w:line="163" w:lineRule="exact" w:before="89"/>
              <w:ind w:right="95"/>
              <w:rPr>
                <w:rFonts w:ascii="Courier New"/>
                <w:b/>
                <w:sz w:val="16"/>
              </w:rPr>
            </w:pPr>
            <w:r>
              <w:rPr>
                <w:rFonts w:ascii="Courier New"/>
                <w:b/>
                <w:sz w:val="16"/>
              </w:rPr>
              <w:t>DF</w:t>
            </w:r>
          </w:p>
        </w:tc>
        <w:tc>
          <w:tcPr>
            <w:tcW w:w="1249" w:type="dxa"/>
          </w:tcPr>
          <w:p>
            <w:pPr>
              <w:pStyle w:val="TableParagraph"/>
              <w:spacing w:line="163" w:lineRule="exact" w:before="89"/>
              <w:ind w:right="94"/>
              <w:rPr>
                <w:rFonts w:ascii="Courier New"/>
                <w:b/>
                <w:sz w:val="16"/>
              </w:rPr>
            </w:pPr>
            <w:r>
              <w:rPr>
                <w:rFonts w:ascii="Courier New"/>
                <w:b/>
                <w:sz w:val="16"/>
              </w:rPr>
              <w:t>Adj SS</w:t>
            </w:r>
          </w:p>
        </w:tc>
        <w:tc>
          <w:tcPr>
            <w:tcW w:w="1250" w:type="dxa"/>
          </w:tcPr>
          <w:p>
            <w:pPr>
              <w:pStyle w:val="TableParagraph"/>
              <w:spacing w:line="163" w:lineRule="exact" w:before="89"/>
              <w:ind w:right="96"/>
              <w:rPr>
                <w:rFonts w:ascii="Courier New"/>
                <w:b/>
                <w:sz w:val="16"/>
              </w:rPr>
            </w:pPr>
            <w:r>
              <w:rPr>
                <w:rFonts w:ascii="Courier New"/>
                <w:b/>
                <w:sz w:val="16"/>
              </w:rPr>
              <w:t>Adj MS</w:t>
            </w:r>
          </w:p>
        </w:tc>
        <w:tc>
          <w:tcPr>
            <w:tcW w:w="866" w:type="dxa"/>
          </w:tcPr>
          <w:p>
            <w:pPr>
              <w:pStyle w:val="TableParagraph"/>
              <w:spacing w:line="163" w:lineRule="exact" w:before="89"/>
              <w:ind w:right="98"/>
              <w:rPr>
                <w:rFonts w:ascii="Courier New"/>
                <w:b/>
                <w:sz w:val="16"/>
              </w:rPr>
            </w:pPr>
            <w:r>
              <w:rPr>
                <w:rFonts w:ascii="Courier New"/>
                <w:b/>
                <w:sz w:val="16"/>
              </w:rPr>
              <w:t>F-Value</w:t>
            </w:r>
          </w:p>
        </w:tc>
        <w:tc>
          <w:tcPr>
            <w:tcW w:w="820" w:type="dxa"/>
          </w:tcPr>
          <w:p>
            <w:pPr>
              <w:pStyle w:val="TableParagraph"/>
              <w:spacing w:line="163" w:lineRule="exact" w:before="89"/>
              <w:ind w:right="53"/>
              <w:rPr>
                <w:rFonts w:ascii="Courier New"/>
                <w:b/>
                <w:sz w:val="16"/>
              </w:rPr>
            </w:pPr>
            <w:r>
              <w:rPr>
                <w:rFonts w:ascii="Courier New"/>
                <w:b/>
                <w:sz w:val="16"/>
              </w:rPr>
              <w:t>P-Value</w:t>
            </w:r>
          </w:p>
        </w:tc>
      </w:tr>
      <w:tr>
        <w:trPr>
          <w:trHeight w:val="182" w:hRule="atLeast"/>
        </w:trPr>
        <w:tc>
          <w:tcPr>
            <w:tcW w:w="3314" w:type="dxa"/>
          </w:tcPr>
          <w:p>
            <w:pPr>
              <w:pStyle w:val="TableParagraph"/>
              <w:spacing w:line="161" w:lineRule="exact" w:before="1"/>
              <w:ind w:left="50"/>
              <w:jc w:val="left"/>
              <w:rPr>
                <w:rFonts w:ascii="Courier New"/>
                <w:b/>
                <w:sz w:val="16"/>
              </w:rPr>
            </w:pPr>
            <w:r>
              <w:rPr>
                <w:rFonts w:ascii="Courier New"/>
                <w:b/>
                <w:sz w:val="16"/>
              </w:rPr>
              <w:t>Regression</w:t>
            </w:r>
          </w:p>
        </w:tc>
        <w:tc>
          <w:tcPr>
            <w:tcW w:w="481" w:type="dxa"/>
          </w:tcPr>
          <w:p>
            <w:pPr>
              <w:pStyle w:val="TableParagraph"/>
              <w:spacing w:line="161" w:lineRule="exact" w:before="1"/>
              <w:ind w:right="95"/>
              <w:rPr>
                <w:rFonts w:ascii="Courier New"/>
                <w:b/>
                <w:sz w:val="16"/>
              </w:rPr>
            </w:pPr>
            <w:r>
              <w:rPr>
                <w:rFonts w:ascii="Courier New"/>
                <w:b/>
                <w:sz w:val="16"/>
              </w:rPr>
              <w:t>8</w:t>
            </w:r>
          </w:p>
        </w:tc>
        <w:tc>
          <w:tcPr>
            <w:tcW w:w="1249" w:type="dxa"/>
          </w:tcPr>
          <w:p>
            <w:pPr>
              <w:pStyle w:val="TableParagraph"/>
              <w:spacing w:line="161" w:lineRule="exact" w:before="1"/>
              <w:ind w:right="96"/>
              <w:rPr>
                <w:rFonts w:ascii="Courier New"/>
                <w:b/>
                <w:sz w:val="16"/>
              </w:rPr>
            </w:pPr>
            <w:r>
              <w:rPr>
                <w:rFonts w:ascii="Courier New"/>
                <w:b/>
                <w:sz w:val="16"/>
              </w:rPr>
              <w:t>3.29849E+12</w:t>
            </w:r>
          </w:p>
        </w:tc>
        <w:tc>
          <w:tcPr>
            <w:tcW w:w="1250" w:type="dxa"/>
          </w:tcPr>
          <w:p>
            <w:pPr>
              <w:pStyle w:val="TableParagraph"/>
              <w:spacing w:line="161" w:lineRule="exact" w:before="1"/>
              <w:ind w:right="98"/>
              <w:rPr>
                <w:rFonts w:ascii="Courier New"/>
                <w:b/>
                <w:sz w:val="16"/>
              </w:rPr>
            </w:pPr>
            <w:r>
              <w:rPr>
                <w:rFonts w:ascii="Courier New"/>
                <w:b/>
                <w:sz w:val="16"/>
              </w:rPr>
              <w:t>4.12311E+11</w:t>
            </w:r>
          </w:p>
        </w:tc>
        <w:tc>
          <w:tcPr>
            <w:tcW w:w="866" w:type="dxa"/>
          </w:tcPr>
          <w:p>
            <w:pPr>
              <w:pStyle w:val="TableParagraph"/>
              <w:spacing w:line="161" w:lineRule="exact" w:before="1"/>
              <w:ind w:right="100"/>
              <w:rPr>
                <w:rFonts w:ascii="Courier New"/>
                <w:b/>
                <w:sz w:val="16"/>
              </w:rPr>
            </w:pPr>
            <w:r>
              <w:rPr>
                <w:rFonts w:ascii="Courier New"/>
                <w:b/>
                <w:sz w:val="16"/>
              </w:rPr>
              <w:t>9.00</w:t>
            </w:r>
          </w:p>
        </w:tc>
        <w:tc>
          <w:tcPr>
            <w:tcW w:w="820" w:type="dxa"/>
          </w:tcPr>
          <w:p>
            <w:pPr>
              <w:pStyle w:val="TableParagraph"/>
              <w:spacing w:line="161" w:lineRule="exact" w:before="1"/>
              <w:ind w:right="56"/>
              <w:rPr>
                <w:rFonts w:ascii="Courier New"/>
                <w:b/>
                <w:sz w:val="16"/>
              </w:rPr>
            </w:pPr>
            <w:r>
              <w:rPr>
                <w:rFonts w:ascii="Courier New"/>
                <w:b/>
                <w:sz w:val="16"/>
              </w:rPr>
              <w:t>0.000</w:t>
            </w:r>
          </w:p>
        </w:tc>
      </w:tr>
      <w:tr>
        <w:trPr>
          <w:trHeight w:val="180" w:hRule="atLeast"/>
        </w:trPr>
        <w:tc>
          <w:tcPr>
            <w:tcW w:w="3314" w:type="dxa"/>
          </w:tcPr>
          <w:p>
            <w:pPr>
              <w:pStyle w:val="TableParagraph"/>
              <w:spacing w:line="160" w:lineRule="exact" w:before="0"/>
              <w:ind w:left="241"/>
              <w:jc w:val="left"/>
              <w:rPr>
                <w:rFonts w:ascii="Courier New" w:hAnsi="Courier New"/>
                <w:b/>
                <w:sz w:val="16"/>
              </w:rPr>
            </w:pPr>
            <w:r>
              <w:rPr>
                <w:rFonts w:ascii="Courier New" w:hAnsi="Courier New"/>
                <w:b/>
                <w:sz w:val="16"/>
              </w:rPr>
              <w:t>Área de Construcción en metros</w:t>
            </w:r>
          </w:p>
        </w:tc>
        <w:tc>
          <w:tcPr>
            <w:tcW w:w="481" w:type="dxa"/>
          </w:tcPr>
          <w:p>
            <w:pPr>
              <w:pStyle w:val="TableParagraph"/>
              <w:spacing w:line="160" w:lineRule="exact" w:before="0"/>
              <w:ind w:right="95"/>
              <w:rPr>
                <w:rFonts w:ascii="Courier New"/>
                <w:b/>
                <w:sz w:val="16"/>
              </w:rPr>
            </w:pPr>
            <w:r>
              <w:rPr>
                <w:rFonts w:ascii="Courier New"/>
                <w:b/>
                <w:sz w:val="16"/>
              </w:rPr>
              <w:t>1</w:t>
            </w:r>
          </w:p>
        </w:tc>
        <w:tc>
          <w:tcPr>
            <w:tcW w:w="1249" w:type="dxa"/>
          </w:tcPr>
          <w:p>
            <w:pPr>
              <w:pStyle w:val="TableParagraph"/>
              <w:spacing w:line="160" w:lineRule="exact" w:before="0"/>
              <w:ind w:right="96"/>
              <w:rPr>
                <w:rFonts w:ascii="Courier New"/>
                <w:b/>
                <w:sz w:val="16"/>
              </w:rPr>
            </w:pPr>
            <w:r>
              <w:rPr>
                <w:rFonts w:ascii="Courier New"/>
                <w:b/>
                <w:sz w:val="16"/>
              </w:rPr>
              <w:t>2.82555E+11</w:t>
            </w:r>
          </w:p>
        </w:tc>
        <w:tc>
          <w:tcPr>
            <w:tcW w:w="1250" w:type="dxa"/>
          </w:tcPr>
          <w:p>
            <w:pPr>
              <w:pStyle w:val="TableParagraph"/>
              <w:spacing w:line="160" w:lineRule="exact" w:before="0"/>
              <w:ind w:right="98"/>
              <w:rPr>
                <w:rFonts w:ascii="Courier New"/>
                <w:b/>
                <w:sz w:val="16"/>
              </w:rPr>
            </w:pPr>
            <w:r>
              <w:rPr>
                <w:rFonts w:ascii="Courier New"/>
                <w:b/>
                <w:sz w:val="16"/>
              </w:rPr>
              <w:t>2.82555E+11</w:t>
            </w:r>
          </w:p>
        </w:tc>
        <w:tc>
          <w:tcPr>
            <w:tcW w:w="866" w:type="dxa"/>
          </w:tcPr>
          <w:p>
            <w:pPr>
              <w:pStyle w:val="TableParagraph"/>
              <w:spacing w:line="160" w:lineRule="exact" w:before="0"/>
              <w:ind w:right="100"/>
              <w:rPr>
                <w:rFonts w:ascii="Courier New"/>
                <w:b/>
                <w:sz w:val="16"/>
              </w:rPr>
            </w:pPr>
            <w:r>
              <w:rPr>
                <w:rFonts w:ascii="Courier New"/>
                <w:b/>
                <w:sz w:val="16"/>
              </w:rPr>
              <w:t>6.17</w:t>
            </w:r>
          </w:p>
        </w:tc>
        <w:tc>
          <w:tcPr>
            <w:tcW w:w="820" w:type="dxa"/>
          </w:tcPr>
          <w:p>
            <w:pPr>
              <w:pStyle w:val="TableParagraph"/>
              <w:spacing w:line="160" w:lineRule="exact" w:before="0"/>
              <w:ind w:right="56"/>
              <w:rPr>
                <w:rFonts w:ascii="Courier New"/>
                <w:b/>
                <w:sz w:val="16"/>
              </w:rPr>
            </w:pPr>
            <w:r>
              <w:rPr>
                <w:rFonts w:ascii="Courier New"/>
                <w:b/>
                <w:sz w:val="16"/>
              </w:rPr>
              <w:t>0.014</w:t>
            </w:r>
          </w:p>
        </w:tc>
      </w:tr>
      <w:tr>
        <w:trPr>
          <w:trHeight w:val="182" w:hRule="atLeast"/>
        </w:trPr>
        <w:tc>
          <w:tcPr>
            <w:tcW w:w="3314" w:type="dxa"/>
          </w:tcPr>
          <w:p>
            <w:pPr>
              <w:pStyle w:val="TableParagraph"/>
              <w:spacing w:line="162" w:lineRule="exact" w:before="0"/>
              <w:ind w:left="241"/>
              <w:jc w:val="left"/>
              <w:rPr>
                <w:rFonts w:ascii="Courier New" w:hAnsi="Courier New"/>
                <w:b/>
                <w:sz w:val="16"/>
              </w:rPr>
            </w:pPr>
            <w:r>
              <w:rPr>
                <w:rFonts w:ascii="Courier New" w:hAnsi="Courier New"/>
                <w:b/>
                <w:sz w:val="16"/>
              </w:rPr>
              <w:t>Año de Construcción</w:t>
            </w:r>
          </w:p>
        </w:tc>
        <w:tc>
          <w:tcPr>
            <w:tcW w:w="481" w:type="dxa"/>
          </w:tcPr>
          <w:p>
            <w:pPr>
              <w:pStyle w:val="TableParagraph"/>
              <w:spacing w:line="162" w:lineRule="exact" w:before="0"/>
              <w:ind w:right="95"/>
              <w:rPr>
                <w:rFonts w:ascii="Courier New"/>
                <w:b/>
                <w:sz w:val="16"/>
              </w:rPr>
            </w:pPr>
            <w:r>
              <w:rPr>
                <w:rFonts w:ascii="Courier New"/>
                <w:b/>
                <w:sz w:val="16"/>
              </w:rPr>
              <w:t>1</w:t>
            </w:r>
          </w:p>
        </w:tc>
        <w:tc>
          <w:tcPr>
            <w:tcW w:w="1249" w:type="dxa"/>
          </w:tcPr>
          <w:p>
            <w:pPr>
              <w:pStyle w:val="TableParagraph"/>
              <w:spacing w:line="162" w:lineRule="exact" w:before="0"/>
              <w:ind w:right="96"/>
              <w:rPr>
                <w:rFonts w:ascii="Courier New"/>
                <w:b/>
                <w:sz w:val="16"/>
              </w:rPr>
            </w:pPr>
            <w:r>
              <w:rPr>
                <w:rFonts w:ascii="Courier New"/>
                <w:b/>
                <w:sz w:val="16"/>
              </w:rPr>
              <w:t>2.15850E+11</w:t>
            </w:r>
          </w:p>
        </w:tc>
        <w:tc>
          <w:tcPr>
            <w:tcW w:w="1250" w:type="dxa"/>
          </w:tcPr>
          <w:p>
            <w:pPr>
              <w:pStyle w:val="TableParagraph"/>
              <w:spacing w:line="162" w:lineRule="exact" w:before="0"/>
              <w:ind w:right="96"/>
              <w:rPr>
                <w:rFonts w:ascii="Courier New"/>
                <w:b/>
                <w:sz w:val="16"/>
              </w:rPr>
            </w:pPr>
            <w:r>
              <w:rPr>
                <w:rFonts w:ascii="Courier New"/>
                <w:b/>
                <w:sz w:val="16"/>
              </w:rPr>
              <w:t>2.15850E+11</w:t>
            </w:r>
          </w:p>
        </w:tc>
        <w:tc>
          <w:tcPr>
            <w:tcW w:w="866" w:type="dxa"/>
          </w:tcPr>
          <w:p>
            <w:pPr>
              <w:pStyle w:val="TableParagraph"/>
              <w:spacing w:line="162" w:lineRule="exact" w:before="0"/>
              <w:ind w:right="98"/>
              <w:rPr>
                <w:rFonts w:ascii="Courier New"/>
                <w:b/>
                <w:sz w:val="16"/>
              </w:rPr>
            </w:pPr>
            <w:r>
              <w:rPr>
                <w:rFonts w:ascii="Courier New"/>
                <w:b/>
                <w:sz w:val="16"/>
              </w:rPr>
              <w:t>4.71</w:t>
            </w:r>
          </w:p>
        </w:tc>
        <w:tc>
          <w:tcPr>
            <w:tcW w:w="820" w:type="dxa"/>
          </w:tcPr>
          <w:p>
            <w:pPr>
              <w:pStyle w:val="TableParagraph"/>
              <w:spacing w:line="162" w:lineRule="exact" w:before="0"/>
              <w:ind w:right="54"/>
              <w:rPr>
                <w:rFonts w:ascii="Courier New"/>
                <w:b/>
                <w:sz w:val="16"/>
              </w:rPr>
            </w:pPr>
            <w:r>
              <w:rPr>
                <w:rFonts w:ascii="Courier New"/>
                <w:b/>
                <w:sz w:val="16"/>
              </w:rPr>
              <w:t>0.031</w:t>
            </w:r>
          </w:p>
        </w:tc>
      </w:tr>
      <w:tr>
        <w:trPr>
          <w:trHeight w:val="182" w:hRule="atLeast"/>
        </w:trPr>
        <w:tc>
          <w:tcPr>
            <w:tcW w:w="3314" w:type="dxa"/>
          </w:tcPr>
          <w:p>
            <w:pPr>
              <w:pStyle w:val="TableParagraph"/>
              <w:spacing w:line="161" w:lineRule="exact" w:before="1"/>
              <w:ind w:left="241"/>
              <w:jc w:val="left"/>
              <w:rPr>
                <w:rFonts w:ascii="Courier New" w:hAnsi="Courier New"/>
                <w:b/>
                <w:sz w:val="16"/>
              </w:rPr>
            </w:pPr>
            <w:r>
              <w:rPr>
                <w:rFonts w:ascii="Courier New" w:hAnsi="Courier New"/>
                <w:b/>
                <w:sz w:val="16"/>
              </w:rPr>
              <w:t>Número de Plantas</w:t>
            </w:r>
          </w:p>
        </w:tc>
        <w:tc>
          <w:tcPr>
            <w:tcW w:w="481" w:type="dxa"/>
          </w:tcPr>
          <w:p>
            <w:pPr>
              <w:pStyle w:val="TableParagraph"/>
              <w:spacing w:line="161" w:lineRule="exact" w:before="1"/>
              <w:ind w:right="95"/>
              <w:rPr>
                <w:rFonts w:ascii="Courier New"/>
                <w:b/>
                <w:sz w:val="16"/>
              </w:rPr>
            </w:pPr>
            <w:r>
              <w:rPr>
                <w:rFonts w:ascii="Courier New"/>
                <w:b/>
                <w:sz w:val="16"/>
              </w:rPr>
              <w:t>1</w:t>
            </w:r>
          </w:p>
        </w:tc>
        <w:tc>
          <w:tcPr>
            <w:tcW w:w="1249" w:type="dxa"/>
          </w:tcPr>
          <w:p>
            <w:pPr>
              <w:pStyle w:val="TableParagraph"/>
              <w:spacing w:line="161" w:lineRule="exact" w:before="1"/>
              <w:ind w:right="96"/>
              <w:rPr>
                <w:rFonts w:ascii="Courier New"/>
                <w:b/>
                <w:sz w:val="16"/>
              </w:rPr>
            </w:pPr>
            <w:r>
              <w:rPr>
                <w:rFonts w:ascii="Courier New"/>
                <w:b/>
                <w:sz w:val="16"/>
              </w:rPr>
              <w:t>35932702432</w:t>
            </w:r>
          </w:p>
        </w:tc>
        <w:tc>
          <w:tcPr>
            <w:tcW w:w="1250" w:type="dxa"/>
          </w:tcPr>
          <w:p>
            <w:pPr>
              <w:pStyle w:val="TableParagraph"/>
              <w:spacing w:line="161" w:lineRule="exact" w:before="1"/>
              <w:ind w:right="98"/>
              <w:rPr>
                <w:rFonts w:ascii="Courier New"/>
                <w:b/>
                <w:sz w:val="16"/>
              </w:rPr>
            </w:pPr>
            <w:r>
              <w:rPr>
                <w:rFonts w:ascii="Courier New"/>
                <w:b/>
                <w:sz w:val="16"/>
              </w:rPr>
              <w:t>35932702432</w:t>
            </w:r>
          </w:p>
        </w:tc>
        <w:tc>
          <w:tcPr>
            <w:tcW w:w="866" w:type="dxa"/>
          </w:tcPr>
          <w:p>
            <w:pPr>
              <w:pStyle w:val="TableParagraph"/>
              <w:spacing w:line="161" w:lineRule="exact" w:before="1"/>
              <w:ind w:right="100"/>
              <w:rPr>
                <w:rFonts w:ascii="Courier New"/>
                <w:b/>
                <w:sz w:val="16"/>
              </w:rPr>
            </w:pPr>
            <w:r>
              <w:rPr>
                <w:rFonts w:ascii="Courier New"/>
                <w:b/>
                <w:sz w:val="16"/>
              </w:rPr>
              <w:t>0.78</w:t>
            </w:r>
          </w:p>
        </w:tc>
        <w:tc>
          <w:tcPr>
            <w:tcW w:w="820" w:type="dxa"/>
          </w:tcPr>
          <w:p>
            <w:pPr>
              <w:pStyle w:val="TableParagraph"/>
              <w:spacing w:line="161" w:lineRule="exact" w:before="1"/>
              <w:ind w:right="56"/>
              <w:rPr>
                <w:rFonts w:ascii="Courier New"/>
                <w:b/>
                <w:sz w:val="16"/>
              </w:rPr>
            </w:pPr>
            <w:r>
              <w:rPr>
                <w:rFonts w:ascii="Courier New"/>
                <w:b/>
                <w:sz w:val="16"/>
              </w:rPr>
              <w:t>0.376</w:t>
            </w:r>
          </w:p>
        </w:tc>
      </w:tr>
      <w:tr>
        <w:trPr>
          <w:trHeight w:val="180" w:hRule="atLeast"/>
        </w:trPr>
        <w:tc>
          <w:tcPr>
            <w:tcW w:w="3314" w:type="dxa"/>
          </w:tcPr>
          <w:p>
            <w:pPr>
              <w:pStyle w:val="TableParagraph"/>
              <w:spacing w:line="160" w:lineRule="exact" w:before="0"/>
              <w:ind w:left="241"/>
              <w:jc w:val="left"/>
              <w:rPr>
                <w:rFonts w:ascii="Courier New" w:hAnsi="Courier New"/>
                <w:b/>
                <w:sz w:val="16"/>
              </w:rPr>
            </w:pPr>
            <w:r>
              <w:rPr>
                <w:rFonts w:ascii="Courier New" w:hAnsi="Courier New"/>
                <w:b/>
                <w:sz w:val="16"/>
              </w:rPr>
              <w:t>Distancia a San José Centro por</w:t>
            </w:r>
          </w:p>
        </w:tc>
        <w:tc>
          <w:tcPr>
            <w:tcW w:w="481" w:type="dxa"/>
          </w:tcPr>
          <w:p>
            <w:pPr>
              <w:pStyle w:val="TableParagraph"/>
              <w:spacing w:line="160" w:lineRule="exact" w:before="0"/>
              <w:ind w:right="95"/>
              <w:rPr>
                <w:rFonts w:ascii="Courier New"/>
                <w:b/>
                <w:sz w:val="16"/>
              </w:rPr>
            </w:pPr>
            <w:r>
              <w:rPr>
                <w:rFonts w:ascii="Courier New"/>
                <w:b/>
                <w:sz w:val="16"/>
              </w:rPr>
              <w:t>1</w:t>
            </w:r>
          </w:p>
        </w:tc>
        <w:tc>
          <w:tcPr>
            <w:tcW w:w="1249" w:type="dxa"/>
          </w:tcPr>
          <w:p>
            <w:pPr>
              <w:pStyle w:val="TableParagraph"/>
              <w:spacing w:line="160" w:lineRule="exact" w:before="0"/>
              <w:ind w:right="96"/>
              <w:rPr>
                <w:rFonts w:ascii="Courier New"/>
                <w:b/>
                <w:sz w:val="16"/>
              </w:rPr>
            </w:pPr>
            <w:r>
              <w:rPr>
                <w:rFonts w:ascii="Courier New"/>
                <w:b/>
                <w:sz w:val="16"/>
              </w:rPr>
              <w:t>4.30858E+11</w:t>
            </w:r>
          </w:p>
        </w:tc>
        <w:tc>
          <w:tcPr>
            <w:tcW w:w="1250" w:type="dxa"/>
          </w:tcPr>
          <w:p>
            <w:pPr>
              <w:pStyle w:val="TableParagraph"/>
              <w:spacing w:line="160" w:lineRule="exact" w:before="0"/>
              <w:ind w:right="98"/>
              <w:rPr>
                <w:rFonts w:ascii="Courier New"/>
                <w:b/>
                <w:sz w:val="16"/>
              </w:rPr>
            </w:pPr>
            <w:r>
              <w:rPr>
                <w:rFonts w:ascii="Courier New"/>
                <w:b/>
                <w:sz w:val="16"/>
              </w:rPr>
              <w:t>4.30858E+11</w:t>
            </w:r>
          </w:p>
        </w:tc>
        <w:tc>
          <w:tcPr>
            <w:tcW w:w="866" w:type="dxa"/>
          </w:tcPr>
          <w:p>
            <w:pPr>
              <w:pStyle w:val="TableParagraph"/>
              <w:spacing w:line="160" w:lineRule="exact" w:before="0"/>
              <w:ind w:right="100"/>
              <w:rPr>
                <w:rFonts w:ascii="Courier New"/>
                <w:b/>
                <w:sz w:val="16"/>
              </w:rPr>
            </w:pPr>
            <w:r>
              <w:rPr>
                <w:rFonts w:ascii="Courier New"/>
                <w:b/>
                <w:sz w:val="16"/>
              </w:rPr>
              <w:t>9.41</w:t>
            </w:r>
          </w:p>
        </w:tc>
        <w:tc>
          <w:tcPr>
            <w:tcW w:w="820" w:type="dxa"/>
          </w:tcPr>
          <w:p>
            <w:pPr>
              <w:pStyle w:val="TableParagraph"/>
              <w:spacing w:line="160" w:lineRule="exact" w:before="0"/>
              <w:ind w:right="56"/>
              <w:rPr>
                <w:rFonts w:ascii="Courier New"/>
                <w:b/>
                <w:sz w:val="16"/>
              </w:rPr>
            </w:pPr>
            <w:r>
              <w:rPr>
                <w:rFonts w:ascii="Courier New"/>
                <w:b/>
                <w:sz w:val="16"/>
              </w:rPr>
              <w:t>0.002</w:t>
            </w:r>
          </w:p>
        </w:tc>
      </w:tr>
      <w:tr>
        <w:trPr>
          <w:trHeight w:val="182" w:hRule="atLeast"/>
        </w:trPr>
        <w:tc>
          <w:tcPr>
            <w:tcW w:w="3314" w:type="dxa"/>
          </w:tcPr>
          <w:p>
            <w:pPr>
              <w:pStyle w:val="TableParagraph"/>
              <w:spacing w:line="162" w:lineRule="exact" w:before="0"/>
              <w:ind w:left="241"/>
              <w:jc w:val="left"/>
              <w:rPr>
                <w:rFonts w:ascii="Courier New"/>
                <w:b/>
                <w:sz w:val="16"/>
              </w:rPr>
            </w:pPr>
            <w:r>
              <w:rPr>
                <w:rFonts w:ascii="Courier New"/>
                <w:b/>
                <w:sz w:val="16"/>
              </w:rPr>
              <w:t>Distancia a Aglomera-ciones de</w:t>
            </w:r>
          </w:p>
        </w:tc>
        <w:tc>
          <w:tcPr>
            <w:tcW w:w="481" w:type="dxa"/>
          </w:tcPr>
          <w:p>
            <w:pPr>
              <w:pStyle w:val="TableParagraph"/>
              <w:spacing w:line="162" w:lineRule="exact" w:before="0"/>
              <w:ind w:right="94"/>
              <w:rPr>
                <w:rFonts w:ascii="Courier New"/>
                <w:b/>
                <w:sz w:val="16"/>
              </w:rPr>
            </w:pPr>
            <w:r>
              <w:rPr>
                <w:rFonts w:ascii="Courier New"/>
                <w:b/>
                <w:sz w:val="16"/>
              </w:rPr>
              <w:t>1</w:t>
            </w:r>
          </w:p>
        </w:tc>
        <w:tc>
          <w:tcPr>
            <w:tcW w:w="1249" w:type="dxa"/>
          </w:tcPr>
          <w:p>
            <w:pPr>
              <w:pStyle w:val="TableParagraph"/>
              <w:spacing w:line="162" w:lineRule="exact" w:before="0"/>
              <w:ind w:right="95"/>
              <w:rPr>
                <w:rFonts w:ascii="Courier New"/>
                <w:b/>
                <w:sz w:val="16"/>
              </w:rPr>
            </w:pPr>
            <w:r>
              <w:rPr>
                <w:rFonts w:ascii="Courier New"/>
                <w:b/>
                <w:sz w:val="16"/>
              </w:rPr>
              <w:t>2.38123E+11</w:t>
            </w:r>
          </w:p>
        </w:tc>
        <w:tc>
          <w:tcPr>
            <w:tcW w:w="1250" w:type="dxa"/>
          </w:tcPr>
          <w:p>
            <w:pPr>
              <w:pStyle w:val="TableParagraph"/>
              <w:spacing w:line="162" w:lineRule="exact" w:before="0"/>
              <w:ind w:right="97"/>
              <w:rPr>
                <w:rFonts w:ascii="Courier New"/>
                <w:b/>
                <w:sz w:val="16"/>
              </w:rPr>
            </w:pPr>
            <w:r>
              <w:rPr>
                <w:rFonts w:ascii="Courier New"/>
                <w:b/>
                <w:sz w:val="16"/>
              </w:rPr>
              <w:t>2.38123E+11</w:t>
            </w:r>
          </w:p>
        </w:tc>
        <w:tc>
          <w:tcPr>
            <w:tcW w:w="866" w:type="dxa"/>
          </w:tcPr>
          <w:p>
            <w:pPr>
              <w:pStyle w:val="TableParagraph"/>
              <w:spacing w:line="162" w:lineRule="exact" w:before="0"/>
              <w:ind w:right="97"/>
              <w:rPr>
                <w:rFonts w:ascii="Courier New"/>
                <w:b/>
                <w:sz w:val="16"/>
              </w:rPr>
            </w:pPr>
            <w:r>
              <w:rPr>
                <w:rFonts w:ascii="Courier New"/>
                <w:b/>
                <w:sz w:val="16"/>
              </w:rPr>
              <w:t>5.20</w:t>
            </w:r>
          </w:p>
        </w:tc>
        <w:tc>
          <w:tcPr>
            <w:tcW w:w="820" w:type="dxa"/>
          </w:tcPr>
          <w:p>
            <w:pPr>
              <w:pStyle w:val="TableParagraph"/>
              <w:spacing w:line="162" w:lineRule="exact" w:before="0"/>
              <w:ind w:right="53"/>
              <w:rPr>
                <w:rFonts w:ascii="Courier New"/>
                <w:b/>
                <w:sz w:val="16"/>
              </w:rPr>
            </w:pPr>
            <w:r>
              <w:rPr>
                <w:rFonts w:ascii="Courier New"/>
                <w:b/>
                <w:sz w:val="16"/>
              </w:rPr>
              <w:t>0.023</w:t>
            </w:r>
          </w:p>
        </w:tc>
      </w:tr>
      <w:tr>
        <w:trPr>
          <w:trHeight w:val="182" w:hRule="atLeast"/>
        </w:trPr>
        <w:tc>
          <w:tcPr>
            <w:tcW w:w="3314" w:type="dxa"/>
          </w:tcPr>
          <w:p>
            <w:pPr>
              <w:pStyle w:val="TableParagraph"/>
              <w:spacing w:line="161" w:lineRule="exact" w:before="1"/>
              <w:ind w:left="241"/>
              <w:jc w:val="left"/>
              <w:rPr>
                <w:rFonts w:ascii="Courier New"/>
                <w:b/>
                <w:sz w:val="16"/>
              </w:rPr>
            </w:pPr>
            <w:r>
              <w:rPr>
                <w:rFonts w:ascii="Courier New"/>
                <w:b/>
                <w:sz w:val="16"/>
              </w:rPr>
              <w:t>Tipo = 1 casa, 0 = Condo</w:t>
            </w:r>
          </w:p>
        </w:tc>
        <w:tc>
          <w:tcPr>
            <w:tcW w:w="481" w:type="dxa"/>
          </w:tcPr>
          <w:p>
            <w:pPr>
              <w:pStyle w:val="TableParagraph"/>
              <w:spacing w:line="161" w:lineRule="exact" w:before="1"/>
              <w:ind w:right="95"/>
              <w:rPr>
                <w:rFonts w:ascii="Courier New"/>
                <w:b/>
                <w:sz w:val="16"/>
              </w:rPr>
            </w:pPr>
            <w:r>
              <w:rPr>
                <w:rFonts w:ascii="Courier New"/>
                <w:b/>
                <w:sz w:val="16"/>
              </w:rPr>
              <w:t>1</w:t>
            </w:r>
          </w:p>
        </w:tc>
        <w:tc>
          <w:tcPr>
            <w:tcW w:w="1249" w:type="dxa"/>
          </w:tcPr>
          <w:p>
            <w:pPr>
              <w:pStyle w:val="TableParagraph"/>
              <w:spacing w:line="161" w:lineRule="exact" w:before="1"/>
              <w:ind w:right="96"/>
              <w:rPr>
                <w:rFonts w:ascii="Courier New"/>
                <w:b/>
                <w:sz w:val="16"/>
              </w:rPr>
            </w:pPr>
            <w:r>
              <w:rPr>
                <w:rFonts w:ascii="Courier New"/>
                <w:b/>
                <w:sz w:val="16"/>
              </w:rPr>
              <w:t>6.33356E+11</w:t>
            </w:r>
          </w:p>
        </w:tc>
        <w:tc>
          <w:tcPr>
            <w:tcW w:w="1250" w:type="dxa"/>
          </w:tcPr>
          <w:p>
            <w:pPr>
              <w:pStyle w:val="TableParagraph"/>
              <w:spacing w:line="161" w:lineRule="exact" w:before="1"/>
              <w:ind w:right="98"/>
              <w:rPr>
                <w:rFonts w:ascii="Courier New"/>
                <w:b/>
                <w:sz w:val="16"/>
              </w:rPr>
            </w:pPr>
            <w:r>
              <w:rPr>
                <w:rFonts w:ascii="Courier New"/>
                <w:b/>
                <w:sz w:val="16"/>
              </w:rPr>
              <w:t>6.33356E+11</w:t>
            </w:r>
          </w:p>
        </w:tc>
        <w:tc>
          <w:tcPr>
            <w:tcW w:w="866" w:type="dxa"/>
          </w:tcPr>
          <w:p>
            <w:pPr>
              <w:pStyle w:val="TableParagraph"/>
              <w:spacing w:line="161" w:lineRule="exact" w:before="1"/>
              <w:ind w:right="100"/>
              <w:rPr>
                <w:rFonts w:ascii="Courier New"/>
                <w:b/>
                <w:sz w:val="16"/>
              </w:rPr>
            </w:pPr>
            <w:r>
              <w:rPr>
                <w:rFonts w:ascii="Courier New"/>
                <w:b/>
                <w:sz w:val="16"/>
              </w:rPr>
              <w:t>13.83</w:t>
            </w:r>
          </w:p>
        </w:tc>
        <w:tc>
          <w:tcPr>
            <w:tcW w:w="820" w:type="dxa"/>
          </w:tcPr>
          <w:p>
            <w:pPr>
              <w:pStyle w:val="TableParagraph"/>
              <w:spacing w:line="161" w:lineRule="exact" w:before="1"/>
              <w:ind w:right="56"/>
              <w:rPr>
                <w:rFonts w:ascii="Courier New"/>
                <w:b/>
                <w:sz w:val="16"/>
              </w:rPr>
            </w:pPr>
            <w:r>
              <w:rPr>
                <w:rFonts w:ascii="Courier New"/>
                <w:b/>
                <w:sz w:val="16"/>
              </w:rPr>
              <w:t>0.000</w:t>
            </w:r>
          </w:p>
        </w:tc>
      </w:tr>
      <w:tr>
        <w:trPr>
          <w:trHeight w:val="180" w:hRule="atLeast"/>
        </w:trPr>
        <w:tc>
          <w:tcPr>
            <w:tcW w:w="3314" w:type="dxa"/>
          </w:tcPr>
          <w:p>
            <w:pPr>
              <w:pStyle w:val="TableParagraph"/>
              <w:spacing w:line="160" w:lineRule="exact" w:before="0"/>
              <w:ind w:left="241"/>
              <w:jc w:val="left"/>
              <w:rPr>
                <w:rFonts w:ascii="Courier New"/>
                <w:b/>
                <w:sz w:val="16"/>
              </w:rPr>
            </w:pPr>
            <w:r>
              <w:rPr>
                <w:rFonts w:ascii="Courier New"/>
                <w:b/>
                <w:sz w:val="16"/>
              </w:rPr>
              <w:t>Zona de Riesgo de desastre</w:t>
            </w:r>
          </w:p>
        </w:tc>
        <w:tc>
          <w:tcPr>
            <w:tcW w:w="481" w:type="dxa"/>
          </w:tcPr>
          <w:p>
            <w:pPr>
              <w:pStyle w:val="TableParagraph"/>
              <w:spacing w:line="160" w:lineRule="exact" w:before="0"/>
              <w:ind w:right="95"/>
              <w:rPr>
                <w:rFonts w:ascii="Courier New"/>
                <w:b/>
                <w:sz w:val="16"/>
              </w:rPr>
            </w:pPr>
            <w:r>
              <w:rPr>
                <w:rFonts w:ascii="Courier New"/>
                <w:b/>
                <w:sz w:val="16"/>
              </w:rPr>
              <w:t>1</w:t>
            </w:r>
          </w:p>
        </w:tc>
        <w:tc>
          <w:tcPr>
            <w:tcW w:w="1249" w:type="dxa"/>
          </w:tcPr>
          <w:p>
            <w:pPr>
              <w:pStyle w:val="TableParagraph"/>
              <w:spacing w:line="160" w:lineRule="exact" w:before="0"/>
              <w:ind w:right="96"/>
              <w:rPr>
                <w:rFonts w:ascii="Courier New"/>
                <w:b/>
                <w:sz w:val="16"/>
              </w:rPr>
            </w:pPr>
            <w:r>
              <w:rPr>
                <w:rFonts w:ascii="Courier New"/>
                <w:b/>
                <w:sz w:val="16"/>
              </w:rPr>
              <w:t>17138253968</w:t>
            </w:r>
          </w:p>
        </w:tc>
        <w:tc>
          <w:tcPr>
            <w:tcW w:w="1250" w:type="dxa"/>
          </w:tcPr>
          <w:p>
            <w:pPr>
              <w:pStyle w:val="TableParagraph"/>
              <w:spacing w:line="160" w:lineRule="exact" w:before="0"/>
              <w:ind w:right="98"/>
              <w:rPr>
                <w:rFonts w:ascii="Courier New"/>
                <w:b/>
                <w:sz w:val="16"/>
              </w:rPr>
            </w:pPr>
            <w:r>
              <w:rPr>
                <w:rFonts w:ascii="Courier New"/>
                <w:b/>
                <w:sz w:val="16"/>
              </w:rPr>
              <w:t>17138253968</w:t>
            </w:r>
          </w:p>
        </w:tc>
        <w:tc>
          <w:tcPr>
            <w:tcW w:w="866" w:type="dxa"/>
          </w:tcPr>
          <w:p>
            <w:pPr>
              <w:pStyle w:val="TableParagraph"/>
              <w:spacing w:line="160" w:lineRule="exact" w:before="0"/>
              <w:ind w:right="100"/>
              <w:rPr>
                <w:rFonts w:ascii="Courier New"/>
                <w:b/>
                <w:sz w:val="16"/>
              </w:rPr>
            </w:pPr>
            <w:r>
              <w:rPr>
                <w:rFonts w:ascii="Courier New"/>
                <w:b/>
                <w:sz w:val="16"/>
              </w:rPr>
              <w:t>0.37</w:t>
            </w:r>
          </w:p>
        </w:tc>
        <w:tc>
          <w:tcPr>
            <w:tcW w:w="820" w:type="dxa"/>
          </w:tcPr>
          <w:p>
            <w:pPr>
              <w:pStyle w:val="TableParagraph"/>
              <w:spacing w:line="160" w:lineRule="exact" w:before="0"/>
              <w:ind w:right="56"/>
              <w:rPr>
                <w:rFonts w:ascii="Courier New"/>
                <w:b/>
                <w:sz w:val="16"/>
              </w:rPr>
            </w:pPr>
            <w:r>
              <w:rPr>
                <w:rFonts w:ascii="Courier New"/>
                <w:b/>
                <w:sz w:val="16"/>
              </w:rPr>
              <w:t>0.541</w:t>
            </w:r>
          </w:p>
        </w:tc>
      </w:tr>
      <w:tr>
        <w:trPr>
          <w:trHeight w:val="181" w:hRule="atLeast"/>
        </w:trPr>
        <w:tc>
          <w:tcPr>
            <w:tcW w:w="3314" w:type="dxa"/>
          </w:tcPr>
          <w:p>
            <w:pPr>
              <w:pStyle w:val="TableParagraph"/>
              <w:spacing w:line="162" w:lineRule="exact" w:before="0"/>
              <w:ind w:left="241"/>
              <w:jc w:val="left"/>
              <w:rPr>
                <w:rFonts w:ascii="Courier New"/>
                <w:b/>
                <w:sz w:val="16"/>
              </w:rPr>
            </w:pPr>
            <w:r>
              <w:rPr>
                <w:rFonts w:ascii="Courier New"/>
                <w:b/>
                <w:sz w:val="16"/>
              </w:rPr>
              <w:t>Vista a la Carpintera</w:t>
            </w:r>
          </w:p>
        </w:tc>
        <w:tc>
          <w:tcPr>
            <w:tcW w:w="481" w:type="dxa"/>
          </w:tcPr>
          <w:p>
            <w:pPr>
              <w:pStyle w:val="TableParagraph"/>
              <w:spacing w:line="162" w:lineRule="exact" w:before="0"/>
              <w:ind w:right="95"/>
              <w:rPr>
                <w:rFonts w:ascii="Courier New"/>
                <w:b/>
                <w:sz w:val="16"/>
              </w:rPr>
            </w:pPr>
            <w:r>
              <w:rPr>
                <w:rFonts w:ascii="Courier New"/>
                <w:b/>
                <w:sz w:val="16"/>
              </w:rPr>
              <w:t>1</w:t>
            </w:r>
          </w:p>
        </w:tc>
        <w:tc>
          <w:tcPr>
            <w:tcW w:w="1249" w:type="dxa"/>
          </w:tcPr>
          <w:p>
            <w:pPr>
              <w:pStyle w:val="TableParagraph"/>
              <w:spacing w:line="162" w:lineRule="exact" w:before="0"/>
              <w:ind w:right="96"/>
              <w:rPr>
                <w:rFonts w:ascii="Courier New"/>
                <w:b/>
                <w:sz w:val="16"/>
              </w:rPr>
            </w:pPr>
            <w:r>
              <w:rPr>
                <w:rFonts w:ascii="Courier New"/>
                <w:b/>
                <w:sz w:val="16"/>
              </w:rPr>
              <w:t>3.84022E+11</w:t>
            </w:r>
          </w:p>
        </w:tc>
        <w:tc>
          <w:tcPr>
            <w:tcW w:w="1250" w:type="dxa"/>
          </w:tcPr>
          <w:p>
            <w:pPr>
              <w:pStyle w:val="TableParagraph"/>
              <w:spacing w:line="162" w:lineRule="exact" w:before="0"/>
              <w:ind w:right="98"/>
              <w:rPr>
                <w:rFonts w:ascii="Courier New"/>
                <w:b/>
                <w:sz w:val="16"/>
              </w:rPr>
            </w:pPr>
            <w:r>
              <w:rPr>
                <w:rFonts w:ascii="Courier New"/>
                <w:b/>
                <w:sz w:val="16"/>
              </w:rPr>
              <w:t>3.84022E+11</w:t>
            </w:r>
          </w:p>
        </w:tc>
        <w:tc>
          <w:tcPr>
            <w:tcW w:w="866" w:type="dxa"/>
          </w:tcPr>
          <w:p>
            <w:pPr>
              <w:pStyle w:val="TableParagraph"/>
              <w:spacing w:line="162" w:lineRule="exact" w:before="0"/>
              <w:ind w:right="98"/>
              <w:rPr>
                <w:rFonts w:ascii="Courier New"/>
                <w:b/>
                <w:sz w:val="16"/>
              </w:rPr>
            </w:pPr>
            <w:r>
              <w:rPr>
                <w:rFonts w:ascii="Courier New"/>
                <w:b/>
                <w:sz w:val="16"/>
              </w:rPr>
              <w:t>8.39</w:t>
            </w:r>
          </w:p>
        </w:tc>
        <w:tc>
          <w:tcPr>
            <w:tcW w:w="820" w:type="dxa"/>
          </w:tcPr>
          <w:p>
            <w:pPr>
              <w:pStyle w:val="TableParagraph"/>
              <w:spacing w:line="162" w:lineRule="exact" w:before="0"/>
              <w:ind w:right="54"/>
              <w:rPr>
                <w:rFonts w:ascii="Courier New"/>
                <w:b/>
                <w:sz w:val="16"/>
              </w:rPr>
            </w:pPr>
            <w:r>
              <w:rPr>
                <w:rFonts w:ascii="Courier New"/>
                <w:b/>
                <w:sz w:val="16"/>
              </w:rPr>
              <w:t>0.004</w:t>
            </w:r>
          </w:p>
        </w:tc>
      </w:tr>
      <w:tr>
        <w:trPr>
          <w:trHeight w:val="182" w:hRule="atLeast"/>
        </w:trPr>
        <w:tc>
          <w:tcPr>
            <w:tcW w:w="3314" w:type="dxa"/>
          </w:tcPr>
          <w:p>
            <w:pPr>
              <w:pStyle w:val="TableParagraph"/>
              <w:spacing w:line="161" w:lineRule="exact" w:before="1"/>
              <w:ind w:left="50"/>
              <w:jc w:val="left"/>
              <w:rPr>
                <w:rFonts w:ascii="Courier New"/>
                <w:b/>
                <w:sz w:val="16"/>
              </w:rPr>
            </w:pPr>
            <w:r>
              <w:rPr>
                <w:rFonts w:ascii="Courier New"/>
                <w:b/>
                <w:sz w:val="16"/>
              </w:rPr>
              <w:t>Error</w:t>
            </w:r>
          </w:p>
        </w:tc>
        <w:tc>
          <w:tcPr>
            <w:tcW w:w="481" w:type="dxa"/>
          </w:tcPr>
          <w:p>
            <w:pPr>
              <w:pStyle w:val="TableParagraph"/>
              <w:spacing w:line="161" w:lineRule="exact" w:before="1"/>
              <w:ind w:right="95"/>
              <w:rPr>
                <w:rFonts w:ascii="Courier New"/>
                <w:b/>
                <w:sz w:val="16"/>
              </w:rPr>
            </w:pPr>
            <w:r>
              <w:rPr>
                <w:rFonts w:ascii="Courier New"/>
                <w:b/>
                <w:sz w:val="16"/>
              </w:rPr>
              <w:t>293</w:t>
            </w:r>
          </w:p>
        </w:tc>
        <w:tc>
          <w:tcPr>
            <w:tcW w:w="1249" w:type="dxa"/>
          </w:tcPr>
          <w:p>
            <w:pPr>
              <w:pStyle w:val="TableParagraph"/>
              <w:spacing w:line="161" w:lineRule="exact" w:before="1"/>
              <w:ind w:right="96"/>
              <w:rPr>
                <w:rFonts w:ascii="Courier New"/>
                <w:b/>
                <w:sz w:val="16"/>
              </w:rPr>
            </w:pPr>
            <w:r>
              <w:rPr>
                <w:rFonts w:ascii="Courier New"/>
                <w:b/>
                <w:sz w:val="16"/>
              </w:rPr>
              <w:t>1.34187E+13</w:t>
            </w:r>
          </w:p>
        </w:tc>
        <w:tc>
          <w:tcPr>
            <w:tcW w:w="1250" w:type="dxa"/>
          </w:tcPr>
          <w:p>
            <w:pPr>
              <w:pStyle w:val="TableParagraph"/>
              <w:spacing w:line="161" w:lineRule="exact" w:before="1"/>
              <w:ind w:right="98"/>
              <w:rPr>
                <w:rFonts w:ascii="Courier New"/>
                <w:b/>
                <w:sz w:val="16"/>
              </w:rPr>
            </w:pPr>
            <w:r>
              <w:rPr>
                <w:rFonts w:ascii="Courier New"/>
                <w:b/>
                <w:sz w:val="16"/>
              </w:rPr>
              <w:t>45797575732</w:t>
            </w:r>
          </w:p>
        </w:tc>
        <w:tc>
          <w:tcPr>
            <w:tcW w:w="866" w:type="dxa"/>
          </w:tcPr>
          <w:p>
            <w:pPr>
              <w:pStyle w:val="TableParagraph"/>
              <w:spacing w:line="240" w:lineRule="auto" w:before="0"/>
              <w:jc w:val="left"/>
              <w:rPr>
                <w:rFonts w:ascii="Times New Roman"/>
                <w:sz w:val="12"/>
              </w:rPr>
            </w:pPr>
          </w:p>
        </w:tc>
        <w:tc>
          <w:tcPr>
            <w:tcW w:w="820" w:type="dxa"/>
          </w:tcPr>
          <w:p>
            <w:pPr>
              <w:pStyle w:val="TableParagraph"/>
              <w:spacing w:line="240" w:lineRule="auto" w:before="0"/>
              <w:jc w:val="left"/>
              <w:rPr>
                <w:rFonts w:ascii="Times New Roman"/>
                <w:sz w:val="12"/>
              </w:rPr>
            </w:pPr>
          </w:p>
        </w:tc>
      </w:tr>
      <w:tr>
        <w:trPr>
          <w:trHeight w:val="180" w:hRule="atLeast"/>
        </w:trPr>
        <w:tc>
          <w:tcPr>
            <w:tcW w:w="3314" w:type="dxa"/>
          </w:tcPr>
          <w:p>
            <w:pPr>
              <w:pStyle w:val="TableParagraph"/>
              <w:spacing w:line="160" w:lineRule="exact" w:before="0"/>
              <w:ind w:left="241"/>
              <w:jc w:val="left"/>
              <w:rPr>
                <w:rFonts w:ascii="Courier New"/>
                <w:b/>
                <w:sz w:val="16"/>
              </w:rPr>
            </w:pPr>
            <w:r>
              <w:rPr>
                <w:rFonts w:ascii="Courier New"/>
                <w:b/>
                <w:sz w:val="16"/>
              </w:rPr>
              <w:t>Lack-of-Fit</w:t>
            </w:r>
          </w:p>
        </w:tc>
        <w:tc>
          <w:tcPr>
            <w:tcW w:w="481" w:type="dxa"/>
          </w:tcPr>
          <w:p>
            <w:pPr>
              <w:pStyle w:val="TableParagraph"/>
              <w:spacing w:line="160" w:lineRule="exact" w:before="0"/>
              <w:ind w:right="94"/>
              <w:rPr>
                <w:rFonts w:ascii="Courier New"/>
                <w:b/>
                <w:sz w:val="16"/>
              </w:rPr>
            </w:pPr>
            <w:r>
              <w:rPr>
                <w:rFonts w:ascii="Courier New"/>
                <w:b/>
                <w:sz w:val="16"/>
              </w:rPr>
              <w:t>288</w:t>
            </w:r>
          </w:p>
        </w:tc>
        <w:tc>
          <w:tcPr>
            <w:tcW w:w="1249" w:type="dxa"/>
          </w:tcPr>
          <w:p>
            <w:pPr>
              <w:pStyle w:val="TableParagraph"/>
              <w:spacing w:line="160" w:lineRule="exact" w:before="0"/>
              <w:ind w:right="95"/>
              <w:rPr>
                <w:rFonts w:ascii="Courier New"/>
                <w:b/>
                <w:sz w:val="16"/>
              </w:rPr>
            </w:pPr>
            <w:r>
              <w:rPr>
                <w:rFonts w:ascii="Courier New"/>
                <w:b/>
                <w:sz w:val="16"/>
              </w:rPr>
              <w:t>1.32410E+13</w:t>
            </w:r>
          </w:p>
        </w:tc>
        <w:tc>
          <w:tcPr>
            <w:tcW w:w="1250" w:type="dxa"/>
          </w:tcPr>
          <w:p>
            <w:pPr>
              <w:pStyle w:val="TableParagraph"/>
              <w:spacing w:line="160" w:lineRule="exact" w:before="0"/>
              <w:ind w:right="97"/>
              <w:rPr>
                <w:rFonts w:ascii="Courier New"/>
                <w:b/>
                <w:sz w:val="16"/>
              </w:rPr>
            </w:pPr>
            <w:r>
              <w:rPr>
                <w:rFonts w:ascii="Courier New"/>
                <w:b/>
                <w:sz w:val="16"/>
              </w:rPr>
              <w:t>45975656908</w:t>
            </w:r>
          </w:p>
        </w:tc>
        <w:tc>
          <w:tcPr>
            <w:tcW w:w="866" w:type="dxa"/>
          </w:tcPr>
          <w:p>
            <w:pPr>
              <w:pStyle w:val="TableParagraph"/>
              <w:spacing w:line="160" w:lineRule="exact" w:before="0"/>
              <w:ind w:right="101"/>
              <w:rPr>
                <w:rFonts w:ascii="Courier New"/>
                <w:b/>
                <w:sz w:val="16"/>
              </w:rPr>
            </w:pPr>
            <w:r>
              <w:rPr>
                <w:rFonts w:ascii="Courier New"/>
                <w:b/>
                <w:sz w:val="16"/>
              </w:rPr>
              <w:t>1.29</w:t>
            </w:r>
          </w:p>
        </w:tc>
        <w:tc>
          <w:tcPr>
            <w:tcW w:w="820" w:type="dxa"/>
          </w:tcPr>
          <w:p>
            <w:pPr>
              <w:pStyle w:val="TableParagraph"/>
              <w:spacing w:line="160" w:lineRule="exact" w:before="0"/>
              <w:ind w:right="57"/>
              <w:rPr>
                <w:rFonts w:ascii="Courier New"/>
                <w:b/>
                <w:sz w:val="16"/>
              </w:rPr>
            </w:pPr>
            <w:r>
              <w:rPr>
                <w:rFonts w:ascii="Courier New"/>
                <w:b/>
                <w:sz w:val="16"/>
              </w:rPr>
              <w:t>0.430</w:t>
            </w:r>
          </w:p>
        </w:tc>
      </w:tr>
      <w:tr>
        <w:trPr>
          <w:trHeight w:val="182" w:hRule="atLeast"/>
        </w:trPr>
        <w:tc>
          <w:tcPr>
            <w:tcW w:w="3314" w:type="dxa"/>
          </w:tcPr>
          <w:p>
            <w:pPr>
              <w:pStyle w:val="TableParagraph"/>
              <w:spacing w:line="162" w:lineRule="exact" w:before="0"/>
              <w:ind w:left="241"/>
              <w:jc w:val="left"/>
              <w:rPr>
                <w:rFonts w:ascii="Courier New"/>
                <w:b/>
                <w:sz w:val="16"/>
              </w:rPr>
            </w:pPr>
            <w:r>
              <w:rPr>
                <w:rFonts w:ascii="Courier New"/>
                <w:b/>
                <w:sz w:val="16"/>
              </w:rPr>
              <w:t>Pure Error</w:t>
            </w:r>
          </w:p>
        </w:tc>
        <w:tc>
          <w:tcPr>
            <w:tcW w:w="481" w:type="dxa"/>
          </w:tcPr>
          <w:p>
            <w:pPr>
              <w:pStyle w:val="TableParagraph"/>
              <w:spacing w:line="162" w:lineRule="exact" w:before="0"/>
              <w:ind w:right="95"/>
              <w:rPr>
                <w:rFonts w:ascii="Courier New"/>
                <w:b/>
                <w:sz w:val="16"/>
              </w:rPr>
            </w:pPr>
            <w:r>
              <w:rPr>
                <w:rFonts w:ascii="Courier New"/>
                <w:b/>
                <w:sz w:val="16"/>
              </w:rPr>
              <w:t>5</w:t>
            </w:r>
          </w:p>
        </w:tc>
        <w:tc>
          <w:tcPr>
            <w:tcW w:w="1249" w:type="dxa"/>
          </w:tcPr>
          <w:p>
            <w:pPr>
              <w:pStyle w:val="TableParagraph"/>
              <w:spacing w:line="162" w:lineRule="exact" w:before="0"/>
              <w:ind w:right="96"/>
              <w:rPr>
                <w:rFonts w:ascii="Courier New"/>
                <w:b/>
                <w:sz w:val="16"/>
              </w:rPr>
            </w:pPr>
            <w:r>
              <w:rPr>
                <w:rFonts w:ascii="Courier New"/>
                <w:b/>
                <w:sz w:val="16"/>
              </w:rPr>
              <w:t>1.77701E+11</w:t>
            </w:r>
          </w:p>
        </w:tc>
        <w:tc>
          <w:tcPr>
            <w:tcW w:w="1250" w:type="dxa"/>
          </w:tcPr>
          <w:p>
            <w:pPr>
              <w:pStyle w:val="TableParagraph"/>
              <w:spacing w:line="162" w:lineRule="exact" w:before="0"/>
              <w:ind w:right="98"/>
              <w:rPr>
                <w:rFonts w:ascii="Courier New"/>
                <w:b/>
                <w:sz w:val="16"/>
              </w:rPr>
            </w:pPr>
            <w:r>
              <w:rPr>
                <w:rFonts w:ascii="Courier New"/>
                <w:b/>
                <w:sz w:val="16"/>
              </w:rPr>
              <w:t>35540100000</w:t>
            </w:r>
          </w:p>
        </w:tc>
        <w:tc>
          <w:tcPr>
            <w:tcW w:w="866" w:type="dxa"/>
          </w:tcPr>
          <w:p>
            <w:pPr>
              <w:pStyle w:val="TableParagraph"/>
              <w:spacing w:line="240" w:lineRule="auto" w:before="0"/>
              <w:jc w:val="left"/>
              <w:rPr>
                <w:rFonts w:ascii="Times New Roman"/>
                <w:sz w:val="12"/>
              </w:rPr>
            </w:pPr>
          </w:p>
        </w:tc>
        <w:tc>
          <w:tcPr>
            <w:tcW w:w="820" w:type="dxa"/>
          </w:tcPr>
          <w:p>
            <w:pPr>
              <w:pStyle w:val="TableParagraph"/>
              <w:spacing w:line="240" w:lineRule="auto" w:before="0"/>
              <w:jc w:val="left"/>
              <w:rPr>
                <w:rFonts w:ascii="Times New Roman"/>
                <w:sz w:val="12"/>
              </w:rPr>
            </w:pPr>
          </w:p>
        </w:tc>
      </w:tr>
      <w:tr>
        <w:trPr>
          <w:trHeight w:val="361" w:hRule="atLeast"/>
        </w:trPr>
        <w:tc>
          <w:tcPr>
            <w:tcW w:w="3314" w:type="dxa"/>
          </w:tcPr>
          <w:p>
            <w:pPr>
              <w:pStyle w:val="TableParagraph"/>
              <w:spacing w:line="240" w:lineRule="auto" w:before="1"/>
              <w:ind w:left="50"/>
              <w:jc w:val="left"/>
              <w:rPr>
                <w:rFonts w:ascii="Courier New"/>
                <w:b/>
                <w:sz w:val="16"/>
              </w:rPr>
            </w:pPr>
            <w:r>
              <w:rPr>
                <w:rFonts w:ascii="Courier New"/>
                <w:b/>
                <w:sz w:val="16"/>
              </w:rPr>
              <w:t>Total</w:t>
            </w:r>
          </w:p>
        </w:tc>
        <w:tc>
          <w:tcPr>
            <w:tcW w:w="481" w:type="dxa"/>
          </w:tcPr>
          <w:p>
            <w:pPr>
              <w:pStyle w:val="TableParagraph"/>
              <w:spacing w:line="240" w:lineRule="auto" w:before="1"/>
              <w:ind w:right="93"/>
              <w:rPr>
                <w:rFonts w:ascii="Courier New"/>
                <w:b/>
                <w:sz w:val="16"/>
              </w:rPr>
            </w:pPr>
            <w:r>
              <w:rPr>
                <w:rFonts w:ascii="Courier New"/>
                <w:b/>
                <w:sz w:val="16"/>
              </w:rPr>
              <w:t>301</w:t>
            </w:r>
          </w:p>
        </w:tc>
        <w:tc>
          <w:tcPr>
            <w:tcW w:w="1249" w:type="dxa"/>
          </w:tcPr>
          <w:p>
            <w:pPr>
              <w:pStyle w:val="TableParagraph"/>
              <w:spacing w:line="240" w:lineRule="auto" w:before="1"/>
              <w:ind w:right="94"/>
              <w:rPr>
                <w:rFonts w:ascii="Courier New"/>
                <w:b/>
                <w:sz w:val="16"/>
              </w:rPr>
            </w:pPr>
            <w:r>
              <w:rPr>
                <w:rFonts w:ascii="Courier New"/>
                <w:b/>
                <w:sz w:val="16"/>
              </w:rPr>
              <w:t>1.67172E+13</w:t>
            </w:r>
          </w:p>
        </w:tc>
        <w:tc>
          <w:tcPr>
            <w:tcW w:w="1250" w:type="dxa"/>
          </w:tcPr>
          <w:p>
            <w:pPr>
              <w:pStyle w:val="TableParagraph"/>
              <w:spacing w:line="240" w:lineRule="auto" w:before="0"/>
              <w:jc w:val="left"/>
              <w:rPr>
                <w:rFonts w:ascii="Times New Roman"/>
                <w:sz w:val="16"/>
              </w:rPr>
            </w:pPr>
          </w:p>
        </w:tc>
        <w:tc>
          <w:tcPr>
            <w:tcW w:w="866" w:type="dxa"/>
          </w:tcPr>
          <w:p>
            <w:pPr>
              <w:pStyle w:val="TableParagraph"/>
              <w:spacing w:line="240" w:lineRule="auto" w:before="0"/>
              <w:jc w:val="left"/>
              <w:rPr>
                <w:rFonts w:ascii="Times New Roman"/>
                <w:sz w:val="16"/>
              </w:rPr>
            </w:pPr>
          </w:p>
        </w:tc>
        <w:tc>
          <w:tcPr>
            <w:tcW w:w="820" w:type="dxa"/>
          </w:tcPr>
          <w:p>
            <w:pPr>
              <w:pStyle w:val="TableParagraph"/>
              <w:spacing w:line="240" w:lineRule="auto" w:before="0"/>
              <w:jc w:val="left"/>
              <w:rPr>
                <w:rFonts w:ascii="Times New Roman"/>
                <w:sz w:val="16"/>
              </w:rPr>
            </w:pPr>
          </w:p>
        </w:tc>
      </w:tr>
      <w:tr>
        <w:trPr>
          <w:trHeight w:val="360" w:hRule="atLeast"/>
        </w:trPr>
        <w:tc>
          <w:tcPr>
            <w:tcW w:w="3314" w:type="dxa"/>
          </w:tcPr>
          <w:p>
            <w:pPr>
              <w:pStyle w:val="TableParagraph"/>
              <w:spacing w:line="240" w:lineRule="auto" w:before="6"/>
              <w:jc w:val="left"/>
              <w:rPr>
                <w:b/>
                <w:sz w:val="15"/>
              </w:rPr>
            </w:pPr>
          </w:p>
          <w:p>
            <w:pPr>
              <w:pStyle w:val="TableParagraph"/>
              <w:spacing w:line="161" w:lineRule="exact" w:before="1"/>
              <w:ind w:left="50"/>
              <w:jc w:val="left"/>
              <w:rPr>
                <w:rFonts w:ascii="Courier New"/>
                <w:b/>
                <w:sz w:val="16"/>
              </w:rPr>
            </w:pPr>
            <w:r>
              <w:rPr>
                <w:rFonts w:ascii="Courier New"/>
                <w:b/>
                <w:sz w:val="16"/>
              </w:rPr>
              <w:t>Model Summary</w:t>
            </w:r>
          </w:p>
        </w:tc>
        <w:tc>
          <w:tcPr>
            <w:tcW w:w="481" w:type="dxa"/>
          </w:tcPr>
          <w:p>
            <w:pPr>
              <w:pStyle w:val="TableParagraph"/>
              <w:spacing w:line="240" w:lineRule="auto" w:before="0"/>
              <w:jc w:val="left"/>
              <w:rPr>
                <w:rFonts w:ascii="Times New Roman"/>
                <w:sz w:val="16"/>
              </w:rPr>
            </w:pPr>
          </w:p>
        </w:tc>
        <w:tc>
          <w:tcPr>
            <w:tcW w:w="1249" w:type="dxa"/>
          </w:tcPr>
          <w:p>
            <w:pPr>
              <w:pStyle w:val="TableParagraph"/>
              <w:spacing w:line="240" w:lineRule="auto" w:before="0"/>
              <w:jc w:val="left"/>
              <w:rPr>
                <w:rFonts w:ascii="Times New Roman"/>
                <w:sz w:val="16"/>
              </w:rPr>
            </w:pPr>
          </w:p>
        </w:tc>
        <w:tc>
          <w:tcPr>
            <w:tcW w:w="1250" w:type="dxa"/>
          </w:tcPr>
          <w:p>
            <w:pPr>
              <w:pStyle w:val="TableParagraph"/>
              <w:spacing w:line="240" w:lineRule="auto" w:before="0"/>
              <w:jc w:val="left"/>
              <w:rPr>
                <w:rFonts w:ascii="Times New Roman"/>
                <w:sz w:val="16"/>
              </w:rPr>
            </w:pPr>
          </w:p>
        </w:tc>
        <w:tc>
          <w:tcPr>
            <w:tcW w:w="866" w:type="dxa"/>
          </w:tcPr>
          <w:p>
            <w:pPr>
              <w:pStyle w:val="TableParagraph"/>
              <w:spacing w:line="240" w:lineRule="auto" w:before="0"/>
              <w:jc w:val="left"/>
              <w:rPr>
                <w:rFonts w:ascii="Times New Roman"/>
                <w:sz w:val="16"/>
              </w:rPr>
            </w:pPr>
          </w:p>
        </w:tc>
        <w:tc>
          <w:tcPr>
            <w:tcW w:w="820" w:type="dxa"/>
          </w:tcPr>
          <w:p>
            <w:pPr>
              <w:pStyle w:val="TableParagraph"/>
              <w:spacing w:line="240" w:lineRule="auto" w:before="0"/>
              <w:jc w:val="left"/>
              <w:rPr>
                <w:rFonts w:ascii="Times New Roman"/>
                <w:sz w:val="16"/>
              </w:rPr>
            </w:pPr>
          </w:p>
        </w:tc>
      </w:tr>
    </w:tbl>
    <w:p>
      <w:pPr>
        <w:pStyle w:val="BodyText"/>
        <w:spacing w:before="10"/>
        <w:rPr>
          <w:b/>
          <w:sz w:val="15"/>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90"/>
        <w:gridCol w:w="1055"/>
        <w:gridCol w:w="1106"/>
      </w:tblGrid>
      <w:tr>
        <w:trPr>
          <w:trHeight w:val="180" w:hRule="atLeast"/>
        </w:trPr>
        <w:tc>
          <w:tcPr>
            <w:tcW w:w="1490" w:type="dxa"/>
          </w:tcPr>
          <w:p>
            <w:pPr>
              <w:pStyle w:val="TableParagraph"/>
              <w:tabs>
                <w:tab w:pos="479" w:val="left" w:leader="none"/>
              </w:tabs>
              <w:spacing w:line="161" w:lineRule="exact" w:before="0"/>
              <w:ind w:right="93"/>
              <w:rPr>
                <w:rFonts w:ascii="Courier New"/>
                <w:b/>
                <w:sz w:val="16"/>
              </w:rPr>
            </w:pPr>
            <w:r>
              <w:rPr>
                <w:rFonts w:ascii="Courier New"/>
                <w:b/>
                <w:sz w:val="16"/>
              </w:rPr>
              <w:t>S</w:t>
              <w:tab/>
            </w:r>
            <w:r>
              <w:rPr>
                <w:rFonts w:ascii="Courier New"/>
                <w:b/>
                <w:spacing w:val="-1"/>
                <w:sz w:val="16"/>
              </w:rPr>
              <w:t>R-sq</w:t>
            </w:r>
          </w:p>
        </w:tc>
        <w:tc>
          <w:tcPr>
            <w:tcW w:w="1055" w:type="dxa"/>
          </w:tcPr>
          <w:p>
            <w:pPr>
              <w:pStyle w:val="TableParagraph"/>
              <w:spacing w:line="161" w:lineRule="exact" w:before="0"/>
              <w:ind w:right="92"/>
              <w:rPr>
                <w:rFonts w:ascii="Courier New"/>
                <w:b/>
                <w:sz w:val="16"/>
              </w:rPr>
            </w:pPr>
            <w:r>
              <w:rPr>
                <w:rFonts w:ascii="Courier New"/>
                <w:b/>
                <w:sz w:val="16"/>
              </w:rPr>
              <w:t>R-sq(adj)</w:t>
            </w:r>
          </w:p>
        </w:tc>
        <w:tc>
          <w:tcPr>
            <w:tcW w:w="1106" w:type="dxa"/>
          </w:tcPr>
          <w:p>
            <w:pPr>
              <w:pStyle w:val="TableParagraph"/>
              <w:spacing w:line="161" w:lineRule="exact" w:before="0"/>
              <w:ind w:right="45"/>
              <w:rPr>
                <w:rFonts w:ascii="Courier New"/>
                <w:b/>
                <w:sz w:val="16"/>
              </w:rPr>
            </w:pPr>
            <w:r>
              <w:rPr>
                <w:rFonts w:ascii="Courier New"/>
                <w:b/>
                <w:sz w:val="16"/>
              </w:rPr>
              <w:t>R-sq(pred)</w:t>
            </w:r>
          </w:p>
        </w:tc>
      </w:tr>
      <w:tr>
        <w:trPr>
          <w:trHeight w:val="180" w:hRule="atLeast"/>
        </w:trPr>
        <w:tc>
          <w:tcPr>
            <w:tcW w:w="1490" w:type="dxa"/>
          </w:tcPr>
          <w:p>
            <w:pPr>
              <w:pStyle w:val="TableParagraph"/>
              <w:spacing w:line="161" w:lineRule="exact" w:before="0"/>
              <w:ind w:right="94"/>
              <w:rPr>
                <w:rFonts w:ascii="Courier New"/>
                <w:b/>
                <w:sz w:val="16"/>
              </w:rPr>
            </w:pPr>
            <w:r>
              <w:rPr>
                <w:rFonts w:ascii="Courier New"/>
                <w:b/>
                <w:sz w:val="16"/>
              </w:rPr>
              <w:t>214004</w:t>
            </w:r>
            <w:r>
              <w:rPr>
                <w:rFonts w:ascii="Courier New"/>
                <w:b/>
                <w:spacing w:val="84"/>
                <w:sz w:val="16"/>
              </w:rPr>
              <w:t> </w:t>
            </w:r>
            <w:r>
              <w:rPr>
                <w:rFonts w:ascii="Courier New"/>
                <w:b/>
                <w:sz w:val="16"/>
              </w:rPr>
              <w:t>19.73%</w:t>
            </w:r>
          </w:p>
        </w:tc>
        <w:tc>
          <w:tcPr>
            <w:tcW w:w="1055" w:type="dxa"/>
          </w:tcPr>
          <w:p>
            <w:pPr>
              <w:pStyle w:val="TableParagraph"/>
              <w:spacing w:line="161" w:lineRule="exact" w:before="0"/>
              <w:ind w:right="93"/>
              <w:rPr>
                <w:rFonts w:ascii="Courier New"/>
                <w:b/>
                <w:sz w:val="16"/>
              </w:rPr>
            </w:pPr>
            <w:r>
              <w:rPr>
                <w:rFonts w:ascii="Courier New"/>
                <w:b/>
                <w:sz w:val="16"/>
              </w:rPr>
              <w:t>17.54%</w:t>
            </w:r>
          </w:p>
        </w:tc>
        <w:tc>
          <w:tcPr>
            <w:tcW w:w="1106" w:type="dxa"/>
          </w:tcPr>
          <w:p>
            <w:pPr>
              <w:pStyle w:val="TableParagraph"/>
              <w:spacing w:line="161" w:lineRule="exact" w:before="0"/>
              <w:ind w:right="47"/>
              <w:rPr>
                <w:rFonts w:ascii="Courier New"/>
                <w:b/>
                <w:sz w:val="16"/>
              </w:rPr>
            </w:pPr>
            <w:r>
              <w:rPr>
                <w:rFonts w:ascii="Courier New"/>
                <w:b/>
                <w:sz w:val="16"/>
              </w:rPr>
              <w:t>13.25%</w:t>
            </w:r>
          </w:p>
        </w:tc>
      </w:tr>
    </w:tbl>
    <w:p>
      <w:pPr>
        <w:pStyle w:val="BodyText"/>
        <w:rPr>
          <w:b/>
          <w:sz w:val="20"/>
        </w:rPr>
      </w:pPr>
    </w:p>
    <w:p>
      <w:pPr>
        <w:pStyle w:val="BodyText"/>
        <w:spacing w:before="6"/>
        <w:rPr>
          <w:b/>
          <w:sz w:val="11"/>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22"/>
        <w:gridCol w:w="864"/>
        <w:gridCol w:w="864"/>
        <w:gridCol w:w="865"/>
        <w:gridCol w:w="863"/>
        <w:gridCol w:w="531"/>
      </w:tblGrid>
      <w:tr>
        <w:trPr>
          <w:trHeight w:val="272" w:hRule="atLeast"/>
        </w:trPr>
        <w:tc>
          <w:tcPr>
            <w:tcW w:w="3122" w:type="dxa"/>
          </w:tcPr>
          <w:p>
            <w:pPr>
              <w:pStyle w:val="TableParagraph"/>
              <w:spacing w:line="240" w:lineRule="auto" w:before="0"/>
              <w:ind w:left="50"/>
              <w:jc w:val="left"/>
              <w:rPr>
                <w:rFonts w:ascii="Courier New"/>
                <w:b/>
                <w:sz w:val="16"/>
              </w:rPr>
            </w:pPr>
            <w:r>
              <w:rPr>
                <w:rFonts w:ascii="Courier New"/>
                <w:b/>
                <w:sz w:val="16"/>
              </w:rPr>
              <w:t>Coefficients</w:t>
            </w:r>
          </w:p>
        </w:tc>
        <w:tc>
          <w:tcPr>
            <w:tcW w:w="3987" w:type="dxa"/>
            <w:gridSpan w:val="5"/>
          </w:tcPr>
          <w:p>
            <w:pPr>
              <w:pStyle w:val="TableParagraph"/>
              <w:spacing w:line="240" w:lineRule="auto" w:before="0"/>
              <w:jc w:val="left"/>
              <w:rPr>
                <w:rFonts w:ascii="Times New Roman"/>
                <w:sz w:val="16"/>
              </w:rPr>
            </w:pPr>
          </w:p>
        </w:tc>
      </w:tr>
      <w:tr>
        <w:trPr>
          <w:trHeight w:val="272" w:hRule="atLeast"/>
        </w:trPr>
        <w:tc>
          <w:tcPr>
            <w:tcW w:w="3122" w:type="dxa"/>
          </w:tcPr>
          <w:p>
            <w:pPr>
              <w:pStyle w:val="TableParagraph"/>
              <w:spacing w:line="161" w:lineRule="exact"/>
              <w:ind w:left="50"/>
              <w:jc w:val="left"/>
              <w:rPr>
                <w:rFonts w:ascii="Courier New"/>
                <w:b/>
                <w:sz w:val="16"/>
              </w:rPr>
            </w:pPr>
            <w:r>
              <w:rPr>
                <w:rFonts w:ascii="Courier New"/>
                <w:b/>
                <w:sz w:val="16"/>
              </w:rPr>
              <w:t>Term</w:t>
            </w:r>
          </w:p>
        </w:tc>
        <w:tc>
          <w:tcPr>
            <w:tcW w:w="864" w:type="dxa"/>
          </w:tcPr>
          <w:p>
            <w:pPr>
              <w:pStyle w:val="TableParagraph"/>
              <w:spacing w:line="161" w:lineRule="exact"/>
              <w:ind w:right="94"/>
              <w:rPr>
                <w:rFonts w:ascii="Courier New"/>
                <w:b/>
                <w:sz w:val="16"/>
              </w:rPr>
            </w:pPr>
            <w:r>
              <w:rPr>
                <w:rFonts w:ascii="Courier New"/>
                <w:b/>
                <w:sz w:val="16"/>
              </w:rPr>
              <w:t>Coef</w:t>
            </w:r>
          </w:p>
        </w:tc>
        <w:tc>
          <w:tcPr>
            <w:tcW w:w="864" w:type="dxa"/>
          </w:tcPr>
          <w:p>
            <w:pPr>
              <w:pStyle w:val="TableParagraph"/>
              <w:spacing w:line="161" w:lineRule="exact"/>
              <w:ind w:right="94"/>
              <w:rPr>
                <w:rFonts w:ascii="Courier New"/>
                <w:b/>
                <w:sz w:val="16"/>
              </w:rPr>
            </w:pPr>
            <w:r>
              <w:rPr>
                <w:rFonts w:ascii="Courier New"/>
                <w:b/>
                <w:sz w:val="16"/>
              </w:rPr>
              <w:t>SE Coef</w:t>
            </w:r>
          </w:p>
        </w:tc>
        <w:tc>
          <w:tcPr>
            <w:tcW w:w="865" w:type="dxa"/>
          </w:tcPr>
          <w:p>
            <w:pPr>
              <w:pStyle w:val="TableParagraph"/>
              <w:spacing w:line="161" w:lineRule="exact"/>
              <w:ind w:right="93"/>
              <w:rPr>
                <w:rFonts w:ascii="Courier New"/>
                <w:b/>
                <w:sz w:val="16"/>
              </w:rPr>
            </w:pPr>
            <w:r>
              <w:rPr>
                <w:rFonts w:ascii="Courier New"/>
                <w:b/>
                <w:sz w:val="16"/>
              </w:rPr>
              <w:t>T-Value</w:t>
            </w:r>
          </w:p>
        </w:tc>
        <w:tc>
          <w:tcPr>
            <w:tcW w:w="863" w:type="dxa"/>
          </w:tcPr>
          <w:p>
            <w:pPr>
              <w:pStyle w:val="TableParagraph"/>
              <w:spacing w:line="161" w:lineRule="exact"/>
              <w:ind w:right="91"/>
              <w:rPr>
                <w:rFonts w:ascii="Courier New"/>
                <w:b/>
                <w:sz w:val="16"/>
              </w:rPr>
            </w:pPr>
            <w:r>
              <w:rPr>
                <w:rFonts w:ascii="Courier New"/>
                <w:b/>
                <w:sz w:val="16"/>
              </w:rPr>
              <w:t>P-Value</w:t>
            </w:r>
          </w:p>
        </w:tc>
        <w:tc>
          <w:tcPr>
            <w:tcW w:w="531" w:type="dxa"/>
          </w:tcPr>
          <w:p>
            <w:pPr>
              <w:pStyle w:val="TableParagraph"/>
              <w:spacing w:line="161" w:lineRule="exact"/>
              <w:ind w:right="46"/>
              <w:rPr>
                <w:rFonts w:ascii="Courier New"/>
                <w:b/>
                <w:sz w:val="16"/>
              </w:rPr>
            </w:pPr>
            <w:r>
              <w:rPr>
                <w:rFonts w:ascii="Courier New"/>
                <w:b/>
                <w:sz w:val="16"/>
              </w:rPr>
              <w:t>VIF</w:t>
            </w:r>
          </w:p>
        </w:tc>
      </w:tr>
      <w:tr>
        <w:trPr>
          <w:trHeight w:val="182" w:hRule="atLeast"/>
        </w:trPr>
        <w:tc>
          <w:tcPr>
            <w:tcW w:w="3122" w:type="dxa"/>
          </w:tcPr>
          <w:p>
            <w:pPr>
              <w:pStyle w:val="TableParagraph"/>
              <w:spacing w:line="162" w:lineRule="exact" w:before="0"/>
              <w:ind w:left="50"/>
              <w:jc w:val="left"/>
              <w:rPr>
                <w:rFonts w:ascii="Courier New"/>
                <w:b/>
                <w:sz w:val="16"/>
              </w:rPr>
            </w:pPr>
            <w:r>
              <w:rPr>
                <w:rFonts w:ascii="Courier New"/>
                <w:b/>
                <w:sz w:val="16"/>
              </w:rPr>
              <w:t>Constant</w:t>
            </w:r>
          </w:p>
        </w:tc>
        <w:tc>
          <w:tcPr>
            <w:tcW w:w="864" w:type="dxa"/>
          </w:tcPr>
          <w:p>
            <w:pPr>
              <w:pStyle w:val="TableParagraph"/>
              <w:spacing w:line="162" w:lineRule="exact" w:before="0"/>
              <w:ind w:right="94"/>
              <w:rPr>
                <w:rFonts w:ascii="Courier New"/>
                <w:b/>
                <w:sz w:val="16"/>
              </w:rPr>
            </w:pPr>
            <w:r>
              <w:rPr>
                <w:rFonts w:ascii="Courier New"/>
                <w:b/>
                <w:sz w:val="16"/>
              </w:rPr>
              <w:t>9805257</w:t>
            </w:r>
          </w:p>
        </w:tc>
        <w:tc>
          <w:tcPr>
            <w:tcW w:w="864" w:type="dxa"/>
          </w:tcPr>
          <w:p>
            <w:pPr>
              <w:pStyle w:val="TableParagraph"/>
              <w:spacing w:line="162" w:lineRule="exact" w:before="0"/>
              <w:ind w:right="94"/>
              <w:rPr>
                <w:rFonts w:ascii="Courier New"/>
                <w:b/>
                <w:sz w:val="16"/>
              </w:rPr>
            </w:pPr>
            <w:r>
              <w:rPr>
                <w:rFonts w:ascii="Courier New"/>
                <w:b/>
                <w:sz w:val="16"/>
              </w:rPr>
              <w:t>4407150</w:t>
            </w:r>
          </w:p>
        </w:tc>
        <w:tc>
          <w:tcPr>
            <w:tcW w:w="865" w:type="dxa"/>
          </w:tcPr>
          <w:p>
            <w:pPr>
              <w:pStyle w:val="TableParagraph"/>
              <w:spacing w:line="162" w:lineRule="exact" w:before="0"/>
              <w:ind w:right="93"/>
              <w:rPr>
                <w:rFonts w:ascii="Courier New"/>
                <w:b/>
                <w:sz w:val="16"/>
              </w:rPr>
            </w:pPr>
            <w:r>
              <w:rPr>
                <w:rFonts w:ascii="Courier New"/>
                <w:b/>
                <w:sz w:val="16"/>
              </w:rPr>
              <w:t>2.22</w:t>
            </w:r>
          </w:p>
        </w:tc>
        <w:tc>
          <w:tcPr>
            <w:tcW w:w="863" w:type="dxa"/>
          </w:tcPr>
          <w:p>
            <w:pPr>
              <w:pStyle w:val="TableParagraph"/>
              <w:spacing w:line="162" w:lineRule="exact" w:before="0"/>
              <w:ind w:right="92"/>
              <w:rPr>
                <w:rFonts w:ascii="Courier New"/>
                <w:b/>
                <w:sz w:val="16"/>
              </w:rPr>
            </w:pPr>
            <w:r>
              <w:rPr>
                <w:rFonts w:ascii="Courier New"/>
                <w:b/>
                <w:sz w:val="16"/>
              </w:rPr>
              <w:t>0.027</w:t>
            </w:r>
          </w:p>
        </w:tc>
        <w:tc>
          <w:tcPr>
            <w:tcW w:w="531" w:type="dxa"/>
          </w:tcPr>
          <w:p>
            <w:pPr>
              <w:pStyle w:val="TableParagraph"/>
              <w:spacing w:line="240" w:lineRule="auto" w:before="0"/>
              <w:jc w:val="left"/>
              <w:rPr>
                <w:rFonts w:ascii="Times New Roman"/>
                <w:sz w:val="12"/>
              </w:rPr>
            </w:pPr>
          </w:p>
        </w:tc>
      </w:tr>
      <w:tr>
        <w:trPr>
          <w:trHeight w:val="181" w:hRule="atLeast"/>
        </w:trPr>
        <w:tc>
          <w:tcPr>
            <w:tcW w:w="3122" w:type="dxa"/>
          </w:tcPr>
          <w:p>
            <w:pPr>
              <w:pStyle w:val="TableParagraph"/>
              <w:spacing w:line="161" w:lineRule="exact" w:before="1"/>
              <w:ind w:left="50"/>
              <w:jc w:val="left"/>
              <w:rPr>
                <w:rFonts w:ascii="Courier New" w:hAnsi="Courier New"/>
                <w:b/>
                <w:sz w:val="16"/>
              </w:rPr>
            </w:pPr>
            <w:r>
              <w:rPr>
                <w:rFonts w:ascii="Courier New" w:hAnsi="Courier New"/>
                <w:b/>
                <w:sz w:val="16"/>
              </w:rPr>
              <w:t>Área de Construcción en metros</w:t>
            </w:r>
          </w:p>
        </w:tc>
        <w:tc>
          <w:tcPr>
            <w:tcW w:w="864" w:type="dxa"/>
          </w:tcPr>
          <w:p>
            <w:pPr>
              <w:pStyle w:val="TableParagraph"/>
              <w:spacing w:line="161" w:lineRule="exact" w:before="1"/>
              <w:ind w:right="94"/>
              <w:rPr>
                <w:rFonts w:ascii="Courier New"/>
                <w:b/>
                <w:sz w:val="16"/>
              </w:rPr>
            </w:pPr>
            <w:r>
              <w:rPr>
                <w:rFonts w:ascii="Courier New"/>
                <w:b/>
                <w:sz w:val="16"/>
              </w:rPr>
              <w:t>167.2</w:t>
            </w:r>
          </w:p>
        </w:tc>
        <w:tc>
          <w:tcPr>
            <w:tcW w:w="864" w:type="dxa"/>
          </w:tcPr>
          <w:p>
            <w:pPr>
              <w:pStyle w:val="TableParagraph"/>
              <w:spacing w:line="161" w:lineRule="exact" w:before="1"/>
              <w:ind w:right="94"/>
              <w:rPr>
                <w:rFonts w:ascii="Courier New"/>
                <w:b/>
                <w:sz w:val="16"/>
              </w:rPr>
            </w:pPr>
            <w:r>
              <w:rPr>
                <w:rFonts w:ascii="Courier New"/>
                <w:b/>
                <w:sz w:val="16"/>
              </w:rPr>
              <w:t>67.3</w:t>
            </w:r>
          </w:p>
        </w:tc>
        <w:tc>
          <w:tcPr>
            <w:tcW w:w="865" w:type="dxa"/>
          </w:tcPr>
          <w:p>
            <w:pPr>
              <w:pStyle w:val="TableParagraph"/>
              <w:spacing w:line="161" w:lineRule="exact" w:before="1"/>
              <w:ind w:right="95"/>
              <w:rPr>
                <w:rFonts w:ascii="Courier New"/>
                <w:b/>
                <w:sz w:val="16"/>
              </w:rPr>
            </w:pPr>
            <w:r>
              <w:rPr>
                <w:rFonts w:ascii="Courier New"/>
                <w:b/>
                <w:sz w:val="16"/>
              </w:rPr>
              <w:t>2.48</w:t>
            </w:r>
          </w:p>
        </w:tc>
        <w:tc>
          <w:tcPr>
            <w:tcW w:w="863" w:type="dxa"/>
          </w:tcPr>
          <w:p>
            <w:pPr>
              <w:pStyle w:val="TableParagraph"/>
              <w:spacing w:line="161" w:lineRule="exact" w:before="1"/>
              <w:ind w:right="94"/>
              <w:rPr>
                <w:rFonts w:ascii="Courier New"/>
                <w:b/>
                <w:sz w:val="16"/>
              </w:rPr>
            </w:pPr>
            <w:r>
              <w:rPr>
                <w:rFonts w:ascii="Courier New"/>
                <w:b/>
                <w:sz w:val="16"/>
              </w:rPr>
              <w:t>0.014</w:t>
            </w:r>
          </w:p>
        </w:tc>
        <w:tc>
          <w:tcPr>
            <w:tcW w:w="531" w:type="dxa"/>
          </w:tcPr>
          <w:p>
            <w:pPr>
              <w:pStyle w:val="TableParagraph"/>
              <w:spacing w:line="161" w:lineRule="exact" w:before="1"/>
              <w:ind w:right="49"/>
              <w:rPr>
                <w:rFonts w:ascii="Courier New"/>
                <w:b/>
                <w:sz w:val="16"/>
              </w:rPr>
            </w:pPr>
            <w:r>
              <w:rPr>
                <w:rFonts w:ascii="Courier New"/>
                <w:b/>
                <w:sz w:val="16"/>
              </w:rPr>
              <w:t>1.05</w:t>
            </w:r>
          </w:p>
        </w:tc>
      </w:tr>
      <w:tr>
        <w:trPr>
          <w:trHeight w:val="180" w:hRule="atLeast"/>
        </w:trPr>
        <w:tc>
          <w:tcPr>
            <w:tcW w:w="3122" w:type="dxa"/>
          </w:tcPr>
          <w:p>
            <w:pPr>
              <w:pStyle w:val="TableParagraph"/>
              <w:spacing w:line="160" w:lineRule="exact" w:before="0"/>
              <w:ind w:left="50"/>
              <w:jc w:val="left"/>
              <w:rPr>
                <w:rFonts w:ascii="Courier New" w:hAnsi="Courier New"/>
                <w:b/>
                <w:sz w:val="16"/>
              </w:rPr>
            </w:pPr>
            <w:r>
              <w:rPr>
                <w:rFonts w:ascii="Courier New" w:hAnsi="Courier New"/>
                <w:b/>
                <w:sz w:val="16"/>
              </w:rPr>
              <w:t>Año de Construcción</w:t>
            </w:r>
          </w:p>
        </w:tc>
        <w:tc>
          <w:tcPr>
            <w:tcW w:w="864" w:type="dxa"/>
          </w:tcPr>
          <w:p>
            <w:pPr>
              <w:pStyle w:val="TableParagraph"/>
              <w:spacing w:line="160" w:lineRule="exact" w:before="0"/>
              <w:ind w:right="92"/>
              <w:rPr>
                <w:rFonts w:ascii="Courier New"/>
                <w:b/>
                <w:sz w:val="16"/>
              </w:rPr>
            </w:pPr>
            <w:r>
              <w:rPr>
                <w:rFonts w:ascii="Courier New"/>
                <w:b/>
                <w:sz w:val="16"/>
              </w:rPr>
              <w:t>-4772</w:t>
            </w:r>
          </w:p>
        </w:tc>
        <w:tc>
          <w:tcPr>
            <w:tcW w:w="864" w:type="dxa"/>
          </w:tcPr>
          <w:p>
            <w:pPr>
              <w:pStyle w:val="TableParagraph"/>
              <w:spacing w:line="160" w:lineRule="exact" w:before="0"/>
              <w:ind w:right="93"/>
              <w:rPr>
                <w:rFonts w:ascii="Courier New"/>
                <w:b/>
                <w:sz w:val="16"/>
              </w:rPr>
            </w:pPr>
            <w:r>
              <w:rPr>
                <w:rFonts w:ascii="Courier New"/>
                <w:b/>
                <w:sz w:val="16"/>
              </w:rPr>
              <w:t>2198</w:t>
            </w:r>
          </w:p>
        </w:tc>
        <w:tc>
          <w:tcPr>
            <w:tcW w:w="865" w:type="dxa"/>
          </w:tcPr>
          <w:p>
            <w:pPr>
              <w:pStyle w:val="TableParagraph"/>
              <w:spacing w:line="160" w:lineRule="exact" w:before="0"/>
              <w:ind w:right="93"/>
              <w:rPr>
                <w:rFonts w:ascii="Courier New"/>
                <w:b/>
                <w:sz w:val="16"/>
              </w:rPr>
            </w:pPr>
            <w:r>
              <w:rPr>
                <w:rFonts w:ascii="Courier New"/>
                <w:b/>
                <w:sz w:val="16"/>
              </w:rPr>
              <w:t>-2.17</w:t>
            </w:r>
          </w:p>
        </w:tc>
        <w:tc>
          <w:tcPr>
            <w:tcW w:w="863" w:type="dxa"/>
          </w:tcPr>
          <w:p>
            <w:pPr>
              <w:pStyle w:val="TableParagraph"/>
              <w:spacing w:line="160" w:lineRule="exact" w:before="0"/>
              <w:ind w:right="92"/>
              <w:rPr>
                <w:rFonts w:ascii="Courier New"/>
                <w:b/>
                <w:sz w:val="16"/>
              </w:rPr>
            </w:pPr>
            <w:r>
              <w:rPr>
                <w:rFonts w:ascii="Courier New"/>
                <w:b/>
                <w:sz w:val="16"/>
              </w:rPr>
              <w:t>0.031</w:t>
            </w:r>
          </w:p>
        </w:tc>
        <w:tc>
          <w:tcPr>
            <w:tcW w:w="531" w:type="dxa"/>
          </w:tcPr>
          <w:p>
            <w:pPr>
              <w:pStyle w:val="TableParagraph"/>
              <w:spacing w:line="160" w:lineRule="exact" w:before="0"/>
              <w:ind w:right="47"/>
              <w:rPr>
                <w:rFonts w:ascii="Courier New"/>
                <w:b/>
                <w:sz w:val="16"/>
              </w:rPr>
            </w:pPr>
            <w:r>
              <w:rPr>
                <w:rFonts w:ascii="Courier New"/>
                <w:b/>
                <w:sz w:val="16"/>
              </w:rPr>
              <w:t>1.16</w:t>
            </w:r>
          </w:p>
        </w:tc>
      </w:tr>
      <w:tr>
        <w:trPr>
          <w:trHeight w:val="181" w:hRule="atLeast"/>
        </w:trPr>
        <w:tc>
          <w:tcPr>
            <w:tcW w:w="3122" w:type="dxa"/>
          </w:tcPr>
          <w:p>
            <w:pPr>
              <w:pStyle w:val="TableParagraph"/>
              <w:spacing w:line="162" w:lineRule="exact" w:before="0"/>
              <w:ind w:left="50"/>
              <w:jc w:val="left"/>
              <w:rPr>
                <w:rFonts w:ascii="Courier New" w:hAnsi="Courier New"/>
                <w:b/>
                <w:sz w:val="16"/>
              </w:rPr>
            </w:pPr>
            <w:r>
              <w:rPr>
                <w:rFonts w:ascii="Courier New" w:hAnsi="Courier New"/>
                <w:b/>
                <w:sz w:val="16"/>
              </w:rPr>
              <w:t>Número de Plantas</w:t>
            </w:r>
          </w:p>
        </w:tc>
        <w:tc>
          <w:tcPr>
            <w:tcW w:w="864" w:type="dxa"/>
          </w:tcPr>
          <w:p>
            <w:pPr>
              <w:pStyle w:val="TableParagraph"/>
              <w:spacing w:line="162" w:lineRule="exact" w:before="0"/>
              <w:ind w:right="94"/>
              <w:rPr>
                <w:rFonts w:ascii="Courier New"/>
                <w:b/>
                <w:sz w:val="16"/>
              </w:rPr>
            </w:pPr>
            <w:r>
              <w:rPr>
                <w:rFonts w:ascii="Courier New"/>
                <w:b/>
                <w:sz w:val="16"/>
              </w:rPr>
              <w:t>24913</w:t>
            </w:r>
          </w:p>
        </w:tc>
        <w:tc>
          <w:tcPr>
            <w:tcW w:w="864" w:type="dxa"/>
          </w:tcPr>
          <w:p>
            <w:pPr>
              <w:pStyle w:val="TableParagraph"/>
              <w:spacing w:line="162" w:lineRule="exact" w:before="0"/>
              <w:ind w:right="94"/>
              <w:rPr>
                <w:rFonts w:ascii="Courier New"/>
                <w:b/>
                <w:sz w:val="16"/>
              </w:rPr>
            </w:pPr>
            <w:r>
              <w:rPr>
                <w:rFonts w:ascii="Courier New"/>
                <w:b/>
                <w:sz w:val="16"/>
              </w:rPr>
              <w:t>28126</w:t>
            </w:r>
          </w:p>
        </w:tc>
        <w:tc>
          <w:tcPr>
            <w:tcW w:w="865" w:type="dxa"/>
          </w:tcPr>
          <w:p>
            <w:pPr>
              <w:pStyle w:val="TableParagraph"/>
              <w:spacing w:line="162" w:lineRule="exact" w:before="0"/>
              <w:ind w:right="95"/>
              <w:rPr>
                <w:rFonts w:ascii="Courier New"/>
                <w:b/>
                <w:sz w:val="16"/>
              </w:rPr>
            </w:pPr>
            <w:r>
              <w:rPr>
                <w:rFonts w:ascii="Courier New"/>
                <w:b/>
                <w:sz w:val="16"/>
              </w:rPr>
              <w:t>0.89</w:t>
            </w:r>
          </w:p>
        </w:tc>
        <w:tc>
          <w:tcPr>
            <w:tcW w:w="863" w:type="dxa"/>
          </w:tcPr>
          <w:p>
            <w:pPr>
              <w:pStyle w:val="TableParagraph"/>
              <w:spacing w:line="162" w:lineRule="exact" w:before="0"/>
              <w:ind w:right="94"/>
              <w:rPr>
                <w:rFonts w:ascii="Courier New"/>
                <w:b/>
                <w:sz w:val="16"/>
              </w:rPr>
            </w:pPr>
            <w:r>
              <w:rPr>
                <w:rFonts w:ascii="Courier New"/>
                <w:b/>
                <w:sz w:val="16"/>
              </w:rPr>
              <w:t>0.376</w:t>
            </w:r>
          </w:p>
        </w:tc>
        <w:tc>
          <w:tcPr>
            <w:tcW w:w="531" w:type="dxa"/>
          </w:tcPr>
          <w:p>
            <w:pPr>
              <w:pStyle w:val="TableParagraph"/>
              <w:spacing w:line="162" w:lineRule="exact" w:before="0"/>
              <w:ind w:right="49"/>
              <w:rPr>
                <w:rFonts w:ascii="Courier New"/>
                <w:b/>
                <w:sz w:val="16"/>
              </w:rPr>
            </w:pPr>
            <w:r>
              <w:rPr>
                <w:rFonts w:ascii="Courier New"/>
                <w:b/>
                <w:sz w:val="16"/>
              </w:rPr>
              <w:t>1.07</w:t>
            </w:r>
          </w:p>
        </w:tc>
      </w:tr>
      <w:tr>
        <w:trPr>
          <w:trHeight w:val="182" w:hRule="atLeast"/>
        </w:trPr>
        <w:tc>
          <w:tcPr>
            <w:tcW w:w="3122" w:type="dxa"/>
          </w:tcPr>
          <w:p>
            <w:pPr>
              <w:pStyle w:val="TableParagraph"/>
              <w:spacing w:line="161" w:lineRule="exact" w:before="1"/>
              <w:ind w:left="50"/>
              <w:jc w:val="left"/>
              <w:rPr>
                <w:rFonts w:ascii="Courier New" w:hAnsi="Courier New"/>
                <w:b/>
                <w:sz w:val="16"/>
              </w:rPr>
            </w:pPr>
            <w:r>
              <w:rPr>
                <w:rFonts w:ascii="Courier New" w:hAnsi="Courier New"/>
                <w:b/>
                <w:sz w:val="16"/>
              </w:rPr>
              <w:t>Distancia a San José Centro por</w:t>
            </w:r>
          </w:p>
        </w:tc>
        <w:tc>
          <w:tcPr>
            <w:tcW w:w="864" w:type="dxa"/>
          </w:tcPr>
          <w:p>
            <w:pPr>
              <w:pStyle w:val="TableParagraph"/>
              <w:spacing w:line="161" w:lineRule="exact" w:before="1"/>
              <w:ind w:right="92"/>
              <w:rPr>
                <w:rFonts w:ascii="Courier New"/>
                <w:b/>
                <w:sz w:val="16"/>
              </w:rPr>
            </w:pPr>
            <w:r>
              <w:rPr>
                <w:rFonts w:ascii="Courier New"/>
                <w:b/>
                <w:sz w:val="16"/>
              </w:rPr>
              <w:t>-21812</w:t>
            </w:r>
          </w:p>
        </w:tc>
        <w:tc>
          <w:tcPr>
            <w:tcW w:w="864" w:type="dxa"/>
          </w:tcPr>
          <w:p>
            <w:pPr>
              <w:pStyle w:val="TableParagraph"/>
              <w:spacing w:line="161" w:lineRule="exact" w:before="1"/>
              <w:ind w:right="93"/>
              <w:rPr>
                <w:rFonts w:ascii="Courier New"/>
                <w:b/>
                <w:sz w:val="16"/>
              </w:rPr>
            </w:pPr>
            <w:r>
              <w:rPr>
                <w:rFonts w:ascii="Courier New"/>
                <w:b/>
                <w:sz w:val="16"/>
              </w:rPr>
              <w:t>7111</w:t>
            </w:r>
          </w:p>
        </w:tc>
        <w:tc>
          <w:tcPr>
            <w:tcW w:w="865" w:type="dxa"/>
          </w:tcPr>
          <w:p>
            <w:pPr>
              <w:pStyle w:val="TableParagraph"/>
              <w:spacing w:line="161" w:lineRule="exact" w:before="1"/>
              <w:ind w:right="93"/>
              <w:rPr>
                <w:rFonts w:ascii="Courier New"/>
                <w:b/>
                <w:sz w:val="16"/>
              </w:rPr>
            </w:pPr>
            <w:r>
              <w:rPr>
                <w:rFonts w:ascii="Courier New"/>
                <w:b/>
                <w:sz w:val="16"/>
              </w:rPr>
              <w:t>-3.07</w:t>
            </w:r>
          </w:p>
        </w:tc>
        <w:tc>
          <w:tcPr>
            <w:tcW w:w="863" w:type="dxa"/>
          </w:tcPr>
          <w:p>
            <w:pPr>
              <w:pStyle w:val="TableParagraph"/>
              <w:spacing w:line="161" w:lineRule="exact" w:before="1"/>
              <w:ind w:right="92"/>
              <w:rPr>
                <w:rFonts w:ascii="Courier New"/>
                <w:b/>
                <w:sz w:val="16"/>
              </w:rPr>
            </w:pPr>
            <w:r>
              <w:rPr>
                <w:rFonts w:ascii="Courier New"/>
                <w:b/>
                <w:sz w:val="16"/>
              </w:rPr>
              <w:t>0.002</w:t>
            </w:r>
          </w:p>
        </w:tc>
        <w:tc>
          <w:tcPr>
            <w:tcW w:w="531" w:type="dxa"/>
          </w:tcPr>
          <w:p>
            <w:pPr>
              <w:pStyle w:val="TableParagraph"/>
              <w:spacing w:line="161" w:lineRule="exact" w:before="1"/>
              <w:ind w:right="47"/>
              <w:rPr>
                <w:rFonts w:ascii="Courier New"/>
                <w:b/>
                <w:sz w:val="16"/>
              </w:rPr>
            </w:pPr>
            <w:r>
              <w:rPr>
                <w:rFonts w:ascii="Courier New"/>
                <w:b/>
                <w:sz w:val="16"/>
              </w:rPr>
              <w:t>1.16</w:t>
            </w:r>
          </w:p>
        </w:tc>
      </w:tr>
      <w:tr>
        <w:trPr>
          <w:trHeight w:val="180" w:hRule="atLeast"/>
        </w:trPr>
        <w:tc>
          <w:tcPr>
            <w:tcW w:w="3122" w:type="dxa"/>
          </w:tcPr>
          <w:p>
            <w:pPr>
              <w:pStyle w:val="TableParagraph"/>
              <w:spacing w:line="160" w:lineRule="exact" w:before="0"/>
              <w:ind w:left="50"/>
              <w:jc w:val="left"/>
              <w:rPr>
                <w:rFonts w:ascii="Courier New"/>
                <w:b/>
                <w:sz w:val="16"/>
              </w:rPr>
            </w:pPr>
            <w:r>
              <w:rPr>
                <w:rFonts w:ascii="Courier New"/>
                <w:b/>
                <w:sz w:val="16"/>
              </w:rPr>
              <w:t>Distancia a Aglomera-ciones de</w:t>
            </w:r>
          </w:p>
        </w:tc>
        <w:tc>
          <w:tcPr>
            <w:tcW w:w="864" w:type="dxa"/>
          </w:tcPr>
          <w:p>
            <w:pPr>
              <w:pStyle w:val="TableParagraph"/>
              <w:spacing w:line="160" w:lineRule="exact" w:before="0"/>
              <w:ind w:right="93"/>
              <w:rPr>
                <w:rFonts w:ascii="Courier New"/>
                <w:b/>
                <w:sz w:val="16"/>
              </w:rPr>
            </w:pPr>
            <w:r>
              <w:rPr>
                <w:rFonts w:ascii="Courier New"/>
                <w:b/>
                <w:sz w:val="16"/>
              </w:rPr>
              <w:t>26228</w:t>
            </w:r>
          </w:p>
        </w:tc>
        <w:tc>
          <w:tcPr>
            <w:tcW w:w="864" w:type="dxa"/>
          </w:tcPr>
          <w:p>
            <w:pPr>
              <w:pStyle w:val="TableParagraph"/>
              <w:spacing w:line="160" w:lineRule="exact" w:before="0"/>
              <w:ind w:right="93"/>
              <w:rPr>
                <w:rFonts w:ascii="Courier New"/>
                <w:b/>
                <w:sz w:val="16"/>
              </w:rPr>
            </w:pPr>
            <w:r>
              <w:rPr>
                <w:rFonts w:ascii="Courier New"/>
                <w:b/>
                <w:sz w:val="16"/>
              </w:rPr>
              <w:t>11502</w:t>
            </w:r>
          </w:p>
        </w:tc>
        <w:tc>
          <w:tcPr>
            <w:tcW w:w="865" w:type="dxa"/>
          </w:tcPr>
          <w:p>
            <w:pPr>
              <w:pStyle w:val="TableParagraph"/>
              <w:spacing w:line="160" w:lineRule="exact" w:before="0"/>
              <w:ind w:right="94"/>
              <w:rPr>
                <w:rFonts w:ascii="Courier New"/>
                <w:b/>
                <w:sz w:val="16"/>
              </w:rPr>
            </w:pPr>
            <w:r>
              <w:rPr>
                <w:rFonts w:ascii="Courier New"/>
                <w:b/>
                <w:sz w:val="16"/>
              </w:rPr>
              <w:t>2.28</w:t>
            </w:r>
          </w:p>
        </w:tc>
        <w:tc>
          <w:tcPr>
            <w:tcW w:w="863" w:type="dxa"/>
          </w:tcPr>
          <w:p>
            <w:pPr>
              <w:pStyle w:val="TableParagraph"/>
              <w:spacing w:line="160" w:lineRule="exact" w:before="0"/>
              <w:ind w:right="93"/>
              <w:rPr>
                <w:rFonts w:ascii="Courier New"/>
                <w:b/>
                <w:sz w:val="16"/>
              </w:rPr>
            </w:pPr>
            <w:r>
              <w:rPr>
                <w:rFonts w:ascii="Courier New"/>
                <w:b/>
                <w:sz w:val="16"/>
              </w:rPr>
              <w:t>0.023</w:t>
            </w:r>
          </w:p>
        </w:tc>
        <w:tc>
          <w:tcPr>
            <w:tcW w:w="531" w:type="dxa"/>
          </w:tcPr>
          <w:p>
            <w:pPr>
              <w:pStyle w:val="TableParagraph"/>
              <w:spacing w:line="160" w:lineRule="exact" w:before="0"/>
              <w:ind w:right="48"/>
              <w:rPr>
                <w:rFonts w:ascii="Courier New"/>
                <w:b/>
                <w:sz w:val="16"/>
              </w:rPr>
            </w:pPr>
            <w:r>
              <w:rPr>
                <w:rFonts w:ascii="Courier New"/>
                <w:b/>
                <w:sz w:val="16"/>
              </w:rPr>
              <w:t>1.17</w:t>
            </w:r>
          </w:p>
        </w:tc>
      </w:tr>
      <w:tr>
        <w:trPr>
          <w:trHeight w:val="180" w:hRule="atLeast"/>
        </w:trPr>
        <w:tc>
          <w:tcPr>
            <w:tcW w:w="3122" w:type="dxa"/>
          </w:tcPr>
          <w:p>
            <w:pPr>
              <w:pStyle w:val="TableParagraph"/>
              <w:spacing w:line="160" w:lineRule="exact" w:before="0"/>
              <w:ind w:left="50"/>
              <w:jc w:val="left"/>
              <w:rPr>
                <w:rFonts w:ascii="Courier New"/>
                <w:b/>
                <w:sz w:val="16"/>
              </w:rPr>
            </w:pPr>
            <w:r>
              <w:rPr>
                <w:rFonts w:ascii="Courier New"/>
                <w:b/>
                <w:sz w:val="16"/>
              </w:rPr>
              <w:t>Tipo = 1 casa, 0 = Condo</w:t>
            </w:r>
          </w:p>
        </w:tc>
        <w:tc>
          <w:tcPr>
            <w:tcW w:w="864" w:type="dxa"/>
          </w:tcPr>
          <w:p>
            <w:pPr>
              <w:pStyle w:val="TableParagraph"/>
              <w:spacing w:line="240" w:lineRule="auto" w:before="0"/>
              <w:jc w:val="left"/>
              <w:rPr>
                <w:rFonts w:ascii="Times New Roman"/>
                <w:sz w:val="12"/>
              </w:rPr>
            </w:pPr>
          </w:p>
        </w:tc>
        <w:tc>
          <w:tcPr>
            <w:tcW w:w="864" w:type="dxa"/>
          </w:tcPr>
          <w:p>
            <w:pPr>
              <w:pStyle w:val="TableParagraph"/>
              <w:spacing w:line="240" w:lineRule="auto" w:before="0"/>
              <w:jc w:val="left"/>
              <w:rPr>
                <w:rFonts w:ascii="Times New Roman"/>
                <w:sz w:val="12"/>
              </w:rPr>
            </w:pPr>
          </w:p>
        </w:tc>
        <w:tc>
          <w:tcPr>
            <w:tcW w:w="865" w:type="dxa"/>
          </w:tcPr>
          <w:p>
            <w:pPr>
              <w:pStyle w:val="TableParagraph"/>
              <w:spacing w:line="240" w:lineRule="auto" w:before="0"/>
              <w:jc w:val="left"/>
              <w:rPr>
                <w:rFonts w:ascii="Times New Roman"/>
                <w:sz w:val="12"/>
              </w:rPr>
            </w:pPr>
          </w:p>
        </w:tc>
        <w:tc>
          <w:tcPr>
            <w:tcW w:w="863" w:type="dxa"/>
          </w:tcPr>
          <w:p>
            <w:pPr>
              <w:pStyle w:val="TableParagraph"/>
              <w:spacing w:line="240" w:lineRule="auto" w:before="0"/>
              <w:jc w:val="left"/>
              <w:rPr>
                <w:rFonts w:ascii="Times New Roman"/>
                <w:sz w:val="12"/>
              </w:rPr>
            </w:pPr>
          </w:p>
        </w:tc>
        <w:tc>
          <w:tcPr>
            <w:tcW w:w="531" w:type="dxa"/>
          </w:tcPr>
          <w:p>
            <w:pPr>
              <w:pStyle w:val="TableParagraph"/>
              <w:spacing w:line="240" w:lineRule="auto" w:before="0"/>
              <w:jc w:val="left"/>
              <w:rPr>
                <w:rFonts w:ascii="Times New Roman"/>
                <w:sz w:val="12"/>
              </w:rPr>
            </w:pPr>
          </w:p>
        </w:tc>
      </w:tr>
      <w:tr>
        <w:trPr>
          <w:trHeight w:val="180" w:hRule="atLeast"/>
        </w:trPr>
        <w:tc>
          <w:tcPr>
            <w:tcW w:w="3122" w:type="dxa"/>
          </w:tcPr>
          <w:p>
            <w:pPr>
              <w:pStyle w:val="TableParagraph"/>
              <w:spacing w:line="161" w:lineRule="exact" w:before="0"/>
              <w:ind w:left="241"/>
              <w:jc w:val="left"/>
              <w:rPr>
                <w:rFonts w:ascii="Courier New"/>
                <w:b/>
                <w:sz w:val="16"/>
              </w:rPr>
            </w:pPr>
            <w:r>
              <w:rPr>
                <w:rFonts w:ascii="Courier New"/>
                <w:b/>
                <w:sz w:val="16"/>
              </w:rPr>
              <w:t>1</w:t>
            </w:r>
          </w:p>
        </w:tc>
        <w:tc>
          <w:tcPr>
            <w:tcW w:w="864" w:type="dxa"/>
          </w:tcPr>
          <w:p>
            <w:pPr>
              <w:pStyle w:val="TableParagraph"/>
              <w:spacing w:line="161" w:lineRule="exact" w:before="0"/>
              <w:ind w:right="94"/>
              <w:rPr>
                <w:rFonts w:ascii="Courier New"/>
                <w:b/>
                <w:sz w:val="16"/>
              </w:rPr>
            </w:pPr>
            <w:r>
              <w:rPr>
                <w:rFonts w:ascii="Courier New"/>
                <w:b/>
                <w:sz w:val="16"/>
              </w:rPr>
              <w:t>99494</w:t>
            </w:r>
          </w:p>
        </w:tc>
        <w:tc>
          <w:tcPr>
            <w:tcW w:w="864" w:type="dxa"/>
          </w:tcPr>
          <w:p>
            <w:pPr>
              <w:pStyle w:val="TableParagraph"/>
              <w:spacing w:line="161" w:lineRule="exact" w:before="0"/>
              <w:ind w:right="94"/>
              <w:rPr>
                <w:rFonts w:ascii="Courier New"/>
                <w:b/>
                <w:sz w:val="16"/>
              </w:rPr>
            </w:pPr>
            <w:r>
              <w:rPr>
                <w:rFonts w:ascii="Courier New"/>
                <w:b/>
                <w:sz w:val="16"/>
              </w:rPr>
              <w:t>26754</w:t>
            </w:r>
          </w:p>
        </w:tc>
        <w:tc>
          <w:tcPr>
            <w:tcW w:w="865" w:type="dxa"/>
          </w:tcPr>
          <w:p>
            <w:pPr>
              <w:pStyle w:val="TableParagraph"/>
              <w:spacing w:line="161" w:lineRule="exact" w:before="0"/>
              <w:ind w:right="95"/>
              <w:rPr>
                <w:rFonts w:ascii="Courier New"/>
                <w:b/>
                <w:sz w:val="16"/>
              </w:rPr>
            </w:pPr>
            <w:r>
              <w:rPr>
                <w:rFonts w:ascii="Courier New"/>
                <w:b/>
                <w:sz w:val="16"/>
              </w:rPr>
              <w:t>3.72</w:t>
            </w:r>
          </w:p>
        </w:tc>
        <w:tc>
          <w:tcPr>
            <w:tcW w:w="863" w:type="dxa"/>
          </w:tcPr>
          <w:p>
            <w:pPr>
              <w:pStyle w:val="TableParagraph"/>
              <w:spacing w:line="161" w:lineRule="exact" w:before="0"/>
              <w:ind w:right="94"/>
              <w:rPr>
                <w:rFonts w:ascii="Courier New"/>
                <w:b/>
                <w:sz w:val="16"/>
              </w:rPr>
            </w:pPr>
            <w:r>
              <w:rPr>
                <w:rFonts w:ascii="Courier New"/>
                <w:b/>
                <w:sz w:val="16"/>
              </w:rPr>
              <w:t>0.000</w:t>
            </w:r>
          </w:p>
        </w:tc>
        <w:tc>
          <w:tcPr>
            <w:tcW w:w="531" w:type="dxa"/>
          </w:tcPr>
          <w:p>
            <w:pPr>
              <w:pStyle w:val="TableParagraph"/>
              <w:spacing w:line="161" w:lineRule="exact" w:before="0"/>
              <w:ind w:right="49"/>
              <w:rPr>
                <w:rFonts w:ascii="Courier New"/>
                <w:b/>
                <w:sz w:val="16"/>
              </w:rPr>
            </w:pPr>
            <w:r>
              <w:rPr>
                <w:rFonts w:ascii="Courier New"/>
                <w:b/>
                <w:sz w:val="16"/>
              </w:rPr>
              <w:t>1.11</w:t>
            </w:r>
          </w:p>
        </w:tc>
      </w:tr>
    </w:tbl>
    <w:p>
      <w:pPr>
        <w:spacing w:line="181" w:lineRule="exact" w:before="2"/>
        <w:ind w:left="1040" w:right="0" w:firstLine="0"/>
        <w:jc w:val="left"/>
        <w:rPr>
          <w:rFonts w:ascii="Courier New"/>
          <w:b/>
          <w:sz w:val="16"/>
        </w:rPr>
      </w:pPr>
      <w:r>
        <w:rPr>
          <w:rFonts w:ascii="Courier New"/>
          <w:b/>
          <w:sz w:val="16"/>
        </w:rPr>
        <w:t>Zona de Riesgo de desastre</w:t>
      </w:r>
    </w:p>
    <w:p>
      <w:pPr>
        <w:tabs>
          <w:tab w:pos="4305" w:val="left" w:leader="none"/>
          <w:tab w:pos="5265" w:val="left" w:leader="none"/>
          <w:tab w:pos="6129" w:val="left" w:leader="none"/>
          <w:tab w:pos="6993" w:val="left" w:leader="none"/>
        </w:tabs>
        <w:spacing w:line="180" w:lineRule="exact" w:before="0"/>
        <w:ind w:left="1232" w:right="0" w:firstLine="0"/>
        <w:jc w:val="left"/>
        <w:rPr>
          <w:rFonts w:ascii="Courier New"/>
          <w:b/>
          <w:sz w:val="16"/>
        </w:rPr>
      </w:pPr>
      <w:r>
        <w:rPr>
          <w:rFonts w:ascii="Courier New"/>
          <w:b/>
          <w:sz w:val="16"/>
        </w:rPr>
        <w:t>1</w:t>
        <w:tab/>
        <w:t>-25104</w:t>
        <w:tab/>
        <w:t>41038</w:t>
        <w:tab/>
        <w:t>-0.61</w:t>
        <w:tab/>
        <w:t>0.541</w:t>
      </w:r>
      <w:r>
        <w:rPr>
          <w:rFonts w:ascii="Courier New"/>
          <w:b/>
          <w:spacing w:val="94"/>
          <w:sz w:val="16"/>
        </w:rPr>
        <w:t> </w:t>
      </w:r>
      <w:r>
        <w:rPr>
          <w:rFonts w:ascii="Courier New"/>
          <w:b/>
          <w:sz w:val="16"/>
        </w:rPr>
        <w:t>1.05</w:t>
      </w:r>
    </w:p>
    <w:p>
      <w:pPr>
        <w:spacing w:line="181" w:lineRule="exact" w:before="0"/>
        <w:ind w:left="1040" w:right="0" w:firstLine="0"/>
        <w:jc w:val="left"/>
        <w:rPr>
          <w:rFonts w:ascii="Courier New"/>
          <w:b/>
          <w:sz w:val="16"/>
        </w:rPr>
      </w:pPr>
      <w:r>
        <w:rPr>
          <w:rFonts w:ascii="Courier New"/>
          <w:b/>
          <w:sz w:val="16"/>
        </w:rPr>
        <w:t>Vista a la Carpintera</w:t>
      </w:r>
    </w:p>
    <w:p>
      <w:pPr>
        <w:tabs>
          <w:tab w:pos="4400" w:val="left" w:leader="none"/>
          <w:tab w:pos="5264" w:val="left" w:leader="none"/>
          <w:tab w:pos="6224" w:val="left" w:leader="none"/>
          <w:tab w:pos="6992" w:val="left" w:leader="none"/>
        </w:tabs>
        <w:spacing w:before="3"/>
        <w:ind w:left="1232" w:right="0" w:firstLine="0"/>
        <w:jc w:val="left"/>
        <w:rPr>
          <w:rFonts w:ascii="Courier New"/>
          <w:b/>
          <w:sz w:val="16"/>
        </w:rPr>
      </w:pPr>
      <w:r>
        <w:rPr>
          <w:rFonts w:ascii="Courier New"/>
          <w:b/>
          <w:sz w:val="16"/>
        </w:rPr>
        <w:t>1</w:t>
        <w:tab/>
        <w:t>81503</w:t>
        <w:tab/>
        <w:t>28146</w:t>
        <w:tab/>
        <w:t>2.90</w:t>
        <w:tab/>
        <w:t>0.004</w:t>
      </w:r>
      <w:r>
        <w:rPr>
          <w:rFonts w:ascii="Courier New"/>
          <w:b/>
          <w:spacing w:val="94"/>
          <w:sz w:val="16"/>
        </w:rPr>
        <w:t> </w:t>
      </w:r>
      <w:r>
        <w:rPr>
          <w:rFonts w:ascii="Courier New"/>
          <w:b/>
          <w:sz w:val="16"/>
        </w:rPr>
        <w:t>1.07</w:t>
      </w:r>
    </w:p>
    <w:p>
      <w:pPr>
        <w:pStyle w:val="BodyText"/>
        <w:spacing w:before="2"/>
        <w:rPr>
          <w:rFonts w:ascii="Courier New"/>
          <w:b/>
          <w:sz w:val="15"/>
        </w:rPr>
      </w:pPr>
    </w:p>
    <w:p>
      <w:pPr>
        <w:pStyle w:val="Heading1"/>
        <w:spacing w:before="1"/>
      </w:pPr>
      <w:r>
        <w:rPr/>
        <w:t>B- Heterocedasticidad</w:t>
      </w:r>
    </w:p>
    <w:p>
      <w:pPr>
        <w:pStyle w:val="BodyText"/>
        <w:rPr>
          <w:b/>
          <w:sz w:val="20"/>
        </w:rPr>
      </w:pPr>
    </w:p>
    <w:p>
      <w:pPr>
        <w:pStyle w:val="BodyText"/>
        <w:spacing w:before="2"/>
        <w:rPr>
          <w:b/>
          <w:sz w:val="19"/>
        </w:rPr>
      </w:pPr>
      <w:r>
        <w:rPr/>
        <w:drawing>
          <wp:anchor distT="0" distB="0" distL="0" distR="0" allowOverlap="1" layoutInCell="1" locked="0" behindDoc="0" simplePos="0" relativeHeight="98">
            <wp:simplePos x="0" y="0"/>
            <wp:positionH relativeFrom="page">
              <wp:posOffset>2473846</wp:posOffset>
            </wp:positionH>
            <wp:positionV relativeFrom="paragraph">
              <wp:posOffset>165180</wp:posOffset>
            </wp:positionV>
            <wp:extent cx="2815970" cy="2198274"/>
            <wp:effectExtent l="0" t="0" r="0" b="0"/>
            <wp:wrapTopAndBottom/>
            <wp:docPr id="109" name="image80.jpeg"/>
            <wp:cNvGraphicFramePr>
              <a:graphicFrameLocks noChangeAspect="1"/>
            </wp:cNvGraphicFramePr>
            <a:graphic>
              <a:graphicData uri="http://schemas.openxmlformats.org/drawingml/2006/picture">
                <pic:pic>
                  <pic:nvPicPr>
                    <pic:cNvPr id="110" name="image80.jpeg"/>
                    <pic:cNvPicPr/>
                  </pic:nvPicPr>
                  <pic:blipFill>
                    <a:blip r:embed="rId132" cstate="print"/>
                    <a:stretch>
                      <a:fillRect/>
                    </a:stretch>
                  </pic:blipFill>
                  <pic:spPr>
                    <a:xfrm>
                      <a:off x="0" y="0"/>
                      <a:ext cx="2815970" cy="2198274"/>
                    </a:xfrm>
                    <a:prstGeom prst="rect">
                      <a:avLst/>
                    </a:prstGeom>
                  </pic:spPr>
                </pic:pic>
              </a:graphicData>
            </a:graphic>
          </wp:anchor>
        </w:drawing>
      </w:r>
    </w:p>
    <w:p>
      <w:pPr>
        <w:spacing w:after="0"/>
        <w:rPr>
          <w:sz w:val="19"/>
        </w:rPr>
        <w:sectPr>
          <w:pgSz w:w="12240" w:h="15840"/>
          <w:pgMar w:header="0" w:footer="982" w:top="1440" w:bottom="1260" w:left="400" w:right="180"/>
        </w:sectPr>
      </w:pPr>
    </w:p>
    <w:p>
      <w:pPr>
        <w:pStyle w:val="BodyText"/>
        <w:ind w:left="3598"/>
        <w:rPr>
          <w:sz w:val="20"/>
        </w:rPr>
      </w:pPr>
      <w:r>
        <w:rPr>
          <w:sz w:val="20"/>
        </w:rPr>
        <w:drawing>
          <wp:inline distT="0" distB="0" distL="0" distR="0">
            <wp:extent cx="2785051" cy="2194560"/>
            <wp:effectExtent l="0" t="0" r="0" b="0"/>
            <wp:docPr id="111" name="image81.jpeg"/>
            <wp:cNvGraphicFramePr>
              <a:graphicFrameLocks noChangeAspect="1"/>
            </wp:cNvGraphicFramePr>
            <a:graphic>
              <a:graphicData uri="http://schemas.openxmlformats.org/drawingml/2006/picture">
                <pic:pic>
                  <pic:nvPicPr>
                    <pic:cNvPr id="112" name="image81.jpeg"/>
                    <pic:cNvPicPr/>
                  </pic:nvPicPr>
                  <pic:blipFill>
                    <a:blip r:embed="rId133" cstate="print"/>
                    <a:stretch>
                      <a:fillRect/>
                    </a:stretch>
                  </pic:blipFill>
                  <pic:spPr>
                    <a:xfrm>
                      <a:off x="0" y="0"/>
                      <a:ext cx="2785051" cy="2194560"/>
                    </a:xfrm>
                    <a:prstGeom prst="rect">
                      <a:avLst/>
                    </a:prstGeom>
                  </pic:spPr>
                </pic:pic>
              </a:graphicData>
            </a:graphic>
          </wp:inline>
        </w:drawing>
      </w:r>
      <w:r>
        <w:rPr>
          <w:sz w:val="20"/>
        </w:rPr>
      </w:r>
    </w:p>
    <w:p>
      <w:pPr>
        <w:pStyle w:val="BodyText"/>
        <w:rPr>
          <w:b/>
          <w:sz w:val="20"/>
        </w:rPr>
      </w:pPr>
    </w:p>
    <w:p>
      <w:pPr>
        <w:pStyle w:val="BodyText"/>
        <w:spacing w:before="5"/>
        <w:rPr>
          <w:b/>
          <w:sz w:val="22"/>
        </w:rPr>
      </w:pPr>
    </w:p>
    <w:p>
      <w:pPr>
        <w:spacing w:before="1" w:after="6"/>
        <w:ind w:left="1713" w:right="1447" w:firstLine="0"/>
        <w:jc w:val="center"/>
        <w:rPr>
          <w:b/>
          <w:sz w:val="12"/>
        </w:rPr>
      </w:pPr>
      <w:r>
        <w:rPr>
          <w:b/>
          <w:sz w:val="18"/>
        </w:rPr>
        <w:t>ANOVA MODELO BREUSCH PAGAN MODELO 3</w:t>
      </w:r>
      <w:r>
        <w:rPr>
          <w:b/>
          <w:position w:val="6"/>
          <w:sz w:val="12"/>
        </w:rPr>
        <w:t>a</w:t>
      </w:r>
    </w:p>
    <w:tbl>
      <w:tblPr>
        <w:tblW w:w="0" w:type="auto"/>
        <w:jc w:val="left"/>
        <w:tblInd w:w="60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6"/>
        <w:gridCol w:w="1484"/>
        <w:gridCol w:w="3033"/>
        <w:gridCol w:w="992"/>
        <w:gridCol w:w="2881"/>
        <w:gridCol w:w="989"/>
        <w:gridCol w:w="992"/>
      </w:tblGrid>
      <w:tr>
        <w:trPr>
          <w:trHeight w:val="319" w:hRule="atLeast"/>
        </w:trPr>
        <w:tc>
          <w:tcPr>
            <w:tcW w:w="1920" w:type="dxa"/>
            <w:gridSpan w:val="2"/>
          </w:tcPr>
          <w:p>
            <w:pPr>
              <w:pStyle w:val="TableParagraph"/>
              <w:spacing w:line="189" w:lineRule="exact" w:before="110"/>
              <w:ind w:left="25"/>
              <w:jc w:val="left"/>
              <w:rPr>
                <w:sz w:val="18"/>
              </w:rPr>
            </w:pPr>
            <w:r>
              <w:rPr>
                <w:sz w:val="18"/>
              </w:rPr>
              <w:t>Modelo</w:t>
            </w:r>
          </w:p>
        </w:tc>
        <w:tc>
          <w:tcPr>
            <w:tcW w:w="3033" w:type="dxa"/>
            <w:tcBorders>
              <w:right w:val="single" w:sz="8" w:space="0" w:color="000000"/>
            </w:tcBorders>
          </w:tcPr>
          <w:p>
            <w:pPr>
              <w:pStyle w:val="TableParagraph"/>
              <w:spacing w:line="189" w:lineRule="exact" w:before="110"/>
              <w:ind w:left="685"/>
              <w:jc w:val="left"/>
              <w:rPr>
                <w:sz w:val="18"/>
              </w:rPr>
            </w:pPr>
            <w:r>
              <w:rPr>
                <w:sz w:val="18"/>
              </w:rPr>
              <w:t>Suma de cuadrados</w:t>
            </w:r>
          </w:p>
        </w:tc>
        <w:tc>
          <w:tcPr>
            <w:tcW w:w="992" w:type="dxa"/>
            <w:tcBorders>
              <w:left w:val="single" w:sz="8" w:space="0" w:color="000000"/>
              <w:right w:val="single" w:sz="8" w:space="0" w:color="000000"/>
            </w:tcBorders>
          </w:tcPr>
          <w:p>
            <w:pPr>
              <w:pStyle w:val="TableParagraph"/>
              <w:spacing w:line="189" w:lineRule="exact" w:before="110"/>
              <w:ind w:left="391" w:right="400"/>
              <w:jc w:val="center"/>
              <w:rPr>
                <w:sz w:val="18"/>
              </w:rPr>
            </w:pPr>
            <w:r>
              <w:rPr>
                <w:sz w:val="18"/>
              </w:rPr>
              <w:t>gl</w:t>
            </w:r>
          </w:p>
        </w:tc>
        <w:tc>
          <w:tcPr>
            <w:tcW w:w="2881" w:type="dxa"/>
            <w:tcBorders>
              <w:left w:val="single" w:sz="8" w:space="0" w:color="000000"/>
              <w:right w:val="single" w:sz="8" w:space="0" w:color="000000"/>
            </w:tcBorders>
          </w:tcPr>
          <w:p>
            <w:pPr>
              <w:pStyle w:val="TableParagraph"/>
              <w:spacing w:line="189" w:lineRule="exact" w:before="110"/>
              <w:ind w:left="735"/>
              <w:jc w:val="left"/>
              <w:rPr>
                <w:sz w:val="18"/>
              </w:rPr>
            </w:pPr>
            <w:r>
              <w:rPr>
                <w:sz w:val="18"/>
              </w:rPr>
              <w:t>Media cuadrática</w:t>
            </w:r>
          </w:p>
        </w:tc>
        <w:tc>
          <w:tcPr>
            <w:tcW w:w="989" w:type="dxa"/>
            <w:tcBorders>
              <w:left w:val="single" w:sz="8" w:space="0" w:color="000000"/>
              <w:right w:val="single" w:sz="8" w:space="0" w:color="000000"/>
            </w:tcBorders>
          </w:tcPr>
          <w:p>
            <w:pPr>
              <w:pStyle w:val="TableParagraph"/>
              <w:spacing w:line="189" w:lineRule="exact" w:before="110"/>
              <w:ind w:right="12"/>
              <w:jc w:val="center"/>
              <w:rPr>
                <w:sz w:val="18"/>
              </w:rPr>
            </w:pPr>
            <w:r>
              <w:rPr>
                <w:w w:val="100"/>
                <w:sz w:val="18"/>
              </w:rPr>
              <w:t>F</w:t>
            </w:r>
          </w:p>
        </w:tc>
        <w:tc>
          <w:tcPr>
            <w:tcW w:w="992" w:type="dxa"/>
            <w:tcBorders>
              <w:left w:val="single" w:sz="8" w:space="0" w:color="000000"/>
            </w:tcBorders>
          </w:tcPr>
          <w:p>
            <w:pPr>
              <w:pStyle w:val="TableParagraph"/>
              <w:spacing w:line="189" w:lineRule="exact" w:before="110"/>
              <w:ind w:left="318"/>
              <w:jc w:val="left"/>
              <w:rPr>
                <w:sz w:val="18"/>
              </w:rPr>
            </w:pPr>
            <w:r>
              <w:rPr>
                <w:sz w:val="18"/>
              </w:rPr>
              <w:t>Sig.</w:t>
            </w:r>
          </w:p>
        </w:tc>
      </w:tr>
      <w:tr>
        <w:trPr>
          <w:trHeight w:val="378" w:hRule="atLeast"/>
        </w:trPr>
        <w:tc>
          <w:tcPr>
            <w:tcW w:w="436" w:type="dxa"/>
            <w:tcBorders>
              <w:bottom w:val="nil"/>
              <w:right w:val="nil"/>
            </w:tcBorders>
          </w:tcPr>
          <w:p>
            <w:pPr>
              <w:pStyle w:val="TableParagraph"/>
              <w:spacing w:line="240" w:lineRule="auto" w:before="0"/>
              <w:jc w:val="left"/>
              <w:rPr>
                <w:rFonts w:ascii="Times New Roman"/>
                <w:sz w:val="18"/>
              </w:rPr>
            </w:pPr>
          </w:p>
        </w:tc>
        <w:tc>
          <w:tcPr>
            <w:tcW w:w="1484" w:type="dxa"/>
            <w:tcBorders>
              <w:left w:val="nil"/>
              <w:bottom w:val="nil"/>
            </w:tcBorders>
          </w:tcPr>
          <w:p>
            <w:pPr>
              <w:pStyle w:val="TableParagraph"/>
              <w:spacing w:line="240" w:lineRule="auto" w:before="110"/>
              <w:ind w:left="331"/>
              <w:jc w:val="left"/>
              <w:rPr>
                <w:sz w:val="18"/>
              </w:rPr>
            </w:pPr>
            <w:r>
              <w:rPr>
                <w:sz w:val="18"/>
              </w:rPr>
              <w:t>Regresión</w:t>
            </w:r>
          </w:p>
        </w:tc>
        <w:tc>
          <w:tcPr>
            <w:tcW w:w="3033" w:type="dxa"/>
            <w:tcBorders>
              <w:bottom w:val="nil"/>
              <w:right w:val="single" w:sz="8" w:space="0" w:color="000000"/>
            </w:tcBorders>
          </w:tcPr>
          <w:p>
            <w:pPr>
              <w:pStyle w:val="TableParagraph"/>
              <w:spacing w:line="240" w:lineRule="auto" w:before="110"/>
              <w:ind w:right="36"/>
              <w:rPr>
                <w:sz w:val="18"/>
              </w:rPr>
            </w:pPr>
            <w:r>
              <w:rPr>
                <w:sz w:val="18"/>
              </w:rPr>
              <w:t>489245166426643100000000.000</w:t>
            </w:r>
          </w:p>
        </w:tc>
        <w:tc>
          <w:tcPr>
            <w:tcW w:w="992" w:type="dxa"/>
            <w:tcBorders>
              <w:left w:val="single" w:sz="8" w:space="0" w:color="000000"/>
              <w:bottom w:val="nil"/>
              <w:right w:val="single" w:sz="8" w:space="0" w:color="000000"/>
            </w:tcBorders>
          </w:tcPr>
          <w:p>
            <w:pPr>
              <w:pStyle w:val="TableParagraph"/>
              <w:spacing w:line="240" w:lineRule="auto" w:before="110"/>
              <w:ind w:right="31"/>
              <w:rPr>
                <w:sz w:val="18"/>
              </w:rPr>
            </w:pPr>
            <w:r>
              <w:rPr>
                <w:w w:val="99"/>
                <w:sz w:val="18"/>
              </w:rPr>
              <w:t>8</w:t>
            </w:r>
          </w:p>
        </w:tc>
        <w:tc>
          <w:tcPr>
            <w:tcW w:w="2881" w:type="dxa"/>
            <w:tcBorders>
              <w:left w:val="single" w:sz="8" w:space="0" w:color="000000"/>
              <w:bottom w:val="nil"/>
              <w:right w:val="single" w:sz="8" w:space="0" w:color="000000"/>
            </w:tcBorders>
          </w:tcPr>
          <w:p>
            <w:pPr>
              <w:pStyle w:val="TableParagraph"/>
              <w:spacing w:line="240" w:lineRule="auto" w:before="110"/>
              <w:ind w:right="36"/>
              <w:rPr>
                <w:sz w:val="18"/>
              </w:rPr>
            </w:pPr>
            <w:r>
              <w:rPr>
                <w:sz w:val="18"/>
              </w:rPr>
              <w:t>61155645803330384000000.000</w:t>
            </w:r>
          </w:p>
        </w:tc>
        <w:tc>
          <w:tcPr>
            <w:tcW w:w="989" w:type="dxa"/>
            <w:vMerge w:val="restart"/>
            <w:tcBorders>
              <w:left w:val="single" w:sz="8" w:space="0" w:color="000000"/>
              <w:right w:val="single" w:sz="8" w:space="0" w:color="000000"/>
            </w:tcBorders>
          </w:tcPr>
          <w:p>
            <w:pPr>
              <w:pStyle w:val="TableParagraph"/>
              <w:spacing w:line="240" w:lineRule="auto" w:before="110"/>
              <w:ind w:left="482"/>
              <w:jc w:val="left"/>
              <w:rPr>
                <w:sz w:val="18"/>
              </w:rPr>
            </w:pPr>
            <w:r>
              <w:rPr>
                <w:sz w:val="18"/>
              </w:rPr>
              <w:t>4.587</w:t>
            </w:r>
          </w:p>
        </w:tc>
        <w:tc>
          <w:tcPr>
            <w:tcW w:w="992" w:type="dxa"/>
            <w:vMerge w:val="restart"/>
            <w:tcBorders>
              <w:left w:val="single" w:sz="8" w:space="0" w:color="000000"/>
            </w:tcBorders>
          </w:tcPr>
          <w:p>
            <w:pPr>
              <w:pStyle w:val="TableParagraph"/>
              <w:spacing w:line="240" w:lineRule="auto" w:before="110"/>
              <w:ind w:left="510"/>
              <w:jc w:val="left"/>
              <w:rPr>
                <w:sz w:val="12"/>
              </w:rPr>
            </w:pPr>
            <w:r>
              <w:rPr>
                <w:sz w:val="18"/>
              </w:rPr>
              <w:t>.000</w:t>
            </w:r>
            <w:r>
              <w:rPr>
                <w:position w:val="5"/>
                <w:sz w:val="12"/>
              </w:rPr>
              <w:t>b</w:t>
            </w:r>
          </w:p>
        </w:tc>
      </w:tr>
      <w:tr>
        <w:trPr>
          <w:trHeight w:val="321" w:hRule="atLeast"/>
        </w:trPr>
        <w:tc>
          <w:tcPr>
            <w:tcW w:w="436" w:type="dxa"/>
            <w:tcBorders>
              <w:top w:val="nil"/>
              <w:bottom w:val="nil"/>
              <w:right w:val="nil"/>
            </w:tcBorders>
          </w:tcPr>
          <w:p>
            <w:pPr>
              <w:pStyle w:val="TableParagraph"/>
              <w:spacing w:line="240" w:lineRule="auto" w:before="55"/>
              <w:ind w:left="25"/>
              <w:jc w:val="left"/>
              <w:rPr>
                <w:sz w:val="18"/>
              </w:rPr>
            </w:pPr>
            <w:r>
              <w:rPr>
                <w:w w:val="99"/>
                <w:sz w:val="18"/>
              </w:rPr>
              <w:t>3</w:t>
            </w:r>
          </w:p>
        </w:tc>
        <w:tc>
          <w:tcPr>
            <w:tcW w:w="1484" w:type="dxa"/>
            <w:tcBorders>
              <w:top w:val="nil"/>
              <w:left w:val="nil"/>
              <w:bottom w:val="nil"/>
            </w:tcBorders>
          </w:tcPr>
          <w:p>
            <w:pPr>
              <w:pStyle w:val="TableParagraph"/>
              <w:spacing w:line="240" w:lineRule="auto" w:before="55"/>
              <w:ind w:left="331"/>
              <w:jc w:val="left"/>
              <w:rPr>
                <w:sz w:val="18"/>
              </w:rPr>
            </w:pPr>
            <w:r>
              <w:rPr>
                <w:sz w:val="18"/>
              </w:rPr>
              <w:t>Residual</w:t>
            </w:r>
          </w:p>
        </w:tc>
        <w:tc>
          <w:tcPr>
            <w:tcW w:w="3033" w:type="dxa"/>
            <w:tcBorders>
              <w:top w:val="nil"/>
              <w:bottom w:val="nil"/>
              <w:right w:val="single" w:sz="8" w:space="0" w:color="000000"/>
            </w:tcBorders>
          </w:tcPr>
          <w:p>
            <w:pPr>
              <w:pStyle w:val="TableParagraph"/>
              <w:spacing w:line="240" w:lineRule="auto" w:before="55"/>
              <w:ind w:right="36"/>
              <w:rPr>
                <w:sz w:val="18"/>
              </w:rPr>
            </w:pPr>
            <w:r>
              <w:rPr>
                <w:sz w:val="18"/>
              </w:rPr>
              <w:t>3906574237611065300000000.000</w:t>
            </w:r>
          </w:p>
        </w:tc>
        <w:tc>
          <w:tcPr>
            <w:tcW w:w="992" w:type="dxa"/>
            <w:tcBorders>
              <w:top w:val="nil"/>
              <w:left w:val="single" w:sz="8" w:space="0" w:color="000000"/>
              <w:bottom w:val="nil"/>
              <w:right w:val="single" w:sz="8" w:space="0" w:color="000000"/>
            </w:tcBorders>
          </w:tcPr>
          <w:p>
            <w:pPr>
              <w:pStyle w:val="TableParagraph"/>
              <w:spacing w:line="240" w:lineRule="auto" w:before="55"/>
              <w:ind w:right="31"/>
              <w:rPr>
                <w:sz w:val="18"/>
              </w:rPr>
            </w:pPr>
            <w:r>
              <w:rPr>
                <w:w w:val="95"/>
                <w:sz w:val="18"/>
              </w:rPr>
              <w:t>293</w:t>
            </w:r>
          </w:p>
        </w:tc>
        <w:tc>
          <w:tcPr>
            <w:tcW w:w="2881" w:type="dxa"/>
            <w:tcBorders>
              <w:top w:val="nil"/>
              <w:left w:val="single" w:sz="8" w:space="0" w:color="000000"/>
              <w:bottom w:val="nil"/>
              <w:right w:val="single" w:sz="8" w:space="0" w:color="000000"/>
            </w:tcBorders>
          </w:tcPr>
          <w:p>
            <w:pPr>
              <w:pStyle w:val="TableParagraph"/>
              <w:spacing w:line="240" w:lineRule="auto" w:before="55"/>
              <w:ind w:right="36"/>
              <w:rPr>
                <w:sz w:val="18"/>
              </w:rPr>
            </w:pPr>
            <w:r>
              <w:rPr>
                <w:sz w:val="18"/>
              </w:rPr>
              <w:t>13333017875805683000000.000</w:t>
            </w:r>
          </w:p>
        </w:tc>
        <w:tc>
          <w:tcPr>
            <w:tcW w:w="989" w:type="dxa"/>
            <w:vMerge/>
            <w:tcBorders>
              <w:top w:val="nil"/>
              <w:left w:val="single" w:sz="8" w:space="0" w:color="000000"/>
              <w:right w:val="single" w:sz="8" w:space="0" w:color="000000"/>
            </w:tcBorders>
          </w:tcPr>
          <w:p>
            <w:pPr>
              <w:rPr>
                <w:sz w:val="2"/>
                <w:szCs w:val="2"/>
              </w:rPr>
            </w:pPr>
          </w:p>
        </w:tc>
        <w:tc>
          <w:tcPr>
            <w:tcW w:w="992" w:type="dxa"/>
            <w:vMerge/>
            <w:tcBorders>
              <w:top w:val="nil"/>
              <w:left w:val="single" w:sz="8" w:space="0" w:color="000000"/>
            </w:tcBorders>
          </w:tcPr>
          <w:p>
            <w:pPr>
              <w:rPr>
                <w:sz w:val="2"/>
                <w:szCs w:val="2"/>
              </w:rPr>
            </w:pPr>
          </w:p>
        </w:tc>
      </w:tr>
      <w:tr>
        <w:trPr>
          <w:trHeight w:val="261" w:hRule="atLeast"/>
        </w:trPr>
        <w:tc>
          <w:tcPr>
            <w:tcW w:w="436" w:type="dxa"/>
            <w:tcBorders>
              <w:top w:val="nil"/>
              <w:right w:val="nil"/>
            </w:tcBorders>
          </w:tcPr>
          <w:p>
            <w:pPr>
              <w:pStyle w:val="TableParagraph"/>
              <w:spacing w:line="240" w:lineRule="auto" w:before="0"/>
              <w:jc w:val="left"/>
              <w:rPr>
                <w:rFonts w:ascii="Times New Roman"/>
                <w:sz w:val="18"/>
              </w:rPr>
            </w:pPr>
          </w:p>
        </w:tc>
        <w:tc>
          <w:tcPr>
            <w:tcW w:w="1484" w:type="dxa"/>
            <w:tcBorders>
              <w:top w:val="nil"/>
              <w:left w:val="nil"/>
            </w:tcBorders>
          </w:tcPr>
          <w:p>
            <w:pPr>
              <w:pStyle w:val="TableParagraph"/>
              <w:spacing w:line="188" w:lineRule="exact" w:before="53"/>
              <w:ind w:left="331"/>
              <w:jc w:val="left"/>
              <w:rPr>
                <w:sz w:val="18"/>
              </w:rPr>
            </w:pPr>
            <w:r>
              <w:rPr>
                <w:sz w:val="18"/>
              </w:rPr>
              <w:t>Total</w:t>
            </w:r>
          </w:p>
        </w:tc>
        <w:tc>
          <w:tcPr>
            <w:tcW w:w="3033" w:type="dxa"/>
            <w:tcBorders>
              <w:top w:val="nil"/>
              <w:right w:val="single" w:sz="8" w:space="0" w:color="000000"/>
            </w:tcBorders>
          </w:tcPr>
          <w:p>
            <w:pPr>
              <w:pStyle w:val="TableParagraph"/>
              <w:spacing w:line="188" w:lineRule="exact" w:before="53"/>
              <w:ind w:right="36"/>
              <w:rPr>
                <w:sz w:val="18"/>
              </w:rPr>
            </w:pPr>
            <w:r>
              <w:rPr>
                <w:sz w:val="18"/>
              </w:rPr>
              <w:t>4395819404037708400000000.000</w:t>
            </w:r>
          </w:p>
        </w:tc>
        <w:tc>
          <w:tcPr>
            <w:tcW w:w="992" w:type="dxa"/>
            <w:tcBorders>
              <w:top w:val="nil"/>
              <w:left w:val="single" w:sz="8" w:space="0" w:color="000000"/>
              <w:right w:val="single" w:sz="8" w:space="0" w:color="000000"/>
            </w:tcBorders>
          </w:tcPr>
          <w:p>
            <w:pPr>
              <w:pStyle w:val="TableParagraph"/>
              <w:spacing w:line="188" w:lineRule="exact" w:before="53"/>
              <w:ind w:right="31"/>
              <w:rPr>
                <w:sz w:val="18"/>
              </w:rPr>
            </w:pPr>
            <w:r>
              <w:rPr>
                <w:w w:val="95"/>
                <w:sz w:val="18"/>
              </w:rPr>
              <w:t>301</w:t>
            </w:r>
          </w:p>
        </w:tc>
        <w:tc>
          <w:tcPr>
            <w:tcW w:w="2881" w:type="dxa"/>
            <w:tcBorders>
              <w:top w:val="nil"/>
              <w:left w:val="single" w:sz="8" w:space="0" w:color="000000"/>
              <w:right w:val="single" w:sz="8" w:space="0" w:color="000000"/>
            </w:tcBorders>
          </w:tcPr>
          <w:p>
            <w:pPr>
              <w:pStyle w:val="TableParagraph"/>
              <w:spacing w:line="240" w:lineRule="auto" w:before="0"/>
              <w:jc w:val="left"/>
              <w:rPr>
                <w:rFonts w:ascii="Times New Roman"/>
                <w:sz w:val="18"/>
              </w:rPr>
            </w:pPr>
          </w:p>
        </w:tc>
        <w:tc>
          <w:tcPr>
            <w:tcW w:w="989" w:type="dxa"/>
            <w:vMerge/>
            <w:tcBorders>
              <w:top w:val="nil"/>
              <w:left w:val="single" w:sz="8" w:space="0" w:color="000000"/>
              <w:right w:val="single" w:sz="8" w:space="0" w:color="000000"/>
            </w:tcBorders>
          </w:tcPr>
          <w:p>
            <w:pPr>
              <w:rPr>
                <w:sz w:val="2"/>
                <w:szCs w:val="2"/>
              </w:rPr>
            </w:pPr>
          </w:p>
        </w:tc>
        <w:tc>
          <w:tcPr>
            <w:tcW w:w="992"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903"/>
      </w:tblGrid>
      <w:tr>
        <w:trPr>
          <w:trHeight w:val="260" w:hRule="atLeast"/>
        </w:trPr>
        <w:tc>
          <w:tcPr>
            <w:tcW w:w="6903" w:type="dxa"/>
          </w:tcPr>
          <w:p>
            <w:pPr>
              <w:pStyle w:val="TableParagraph"/>
              <w:spacing w:line="201" w:lineRule="exact" w:before="0"/>
              <w:ind w:left="200"/>
              <w:jc w:val="left"/>
              <w:rPr>
                <w:sz w:val="18"/>
              </w:rPr>
            </w:pPr>
            <w:r>
              <w:rPr>
                <w:sz w:val="18"/>
              </w:rPr>
              <w:t>a. Variable dependiente: RES_32</w:t>
            </w:r>
          </w:p>
        </w:tc>
      </w:tr>
      <w:tr>
        <w:trPr>
          <w:trHeight w:val="1220" w:hRule="atLeast"/>
        </w:trPr>
        <w:tc>
          <w:tcPr>
            <w:tcW w:w="6903" w:type="dxa"/>
          </w:tcPr>
          <w:p>
            <w:pPr>
              <w:pStyle w:val="TableParagraph"/>
              <w:spacing w:line="372" w:lineRule="auto" w:before="53"/>
              <w:ind w:left="200" w:right="179"/>
              <w:jc w:val="left"/>
              <w:rPr>
                <w:sz w:val="18"/>
              </w:rPr>
            </w:pPr>
            <w:r>
              <w:rPr>
                <w:sz w:val="18"/>
              </w:rPr>
              <w:t>b. Variables predictoras: (Constante), VistaalaCarpintera, Tipo1casa0Condo, DistanciaaSanJoséCentroporRutaVehicularoPedestre, ZonadeRiesgodedesastre, ÁreadeConstrucciónenmetroscuadrados, NúmerodePlantas, AñodeConstrucción,</w:t>
            </w:r>
          </w:p>
          <w:p>
            <w:pPr>
              <w:pStyle w:val="TableParagraph"/>
              <w:spacing w:line="185" w:lineRule="exact" w:before="0"/>
              <w:ind w:left="200"/>
              <w:jc w:val="left"/>
              <w:rPr>
                <w:sz w:val="18"/>
              </w:rPr>
            </w:pPr>
            <w:r>
              <w:rPr>
                <w:sz w:val="18"/>
              </w:rPr>
              <w:t>DistanciaaAglomeracionesdePobrezaRíoAzulTirrasesSan</w:t>
            </w:r>
          </w:p>
        </w:tc>
      </w:tr>
    </w:tbl>
    <w:p>
      <w:pPr>
        <w:pStyle w:val="BodyText"/>
        <w:rPr>
          <w:b/>
          <w:sz w:val="20"/>
        </w:rPr>
      </w:pPr>
    </w:p>
    <w:p>
      <w:pPr>
        <w:pStyle w:val="BodyText"/>
        <w:spacing w:before="11"/>
        <w:rPr>
          <w:b/>
          <w:sz w:val="23"/>
        </w:rPr>
      </w:pPr>
    </w:p>
    <w:p>
      <w:pPr>
        <w:spacing w:before="0" w:after="6"/>
        <w:ind w:left="1713" w:right="1327" w:firstLine="0"/>
        <w:jc w:val="center"/>
        <w:rPr>
          <w:b/>
          <w:sz w:val="12"/>
        </w:rPr>
      </w:pPr>
      <w:r>
        <w:rPr>
          <w:b/>
          <w:sz w:val="18"/>
        </w:rPr>
        <w:t>ANOVA ABRIDGED WHITE MODELO 3</w:t>
      </w:r>
      <w:r>
        <w:rPr>
          <w:b/>
          <w:position w:val="6"/>
          <w:sz w:val="12"/>
        </w:rPr>
        <w:t>a</w:t>
      </w:r>
    </w:p>
    <w:tbl>
      <w:tblPr>
        <w:tblW w:w="0" w:type="auto"/>
        <w:jc w:val="left"/>
        <w:tblInd w:w="60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6"/>
        <w:gridCol w:w="1484"/>
        <w:gridCol w:w="3033"/>
        <w:gridCol w:w="1008"/>
        <w:gridCol w:w="2953"/>
        <w:gridCol w:w="1009"/>
        <w:gridCol w:w="1004"/>
      </w:tblGrid>
      <w:tr>
        <w:trPr>
          <w:trHeight w:val="318" w:hRule="atLeast"/>
        </w:trPr>
        <w:tc>
          <w:tcPr>
            <w:tcW w:w="1920" w:type="dxa"/>
            <w:gridSpan w:val="2"/>
          </w:tcPr>
          <w:p>
            <w:pPr>
              <w:pStyle w:val="TableParagraph"/>
              <w:spacing w:line="188" w:lineRule="exact" w:before="110"/>
              <w:ind w:left="25"/>
              <w:jc w:val="left"/>
              <w:rPr>
                <w:sz w:val="18"/>
              </w:rPr>
            </w:pPr>
            <w:r>
              <w:rPr>
                <w:sz w:val="18"/>
              </w:rPr>
              <w:t>Modelo</w:t>
            </w:r>
          </w:p>
        </w:tc>
        <w:tc>
          <w:tcPr>
            <w:tcW w:w="3033" w:type="dxa"/>
            <w:tcBorders>
              <w:right w:val="single" w:sz="8" w:space="0" w:color="000000"/>
            </w:tcBorders>
          </w:tcPr>
          <w:p>
            <w:pPr>
              <w:pStyle w:val="TableParagraph"/>
              <w:spacing w:line="188" w:lineRule="exact" w:before="110"/>
              <w:ind w:left="689"/>
              <w:jc w:val="left"/>
              <w:rPr>
                <w:sz w:val="18"/>
              </w:rPr>
            </w:pPr>
            <w:r>
              <w:rPr>
                <w:sz w:val="18"/>
              </w:rPr>
              <w:t>Suma de cuadrados</w:t>
            </w:r>
          </w:p>
        </w:tc>
        <w:tc>
          <w:tcPr>
            <w:tcW w:w="1008" w:type="dxa"/>
            <w:tcBorders>
              <w:left w:val="single" w:sz="8" w:space="0" w:color="000000"/>
              <w:right w:val="single" w:sz="8" w:space="0" w:color="000000"/>
            </w:tcBorders>
          </w:tcPr>
          <w:p>
            <w:pPr>
              <w:pStyle w:val="TableParagraph"/>
              <w:spacing w:line="188" w:lineRule="exact" w:before="110"/>
              <w:ind w:left="399" w:right="408"/>
              <w:jc w:val="center"/>
              <w:rPr>
                <w:sz w:val="18"/>
              </w:rPr>
            </w:pPr>
            <w:r>
              <w:rPr>
                <w:sz w:val="18"/>
              </w:rPr>
              <w:t>gl</w:t>
            </w:r>
          </w:p>
        </w:tc>
        <w:tc>
          <w:tcPr>
            <w:tcW w:w="2953" w:type="dxa"/>
            <w:tcBorders>
              <w:left w:val="single" w:sz="8" w:space="0" w:color="000000"/>
              <w:right w:val="single" w:sz="8" w:space="0" w:color="000000"/>
            </w:tcBorders>
          </w:tcPr>
          <w:p>
            <w:pPr>
              <w:pStyle w:val="TableParagraph"/>
              <w:spacing w:line="188" w:lineRule="exact" w:before="110"/>
              <w:ind w:left="771"/>
              <w:jc w:val="left"/>
              <w:rPr>
                <w:sz w:val="18"/>
              </w:rPr>
            </w:pPr>
            <w:r>
              <w:rPr>
                <w:sz w:val="18"/>
              </w:rPr>
              <w:t>Media cuadrática</w:t>
            </w:r>
          </w:p>
        </w:tc>
        <w:tc>
          <w:tcPr>
            <w:tcW w:w="1009" w:type="dxa"/>
            <w:tcBorders>
              <w:left w:val="single" w:sz="8" w:space="0" w:color="000000"/>
              <w:right w:val="single" w:sz="8" w:space="0" w:color="000000"/>
            </w:tcBorders>
          </w:tcPr>
          <w:p>
            <w:pPr>
              <w:pStyle w:val="TableParagraph"/>
              <w:spacing w:line="188" w:lineRule="exact" w:before="110"/>
              <w:ind w:right="8"/>
              <w:jc w:val="center"/>
              <w:rPr>
                <w:sz w:val="18"/>
              </w:rPr>
            </w:pPr>
            <w:r>
              <w:rPr>
                <w:w w:val="100"/>
                <w:sz w:val="18"/>
              </w:rPr>
              <w:t>F</w:t>
            </w:r>
          </w:p>
        </w:tc>
        <w:tc>
          <w:tcPr>
            <w:tcW w:w="1004" w:type="dxa"/>
            <w:tcBorders>
              <w:left w:val="single" w:sz="8" w:space="0" w:color="000000"/>
            </w:tcBorders>
          </w:tcPr>
          <w:p>
            <w:pPr>
              <w:pStyle w:val="TableParagraph"/>
              <w:spacing w:line="188" w:lineRule="exact" w:before="110"/>
              <w:ind w:left="321"/>
              <w:jc w:val="left"/>
              <w:rPr>
                <w:sz w:val="18"/>
              </w:rPr>
            </w:pPr>
            <w:r>
              <w:rPr>
                <w:sz w:val="18"/>
              </w:rPr>
              <w:t>Sig.</w:t>
            </w:r>
          </w:p>
        </w:tc>
      </w:tr>
      <w:tr>
        <w:trPr>
          <w:trHeight w:val="380" w:hRule="atLeast"/>
        </w:trPr>
        <w:tc>
          <w:tcPr>
            <w:tcW w:w="436" w:type="dxa"/>
            <w:tcBorders>
              <w:bottom w:val="nil"/>
              <w:right w:val="nil"/>
            </w:tcBorders>
          </w:tcPr>
          <w:p>
            <w:pPr>
              <w:pStyle w:val="TableParagraph"/>
              <w:spacing w:line="240" w:lineRule="auto" w:before="0"/>
              <w:jc w:val="left"/>
              <w:rPr>
                <w:rFonts w:ascii="Times New Roman"/>
                <w:sz w:val="18"/>
              </w:rPr>
            </w:pPr>
          </w:p>
        </w:tc>
        <w:tc>
          <w:tcPr>
            <w:tcW w:w="1484" w:type="dxa"/>
            <w:tcBorders>
              <w:left w:val="nil"/>
              <w:bottom w:val="nil"/>
            </w:tcBorders>
          </w:tcPr>
          <w:p>
            <w:pPr>
              <w:pStyle w:val="TableParagraph"/>
              <w:spacing w:line="240" w:lineRule="auto" w:before="114"/>
              <w:ind w:left="331"/>
              <w:jc w:val="left"/>
              <w:rPr>
                <w:sz w:val="18"/>
              </w:rPr>
            </w:pPr>
            <w:r>
              <w:rPr>
                <w:sz w:val="18"/>
              </w:rPr>
              <w:t>Regresión</w:t>
            </w:r>
          </w:p>
        </w:tc>
        <w:tc>
          <w:tcPr>
            <w:tcW w:w="3033" w:type="dxa"/>
            <w:tcBorders>
              <w:bottom w:val="nil"/>
              <w:right w:val="single" w:sz="8" w:space="0" w:color="000000"/>
            </w:tcBorders>
          </w:tcPr>
          <w:p>
            <w:pPr>
              <w:pStyle w:val="TableParagraph"/>
              <w:spacing w:line="240" w:lineRule="auto" w:before="114"/>
              <w:ind w:right="32"/>
              <w:rPr>
                <w:sz w:val="18"/>
              </w:rPr>
            </w:pPr>
            <w:r>
              <w:rPr>
                <w:sz w:val="18"/>
              </w:rPr>
              <w:t>370236430335540140000000.000</w:t>
            </w:r>
          </w:p>
        </w:tc>
        <w:tc>
          <w:tcPr>
            <w:tcW w:w="1008" w:type="dxa"/>
            <w:tcBorders>
              <w:left w:val="single" w:sz="8" w:space="0" w:color="000000"/>
              <w:bottom w:val="nil"/>
              <w:right w:val="single" w:sz="8" w:space="0" w:color="000000"/>
            </w:tcBorders>
          </w:tcPr>
          <w:p>
            <w:pPr>
              <w:pStyle w:val="TableParagraph"/>
              <w:spacing w:line="240" w:lineRule="auto" w:before="114"/>
              <w:ind w:right="31"/>
              <w:rPr>
                <w:sz w:val="18"/>
              </w:rPr>
            </w:pPr>
            <w:r>
              <w:rPr>
                <w:w w:val="99"/>
                <w:sz w:val="18"/>
              </w:rPr>
              <w:t>2</w:t>
            </w:r>
          </w:p>
        </w:tc>
        <w:tc>
          <w:tcPr>
            <w:tcW w:w="2953" w:type="dxa"/>
            <w:tcBorders>
              <w:left w:val="single" w:sz="8" w:space="0" w:color="000000"/>
              <w:bottom w:val="nil"/>
              <w:right w:val="single" w:sz="8" w:space="0" w:color="000000"/>
            </w:tcBorders>
          </w:tcPr>
          <w:p>
            <w:pPr>
              <w:pStyle w:val="TableParagraph"/>
              <w:spacing w:line="240" w:lineRule="auto" w:before="114"/>
              <w:ind w:right="36"/>
              <w:rPr>
                <w:sz w:val="18"/>
              </w:rPr>
            </w:pPr>
            <w:r>
              <w:rPr>
                <w:sz w:val="18"/>
              </w:rPr>
              <w:t>185118215167770070000000.000</w:t>
            </w:r>
          </w:p>
        </w:tc>
        <w:tc>
          <w:tcPr>
            <w:tcW w:w="1009" w:type="dxa"/>
            <w:vMerge w:val="restart"/>
            <w:tcBorders>
              <w:left w:val="single" w:sz="8" w:space="0" w:color="000000"/>
              <w:right w:val="single" w:sz="8" w:space="0" w:color="000000"/>
            </w:tcBorders>
          </w:tcPr>
          <w:p>
            <w:pPr>
              <w:pStyle w:val="TableParagraph"/>
              <w:spacing w:line="240" w:lineRule="auto" w:before="114"/>
              <w:ind w:left="402"/>
              <w:jc w:val="left"/>
              <w:rPr>
                <w:sz w:val="18"/>
              </w:rPr>
            </w:pPr>
            <w:r>
              <w:rPr>
                <w:sz w:val="18"/>
              </w:rPr>
              <w:t>13.750</w:t>
            </w:r>
          </w:p>
        </w:tc>
        <w:tc>
          <w:tcPr>
            <w:tcW w:w="1004" w:type="dxa"/>
            <w:vMerge w:val="restart"/>
            <w:tcBorders>
              <w:left w:val="single" w:sz="8" w:space="0" w:color="000000"/>
            </w:tcBorders>
          </w:tcPr>
          <w:p>
            <w:pPr>
              <w:pStyle w:val="TableParagraph"/>
              <w:spacing w:line="240" w:lineRule="auto" w:before="114"/>
              <w:ind w:left="518"/>
              <w:jc w:val="left"/>
              <w:rPr>
                <w:sz w:val="12"/>
              </w:rPr>
            </w:pPr>
            <w:r>
              <w:rPr>
                <w:sz w:val="18"/>
              </w:rPr>
              <w:t>.000</w:t>
            </w:r>
            <w:r>
              <w:rPr>
                <w:position w:val="5"/>
                <w:sz w:val="12"/>
              </w:rPr>
              <w:t>b</w:t>
            </w:r>
          </w:p>
        </w:tc>
      </w:tr>
      <w:tr>
        <w:trPr>
          <w:trHeight w:val="318" w:hRule="atLeast"/>
        </w:trPr>
        <w:tc>
          <w:tcPr>
            <w:tcW w:w="436" w:type="dxa"/>
            <w:tcBorders>
              <w:top w:val="nil"/>
              <w:bottom w:val="nil"/>
              <w:right w:val="nil"/>
            </w:tcBorders>
          </w:tcPr>
          <w:p>
            <w:pPr>
              <w:pStyle w:val="TableParagraph"/>
              <w:spacing w:line="240" w:lineRule="auto" w:before="53"/>
              <w:ind w:left="25"/>
              <w:jc w:val="left"/>
              <w:rPr>
                <w:sz w:val="18"/>
              </w:rPr>
            </w:pPr>
            <w:r>
              <w:rPr>
                <w:w w:val="99"/>
                <w:sz w:val="18"/>
              </w:rPr>
              <w:t>3</w:t>
            </w:r>
          </w:p>
        </w:tc>
        <w:tc>
          <w:tcPr>
            <w:tcW w:w="1484" w:type="dxa"/>
            <w:tcBorders>
              <w:top w:val="nil"/>
              <w:left w:val="nil"/>
              <w:bottom w:val="nil"/>
            </w:tcBorders>
          </w:tcPr>
          <w:p>
            <w:pPr>
              <w:pStyle w:val="TableParagraph"/>
              <w:spacing w:line="240" w:lineRule="auto" w:before="53"/>
              <w:ind w:left="331"/>
              <w:jc w:val="left"/>
              <w:rPr>
                <w:sz w:val="18"/>
              </w:rPr>
            </w:pPr>
            <w:r>
              <w:rPr>
                <w:sz w:val="18"/>
              </w:rPr>
              <w:t>Residual</w:t>
            </w:r>
          </w:p>
        </w:tc>
        <w:tc>
          <w:tcPr>
            <w:tcW w:w="3033" w:type="dxa"/>
            <w:tcBorders>
              <w:top w:val="nil"/>
              <w:bottom w:val="nil"/>
              <w:right w:val="single" w:sz="8" w:space="0" w:color="000000"/>
            </w:tcBorders>
          </w:tcPr>
          <w:p>
            <w:pPr>
              <w:pStyle w:val="TableParagraph"/>
              <w:spacing w:line="240" w:lineRule="auto" w:before="53"/>
              <w:ind w:right="32"/>
              <w:rPr>
                <w:sz w:val="18"/>
              </w:rPr>
            </w:pPr>
            <w:r>
              <w:rPr>
                <w:sz w:val="18"/>
              </w:rPr>
              <w:t>4025582973702168300000000.000</w:t>
            </w:r>
          </w:p>
        </w:tc>
        <w:tc>
          <w:tcPr>
            <w:tcW w:w="1008" w:type="dxa"/>
            <w:tcBorders>
              <w:top w:val="nil"/>
              <w:left w:val="single" w:sz="8" w:space="0" w:color="000000"/>
              <w:bottom w:val="nil"/>
              <w:right w:val="single" w:sz="8" w:space="0" w:color="000000"/>
            </w:tcBorders>
          </w:tcPr>
          <w:p>
            <w:pPr>
              <w:pStyle w:val="TableParagraph"/>
              <w:spacing w:line="240" w:lineRule="auto" w:before="53"/>
              <w:ind w:right="31"/>
              <w:rPr>
                <w:sz w:val="18"/>
              </w:rPr>
            </w:pPr>
            <w:r>
              <w:rPr>
                <w:w w:val="95"/>
                <w:sz w:val="18"/>
              </w:rPr>
              <w:t>299</w:t>
            </w:r>
          </w:p>
        </w:tc>
        <w:tc>
          <w:tcPr>
            <w:tcW w:w="2953" w:type="dxa"/>
            <w:tcBorders>
              <w:top w:val="nil"/>
              <w:left w:val="single" w:sz="8" w:space="0" w:color="000000"/>
              <w:bottom w:val="nil"/>
              <w:right w:val="single" w:sz="8" w:space="0" w:color="000000"/>
            </w:tcBorders>
          </w:tcPr>
          <w:p>
            <w:pPr>
              <w:pStyle w:val="TableParagraph"/>
              <w:spacing w:line="240" w:lineRule="auto" w:before="53"/>
              <w:ind w:right="36"/>
              <w:rPr>
                <w:sz w:val="18"/>
              </w:rPr>
            </w:pPr>
            <w:r>
              <w:rPr>
                <w:sz w:val="18"/>
              </w:rPr>
              <w:t>13463488206361766000000.000</w:t>
            </w:r>
          </w:p>
        </w:tc>
        <w:tc>
          <w:tcPr>
            <w:tcW w:w="1009" w:type="dxa"/>
            <w:vMerge/>
            <w:tcBorders>
              <w:top w:val="nil"/>
              <w:left w:val="single" w:sz="8" w:space="0" w:color="000000"/>
              <w:right w:val="single" w:sz="8" w:space="0" w:color="000000"/>
            </w:tcBorders>
          </w:tcPr>
          <w:p>
            <w:pPr>
              <w:rPr>
                <w:sz w:val="2"/>
                <w:szCs w:val="2"/>
              </w:rPr>
            </w:pPr>
          </w:p>
        </w:tc>
        <w:tc>
          <w:tcPr>
            <w:tcW w:w="1004" w:type="dxa"/>
            <w:vMerge/>
            <w:tcBorders>
              <w:top w:val="nil"/>
              <w:left w:val="single" w:sz="8" w:space="0" w:color="000000"/>
            </w:tcBorders>
          </w:tcPr>
          <w:p>
            <w:pPr>
              <w:rPr>
                <w:sz w:val="2"/>
                <w:szCs w:val="2"/>
              </w:rPr>
            </w:pPr>
          </w:p>
        </w:tc>
      </w:tr>
      <w:tr>
        <w:trPr>
          <w:trHeight w:val="261" w:hRule="atLeast"/>
        </w:trPr>
        <w:tc>
          <w:tcPr>
            <w:tcW w:w="436" w:type="dxa"/>
            <w:tcBorders>
              <w:top w:val="nil"/>
              <w:right w:val="nil"/>
            </w:tcBorders>
          </w:tcPr>
          <w:p>
            <w:pPr>
              <w:pStyle w:val="TableParagraph"/>
              <w:spacing w:line="240" w:lineRule="auto" w:before="0"/>
              <w:jc w:val="left"/>
              <w:rPr>
                <w:rFonts w:ascii="Times New Roman"/>
                <w:sz w:val="18"/>
              </w:rPr>
            </w:pPr>
          </w:p>
        </w:tc>
        <w:tc>
          <w:tcPr>
            <w:tcW w:w="1484" w:type="dxa"/>
            <w:tcBorders>
              <w:top w:val="nil"/>
              <w:left w:val="nil"/>
            </w:tcBorders>
          </w:tcPr>
          <w:p>
            <w:pPr>
              <w:pStyle w:val="TableParagraph"/>
              <w:spacing w:line="189" w:lineRule="exact" w:before="53"/>
              <w:ind w:left="331"/>
              <w:jc w:val="left"/>
              <w:rPr>
                <w:sz w:val="18"/>
              </w:rPr>
            </w:pPr>
            <w:r>
              <w:rPr>
                <w:sz w:val="18"/>
              </w:rPr>
              <w:t>Total</w:t>
            </w:r>
          </w:p>
        </w:tc>
        <w:tc>
          <w:tcPr>
            <w:tcW w:w="3033" w:type="dxa"/>
            <w:tcBorders>
              <w:top w:val="nil"/>
              <w:right w:val="single" w:sz="8" w:space="0" w:color="000000"/>
            </w:tcBorders>
          </w:tcPr>
          <w:p>
            <w:pPr>
              <w:pStyle w:val="TableParagraph"/>
              <w:spacing w:line="189" w:lineRule="exact" w:before="53"/>
              <w:ind w:right="32"/>
              <w:rPr>
                <w:sz w:val="18"/>
              </w:rPr>
            </w:pPr>
            <w:r>
              <w:rPr>
                <w:sz w:val="18"/>
              </w:rPr>
              <w:t>4395819404037708400000000.000</w:t>
            </w:r>
          </w:p>
        </w:tc>
        <w:tc>
          <w:tcPr>
            <w:tcW w:w="1008" w:type="dxa"/>
            <w:tcBorders>
              <w:top w:val="nil"/>
              <w:left w:val="single" w:sz="8" w:space="0" w:color="000000"/>
              <w:right w:val="single" w:sz="8" w:space="0" w:color="000000"/>
            </w:tcBorders>
          </w:tcPr>
          <w:p>
            <w:pPr>
              <w:pStyle w:val="TableParagraph"/>
              <w:spacing w:line="189" w:lineRule="exact" w:before="53"/>
              <w:ind w:right="31"/>
              <w:rPr>
                <w:sz w:val="18"/>
              </w:rPr>
            </w:pPr>
            <w:r>
              <w:rPr>
                <w:w w:val="95"/>
                <w:sz w:val="18"/>
              </w:rPr>
              <w:t>301</w:t>
            </w:r>
          </w:p>
        </w:tc>
        <w:tc>
          <w:tcPr>
            <w:tcW w:w="2953" w:type="dxa"/>
            <w:tcBorders>
              <w:top w:val="nil"/>
              <w:left w:val="single" w:sz="8" w:space="0" w:color="000000"/>
              <w:right w:val="single" w:sz="8" w:space="0" w:color="000000"/>
            </w:tcBorders>
          </w:tcPr>
          <w:p>
            <w:pPr>
              <w:pStyle w:val="TableParagraph"/>
              <w:spacing w:line="240" w:lineRule="auto" w:before="0"/>
              <w:jc w:val="left"/>
              <w:rPr>
                <w:rFonts w:ascii="Times New Roman"/>
                <w:sz w:val="18"/>
              </w:rPr>
            </w:pPr>
          </w:p>
        </w:tc>
        <w:tc>
          <w:tcPr>
            <w:tcW w:w="1009" w:type="dxa"/>
            <w:vMerge/>
            <w:tcBorders>
              <w:top w:val="nil"/>
              <w:left w:val="single" w:sz="8" w:space="0" w:color="000000"/>
              <w:right w:val="single" w:sz="8" w:space="0" w:color="000000"/>
            </w:tcBorders>
          </w:tcPr>
          <w:p>
            <w:pPr>
              <w:rPr>
                <w:sz w:val="2"/>
                <w:szCs w:val="2"/>
              </w:rPr>
            </w:pPr>
          </w:p>
        </w:tc>
        <w:tc>
          <w:tcPr>
            <w:tcW w:w="1004"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86"/>
      </w:tblGrid>
      <w:tr>
        <w:trPr>
          <w:trHeight w:val="260" w:hRule="atLeast"/>
        </w:trPr>
        <w:tc>
          <w:tcPr>
            <w:tcW w:w="6786" w:type="dxa"/>
          </w:tcPr>
          <w:p>
            <w:pPr>
              <w:pStyle w:val="TableParagraph"/>
              <w:spacing w:line="201" w:lineRule="exact" w:before="0"/>
              <w:ind w:left="200"/>
              <w:jc w:val="left"/>
              <w:rPr>
                <w:sz w:val="18"/>
              </w:rPr>
            </w:pPr>
            <w:r>
              <w:rPr>
                <w:sz w:val="18"/>
              </w:rPr>
              <w:t>a. Variable dependiente: RES_32</w:t>
            </w:r>
          </w:p>
        </w:tc>
      </w:tr>
      <w:tr>
        <w:trPr>
          <w:trHeight w:val="260" w:hRule="atLeast"/>
        </w:trPr>
        <w:tc>
          <w:tcPr>
            <w:tcW w:w="6786" w:type="dxa"/>
          </w:tcPr>
          <w:p>
            <w:pPr>
              <w:pStyle w:val="TableParagraph"/>
              <w:spacing w:line="187" w:lineRule="exact" w:before="53"/>
              <w:ind w:left="200"/>
              <w:jc w:val="left"/>
              <w:rPr>
                <w:sz w:val="18"/>
              </w:rPr>
            </w:pPr>
            <w:r>
              <w:rPr>
                <w:sz w:val="18"/>
              </w:rPr>
              <w:t>b. Variables predictoras: (Constante), PRE_32, Unstandardized Predicted Value</w:t>
            </w:r>
          </w:p>
        </w:tc>
      </w:tr>
    </w:tbl>
    <w:p>
      <w:pPr>
        <w:spacing w:after="0" w:line="187" w:lineRule="exact"/>
        <w:jc w:val="left"/>
        <w:rPr>
          <w:sz w:val="18"/>
        </w:rPr>
        <w:sectPr>
          <w:pgSz w:w="12240" w:h="15840"/>
          <w:pgMar w:header="0" w:footer="982" w:top="1460" w:bottom="1260" w:left="400" w:right="180"/>
        </w:sect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82"/>
        <w:gridCol w:w="1151"/>
        <w:gridCol w:w="672"/>
        <w:gridCol w:w="864"/>
        <w:gridCol w:w="864"/>
        <w:gridCol w:w="865"/>
        <w:gridCol w:w="723"/>
      </w:tblGrid>
      <w:tr>
        <w:trPr>
          <w:trHeight w:val="443" w:hRule="atLeast"/>
        </w:trPr>
        <w:tc>
          <w:tcPr>
            <w:tcW w:w="2833" w:type="dxa"/>
            <w:gridSpan w:val="2"/>
          </w:tcPr>
          <w:p>
            <w:pPr>
              <w:pStyle w:val="TableParagraph"/>
              <w:spacing w:line="290" w:lineRule="exact" w:before="0"/>
              <w:ind w:left="50"/>
              <w:jc w:val="left"/>
              <w:rPr>
                <w:b/>
                <w:sz w:val="26"/>
              </w:rPr>
            </w:pPr>
            <w:r>
              <w:rPr>
                <w:b/>
                <w:sz w:val="26"/>
              </w:rPr>
              <w:t>IV- Modelo Número 4</w:t>
            </w:r>
          </w:p>
        </w:tc>
        <w:tc>
          <w:tcPr>
            <w:tcW w:w="3988" w:type="dxa"/>
            <w:gridSpan w:val="5"/>
            <w:vMerge w:val="restart"/>
          </w:tcPr>
          <w:p>
            <w:pPr>
              <w:pStyle w:val="TableParagraph"/>
              <w:spacing w:line="240" w:lineRule="auto" w:before="0"/>
              <w:jc w:val="left"/>
              <w:rPr>
                <w:rFonts w:ascii="Times New Roman"/>
                <w:sz w:val="16"/>
              </w:rPr>
            </w:pPr>
          </w:p>
        </w:tc>
      </w:tr>
      <w:tr>
        <w:trPr>
          <w:trHeight w:val="596" w:hRule="atLeast"/>
        </w:trPr>
        <w:tc>
          <w:tcPr>
            <w:tcW w:w="2833" w:type="dxa"/>
            <w:gridSpan w:val="2"/>
          </w:tcPr>
          <w:p>
            <w:pPr>
              <w:pStyle w:val="TableParagraph"/>
              <w:spacing w:line="240" w:lineRule="auto" w:before="144"/>
              <w:ind w:left="50"/>
              <w:jc w:val="left"/>
              <w:rPr>
                <w:b/>
                <w:sz w:val="26"/>
              </w:rPr>
            </w:pPr>
            <w:r>
              <w:rPr>
                <w:b/>
                <w:sz w:val="26"/>
              </w:rPr>
              <w:t>A- Regresión/ACR/VIF</w:t>
            </w:r>
          </w:p>
        </w:tc>
        <w:tc>
          <w:tcPr>
            <w:tcW w:w="3988" w:type="dxa"/>
            <w:gridSpan w:val="5"/>
            <w:vMerge/>
            <w:tcBorders>
              <w:top w:val="nil"/>
            </w:tcBorders>
          </w:tcPr>
          <w:p>
            <w:pPr>
              <w:rPr>
                <w:sz w:val="2"/>
                <w:szCs w:val="2"/>
              </w:rPr>
            </w:pPr>
          </w:p>
        </w:tc>
      </w:tr>
      <w:tr>
        <w:trPr>
          <w:trHeight w:val="426" w:hRule="atLeast"/>
        </w:trPr>
        <w:tc>
          <w:tcPr>
            <w:tcW w:w="2833" w:type="dxa"/>
            <w:gridSpan w:val="2"/>
          </w:tcPr>
          <w:p>
            <w:pPr>
              <w:pStyle w:val="TableParagraph"/>
              <w:spacing w:line="240" w:lineRule="auto" w:before="154"/>
              <w:ind w:left="50"/>
              <w:jc w:val="left"/>
              <w:rPr>
                <w:rFonts w:ascii="Courier New"/>
                <w:b/>
                <w:sz w:val="16"/>
              </w:rPr>
            </w:pPr>
            <w:r>
              <w:rPr>
                <w:rFonts w:ascii="Courier New"/>
                <w:b/>
                <w:sz w:val="16"/>
              </w:rPr>
              <w:t>Analysis of Variance</w:t>
            </w:r>
          </w:p>
        </w:tc>
        <w:tc>
          <w:tcPr>
            <w:tcW w:w="3988" w:type="dxa"/>
            <w:gridSpan w:val="5"/>
            <w:vMerge/>
            <w:tcBorders>
              <w:top w:val="nil"/>
            </w:tcBorders>
          </w:tcPr>
          <w:p>
            <w:pPr>
              <w:rPr>
                <w:sz w:val="2"/>
                <w:szCs w:val="2"/>
              </w:rPr>
            </w:pPr>
          </w:p>
        </w:tc>
      </w:tr>
      <w:tr>
        <w:trPr>
          <w:trHeight w:val="272" w:hRule="atLeast"/>
        </w:trPr>
        <w:tc>
          <w:tcPr>
            <w:tcW w:w="2833" w:type="dxa"/>
            <w:gridSpan w:val="2"/>
          </w:tcPr>
          <w:p>
            <w:pPr>
              <w:pStyle w:val="TableParagraph"/>
              <w:spacing w:line="161" w:lineRule="exact"/>
              <w:ind w:left="50"/>
              <w:jc w:val="left"/>
              <w:rPr>
                <w:rFonts w:ascii="Courier New"/>
                <w:b/>
                <w:sz w:val="16"/>
              </w:rPr>
            </w:pPr>
            <w:r>
              <w:rPr>
                <w:rFonts w:ascii="Courier New"/>
                <w:b/>
                <w:sz w:val="16"/>
              </w:rPr>
              <w:t>Source</w:t>
            </w:r>
          </w:p>
        </w:tc>
        <w:tc>
          <w:tcPr>
            <w:tcW w:w="672" w:type="dxa"/>
          </w:tcPr>
          <w:p>
            <w:pPr>
              <w:pStyle w:val="TableParagraph"/>
              <w:spacing w:line="161" w:lineRule="exact"/>
              <w:ind w:left="288"/>
              <w:jc w:val="left"/>
              <w:rPr>
                <w:rFonts w:ascii="Courier New"/>
                <w:b/>
                <w:sz w:val="16"/>
              </w:rPr>
            </w:pPr>
            <w:r>
              <w:rPr>
                <w:rFonts w:ascii="Courier New"/>
                <w:b/>
                <w:sz w:val="16"/>
              </w:rPr>
              <w:t>DF</w:t>
            </w:r>
          </w:p>
        </w:tc>
        <w:tc>
          <w:tcPr>
            <w:tcW w:w="864" w:type="dxa"/>
          </w:tcPr>
          <w:p>
            <w:pPr>
              <w:pStyle w:val="TableParagraph"/>
              <w:spacing w:line="161" w:lineRule="exact"/>
              <w:ind w:left="96"/>
              <w:jc w:val="left"/>
              <w:rPr>
                <w:rFonts w:ascii="Courier New"/>
                <w:b/>
                <w:sz w:val="16"/>
              </w:rPr>
            </w:pPr>
            <w:r>
              <w:rPr>
                <w:rFonts w:ascii="Courier New"/>
                <w:b/>
                <w:sz w:val="16"/>
              </w:rPr>
              <w:t>Adj SS</w:t>
            </w:r>
          </w:p>
        </w:tc>
        <w:tc>
          <w:tcPr>
            <w:tcW w:w="864" w:type="dxa"/>
          </w:tcPr>
          <w:p>
            <w:pPr>
              <w:pStyle w:val="TableParagraph"/>
              <w:spacing w:line="161" w:lineRule="exact"/>
              <w:ind w:left="96"/>
              <w:jc w:val="left"/>
              <w:rPr>
                <w:rFonts w:ascii="Courier New"/>
                <w:b/>
                <w:sz w:val="16"/>
              </w:rPr>
            </w:pPr>
            <w:r>
              <w:rPr>
                <w:rFonts w:ascii="Courier New"/>
                <w:b/>
                <w:sz w:val="16"/>
              </w:rPr>
              <w:t>Adj MS</w:t>
            </w:r>
          </w:p>
        </w:tc>
        <w:tc>
          <w:tcPr>
            <w:tcW w:w="865" w:type="dxa"/>
          </w:tcPr>
          <w:p>
            <w:pPr>
              <w:pStyle w:val="TableParagraph"/>
              <w:spacing w:line="161" w:lineRule="exact"/>
              <w:jc w:val="left"/>
              <w:rPr>
                <w:rFonts w:ascii="Courier New"/>
                <w:b/>
                <w:sz w:val="16"/>
              </w:rPr>
            </w:pPr>
            <w:r>
              <w:rPr>
                <w:rFonts w:ascii="Courier New"/>
                <w:b/>
                <w:sz w:val="16"/>
              </w:rPr>
              <w:t>F-Value</w:t>
            </w:r>
          </w:p>
        </w:tc>
        <w:tc>
          <w:tcPr>
            <w:tcW w:w="723" w:type="dxa"/>
          </w:tcPr>
          <w:p>
            <w:pPr>
              <w:pStyle w:val="TableParagraph"/>
              <w:spacing w:line="161" w:lineRule="exact"/>
              <w:ind w:right="46"/>
              <w:rPr>
                <w:rFonts w:ascii="Courier New"/>
                <w:b/>
                <w:sz w:val="16"/>
              </w:rPr>
            </w:pPr>
            <w:r>
              <w:rPr>
                <w:rFonts w:ascii="Courier New"/>
                <w:b/>
                <w:sz w:val="16"/>
              </w:rPr>
              <w:t>P-Value</w:t>
            </w:r>
          </w:p>
        </w:tc>
      </w:tr>
      <w:tr>
        <w:trPr>
          <w:trHeight w:val="180" w:hRule="atLeast"/>
        </w:trPr>
        <w:tc>
          <w:tcPr>
            <w:tcW w:w="2833" w:type="dxa"/>
            <w:gridSpan w:val="2"/>
          </w:tcPr>
          <w:p>
            <w:pPr>
              <w:pStyle w:val="TableParagraph"/>
              <w:spacing w:line="160" w:lineRule="exact" w:before="0"/>
              <w:ind w:left="50"/>
              <w:jc w:val="left"/>
              <w:rPr>
                <w:rFonts w:ascii="Courier New"/>
                <w:b/>
                <w:sz w:val="16"/>
              </w:rPr>
            </w:pPr>
            <w:r>
              <w:rPr>
                <w:rFonts w:ascii="Courier New"/>
                <w:b/>
                <w:sz w:val="16"/>
              </w:rPr>
              <w:t>Regression</w:t>
            </w:r>
          </w:p>
        </w:tc>
        <w:tc>
          <w:tcPr>
            <w:tcW w:w="672" w:type="dxa"/>
          </w:tcPr>
          <w:p>
            <w:pPr>
              <w:pStyle w:val="TableParagraph"/>
              <w:spacing w:line="160" w:lineRule="exact" w:before="0"/>
              <w:ind w:left="288"/>
              <w:jc w:val="left"/>
              <w:rPr>
                <w:rFonts w:ascii="Courier New"/>
                <w:b/>
                <w:sz w:val="16"/>
              </w:rPr>
            </w:pPr>
            <w:r>
              <w:rPr>
                <w:rFonts w:ascii="Courier New"/>
                <w:b/>
                <w:sz w:val="16"/>
              </w:rPr>
              <w:t>10</w:t>
            </w:r>
          </w:p>
        </w:tc>
        <w:tc>
          <w:tcPr>
            <w:tcW w:w="864" w:type="dxa"/>
          </w:tcPr>
          <w:p>
            <w:pPr>
              <w:pStyle w:val="TableParagraph"/>
              <w:spacing w:line="160" w:lineRule="exact" w:before="0"/>
              <w:jc w:val="left"/>
              <w:rPr>
                <w:rFonts w:ascii="Courier New"/>
                <w:b/>
                <w:sz w:val="16"/>
              </w:rPr>
            </w:pPr>
            <w:r>
              <w:rPr>
                <w:rFonts w:ascii="Courier New"/>
                <w:b/>
                <w:sz w:val="16"/>
              </w:rPr>
              <w:t>50.3530</w:t>
            </w:r>
          </w:p>
        </w:tc>
        <w:tc>
          <w:tcPr>
            <w:tcW w:w="864" w:type="dxa"/>
          </w:tcPr>
          <w:p>
            <w:pPr>
              <w:pStyle w:val="TableParagraph"/>
              <w:spacing w:line="160" w:lineRule="exact" w:before="0"/>
              <w:ind w:left="96"/>
              <w:jc w:val="left"/>
              <w:rPr>
                <w:rFonts w:ascii="Courier New"/>
                <w:b/>
                <w:sz w:val="16"/>
              </w:rPr>
            </w:pPr>
            <w:r>
              <w:rPr>
                <w:rFonts w:ascii="Courier New"/>
                <w:b/>
                <w:sz w:val="16"/>
              </w:rPr>
              <w:t>5.0353</w:t>
            </w:r>
          </w:p>
        </w:tc>
        <w:tc>
          <w:tcPr>
            <w:tcW w:w="865" w:type="dxa"/>
          </w:tcPr>
          <w:p>
            <w:pPr>
              <w:pStyle w:val="TableParagraph"/>
              <w:spacing w:line="160" w:lineRule="exact" w:before="0"/>
              <w:ind w:left="192"/>
              <w:jc w:val="left"/>
              <w:rPr>
                <w:rFonts w:ascii="Courier New"/>
                <w:b/>
                <w:sz w:val="16"/>
              </w:rPr>
            </w:pPr>
            <w:r>
              <w:rPr>
                <w:rFonts w:ascii="Courier New"/>
                <w:b/>
                <w:sz w:val="16"/>
              </w:rPr>
              <w:t>33.16</w:t>
            </w:r>
          </w:p>
        </w:tc>
        <w:tc>
          <w:tcPr>
            <w:tcW w:w="723" w:type="dxa"/>
          </w:tcPr>
          <w:p>
            <w:pPr>
              <w:pStyle w:val="TableParagraph"/>
              <w:spacing w:line="160" w:lineRule="exact" w:before="0"/>
              <w:ind w:right="49"/>
              <w:rPr>
                <w:rFonts w:ascii="Courier New"/>
                <w:b/>
                <w:sz w:val="16"/>
              </w:rPr>
            </w:pPr>
            <w:r>
              <w:rPr>
                <w:rFonts w:ascii="Courier New"/>
                <w:b/>
                <w:sz w:val="16"/>
              </w:rPr>
              <w:t>0.000</w:t>
            </w:r>
          </w:p>
        </w:tc>
      </w:tr>
      <w:tr>
        <w:trPr>
          <w:trHeight w:val="182" w:hRule="atLeast"/>
        </w:trPr>
        <w:tc>
          <w:tcPr>
            <w:tcW w:w="2833" w:type="dxa"/>
            <w:gridSpan w:val="2"/>
          </w:tcPr>
          <w:p>
            <w:pPr>
              <w:pStyle w:val="TableParagraph"/>
              <w:spacing w:line="162" w:lineRule="exact" w:before="0"/>
              <w:ind w:left="241"/>
              <w:jc w:val="left"/>
              <w:rPr>
                <w:rFonts w:ascii="Courier New"/>
                <w:b/>
                <w:sz w:val="16"/>
              </w:rPr>
            </w:pPr>
            <w:r>
              <w:rPr>
                <w:rFonts w:ascii="Courier New"/>
                <w:b/>
                <w:sz w:val="16"/>
              </w:rPr>
              <w:t>Ln Area de Construccion</w:t>
            </w:r>
          </w:p>
        </w:tc>
        <w:tc>
          <w:tcPr>
            <w:tcW w:w="672" w:type="dxa"/>
          </w:tcPr>
          <w:p>
            <w:pPr>
              <w:pStyle w:val="TableParagraph"/>
              <w:spacing w:line="162" w:lineRule="exact" w:before="0"/>
              <w:ind w:left="384"/>
              <w:jc w:val="left"/>
              <w:rPr>
                <w:rFonts w:ascii="Courier New"/>
                <w:b/>
                <w:sz w:val="16"/>
              </w:rPr>
            </w:pPr>
            <w:r>
              <w:rPr>
                <w:rFonts w:ascii="Courier New"/>
                <w:b/>
                <w:sz w:val="16"/>
              </w:rPr>
              <w:t>1</w:t>
            </w:r>
          </w:p>
        </w:tc>
        <w:tc>
          <w:tcPr>
            <w:tcW w:w="864" w:type="dxa"/>
          </w:tcPr>
          <w:p>
            <w:pPr>
              <w:pStyle w:val="TableParagraph"/>
              <w:spacing w:line="162" w:lineRule="exact" w:before="0"/>
              <w:ind w:left="96"/>
              <w:jc w:val="left"/>
              <w:rPr>
                <w:rFonts w:ascii="Courier New"/>
                <w:b/>
                <w:sz w:val="16"/>
              </w:rPr>
            </w:pPr>
            <w:r>
              <w:rPr>
                <w:rFonts w:ascii="Courier New"/>
                <w:b/>
                <w:sz w:val="16"/>
              </w:rPr>
              <w:t>0.0978</w:t>
            </w:r>
          </w:p>
        </w:tc>
        <w:tc>
          <w:tcPr>
            <w:tcW w:w="864" w:type="dxa"/>
          </w:tcPr>
          <w:p>
            <w:pPr>
              <w:pStyle w:val="TableParagraph"/>
              <w:spacing w:line="162" w:lineRule="exact" w:before="0"/>
              <w:ind w:left="96"/>
              <w:jc w:val="left"/>
              <w:rPr>
                <w:rFonts w:ascii="Courier New"/>
                <w:b/>
                <w:sz w:val="16"/>
              </w:rPr>
            </w:pPr>
            <w:r>
              <w:rPr>
                <w:rFonts w:ascii="Courier New"/>
                <w:b/>
                <w:sz w:val="16"/>
              </w:rPr>
              <w:t>0.0978</w:t>
            </w:r>
          </w:p>
        </w:tc>
        <w:tc>
          <w:tcPr>
            <w:tcW w:w="865" w:type="dxa"/>
          </w:tcPr>
          <w:p>
            <w:pPr>
              <w:pStyle w:val="TableParagraph"/>
              <w:spacing w:line="162" w:lineRule="exact" w:before="0"/>
              <w:ind w:left="288"/>
              <w:jc w:val="left"/>
              <w:rPr>
                <w:rFonts w:ascii="Courier New"/>
                <w:b/>
                <w:sz w:val="16"/>
              </w:rPr>
            </w:pPr>
            <w:r>
              <w:rPr>
                <w:rFonts w:ascii="Courier New"/>
                <w:b/>
                <w:sz w:val="16"/>
              </w:rPr>
              <w:t>0.64</w:t>
            </w:r>
          </w:p>
        </w:tc>
        <w:tc>
          <w:tcPr>
            <w:tcW w:w="723" w:type="dxa"/>
          </w:tcPr>
          <w:p>
            <w:pPr>
              <w:pStyle w:val="TableParagraph"/>
              <w:spacing w:line="162" w:lineRule="exact" w:before="0"/>
              <w:ind w:right="49"/>
              <w:rPr>
                <w:rFonts w:ascii="Courier New"/>
                <w:b/>
                <w:sz w:val="16"/>
              </w:rPr>
            </w:pPr>
            <w:r>
              <w:rPr>
                <w:rFonts w:ascii="Courier New"/>
                <w:b/>
                <w:sz w:val="16"/>
              </w:rPr>
              <w:t>0.423</w:t>
            </w:r>
          </w:p>
        </w:tc>
      </w:tr>
      <w:tr>
        <w:trPr>
          <w:trHeight w:val="182" w:hRule="atLeast"/>
        </w:trPr>
        <w:tc>
          <w:tcPr>
            <w:tcW w:w="2833" w:type="dxa"/>
            <w:gridSpan w:val="2"/>
          </w:tcPr>
          <w:p>
            <w:pPr>
              <w:pStyle w:val="TableParagraph"/>
              <w:spacing w:line="161" w:lineRule="exact" w:before="1"/>
              <w:ind w:left="241"/>
              <w:jc w:val="left"/>
              <w:rPr>
                <w:rFonts w:ascii="Courier New" w:hAnsi="Courier New"/>
                <w:b/>
                <w:sz w:val="16"/>
              </w:rPr>
            </w:pPr>
            <w:r>
              <w:rPr>
                <w:rFonts w:ascii="Courier New" w:hAnsi="Courier New"/>
                <w:b/>
                <w:sz w:val="16"/>
              </w:rPr>
              <w:t>Ln Año Construccion</w:t>
            </w:r>
          </w:p>
        </w:tc>
        <w:tc>
          <w:tcPr>
            <w:tcW w:w="672" w:type="dxa"/>
          </w:tcPr>
          <w:p>
            <w:pPr>
              <w:pStyle w:val="TableParagraph"/>
              <w:spacing w:line="161" w:lineRule="exact" w:before="1"/>
              <w:ind w:left="384"/>
              <w:jc w:val="left"/>
              <w:rPr>
                <w:rFonts w:ascii="Courier New"/>
                <w:b/>
                <w:sz w:val="16"/>
              </w:rPr>
            </w:pPr>
            <w:r>
              <w:rPr>
                <w:rFonts w:ascii="Courier New"/>
                <w:b/>
                <w:sz w:val="16"/>
              </w:rPr>
              <w:t>1</w:t>
            </w:r>
          </w:p>
        </w:tc>
        <w:tc>
          <w:tcPr>
            <w:tcW w:w="864" w:type="dxa"/>
          </w:tcPr>
          <w:p>
            <w:pPr>
              <w:pStyle w:val="TableParagraph"/>
              <w:spacing w:line="161" w:lineRule="exact" w:before="1"/>
              <w:ind w:left="96"/>
              <w:jc w:val="left"/>
              <w:rPr>
                <w:rFonts w:ascii="Courier New"/>
                <w:b/>
                <w:sz w:val="16"/>
              </w:rPr>
            </w:pPr>
            <w:r>
              <w:rPr>
                <w:rFonts w:ascii="Courier New"/>
                <w:b/>
                <w:sz w:val="16"/>
              </w:rPr>
              <w:t>0.2767</w:t>
            </w:r>
          </w:p>
        </w:tc>
        <w:tc>
          <w:tcPr>
            <w:tcW w:w="864" w:type="dxa"/>
          </w:tcPr>
          <w:p>
            <w:pPr>
              <w:pStyle w:val="TableParagraph"/>
              <w:spacing w:line="161" w:lineRule="exact" w:before="1"/>
              <w:ind w:left="97"/>
              <w:jc w:val="left"/>
              <w:rPr>
                <w:rFonts w:ascii="Courier New"/>
                <w:b/>
                <w:sz w:val="16"/>
              </w:rPr>
            </w:pPr>
            <w:r>
              <w:rPr>
                <w:rFonts w:ascii="Courier New"/>
                <w:b/>
                <w:sz w:val="16"/>
              </w:rPr>
              <w:t>0.2767</w:t>
            </w:r>
          </w:p>
        </w:tc>
        <w:tc>
          <w:tcPr>
            <w:tcW w:w="865" w:type="dxa"/>
          </w:tcPr>
          <w:p>
            <w:pPr>
              <w:pStyle w:val="TableParagraph"/>
              <w:spacing w:line="161" w:lineRule="exact" w:before="1"/>
              <w:ind w:left="289"/>
              <w:jc w:val="left"/>
              <w:rPr>
                <w:rFonts w:ascii="Courier New"/>
                <w:b/>
                <w:sz w:val="16"/>
              </w:rPr>
            </w:pPr>
            <w:r>
              <w:rPr>
                <w:rFonts w:ascii="Courier New"/>
                <w:b/>
                <w:sz w:val="16"/>
              </w:rPr>
              <w:t>1.82</w:t>
            </w:r>
          </w:p>
        </w:tc>
        <w:tc>
          <w:tcPr>
            <w:tcW w:w="723" w:type="dxa"/>
          </w:tcPr>
          <w:p>
            <w:pPr>
              <w:pStyle w:val="TableParagraph"/>
              <w:spacing w:line="161" w:lineRule="exact" w:before="1"/>
              <w:ind w:right="48"/>
              <w:rPr>
                <w:rFonts w:ascii="Courier New"/>
                <w:b/>
                <w:sz w:val="16"/>
              </w:rPr>
            </w:pPr>
            <w:r>
              <w:rPr>
                <w:rFonts w:ascii="Courier New"/>
                <w:b/>
                <w:sz w:val="16"/>
              </w:rPr>
              <w:t>0.178</w:t>
            </w:r>
          </w:p>
        </w:tc>
      </w:tr>
      <w:tr>
        <w:trPr>
          <w:trHeight w:val="180" w:hRule="atLeast"/>
        </w:trPr>
        <w:tc>
          <w:tcPr>
            <w:tcW w:w="2833" w:type="dxa"/>
            <w:gridSpan w:val="2"/>
          </w:tcPr>
          <w:p>
            <w:pPr>
              <w:pStyle w:val="TableParagraph"/>
              <w:spacing w:line="160" w:lineRule="exact" w:before="0"/>
              <w:ind w:left="241"/>
              <w:jc w:val="left"/>
              <w:rPr>
                <w:rFonts w:ascii="Courier New" w:hAnsi="Courier New"/>
                <w:b/>
                <w:sz w:val="16"/>
              </w:rPr>
            </w:pPr>
            <w:r>
              <w:rPr>
                <w:rFonts w:ascii="Courier New" w:hAnsi="Courier New"/>
                <w:b/>
                <w:sz w:val="16"/>
              </w:rPr>
              <w:t>Ln Número Habitaciones</w:t>
            </w:r>
          </w:p>
        </w:tc>
        <w:tc>
          <w:tcPr>
            <w:tcW w:w="672" w:type="dxa"/>
          </w:tcPr>
          <w:p>
            <w:pPr>
              <w:pStyle w:val="TableParagraph"/>
              <w:spacing w:line="160" w:lineRule="exact" w:before="0"/>
              <w:ind w:left="384"/>
              <w:jc w:val="left"/>
              <w:rPr>
                <w:rFonts w:ascii="Courier New"/>
                <w:b/>
                <w:sz w:val="16"/>
              </w:rPr>
            </w:pPr>
            <w:r>
              <w:rPr>
                <w:rFonts w:ascii="Courier New"/>
                <w:b/>
                <w:sz w:val="16"/>
              </w:rPr>
              <w:t>1</w:t>
            </w:r>
          </w:p>
        </w:tc>
        <w:tc>
          <w:tcPr>
            <w:tcW w:w="864" w:type="dxa"/>
          </w:tcPr>
          <w:p>
            <w:pPr>
              <w:pStyle w:val="TableParagraph"/>
              <w:spacing w:line="160" w:lineRule="exact" w:before="0"/>
              <w:ind w:left="96"/>
              <w:jc w:val="left"/>
              <w:rPr>
                <w:rFonts w:ascii="Courier New"/>
                <w:b/>
                <w:sz w:val="16"/>
              </w:rPr>
            </w:pPr>
            <w:r>
              <w:rPr>
                <w:rFonts w:ascii="Courier New"/>
                <w:b/>
                <w:sz w:val="16"/>
              </w:rPr>
              <w:t>0.7749</w:t>
            </w:r>
          </w:p>
        </w:tc>
        <w:tc>
          <w:tcPr>
            <w:tcW w:w="864" w:type="dxa"/>
          </w:tcPr>
          <w:p>
            <w:pPr>
              <w:pStyle w:val="TableParagraph"/>
              <w:spacing w:line="160" w:lineRule="exact" w:before="0"/>
              <w:ind w:left="96"/>
              <w:jc w:val="left"/>
              <w:rPr>
                <w:rFonts w:ascii="Courier New"/>
                <w:b/>
                <w:sz w:val="16"/>
              </w:rPr>
            </w:pPr>
            <w:r>
              <w:rPr>
                <w:rFonts w:ascii="Courier New"/>
                <w:b/>
                <w:sz w:val="16"/>
              </w:rPr>
              <w:t>0.7749</w:t>
            </w:r>
          </w:p>
        </w:tc>
        <w:tc>
          <w:tcPr>
            <w:tcW w:w="865" w:type="dxa"/>
          </w:tcPr>
          <w:p>
            <w:pPr>
              <w:pStyle w:val="TableParagraph"/>
              <w:spacing w:line="160" w:lineRule="exact" w:before="0"/>
              <w:ind w:left="288"/>
              <w:jc w:val="left"/>
              <w:rPr>
                <w:rFonts w:ascii="Courier New"/>
                <w:b/>
                <w:sz w:val="16"/>
              </w:rPr>
            </w:pPr>
            <w:r>
              <w:rPr>
                <w:rFonts w:ascii="Courier New"/>
                <w:b/>
                <w:sz w:val="16"/>
              </w:rPr>
              <w:t>5.10</w:t>
            </w:r>
          </w:p>
        </w:tc>
        <w:tc>
          <w:tcPr>
            <w:tcW w:w="723" w:type="dxa"/>
          </w:tcPr>
          <w:p>
            <w:pPr>
              <w:pStyle w:val="TableParagraph"/>
              <w:spacing w:line="160" w:lineRule="exact" w:before="0"/>
              <w:ind w:right="49"/>
              <w:rPr>
                <w:rFonts w:ascii="Courier New"/>
                <w:b/>
                <w:sz w:val="16"/>
              </w:rPr>
            </w:pPr>
            <w:r>
              <w:rPr>
                <w:rFonts w:ascii="Courier New"/>
                <w:b/>
                <w:sz w:val="16"/>
              </w:rPr>
              <w:t>0.025</w:t>
            </w:r>
          </w:p>
        </w:tc>
      </w:tr>
      <w:tr>
        <w:trPr>
          <w:trHeight w:val="180" w:hRule="atLeast"/>
        </w:trPr>
        <w:tc>
          <w:tcPr>
            <w:tcW w:w="2833" w:type="dxa"/>
            <w:gridSpan w:val="2"/>
          </w:tcPr>
          <w:p>
            <w:pPr>
              <w:pStyle w:val="TableParagraph"/>
              <w:spacing w:line="160" w:lineRule="exact" w:before="0"/>
              <w:ind w:left="241"/>
              <w:jc w:val="left"/>
              <w:rPr>
                <w:rFonts w:ascii="Courier New" w:hAnsi="Courier New"/>
                <w:b/>
                <w:sz w:val="16"/>
              </w:rPr>
            </w:pPr>
            <w:r>
              <w:rPr>
                <w:rFonts w:ascii="Courier New" w:hAnsi="Courier New"/>
                <w:b/>
                <w:sz w:val="16"/>
              </w:rPr>
              <w:t>Ln Número de Baños</w:t>
            </w:r>
          </w:p>
        </w:tc>
        <w:tc>
          <w:tcPr>
            <w:tcW w:w="672" w:type="dxa"/>
          </w:tcPr>
          <w:p>
            <w:pPr>
              <w:pStyle w:val="TableParagraph"/>
              <w:spacing w:line="160" w:lineRule="exact" w:before="0"/>
              <w:ind w:left="384"/>
              <w:jc w:val="left"/>
              <w:rPr>
                <w:rFonts w:ascii="Courier New"/>
                <w:b/>
                <w:sz w:val="16"/>
              </w:rPr>
            </w:pPr>
            <w:r>
              <w:rPr>
                <w:rFonts w:ascii="Courier New"/>
                <w:b/>
                <w:sz w:val="16"/>
              </w:rPr>
              <w:t>1</w:t>
            </w:r>
          </w:p>
        </w:tc>
        <w:tc>
          <w:tcPr>
            <w:tcW w:w="864" w:type="dxa"/>
          </w:tcPr>
          <w:p>
            <w:pPr>
              <w:pStyle w:val="TableParagraph"/>
              <w:spacing w:line="160" w:lineRule="exact" w:before="0"/>
              <w:jc w:val="left"/>
              <w:rPr>
                <w:rFonts w:ascii="Courier New"/>
                <w:b/>
                <w:sz w:val="16"/>
              </w:rPr>
            </w:pPr>
            <w:r>
              <w:rPr>
                <w:rFonts w:ascii="Courier New"/>
                <w:b/>
                <w:sz w:val="16"/>
              </w:rPr>
              <w:t>11.4403</w:t>
            </w:r>
          </w:p>
        </w:tc>
        <w:tc>
          <w:tcPr>
            <w:tcW w:w="864" w:type="dxa"/>
          </w:tcPr>
          <w:p>
            <w:pPr>
              <w:pStyle w:val="TableParagraph"/>
              <w:spacing w:line="160" w:lineRule="exact" w:before="0"/>
              <w:jc w:val="left"/>
              <w:rPr>
                <w:rFonts w:ascii="Courier New"/>
                <w:b/>
                <w:sz w:val="16"/>
              </w:rPr>
            </w:pPr>
            <w:r>
              <w:rPr>
                <w:rFonts w:ascii="Courier New"/>
                <w:b/>
                <w:sz w:val="16"/>
              </w:rPr>
              <w:t>11.4403</w:t>
            </w:r>
          </w:p>
        </w:tc>
        <w:tc>
          <w:tcPr>
            <w:tcW w:w="865" w:type="dxa"/>
          </w:tcPr>
          <w:p>
            <w:pPr>
              <w:pStyle w:val="TableParagraph"/>
              <w:spacing w:line="160" w:lineRule="exact" w:before="0"/>
              <w:ind w:left="192"/>
              <w:jc w:val="left"/>
              <w:rPr>
                <w:rFonts w:ascii="Courier New"/>
                <w:b/>
                <w:sz w:val="16"/>
              </w:rPr>
            </w:pPr>
            <w:r>
              <w:rPr>
                <w:rFonts w:ascii="Courier New"/>
                <w:b/>
                <w:sz w:val="16"/>
              </w:rPr>
              <w:t>75.34</w:t>
            </w:r>
          </w:p>
        </w:tc>
        <w:tc>
          <w:tcPr>
            <w:tcW w:w="723" w:type="dxa"/>
          </w:tcPr>
          <w:p>
            <w:pPr>
              <w:pStyle w:val="TableParagraph"/>
              <w:spacing w:line="160" w:lineRule="exact" w:before="0"/>
              <w:ind w:right="49"/>
              <w:rPr>
                <w:rFonts w:ascii="Courier New"/>
                <w:b/>
                <w:sz w:val="16"/>
              </w:rPr>
            </w:pPr>
            <w:r>
              <w:rPr>
                <w:rFonts w:ascii="Courier New"/>
                <w:b/>
                <w:sz w:val="16"/>
              </w:rPr>
              <w:t>0.000</w:t>
            </w:r>
          </w:p>
        </w:tc>
      </w:tr>
      <w:tr>
        <w:trPr>
          <w:trHeight w:val="182" w:hRule="atLeast"/>
        </w:trPr>
        <w:tc>
          <w:tcPr>
            <w:tcW w:w="2833" w:type="dxa"/>
            <w:gridSpan w:val="2"/>
          </w:tcPr>
          <w:p>
            <w:pPr>
              <w:pStyle w:val="TableParagraph"/>
              <w:spacing w:line="162" w:lineRule="exact" w:before="0"/>
              <w:ind w:left="241"/>
              <w:jc w:val="left"/>
              <w:rPr>
                <w:rFonts w:ascii="Courier New" w:hAnsi="Courier New"/>
                <w:b/>
                <w:sz w:val="16"/>
              </w:rPr>
            </w:pPr>
            <w:r>
              <w:rPr>
                <w:rFonts w:ascii="Courier New" w:hAnsi="Courier New"/>
                <w:b/>
                <w:sz w:val="16"/>
              </w:rPr>
              <w:t>Ln Número de Plantas</w:t>
            </w:r>
          </w:p>
        </w:tc>
        <w:tc>
          <w:tcPr>
            <w:tcW w:w="672" w:type="dxa"/>
          </w:tcPr>
          <w:p>
            <w:pPr>
              <w:pStyle w:val="TableParagraph"/>
              <w:spacing w:line="162" w:lineRule="exact" w:before="0"/>
              <w:ind w:left="384"/>
              <w:jc w:val="left"/>
              <w:rPr>
                <w:rFonts w:ascii="Courier New"/>
                <w:b/>
                <w:sz w:val="16"/>
              </w:rPr>
            </w:pPr>
            <w:r>
              <w:rPr>
                <w:rFonts w:ascii="Courier New"/>
                <w:b/>
                <w:sz w:val="16"/>
              </w:rPr>
              <w:t>1</w:t>
            </w:r>
          </w:p>
        </w:tc>
        <w:tc>
          <w:tcPr>
            <w:tcW w:w="864" w:type="dxa"/>
          </w:tcPr>
          <w:p>
            <w:pPr>
              <w:pStyle w:val="TableParagraph"/>
              <w:spacing w:line="162" w:lineRule="exact" w:before="0"/>
              <w:ind w:left="96"/>
              <w:jc w:val="left"/>
              <w:rPr>
                <w:rFonts w:ascii="Courier New"/>
                <w:b/>
                <w:sz w:val="16"/>
              </w:rPr>
            </w:pPr>
            <w:r>
              <w:rPr>
                <w:rFonts w:ascii="Courier New"/>
                <w:b/>
                <w:sz w:val="16"/>
              </w:rPr>
              <w:t>0.4361</w:t>
            </w:r>
          </w:p>
        </w:tc>
        <w:tc>
          <w:tcPr>
            <w:tcW w:w="864" w:type="dxa"/>
          </w:tcPr>
          <w:p>
            <w:pPr>
              <w:pStyle w:val="TableParagraph"/>
              <w:spacing w:line="162" w:lineRule="exact" w:before="0"/>
              <w:ind w:left="96"/>
              <w:jc w:val="left"/>
              <w:rPr>
                <w:rFonts w:ascii="Courier New"/>
                <w:b/>
                <w:sz w:val="16"/>
              </w:rPr>
            </w:pPr>
            <w:r>
              <w:rPr>
                <w:rFonts w:ascii="Courier New"/>
                <w:b/>
                <w:sz w:val="16"/>
              </w:rPr>
              <w:t>0.4361</w:t>
            </w:r>
          </w:p>
        </w:tc>
        <w:tc>
          <w:tcPr>
            <w:tcW w:w="865" w:type="dxa"/>
          </w:tcPr>
          <w:p>
            <w:pPr>
              <w:pStyle w:val="TableParagraph"/>
              <w:spacing w:line="162" w:lineRule="exact" w:before="0"/>
              <w:ind w:left="288"/>
              <w:jc w:val="left"/>
              <w:rPr>
                <w:rFonts w:ascii="Courier New"/>
                <w:b/>
                <w:sz w:val="16"/>
              </w:rPr>
            </w:pPr>
            <w:r>
              <w:rPr>
                <w:rFonts w:ascii="Courier New"/>
                <w:b/>
                <w:sz w:val="16"/>
              </w:rPr>
              <w:t>2.87</w:t>
            </w:r>
          </w:p>
        </w:tc>
        <w:tc>
          <w:tcPr>
            <w:tcW w:w="723" w:type="dxa"/>
          </w:tcPr>
          <w:p>
            <w:pPr>
              <w:pStyle w:val="TableParagraph"/>
              <w:spacing w:line="162" w:lineRule="exact" w:before="0"/>
              <w:ind w:right="49"/>
              <w:rPr>
                <w:rFonts w:ascii="Courier New"/>
                <w:b/>
                <w:sz w:val="16"/>
              </w:rPr>
            </w:pPr>
            <w:r>
              <w:rPr>
                <w:rFonts w:ascii="Courier New"/>
                <w:b/>
                <w:sz w:val="16"/>
              </w:rPr>
              <w:t>0.091</w:t>
            </w:r>
          </w:p>
        </w:tc>
      </w:tr>
      <w:tr>
        <w:trPr>
          <w:trHeight w:val="181" w:hRule="atLeast"/>
        </w:trPr>
        <w:tc>
          <w:tcPr>
            <w:tcW w:w="2833" w:type="dxa"/>
            <w:gridSpan w:val="2"/>
          </w:tcPr>
          <w:p>
            <w:pPr>
              <w:pStyle w:val="TableParagraph"/>
              <w:spacing w:line="161" w:lineRule="exact" w:before="1"/>
              <w:ind w:left="241"/>
              <w:jc w:val="left"/>
              <w:rPr>
                <w:rFonts w:ascii="Courier New"/>
                <w:b/>
                <w:sz w:val="16"/>
              </w:rPr>
            </w:pPr>
            <w:r>
              <w:rPr>
                <w:rFonts w:ascii="Courier New"/>
                <w:b/>
                <w:sz w:val="16"/>
              </w:rPr>
              <w:t>Ln Distancia SJ</w:t>
            </w:r>
          </w:p>
        </w:tc>
        <w:tc>
          <w:tcPr>
            <w:tcW w:w="672" w:type="dxa"/>
          </w:tcPr>
          <w:p>
            <w:pPr>
              <w:pStyle w:val="TableParagraph"/>
              <w:spacing w:line="161" w:lineRule="exact" w:before="1"/>
              <w:ind w:left="385"/>
              <w:jc w:val="left"/>
              <w:rPr>
                <w:rFonts w:ascii="Courier New"/>
                <w:b/>
                <w:sz w:val="16"/>
              </w:rPr>
            </w:pPr>
            <w:r>
              <w:rPr>
                <w:rFonts w:ascii="Courier New"/>
                <w:b/>
                <w:sz w:val="16"/>
              </w:rPr>
              <w:t>1</w:t>
            </w:r>
          </w:p>
        </w:tc>
        <w:tc>
          <w:tcPr>
            <w:tcW w:w="864" w:type="dxa"/>
          </w:tcPr>
          <w:p>
            <w:pPr>
              <w:pStyle w:val="TableParagraph"/>
              <w:spacing w:line="161" w:lineRule="exact" w:before="1"/>
              <w:ind w:left="97"/>
              <w:jc w:val="left"/>
              <w:rPr>
                <w:rFonts w:ascii="Courier New"/>
                <w:b/>
                <w:sz w:val="16"/>
              </w:rPr>
            </w:pPr>
            <w:r>
              <w:rPr>
                <w:rFonts w:ascii="Courier New"/>
                <w:b/>
                <w:sz w:val="16"/>
              </w:rPr>
              <w:t>0.8086</w:t>
            </w:r>
          </w:p>
        </w:tc>
        <w:tc>
          <w:tcPr>
            <w:tcW w:w="864" w:type="dxa"/>
          </w:tcPr>
          <w:p>
            <w:pPr>
              <w:pStyle w:val="TableParagraph"/>
              <w:spacing w:line="161" w:lineRule="exact" w:before="1"/>
              <w:ind w:left="97"/>
              <w:jc w:val="left"/>
              <w:rPr>
                <w:rFonts w:ascii="Courier New"/>
                <w:b/>
                <w:sz w:val="16"/>
              </w:rPr>
            </w:pPr>
            <w:r>
              <w:rPr>
                <w:rFonts w:ascii="Courier New"/>
                <w:b/>
                <w:sz w:val="16"/>
              </w:rPr>
              <w:t>0.8086</w:t>
            </w:r>
          </w:p>
        </w:tc>
        <w:tc>
          <w:tcPr>
            <w:tcW w:w="865" w:type="dxa"/>
          </w:tcPr>
          <w:p>
            <w:pPr>
              <w:pStyle w:val="TableParagraph"/>
              <w:spacing w:line="161" w:lineRule="exact" w:before="1"/>
              <w:ind w:left="289"/>
              <w:jc w:val="left"/>
              <w:rPr>
                <w:rFonts w:ascii="Courier New"/>
                <w:b/>
                <w:sz w:val="16"/>
              </w:rPr>
            </w:pPr>
            <w:r>
              <w:rPr>
                <w:rFonts w:ascii="Courier New"/>
                <w:b/>
                <w:sz w:val="16"/>
              </w:rPr>
              <w:t>5.32</w:t>
            </w:r>
          </w:p>
        </w:tc>
        <w:tc>
          <w:tcPr>
            <w:tcW w:w="723" w:type="dxa"/>
          </w:tcPr>
          <w:p>
            <w:pPr>
              <w:pStyle w:val="TableParagraph"/>
              <w:spacing w:line="161" w:lineRule="exact" w:before="1"/>
              <w:ind w:right="48"/>
              <w:rPr>
                <w:rFonts w:ascii="Courier New"/>
                <w:b/>
                <w:sz w:val="16"/>
              </w:rPr>
            </w:pPr>
            <w:r>
              <w:rPr>
                <w:rFonts w:ascii="Courier New"/>
                <w:b/>
                <w:sz w:val="16"/>
              </w:rPr>
              <w:t>0.022</w:t>
            </w:r>
          </w:p>
        </w:tc>
      </w:tr>
      <w:tr>
        <w:trPr>
          <w:trHeight w:val="180" w:hRule="atLeast"/>
        </w:trPr>
        <w:tc>
          <w:tcPr>
            <w:tcW w:w="2833" w:type="dxa"/>
            <w:gridSpan w:val="2"/>
          </w:tcPr>
          <w:p>
            <w:pPr>
              <w:pStyle w:val="TableParagraph"/>
              <w:spacing w:line="160" w:lineRule="exact" w:before="0"/>
              <w:ind w:left="241"/>
              <w:jc w:val="left"/>
              <w:rPr>
                <w:rFonts w:ascii="Courier New"/>
                <w:b/>
                <w:sz w:val="16"/>
              </w:rPr>
            </w:pPr>
            <w:r>
              <w:rPr>
                <w:rFonts w:ascii="Courier New"/>
                <w:b/>
                <w:sz w:val="16"/>
              </w:rPr>
              <w:t>Ln Distancia Pobreza</w:t>
            </w:r>
          </w:p>
        </w:tc>
        <w:tc>
          <w:tcPr>
            <w:tcW w:w="672" w:type="dxa"/>
          </w:tcPr>
          <w:p>
            <w:pPr>
              <w:pStyle w:val="TableParagraph"/>
              <w:spacing w:line="160" w:lineRule="exact" w:before="0"/>
              <w:ind w:left="384"/>
              <w:jc w:val="left"/>
              <w:rPr>
                <w:rFonts w:ascii="Courier New"/>
                <w:b/>
                <w:sz w:val="16"/>
              </w:rPr>
            </w:pPr>
            <w:r>
              <w:rPr>
                <w:rFonts w:ascii="Courier New"/>
                <w:b/>
                <w:sz w:val="16"/>
              </w:rPr>
              <w:t>1</w:t>
            </w:r>
          </w:p>
        </w:tc>
        <w:tc>
          <w:tcPr>
            <w:tcW w:w="864" w:type="dxa"/>
          </w:tcPr>
          <w:p>
            <w:pPr>
              <w:pStyle w:val="TableParagraph"/>
              <w:spacing w:line="160" w:lineRule="exact" w:before="0"/>
              <w:ind w:left="96"/>
              <w:jc w:val="left"/>
              <w:rPr>
                <w:rFonts w:ascii="Courier New"/>
                <w:b/>
                <w:sz w:val="16"/>
              </w:rPr>
            </w:pPr>
            <w:r>
              <w:rPr>
                <w:rFonts w:ascii="Courier New"/>
                <w:b/>
                <w:sz w:val="16"/>
              </w:rPr>
              <w:t>1.3839</w:t>
            </w:r>
          </w:p>
        </w:tc>
        <w:tc>
          <w:tcPr>
            <w:tcW w:w="864" w:type="dxa"/>
          </w:tcPr>
          <w:p>
            <w:pPr>
              <w:pStyle w:val="TableParagraph"/>
              <w:spacing w:line="160" w:lineRule="exact" w:before="0"/>
              <w:ind w:left="96"/>
              <w:jc w:val="left"/>
              <w:rPr>
                <w:rFonts w:ascii="Courier New"/>
                <w:b/>
                <w:sz w:val="16"/>
              </w:rPr>
            </w:pPr>
            <w:r>
              <w:rPr>
                <w:rFonts w:ascii="Courier New"/>
                <w:b/>
                <w:sz w:val="16"/>
              </w:rPr>
              <w:t>1.3839</w:t>
            </w:r>
          </w:p>
        </w:tc>
        <w:tc>
          <w:tcPr>
            <w:tcW w:w="865" w:type="dxa"/>
          </w:tcPr>
          <w:p>
            <w:pPr>
              <w:pStyle w:val="TableParagraph"/>
              <w:spacing w:line="160" w:lineRule="exact" w:before="0"/>
              <w:ind w:left="288"/>
              <w:jc w:val="left"/>
              <w:rPr>
                <w:rFonts w:ascii="Courier New"/>
                <w:b/>
                <w:sz w:val="16"/>
              </w:rPr>
            </w:pPr>
            <w:r>
              <w:rPr>
                <w:rFonts w:ascii="Courier New"/>
                <w:b/>
                <w:sz w:val="16"/>
              </w:rPr>
              <w:t>9.11</w:t>
            </w:r>
          </w:p>
        </w:tc>
        <w:tc>
          <w:tcPr>
            <w:tcW w:w="723" w:type="dxa"/>
          </w:tcPr>
          <w:p>
            <w:pPr>
              <w:pStyle w:val="TableParagraph"/>
              <w:spacing w:line="160" w:lineRule="exact" w:before="0"/>
              <w:ind w:right="49"/>
              <w:rPr>
                <w:rFonts w:ascii="Courier New"/>
                <w:b/>
                <w:sz w:val="16"/>
              </w:rPr>
            </w:pPr>
            <w:r>
              <w:rPr>
                <w:rFonts w:ascii="Courier New"/>
                <w:b/>
                <w:sz w:val="16"/>
              </w:rPr>
              <w:t>0.003</w:t>
            </w:r>
          </w:p>
        </w:tc>
      </w:tr>
      <w:tr>
        <w:trPr>
          <w:trHeight w:val="182" w:hRule="atLeast"/>
        </w:trPr>
        <w:tc>
          <w:tcPr>
            <w:tcW w:w="2833" w:type="dxa"/>
            <w:gridSpan w:val="2"/>
          </w:tcPr>
          <w:p>
            <w:pPr>
              <w:pStyle w:val="TableParagraph"/>
              <w:spacing w:line="162" w:lineRule="exact" w:before="0"/>
              <w:ind w:left="241"/>
              <w:jc w:val="left"/>
              <w:rPr>
                <w:rFonts w:ascii="Courier New"/>
                <w:b/>
                <w:sz w:val="16"/>
              </w:rPr>
            </w:pPr>
            <w:r>
              <w:rPr>
                <w:rFonts w:ascii="Courier New"/>
                <w:b/>
                <w:sz w:val="16"/>
              </w:rPr>
              <w:t>Tipo = 1 casa, 0 = Condo</w:t>
            </w:r>
          </w:p>
        </w:tc>
        <w:tc>
          <w:tcPr>
            <w:tcW w:w="672" w:type="dxa"/>
          </w:tcPr>
          <w:p>
            <w:pPr>
              <w:pStyle w:val="TableParagraph"/>
              <w:spacing w:line="162" w:lineRule="exact" w:before="0"/>
              <w:ind w:left="384"/>
              <w:jc w:val="left"/>
              <w:rPr>
                <w:rFonts w:ascii="Courier New"/>
                <w:b/>
                <w:sz w:val="16"/>
              </w:rPr>
            </w:pPr>
            <w:r>
              <w:rPr>
                <w:rFonts w:ascii="Courier New"/>
                <w:b/>
                <w:sz w:val="16"/>
              </w:rPr>
              <w:t>1</w:t>
            </w:r>
          </w:p>
        </w:tc>
        <w:tc>
          <w:tcPr>
            <w:tcW w:w="864" w:type="dxa"/>
          </w:tcPr>
          <w:p>
            <w:pPr>
              <w:pStyle w:val="TableParagraph"/>
              <w:spacing w:line="162" w:lineRule="exact" w:before="0"/>
              <w:ind w:left="96"/>
              <w:jc w:val="left"/>
              <w:rPr>
                <w:rFonts w:ascii="Courier New"/>
                <w:b/>
                <w:sz w:val="16"/>
              </w:rPr>
            </w:pPr>
            <w:r>
              <w:rPr>
                <w:rFonts w:ascii="Courier New"/>
                <w:b/>
                <w:sz w:val="16"/>
              </w:rPr>
              <w:t>0.8918</w:t>
            </w:r>
          </w:p>
        </w:tc>
        <w:tc>
          <w:tcPr>
            <w:tcW w:w="864" w:type="dxa"/>
          </w:tcPr>
          <w:p>
            <w:pPr>
              <w:pStyle w:val="TableParagraph"/>
              <w:spacing w:line="162" w:lineRule="exact" w:before="0"/>
              <w:ind w:left="96"/>
              <w:jc w:val="left"/>
              <w:rPr>
                <w:rFonts w:ascii="Courier New"/>
                <w:b/>
                <w:sz w:val="16"/>
              </w:rPr>
            </w:pPr>
            <w:r>
              <w:rPr>
                <w:rFonts w:ascii="Courier New"/>
                <w:b/>
                <w:sz w:val="16"/>
              </w:rPr>
              <w:t>0.8918</w:t>
            </w:r>
          </w:p>
        </w:tc>
        <w:tc>
          <w:tcPr>
            <w:tcW w:w="865" w:type="dxa"/>
          </w:tcPr>
          <w:p>
            <w:pPr>
              <w:pStyle w:val="TableParagraph"/>
              <w:spacing w:line="162" w:lineRule="exact" w:before="0"/>
              <w:ind w:left="288"/>
              <w:jc w:val="left"/>
              <w:rPr>
                <w:rFonts w:ascii="Courier New"/>
                <w:b/>
                <w:sz w:val="16"/>
              </w:rPr>
            </w:pPr>
            <w:r>
              <w:rPr>
                <w:rFonts w:ascii="Courier New"/>
                <w:b/>
                <w:sz w:val="16"/>
              </w:rPr>
              <w:t>5.87</w:t>
            </w:r>
          </w:p>
        </w:tc>
        <w:tc>
          <w:tcPr>
            <w:tcW w:w="723" w:type="dxa"/>
          </w:tcPr>
          <w:p>
            <w:pPr>
              <w:pStyle w:val="TableParagraph"/>
              <w:spacing w:line="162" w:lineRule="exact" w:before="0"/>
              <w:ind w:right="49"/>
              <w:rPr>
                <w:rFonts w:ascii="Courier New"/>
                <w:b/>
                <w:sz w:val="16"/>
              </w:rPr>
            </w:pPr>
            <w:r>
              <w:rPr>
                <w:rFonts w:ascii="Courier New"/>
                <w:b/>
                <w:sz w:val="16"/>
              </w:rPr>
              <w:t>0.016</w:t>
            </w:r>
          </w:p>
        </w:tc>
      </w:tr>
      <w:tr>
        <w:trPr>
          <w:trHeight w:val="182" w:hRule="atLeast"/>
        </w:trPr>
        <w:tc>
          <w:tcPr>
            <w:tcW w:w="2833" w:type="dxa"/>
            <w:gridSpan w:val="2"/>
          </w:tcPr>
          <w:p>
            <w:pPr>
              <w:pStyle w:val="TableParagraph"/>
              <w:spacing w:line="161" w:lineRule="exact" w:before="1"/>
              <w:ind w:left="241" w:right="-15"/>
              <w:jc w:val="left"/>
              <w:rPr>
                <w:rFonts w:ascii="Courier New"/>
                <w:b/>
                <w:sz w:val="16"/>
              </w:rPr>
            </w:pPr>
            <w:r>
              <w:rPr>
                <w:rFonts w:ascii="Courier New"/>
                <w:b/>
                <w:sz w:val="16"/>
              </w:rPr>
              <w:t>Zona de Riesgo de</w:t>
            </w:r>
            <w:r>
              <w:rPr>
                <w:rFonts w:ascii="Courier New"/>
                <w:b/>
                <w:spacing w:val="-21"/>
                <w:sz w:val="16"/>
              </w:rPr>
              <w:t> </w:t>
            </w:r>
            <w:r>
              <w:rPr>
                <w:rFonts w:ascii="Courier New"/>
                <w:b/>
                <w:sz w:val="16"/>
              </w:rPr>
              <w:t>desastre</w:t>
            </w:r>
          </w:p>
        </w:tc>
        <w:tc>
          <w:tcPr>
            <w:tcW w:w="672" w:type="dxa"/>
          </w:tcPr>
          <w:p>
            <w:pPr>
              <w:pStyle w:val="TableParagraph"/>
              <w:spacing w:line="161" w:lineRule="exact" w:before="1"/>
              <w:ind w:left="384"/>
              <w:jc w:val="left"/>
              <w:rPr>
                <w:rFonts w:ascii="Courier New"/>
                <w:b/>
                <w:sz w:val="16"/>
              </w:rPr>
            </w:pPr>
            <w:r>
              <w:rPr>
                <w:rFonts w:ascii="Courier New"/>
                <w:b/>
                <w:sz w:val="16"/>
              </w:rPr>
              <w:t>1</w:t>
            </w:r>
          </w:p>
        </w:tc>
        <w:tc>
          <w:tcPr>
            <w:tcW w:w="864" w:type="dxa"/>
          </w:tcPr>
          <w:p>
            <w:pPr>
              <w:pStyle w:val="TableParagraph"/>
              <w:spacing w:line="161" w:lineRule="exact" w:before="1"/>
              <w:ind w:left="96"/>
              <w:jc w:val="left"/>
              <w:rPr>
                <w:rFonts w:ascii="Courier New"/>
                <w:b/>
                <w:sz w:val="16"/>
              </w:rPr>
            </w:pPr>
            <w:r>
              <w:rPr>
                <w:rFonts w:ascii="Courier New"/>
                <w:b/>
                <w:sz w:val="16"/>
              </w:rPr>
              <w:t>0.2243</w:t>
            </w:r>
          </w:p>
        </w:tc>
        <w:tc>
          <w:tcPr>
            <w:tcW w:w="864" w:type="dxa"/>
          </w:tcPr>
          <w:p>
            <w:pPr>
              <w:pStyle w:val="TableParagraph"/>
              <w:spacing w:line="161" w:lineRule="exact" w:before="1"/>
              <w:ind w:left="96"/>
              <w:jc w:val="left"/>
              <w:rPr>
                <w:rFonts w:ascii="Courier New"/>
                <w:b/>
                <w:sz w:val="16"/>
              </w:rPr>
            </w:pPr>
            <w:r>
              <w:rPr>
                <w:rFonts w:ascii="Courier New"/>
                <w:b/>
                <w:sz w:val="16"/>
              </w:rPr>
              <w:t>0.2243</w:t>
            </w:r>
          </w:p>
        </w:tc>
        <w:tc>
          <w:tcPr>
            <w:tcW w:w="865" w:type="dxa"/>
          </w:tcPr>
          <w:p>
            <w:pPr>
              <w:pStyle w:val="TableParagraph"/>
              <w:spacing w:line="161" w:lineRule="exact" w:before="1"/>
              <w:ind w:left="290"/>
              <w:jc w:val="left"/>
              <w:rPr>
                <w:rFonts w:ascii="Courier New"/>
                <w:b/>
                <w:sz w:val="16"/>
              </w:rPr>
            </w:pPr>
            <w:r>
              <w:rPr>
                <w:rFonts w:ascii="Courier New"/>
                <w:b/>
                <w:sz w:val="16"/>
              </w:rPr>
              <w:t>1.48</w:t>
            </w:r>
          </w:p>
        </w:tc>
        <w:tc>
          <w:tcPr>
            <w:tcW w:w="723" w:type="dxa"/>
          </w:tcPr>
          <w:p>
            <w:pPr>
              <w:pStyle w:val="TableParagraph"/>
              <w:spacing w:line="161" w:lineRule="exact" w:before="1"/>
              <w:ind w:right="47"/>
              <w:rPr>
                <w:rFonts w:ascii="Courier New"/>
                <w:b/>
                <w:sz w:val="16"/>
              </w:rPr>
            </w:pPr>
            <w:r>
              <w:rPr>
                <w:rFonts w:ascii="Courier New"/>
                <w:b/>
                <w:sz w:val="16"/>
              </w:rPr>
              <w:t>0.225</w:t>
            </w:r>
          </w:p>
        </w:tc>
      </w:tr>
      <w:tr>
        <w:trPr>
          <w:trHeight w:val="180" w:hRule="atLeast"/>
        </w:trPr>
        <w:tc>
          <w:tcPr>
            <w:tcW w:w="2833" w:type="dxa"/>
            <w:gridSpan w:val="2"/>
          </w:tcPr>
          <w:p>
            <w:pPr>
              <w:pStyle w:val="TableParagraph"/>
              <w:spacing w:line="160" w:lineRule="exact" w:before="0"/>
              <w:ind w:left="241"/>
              <w:jc w:val="left"/>
              <w:rPr>
                <w:rFonts w:ascii="Courier New"/>
                <w:b/>
                <w:sz w:val="16"/>
              </w:rPr>
            </w:pPr>
            <w:r>
              <w:rPr>
                <w:rFonts w:ascii="Courier New"/>
                <w:b/>
                <w:sz w:val="16"/>
              </w:rPr>
              <w:t>Vista a la Carpintera</w:t>
            </w:r>
          </w:p>
        </w:tc>
        <w:tc>
          <w:tcPr>
            <w:tcW w:w="672" w:type="dxa"/>
          </w:tcPr>
          <w:p>
            <w:pPr>
              <w:pStyle w:val="TableParagraph"/>
              <w:spacing w:line="160" w:lineRule="exact" w:before="0"/>
              <w:ind w:left="384"/>
              <w:jc w:val="left"/>
              <w:rPr>
                <w:rFonts w:ascii="Courier New"/>
                <w:b/>
                <w:sz w:val="16"/>
              </w:rPr>
            </w:pPr>
            <w:r>
              <w:rPr>
                <w:rFonts w:ascii="Courier New"/>
                <w:b/>
                <w:sz w:val="16"/>
              </w:rPr>
              <w:t>1</w:t>
            </w:r>
          </w:p>
        </w:tc>
        <w:tc>
          <w:tcPr>
            <w:tcW w:w="864" w:type="dxa"/>
          </w:tcPr>
          <w:p>
            <w:pPr>
              <w:pStyle w:val="TableParagraph"/>
              <w:spacing w:line="160" w:lineRule="exact" w:before="0"/>
              <w:ind w:left="96"/>
              <w:jc w:val="left"/>
              <w:rPr>
                <w:rFonts w:ascii="Courier New"/>
                <w:b/>
                <w:sz w:val="16"/>
              </w:rPr>
            </w:pPr>
            <w:r>
              <w:rPr>
                <w:rFonts w:ascii="Courier New"/>
                <w:b/>
                <w:sz w:val="16"/>
              </w:rPr>
              <w:t>0.5591</w:t>
            </w:r>
          </w:p>
        </w:tc>
        <w:tc>
          <w:tcPr>
            <w:tcW w:w="864" w:type="dxa"/>
          </w:tcPr>
          <w:p>
            <w:pPr>
              <w:pStyle w:val="TableParagraph"/>
              <w:spacing w:line="160" w:lineRule="exact" w:before="0"/>
              <w:ind w:left="96"/>
              <w:jc w:val="left"/>
              <w:rPr>
                <w:rFonts w:ascii="Courier New"/>
                <w:b/>
                <w:sz w:val="16"/>
              </w:rPr>
            </w:pPr>
            <w:r>
              <w:rPr>
                <w:rFonts w:ascii="Courier New"/>
                <w:b/>
                <w:sz w:val="16"/>
              </w:rPr>
              <w:t>0.5591</w:t>
            </w:r>
          </w:p>
        </w:tc>
        <w:tc>
          <w:tcPr>
            <w:tcW w:w="865" w:type="dxa"/>
          </w:tcPr>
          <w:p>
            <w:pPr>
              <w:pStyle w:val="TableParagraph"/>
              <w:spacing w:line="160" w:lineRule="exact" w:before="0"/>
              <w:ind w:left="288"/>
              <w:jc w:val="left"/>
              <w:rPr>
                <w:rFonts w:ascii="Courier New"/>
                <w:b/>
                <w:sz w:val="16"/>
              </w:rPr>
            </w:pPr>
            <w:r>
              <w:rPr>
                <w:rFonts w:ascii="Courier New"/>
                <w:b/>
                <w:sz w:val="16"/>
              </w:rPr>
              <w:t>3.68</w:t>
            </w:r>
          </w:p>
        </w:tc>
        <w:tc>
          <w:tcPr>
            <w:tcW w:w="723" w:type="dxa"/>
          </w:tcPr>
          <w:p>
            <w:pPr>
              <w:pStyle w:val="TableParagraph"/>
              <w:spacing w:line="160" w:lineRule="exact" w:before="0"/>
              <w:ind w:right="49"/>
              <w:rPr>
                <w:rFonts w:ascii="Courier New"/>
                <w:b/>
                <w:sz w:val="16"/>
              </w:rPr>
            </w:pPr>
            <w:r>
              <w:rPr>
                <w:rFonts w:ascii="Courier New"/>
                <w:b/>
                <w:sz w:val="16"/>
              </w:rPr>
              <w:t>0.056</w:t>
            </w:r>
          </w:p>
        </w:tc>
      </w:tr>
      <w:tr>
        <w:trPr>
          <w:trHeight w:val="182" w:hRule="atLeast"/>
        </w:trPr>
        <w:tc>
          <w:tcPr>
            <w:tcW w:w="2833" w:type="dxa"/>
            <w:gridSpan w:val="2"/>
          </w:tcPr>
          <w:p>
            <w:pPr>
              <w:pStyle w:val="TableParagraph"/>
              <w:spacing w:line="162" w:lineRule="exact" w:before="0"/>
              <w:ind w:left="50"/>
              <w:jc w:val="left"/>
              <w:rPr>
                <w:rFonts w:ascii="Courier New"/>
                <w:b/>
                <w:sz w:val="16"/>
              </w:rPr>
            </w:pPr>
            <w:r>
              <w:rPr>
                <w:rFonts w:ascii="Courier New"/>
                <w:b/>
                <w:sz w:val="16"/>
              </w:rPr>
              <w:t>Error</w:t>
            </w:r>
          </w:p>
        </w:tc>
        <w:tc>
          <w:tcPr>
            <w:tcW w:w="672" w:type="dxa"/>
          </w:tcPr>
          <w:p>
            <w:pPr>
              <w:pStyle w:val="TableParagraph"/>
              <w:spacing w:line="162" w:lineRule="exact" w:before="0"/>
              <w:ind w:left="192"/>
              <w:jc w:val="left"/>
              <w:rPr>
                <w:rFonts w:ascii="Courier New"/>
                <w:b/>
                <w:sz w:val="16"/>
              </w:rPr>
            </w:pPr>
            <w:r>
              <w:rPr>
                <w:rFonts w:ascii="Courier New"/>
                <w:b/>
                <w:sz w:val="16"/>
              </w:rPr>
              <w:t>290</w:t>
            </w:r>
          </w:p>
        </w:tc>
        <w:tc>
          <w:tcPr>
            <w:tcW w:w="864" w:type="dxa"/>
          </w:tcPr>
          <w:p>
            <w:pPr>
              <w:pStyle w:val="TableParagraph"/>
              <w:spacing w:line="162" w:lineRule="exact" w:before="0"/>
              <w:jc w:val="left"/>
              <w:rPr>
                <w:rFonts w:ascii="Courier New"/>
                <w:b/>
                <w:sz w:val="16"/>
              </w:rPr>
            </w:pPr>
            <w:r>
              <w:rPr>
                <w:rFonts w:ascii="Courier New"/>
                <w:b/>
                <w:sz w:val="16"/>
              </w:rPr>
              <w:t>44.0365</w:t>
            </w:r>
          </w:p>
        </w:tc>
        <w:tc>
          <w:tcPr>
            <w:tcW w:w="864" w:type="dxa"/>
          </w:tcPr>
          <w:p>
            <w:pPr>
              <w:pStyle w:val="TableParagraph"/>
              <w:spacing w:line="162" w:lineRule="exact" w:before="0"/>
              <w:ind w:left="96"/>
              <w:jc w:val="left"/>
              <w:rPr>
                <w:rFonts w:ascii="Courier New"/>
                <w:b/>
                <w:sz w:val="16"/>
              </w:rPr>
            </w:pPr>
            <w:r>
              <w:rPr>
                <w:rFonts w:ascii="Courier New"/>
                <w:b/>
                <w:sz w:val="16"/>
              </w:rPr>
              <w:t>0.1519</w:t>
            </w:r>
          </w:p>
        </w:tc>
        <w:tc>
          <w:tcPr>
            <w:tcW w:w="865" w:type="dxa"/>
          </w:tcPr>
          <w:p>
            <w:pPr>
              <w:pStyle w:val="TableParagraph"/>
              <w:spacing w:line="240" w:lineRule="auto" w:before="0"/>
              <w:jc w:val="left"/>
              <w:rPr>
                <w:rFonts w:ascii="Times New Roman"/>
                <w:sz w:val="12"/>
              </w:rPr>
            </w:pPr>
          </w:p>
        </w:tc>
        <w:tc>
          <w:tcPr>
            <w:tcW w:w="723" w:type="dxa"/>
          </w:tcPr>
          <w:p>
            <w:pPr>
              <w:pStyle w:val="TableParagraph"/>
              <w:spacing w:line="240" w:lineRule="auto" w:before="0"/>
              <w:jc w:val="left"/>
              <w:rPr>
                <w:rFonts w:ascii="Times New Roman"/>
                <w:sz w:val="12"/>
              </w:rPr>
            </w:pPr>
          </w:p>
        </w:tc>
      </w:tr>
      <w:tr>
        <w:trPr>
          <w:trHeight w:val="182" w:hRule="atLeast"/>
        </w:trPr>
        <w:tc>
          <w:tcPr>
            <w:tcW w:w="2833" w:type="dxa"/>
            <w:gridSpan w:val="2"/>
          </w:tcPr>
          <w:p>
            <w:pPr>
              <w:pStyle w:val="TableParagraph"/>
              <w:spacing w:line="161" w:lineRule="exact" w:before="1"/>
              <w:ind w:left="241"/>
              <w:jc w:val="left"/>
              <w:rPr>
                <w:rFonts w:ascii="Courier New"/>
                <w:b/>
                <w:sz w:val="16"/>
              </w:rPr>
            </w:pPr>
            <w:r>
              <w:rPr>
                <w:rFonts w:ascii="Courier New"/>
                <w:b/>
                <w:sz w:val="16"/>
              </w:rPr>
              <w:t>Lack-of-Fit</w:t>
            </w:r>
          </w:p>
        </w:tc>
        <w:tc>
          <w:tcPr>
            <w:tcW w:w="672" w:type="dxa"/>
          </w:tcPr>
          <w:p>
            <w:pPr>
              <w:pStyle w:val="TableParagraph"/>
              <w:spacing w:line="161" w:lineRule="exact" w:before="1"/>
              <w:ind w:left="193"/>
              <w:jc w:val="left"/>
              <w:rPr>
                <w:rFonts w:ascii="Courier New"/>
                <w:b/>
                <w:sz w:val="16"/>
              </w:rPr>
            </w:pPr>
            <w:r>
              <w:rPr>
                <w:rFonts w:ascii="Courier New"/>
                <w:b/>
                <w:sz w:val="16"/>
              </w:rPr>
              <w:t>289</w:t>
            </w:r>
          </w:p>
        </w:tc>
        <w:tc>
          <w:tcPr>
            <w:tcW w:w="864" w:type="dxa"/>
          </w:tcPr>
          <w:p>
            <w:pPr>
              <w:pStyle w:val="TableParagraph"/>
              <w:spacing w:line="161" w:lineRule="exact" w:before="1"/>
              <w:ind w:left="1"/>
              <w:jc w:val="left"/>
              <w:rPr>
                <w:rFonts w:ascii="Courier New"/>
                <w:b/>
                <w:sz w:val="16"/>
              </w:rPr>
            </w:pPr>
            <w:r>
              <w:rPr>
                <w:rFonts w:ascii="Courier New"/>
                <w:b/>
                <w:sz w:val="16"/>
              </w:rPr>
              <w:t>44.0365</w:t>
            </w:r>
          </w:p>
        </w:tc>
        <w:tc>
          <w:tcPr>
            <w:tcW w:w="864" w:type="dxa"/>
          </w:tcPr>
          <w:p>
            <w:pPr>
              <w:pStyle w:val="TableParagraph"/>
              <w:spacing w:line="161" w:lineRule="exact" w:before="1"/>
              <w:ind w:left="97"/>
              <w:jc w:val="left"/>
              <w:rPr>
                <w:rFonts w:ascii="Courier New"/>
                <w:b/>
                <w:sz w:val="16"/>
              </w:rPr>
            </w:pPr>
            <w:r>
              <w:rPr>
                <w:rFonts w:ascii="Courier New"/>
                <w:b/>
                <w:sz w:val="16"/>
              </w:rPr>
              <w:t>0.1524</w:t>
            </w:r>
          </w:p>
        </w:tc>
        <w:tc>
          <w:tcPr>
            <w:tcW w:w="865" w:type="dxa"/>
          </w:tcPr>
          <w:p>
            <w:pPr>
              <w:pStyle w:val="TableParagraph"/>
              <w:spacing w:line="161" w:lineRule="exact" w:before="1"/>
              <w:ind w:right="189"/>
              <w:rPr>
                <w:rFonts w:ascii="Courier New"/>
                <w:b/>
                <w:sz w:val="16"/>
              </w:rPr>
            </w:pPr>
            <w:r>
              <w:rPr>
                <w:rFonts w:ascii="Courier New"/>
                <w:b/>
                <w:sz w:val="16"/>
              </w:rPr>
              <w:t>*</w:t>
            </w:r>
          </w:p>
        </w:tc>
        <w:tc>
          <w:tcPr>
            <w:tcW w:w="723" w:type="dxa"/>
          </w:tcPr>
          <w:p>
            <w:pPr>
              <w:pStyle w:val="TableParagraph"/>
              <w:spacing w:line="161" w:lineRule="exact" w:before="1"/>
              <w:ind w:right="48"/>
              <w:rPr>
                <w:rFonts w:ascii="Courier New"/>
                <w:b/>
                <w:sz w:val="16"/>
              </w:rPr>
            </w:pPr>
            <w:r>
              <w:rPr>
                <w:rFonts w:ascii="Courier New"/>
                <w:b/>
                <w:sz w:val="16"/>
              </w:rPr>
              <w:t>*</w:t>
            </w:r>
          </w:p>
        </w:tc>
      </w:tr>
      <w:tr>
        <w:trPr>
          <w:trHeight w:val="180" w:hRule="atLeast"/>
        </w:trPr>
        <w:tc>
          <w:tcPr>
            <w:tcW w:w="2833" w:type="dxa"/>
            <w:gridSpan w:val="2"/>
          </w:tcPr>
          <w:p>
            <w:pPr>
              <w:pStyle w:val="TableParagraph"/>
              <w:spacing w:line="160" w:lineRule="exact" w:before="0"/>
              <w:ind w:left="241"/>
              <w:jc w:val="left"/>
              <w:rPr>
                <w:rFonts w:ascii="Courier New"/>
                <w:b/>
                <w:sz w:val="16"/>
              </w:rPr>
            </w:pPr>
            <w:r>
              <w:rPr>
                <w:rFonts w:ascii="Courier New"/>
                <w:b/>
                <w:sz w:val="16"/>
              </w:rPr>
              <w:t>Pure Error</w:t>
            </w:r>
          </w:p>
        </w:tc>
        <w:tc>
          <w:tcPr>
            <w:tcW w:w="672" w:type="dxa"/>
          </w:tcPr>
          <w:p>
            <w:pPr>
              <w:pStyle w:val="TableParagraph"/>
              <w:spacing w:line="160" w:lineRule="exact" w:before="0"/>
              <w:ind w:left="384"/>
              <w:jc w:val="left"/>
              <w:rPr>
                <w:rFonts w:ascii="Courier New"/>
                <w:b/>
                <w:sz w:val="16"/>
              </w:rPr>
            </w:pPr>
            <w:r>
              <w:rPr>
                <w:rFonts w:ascii="Courier New"/>
                <w:b/>
                <w:sz w:val="16"/>
              </w:rPr>
              <w:t>1</w:t>
            </w:r>
          </w:p>
        </w:tc>
        <w:tc>
          <w:tcPr>
            <w:tcW w:w="864" w:type="dxa"/>
          </w:tcPr>
          <w:p>
            <w:pPr>
              <w:pStyle w:val="TableParagraph"/>
              <w:spacing w:line="160" w:lineRule="exact" w:before="0"/>
              <w:ind w:left="96"/>
              <w:jc w:val="left"/>
              <w:rPr>
                <w:rFonts w:ascii="Courier New"/>
                <w:b/>
                <w:sz w:val="16"/>
              </w:rPr>
            </w:pPr>
            <w:r>
              <w:rPr>
                <w:rFonts w:ascii="Courier New"/>
                <w:b/>
                <w:sz w:val="16"/>
              </w:rPr>
              <w:t>0.0000</w:t>
            </w:r>
          </w:p>
        </w:tc>
        <w:tc>
          <w:tcPr>
            <w:tcW w:w="864" w:type="dxa"/>
          </w:tcPr>
          <w:p>
            <w:pPr>
              <w:pStyle w:val="TableParagraph"/>
              <w:spacing w:line="160" w:lineRule="exact" w:before="0"/>
              <w:ind w:left="98"/>
              <w:jc w:val="left"/>
              <w:rPr>
                <w:rFonts w:ascii="Courier New"/>
                <w:b/>
                <w:sz w:val="16"/>
              </w:rPr>
            </w:pPr>
            <w:r>
              <w:rPr>
                <w:rFonts w:ascii="Courier New"/>
                <w:b/>
                <w:sz w:val="16"/>
              </w:rPr>
              <w:t>0.0000</w:t>
            </w:r>
          </w:p>
        </w:tc>
        <w:tc>
          <w:tcPr>
            <w:tcW w:w="865" w:type="dxa"/>
          </w:tcPr>
          <w:p>
            <w:pPr>
              <w:pStyle w:val="TableParagraph"/>
              <w:spacing w:line="240" w:lineRule="auto" w:before="0"/>
              <w:jc w:val="left"/>
              <w:rPr>
                <w:rFonts w:ascii="Times New Roman"/>
                <w:sz w:val="12"/>
              </w:rPr>
            </w:pPr>
          </w:p>
        </w:tc>
        <w:tc>
          <w:tcPr>
            <w:tcW w:w="723" w:type="dxa"/>
          </w:tcPr>
          <w:p>
            <w:pPr>
              <w:pStyle w:val="TableParagraph"/>
              <w:spacing w:line="240" w:lineRule="auto" w:before="0"/>
              <w:jc w:val="left"/>
              <w:rPr>
                <w:rFonts w:ascii="Times New Roman"/>
                <w:sz w:val="12"/>
              </w:rPr>
            </w:pPr>
          </w:p>
        </w:tc>
      </w:tr>
      <w:tr>
        <w:trPr>
          <w:trHeight w:val="361" w:hRule="atLeast"/>
        </w:trPr>
        <w:tc>
          <w:tcPr>
            <w:tcW w:w="2833" w:type="dxa"/>
            <w:gridSpan w:val="2"/>
          </w:tcPr>
          <w:p>
            <w:pPr>
              <w:pStyle w:val="TableParagraph"/>
              <w:spacing w:line="181" w:lineRule="exact" w:before="0"/>
              <w:ind w:left="50"/>
              <w:jc w:val="left"/>
              <w:rPr>
                <w:rFonts w:ascii="Courier New"/>
                <w:b/>
                <w:sz w:val="16"/>
              </w:rPr>
            </w:pPr>
            <w:r>
              <w:rPr>
                <w:rFonts w:ascii="Courier New"/>
                <w:b/>
                <w:sz w:val="16"/>
              </w:rPr>
              <w:t>Total</w:t>
            </w:r>
          </w:p>
        </w:tc>
        <w:tc>
          <w:tcPr>
            <w:tcW w:w="672" w:type="dxa"/>
          </w:tcPr>
          <w:p>
            <w:pPr>
              <w:pStyle w:val="TableParagraph"/>
              <w:spacing w:line="181" w:lineRule="exact" w:before="0"/>
              <w:ind w:left="192"/>
              <w:jc w:val="left"/>
              <w:rPr>
                <w:rFonts w:ascii="Courier New"/>
                <w:b/>
                <w:sz w:val="16"/>
              </w:rPr>
            </w:pPr>
            <w:r>
              <w:rPr>
                <w:rFonts w:ascii="Courier New"/>
                <w:b/>
                <w:sz w:val="16"/>
              </w:rPr>
              <w:t>300</w:t>
            </w:r>
          </w:p>
        </w:tc>
        <w:tc>
          <w:tcPr>
            <w:tcW w:w="864" w:type="dxa"/>
          </w:tcPr>
          <w:p>
            <w:pPr>
              <w:pStyle w:val="TableParagraph"/>
              <w:spacing w:line="181" w:lineRule="exact" w:before="0"/>
              <w:jc w:val="left"/>
              <w:rPr>
                <w:rFonts w:ascii="Courier New"/>
                <w:b/>
                <w:sz w:val="16"/>
              </w:rPr>
            </w:pPr>
            <w:r>
              <w:rPr>
                <w:rFonts w:ascii="Courier New"/>
                <w:b/>
                <w:sz w:val="16"/>
              </w:rPr>
              <w:t>94.3895</w:t>
            </w:r>
          </w:p>
        </w:tc>
        <w:tc>
          <w:tcPr>
            <w:tcW w:w="864" w:type="dxa"/>
          </w:tcPr>
          <w:p>
            <w:pPr>
              <w:pStyle w:val="TableParagraph"/>
              <w:spacing w:line="240" w:lineRule="auto" w:before="0"/>
              <w:jc w:val="left"/>
              <w:rPr>
                <w:rFonts w:ascii="Times New Roman"/>
                <w:sz w:val="16"/>
              </w:rPr>
            </w:pPr>
          </w:p>
        </w:tc>
        <w:tc>
          <w:tcPr>
            <w:tcW w:w="865" w:type="dxa"/>
          </w:tcPr>
          <w:p>
            <w:pPr>
              <w:pStyle w:val="TableParagraph"/>
              <w:spacing w:line="240" w:lineRule="auto" w:before="0"/>
              <w:jc w:val="left"/>
              <w:rPr>
                <w:rFonts w:ascii="Times New Roman"/>
                <w:sz w:val="16"/>
              </w:rPr>
            </w:pPr>
          </w:p>
        </w:tc>
        <w:tc>
          <w:tcPr>
            <w:tcW w:w="723" w:type="dxa"/>
          </w:tcPr>
          <w:p>
            <w:pPr>
              <w:pStyle w:val="TableParagraph"/>
              <w:spacing w:line="240" w:lineRule="auto" w:before="0"/>
              <w:jc w:val="left"/>
              <w:rPr>
                <w:rFonts w:ascii="Times New Roman"/>
                <w:sz w:val="16"/>
              </w:rPr>
            </w:pPr>
          </w:p>
        </w:tc>
      </w:tr>
      <w:tr>
        <w:trPr>
          <w:trHeight w:val="362" w:hRule="atLeast"/>
        </w:trPr>
        <w:tc>
          <w:tcPr>
            <w:tcW w:w="2833" w:type="dxa"/>
            <w:gridSpan w:val="2"/>
          </w:tcPr>
          <w:p>
            <w:pPr>
              <w:pStyle w:val="TableParagraph"/>
              <w:spacing w:line="240" w:lineRule="auto" w:before="8"/>
              <w:jc w:val="left"/>
              <w:rPr>
                <w:b/>
                <w:sz w:val="15"/>
              </w:rPr>
            </w:pPr>
          </w:p>
          <w:p>
            <w:pPr>
              <w:pStyle w:val="TableParagraph"/>
              <w:spacing w:line="161" w:lineRule="exact" w:before="0"/>
              <w:ind w:left="50"/>
              <w:jc w:val="left"/>
              <w:rPr>
                <w:rFonts w:ascii="Courier New"/>
                <w:b/>
                <w:sz w:val="16"/>
              </w:rPr>
            </w:pPr>
            <w:r>
              <w:rPr>
                <w:rFonts w:ascii="Courier New"/>
                <w:b/>
                <w:sz w:val="16"/>
              </w:rPr>
              <w:t>Model Summary</w:t>
            </w:r>
          </w:p>
        </w:tc>
        <w:tc>
          <w:tcPr>
            <w:tcW w:w="672"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65" w:type="dxa"/>
          </w:tcPr>
          <w:p>
            <w:pPr>
              <w:pStyle w:val="TableParagraph"/>
              <w:spacing w:line="240" w:lineRule="auto" w:before="0"/>
              <w:jc w:val="left"/>
              <w:rPr>
                <w:rFonts w:ascii="Times New Roman"/>
                <w:sz w:val="16"/>
              </w:rPr>
            </w:pPr>
          </w:p>
        </w:tc>
        <w:tc>
          <w:tcPr>
            <w:tcW w:w="723" w:type="dxa"/>
          </w:tcPr>
          <w:p>
            <w:pPr>
              <w:pStyle w:val="TableParagraph"/>
              <w:spacing w:line="240" w:lineRule="auto" w:before="0"/>
              <w:jc w:val="left"/>
              <w:rPr>
                <w:rFonts w:ascii="Times New Roman"/>
                <w:sz w:val="16"/>
              </w:rPr>
            </w:pPr>
          </w:p>
        </w:tc>
      </w:tr>
      <w:tr>
        <w:trPr>
          <w:trHeight w:val="363" w:hRule="atLeast"/>
        </w:trPr>
        <w:tc>
          <w:tcPr>
            <w:tcW w:w="1682" w:type="dxa"/>
          </w:tcPr>
          <w:p>
            <w:pPr>
              <w:pStyle w:val="TableParagraph"/>
              <w:spacing w:line="240" w:lineRule="auto" w:before="10"/>
              <w:jc w:val="left"/>
              <w:rPr>
                <w:b/>
                <w:sz w:val="15"/>
              </w:rPr>
            </w:pPr>
          </w:p>
          <w:p>
            <w:pPr>
              <w:pStyle w:val="TableParagraph"/>
              <w:tabs>
                <w:tab w:pos="479" w:val="left" w:leader="none"/>
              </w:tabs>
              <w:spacing w:line="161" w:lineRule="exact" w:before="0"/>
              <w:ind w:right="93"/>
              <w:rPr>
                <w:rFonts w:ascii="Courier New"/>
                <w:b/>
                <w:sz w:val="16"/>
              </w:rPr>
            </w:pPr>
            <w:r>
              <w:rPr>
                <w:rFonts w:ascii="Courier New"/>
                <w:b/>
                <w:sz w:val="16"/>
              </w:rPr>
              <w:t>S</w:t>
              <w:tab/>
            </w:r>
            <w:r>
              <w:rPr>
                <w:rFonts w:ascii="Courier New"/>
                <w:b/>
                <w:spacing w:val="-1"/>
                <w:sz w:val="16"/>
              </w:rPr>
              <w:t>R-sq</w:t>
            </w:r>
          </w:p>
        </w:tc>
        <w:tc>
          <w:tcPr>
            <w:tcW w:w="1151" w:type="dxa"/>
          </w:tcPr>
          <w:p>
            <w:pPr>
              <w:pStyle w:val="TableParagraph"/>
              <w:spacing w:line="240" w:lineRule="auto" w:before="10"/>
              <w:jc w:val="left"/>
              <w:rPr>
                <w:b/>
                <w:sz w:val="15"/>
              </w:rPr>
            </w:pPr>
          </w:p>
          <w:p>
            <w:pPr>
              <w:pStyle w:val="TableParagraph"/>
              <w:spacing w:line="161" w:lineRule="exact" w:before="0"/>
              <w:ind w:right="188"/>
              <w:rPr>
                <w:rFonts w:ascii="Courier New"/>
                <w:b/>
                <w:sz w:val="16"/>
              </w:rPr>
            </w:pPr>
            <w:r>
              <w:rPr>
                <w:rFonts w:ascii="Courier New"/>
                <w:b/>
                <w:sz w:val="16"/>
              </w:rPr>
              <w:t>R-sq(adj)</w:t>
            </w:r>
          </w:p>
        </w:tc>
        <w:tc>
          <w:tcPr>
            <w:tcW w:w="3988" w:type="dxa"/>
            <w:gridSpan w:val="5"/>
          </w:tcPr>
          <w:p>
            <w:pPr>
              <w:pStyle w:val="TableParagraph"/>
              <w:spacing w:line="240" w:lineRule="auto" w:before="10"/>
              <w:jc w:val="left"/>
              <w:rPr>
                <w:b/>
                <w:sz w:val="15"/>
              </w:rPr>
            </w:pPr>
          </w:p>
          <w:p>
            <w:pPr>
              <w:pStyle w:val="TableParagraph"/>
              <w:spacing w:line="161" w:lineRule="exact" w:before="0"/>
              <w:ind w:left="1"/>
              <w:jc w:val="left"/>
              <w:rPr>
                <w:rFonts w:ascii="Courier New"/>
                <w:b/>
                <w:sz w:val="16"/>
              </w:rPr>
            </w:pPr>
            <w:r>
              <w:rPr>
                <w:rFonts w:ascii="Courier New"/>
                <w:b/>
                <w:sz w:val="16"/>
              </w:rPr>
              <w:t>R-sq(pred)</w:t>
            </w:r>
          </w:p>
        </w:tc>
      </w:tr>
      <w:tr>
        <w:trPr>
          <w:trHeight w:val="180" w:hRule="atLeast"/>
        </w:trPr>
        <w:tc>
          <w:tcPr>
            <w:tcW w:w="1682" w:type="dxa"/>
          </w:tcPr>
          <w:p>
            <w:pPr>
              <w:pStyle w:val="TableParagraph"/>
              <w:spacing w:line="161" w:lineRule="exact" w:before="0"/>
              <w:ind w:right="94"/>
              <w:rPr>
                <w:rFonts w:ascii="Courier New"/>
                <w:b/>
                <w:sz w:val="16"/>
              </w:rPr>
            </w:pPr>
            <w:r>
              <w:rPr>
                <w:rFonts w:ascii="Courier New"/>
                <w:b/>
                <w:sz w:val="16"/>
              </w:rPr>
              <w:t>0.389680</w:t>
            </w:r>
            <w:r>
              <w:rPr>
                <w:rFonts w:ascii="Courier New"/>
                <w:b/>
                <w:spacing w:val="82"/>
                <w:sz w:val="16"/>
              </w:rPr>
              <w:t> </w:t>
            </w:r>
            <w:r>
              <w:rPr>
                <w:rFonts w:ascii="Courier New"/>
                <w:b/>
                <w:sz w:val="16"/>
              </w:rPr>
              <w:t>53.35%</w:t>
            </w:r>
          </w:p>
        </w:tc>
        <w:tc>
          <w:tcPr>
            <w:tcW w:w="1151" w:type="dxa"/>
          </w:tcPr>
          <w:p>
            <w:pPr>
              <w:pStyle w:val="TableParagraph"/>
              <w:spacing w:line="161" w:lineRule="exact" w:before="0"/>
              <w:ind w:right="189"/>
              <w:rPr>
                <w:rFonts w:ascii="Courier New"/>
                <w:b/>
                <w:sz w:val="16"/>
              </w:rPr>
            </w:pPr>
            <w:r>
              <w:rPr>
                <w:rFonts w:ascii="Courier New"/>
                <w:b/>
                <w:sz w:val="16"/>
              </w:rPr>
              <w:t>51.74%</w:t>
            </w:r>
          </w:p>
        </w:tc>
        <w:tc>
          <w:tcPr>
            <w:tcW w:w="3988" w:type="dxa"/>
            <w:gridSpan w:val="5"/>
          </w:tcPr>
          <w:p>
            <w:pPr>
              <w:pStyle w:val="TableParagraph"/>
              <w:spacing w:line="161" w:lineRule="exact" w:before="0"/>
              <w:ind w:left="384"/>
              <w:jc w:val="left"/>
              <w:rPr>
                <w:rFonts w:ascii="Courier New"/>
                <w:b/>
                <w:sz w:val="16"/>
              </w:rPr>
            </w:pPr>
            <w:r>
              <w:rPr>
                <w:rFonts w:ascii="Courier New"/>
                <w:b/>
                <w:sz w:val="16"/>
              </w:rPr>
              <w:t>49.09%</w:t>
            </w:r>
          </w:p>
        </w:tc>
      </w:tr>
      <w:tr>
        <w:trPr>
          <w:trHeight w:val="635" w:hRule="atLeast"/>
        </w:trPr>
        <w:tc>
          <w:tcPr>
            <w:tcW w:w="2833" w:type="dxa"/>
            <w:gridSpan w:val="2"/>
          </w:tcPr>
          <w:p>
            <w:pPr>
              <w:pStyle w:val="TableParagraph"/>
              <w:spacing w:line="240" w:lineRule="auto" w:before="0"/>
              <w:jc w:val="left"/>
              <w:rPr>
                <w:b/>
                <w:sz w:val="18"/>
              </w:rPr>
            </w:pPr>
          </w:p>
          <w:p>
            <w:pPr>
              <w:pStyle w:val="TableParagraph"/>
              <w:spacing w:line="240" w:lineRule="auto" w:before="156"/>
              <w:ind w:left="50"/>
              <w:jc w:val="left"/>
              <w:rPr>
                <w:rFonts w:ascii="Courier New"/>
                <w:b/>
                <w:sz w:val="16"/>
              </w:rPr>
            </w:pPr>
            <w:r>
              <w:rPr>
                <w:rFonts w:ascii="Courier New"/>
                <w:b/>
                <w:sz w:val="16"/>
              </w:rPr>
              <w:t>Coefficients</w:t>
            </w:r>
          </w:p>
        </w:tc>
        <w:tc>
          <w:tcPr>
            <w:tcW w:w="672"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65" w:type="dxa"/>
          </w:tcPr>
          <w:p>
            <w:pPr>
              <w:pStyle w:val="TableParagraph"/>
              <w:spacing w:line="240" w:lineRule="auto" w:before="0"/>
              <w:jc w:val="left"/>
              <w:rPr>
                <w:rFonts w:ascii="Times New Roman"/>
                <w:sz w:val="16"/>
              </w:rPr>
            </w:pPr>
          </w:p>
        </w:tc>
        <w:tc>
          <w:tcPr>
            <w:tcW w:w="723" w:type="dxa"/>
          </w:tcPr>
          <w:p>
            <w:pPr>
              <w:pStyle w:val="TableParagraph"/>
              <w:spacing w:line="240" w:lineRule="auto" w:before="0"/>
              <w:jc w:val="left"/>
              <w:rPr>
                <w:rFonts w:ascii="Times New Roman"/>
                <w:sz w:val="16"/>
              </w:rPr>
            </w:pPr>
          </w:p>
        </w:tc>
      </w:tr>
      <w:tr>
        <w:trPr>
          <w:trHeight w:val="451" w:hRule="atLeast"/>
        </w:trPr>
        <w:tc>
          <w:tcPr>
            <w:tcW w:w="2833" w:type="dxa"/>
            <w:gridSpan w:val="2"/>
          </w:tcPr>
          <w:p>
            <w:pPr>
              <w:pStyle w:val="TableParagraph"/>
              <w:spacing w:line="180" w:lineRule="exact" w:before="80"/>
              <w:ind w:left="50" w:right="1994"/>
              <w:jc w:val="left"/>
              <w:rPr>
                <w:rFonts w:ascii="Courier New"/>
                <w:b/>
                <w:sz w:val="16"/>
              </w:rPr>
            </w:pPr>
            <w:r>
              <w:rPr>
                <w:rFonts w:ascii="Courier New"/>
                <w:b/>
                <w:sz w:val="16"/>
              </w:rPr>
              <w:t>Term Constant</w:t>
            </w:r>
          </w:p>
        </w:tc>
        <w:tc>
          <w:tcPr>
            <w:tcW w:w="672" w:type="dxa"/>
          </w:tcPr>
          <w:p>
            <w:pPr>
              <w:pStyle w:val="TableParagraph"/>
              <w:spacing w:line="180" w:lineRule="exact" w:before="80"/>
              <w:ind w:left="290" w:right="-23" w:hanging="2"/>
              <w:jc w:val="left"/>
              <w:rPr>
                <w:rFonts w:ascii="Courier New"/>
                <w:b/>
                <w:sz w:val="16"/>
              </w:rPr>
            </w:pPr>
            <w:r>
              <w:rPr>
                <w:rFonts w:ascii="Courier New"/>
                <w:b/>
                <w:sz w:val="16"/>
              </w:rPr>
              <w:t>Coef 94.7</w:t>
            </w:r>
          </w:p>
        </w:tc>
        <w:tc>
          <w:tcPr>
            <w:tcW w:w="864" w:type="dxa"/>
          </w:tcPr>
          <w:p>
            <w:pPr>
              <w:pStyle w:val="TableParagraph"/>
              <w:spacing w:line="181" w:lineRule="exact"/>
              <w:ind w:left="192" w:right="-15"/>
              <w:jc w:val="left"/>
              <w:rPr>
                <w:rFonts w:ascii="Courier New"/>
                <w:b/>
                <w:sz w:val="16"/>
              </w:rPr>
            </w:pPr>
            <w:r>
              <w:rPr>
                <w:rFonts w:ascii="Courier New"/>
                <w:b/>
                <w:sz w:val="16"/>
              </w:rPr>
              <w:t>SE</w:t>
            </w:r>
            <w:r>
              <w:rPr>
                <w:rFonts w:ascii="Courier New"/>
                <w:b/>
                <w:spacing w:val="-6"/>
                <w:sz w:val="16"/>
              </w:rPr>
              <w:t> </w:t>
            </w:r>
            <w:r>
              <w:rPr>
                <w:rFonts w:ascii="Courier New"/>
                <w:b/>
                <w:sz w:val="16"/>
              </w:rPr>
              <w:t>Coef</w:t>
            </w:r>
          </w:p>
          <w:p>
            <w:pPr>
              <w:pStyle w:val="TableParagraph"/>
              <w:spacing w:line="160" w:lineRule="exact" w:before="0"/>
              <w:ind w:left="482" w:right="-15"/>
              <w:jc w:val="left"/>
              <w:rPr>
                <w:rFonts w:ascii="Courier New"/>
                <w:b/>
                <w:sz w:val="16"/>
              </w:rPr>
            </w:pPr>
            <w:r>
              <w:rPr>
                <w:rFonts w:ascii="Courier New"/>
                <w:b/>
                <w:sz w:val="16"/>
              </w:rPr>
              <w:t>61.8</w:t>
            </w:r>
          </w:p>
        </w:tc>
        <w:tc>
          <w:tcPr>
            <w:tcW w:w="864" w:type="dxa"/>
          </w:tcPr>
          <w:p>
            <w:pPr>
              <w:pStyle w:val="TableParagraph"/>
              <w:spacing w:line="181" w:lineRule="exact"/>
              <w:ind w:right="-15"/>
              <w:rPr>
                <w:rFonts w:ascii="Courier New"/>
                <w:b/>
                <w:sz w:val="16"/>
              </w:rPr>
            </w:pPr>
            <w:r>
              <w:rPr>
                <w:rFonts w:ascii="Courier New"/>
                <w:b/>
                <w:spacing w:val="-1"/>
                <w:sz w:val="16"/>
              </w:rPr>
              <w:t>T-Value</w:t>
            </w:r>
          </w:p>
          <w:p>
            <w:pPr>
              <w:pStyle w:val="TableParagraph"/>
              <w:spacing w:line="160" w:lineRule="exact" w:before="0"/>
              <w:ind w:right="-15"/>
              <w:rPr>
                <w:rFonts w:ascii="Courier New"/>
                <w:b/>
                <w:sz w:val="16"/>
              </w:rPr>
            </w:pPr>
            <w:r>
              <w:rPr>
                <w:rFonts w:ascii="Courier New"/>
                <w:b/>
                <w:spacing w:val="-1"/>
                <w:sz w:val="16"/>
              </w:rPr>
              <w:t>1.53</w:t>
            </w:r>
          </w:p>
        </w:tc>
        <w:tc>
          <w:tcPr>
            <w:tcW w:w="865" w:type="dxa"/>
          </w:tcPr>
          <w:p>
            <w:pPr>
              <w:pStyle w:val="TableParagraph"/>
              <w:spacing w:line="180" w:lineRule="exact" w:before="80"/>
              <w:ind w:left="385" w:right="-21" w:hanging="192"/>
              <w:jc w:val="left"/>
              <w:rPr>
                <w:rFonts w:ascii="Courier New"/>
                <w:b/>
                <w:sz w:val="16"/>
              </w:rPr>
            </w:pPr>
            <w:r>
              <w:rPr>
                <w:rFonts w:ascii="Courier New"/>
                <w:b/>
                <w:sz w:val="16"/>
              </w:rPr>
              <w:t>P-Value 0.127</w:t>
            </w:r>
          </w:p>
        </w:tc>
        <w:tc>
          <w:tcPr>
            <w:tcW w:w="723" w:type="dxa"/>
          </w:tcPr>
          <w:p>
            <w:pPr>
              <w:pStyle w:val="TableParagraph"/>
              <w:spacing w:line="240" w:lineRule="auto"/>
              <w:ind w:left="289"/>
              <w:jc w:val="left"/>
              <w:rPr>
                <w:rFonts w:ascii="Courier New"/>
                <w:b/>
                <w:sz w:val="16"/>
              </w:rPr>
            </w:pPr>
            <w:r>
              <w:rPr>
                <w:rFonts w:ascii="Courier New"/>
                <w:b/>
                <w:sz w:val="16"/>
              </w:rPr>
              <w:t>VIF</w:t>
            </w:r>
          </w:p>
        </w:tc>
      </w:tr>
      <w:tr>
        <w:trPr>
          <w:trHeight w:val="181" w:hRule="atLeast"/>
        </w:trPr>
        <w:tc>
          <w:tcPr>
            <w:tcW w:w="2833" w:type="dxa"/>
            <w:gridSpan w:val="2"/>
          </w:tcPr>
          <w:p>
            <w:pPr>
              <w:pStyle w:val="TableParagraph"/>
              <w:spacing w:line="162" w:lineRule="exact" w:before="0"/>
              <w:ind w:left="50"/>
              <w:jc w:val="left"/>
              <w:rPr>
                <w:rFonts w:ascii="Courier New"/>
                <w:b/>
                <w:sz w:val="16"/>
              </w:rPr>
            </w:pPr>
            <w:r>
              <w:rPr>
                <w:rFonts w:ascii="Courier New"/>
                <w:b/>
                <w:sz w:val="16"/>
              </w:rPr>
              <w:t>Ln Area de Construccion</w:t>
            </w:r>
          </w:p>
        </w:tc>
        <w:tc>
          <w:tcPr>
            <w:tcW w:w="672" w:type="dxa"/>
          </w:tcPr>
          <w:p>
            <w:pPr>
              <w:pStyle w:val="TableParagraph"/>
              <w:spacing w:line="162" w:lineRule="exact" w:before="0"/>
              <w:ind w:right="-15"/>
              <w:rPr>
                <w:rFonts w:ascii="Courier New"/>
                <w:b/>
                <w:sz w:val="16"/>
              </w:rPr>
            </w:pPr>
            <w:r>
              <w:rPr>
                <w:rFonts w:ascii="Courier New"/>
                <w:b/>
                <w:sz w:val="16"/>
              </w:rPr>
              <w:t>0.0353</w:t>
            </w:r>
          </w:p>
        </w:tc>
        <w:tc>
          <w:tcPr>
            <w:tcW w:w="864" w:type="dxa"/>
          </w:tcPr>
          <w:p>
            <w:pPr>
              <w:pStyle w:val="TableParagraph"/>
              <w:spacing w:line="162" w:lineRule="exact" w:before="0"/>
              <w:ind w:right="-15"/>
              <w:rPr>
                <w:rFonts w:ascii="Courier New"/>
                <w:b/>
                <w:sz w:val="16"/>
              </w:rPr>
            </w:pPr>
            <w:r>
              <w:rPr>
                <w:rFonts w:ascii="Courier New"/>
                <w:b/>
                <w:sz w:val="16"/>
              </w:rPr>
              <w:t>0.0440</w:t>
            </w:r>
          </w:p>
        </w:tc>
        <w:tc>
          <w:tcPr>
            <w:tcW w:w="864" w:type="dxa"/>
          </w:tcPr>
          <w:p>
            <w:pPr>
              <w:pStyle w:val="TableParagraph"/>
              <w:spacing w:line="162" w:lineRule="exact" w:before="0"/>
              <w:ind w:right="-15"/>
              <w:rPr>
                <w:rFonts w:ascii="Courier New"/>
                <w:b/>
                <w:sz w:val="16"/>
              </w:rPr>
            </w:pPr>
            <w:r>
              <w:rPr>
                <w:rFonts w:ascii="Courier New"/>
                <w:b/>
                <w:sz w:val="16"/>
              </w:rPr>
              <w:t>0.80</w:t>
            </w:r>
          </w:p>
        </w:tc>
        <w:tc>
          <w:tcPr>
            <w:tcW w:w="865" w:type="dxa"/>
          </w:tcPr>
          <w:p>
            <w:pPr>
              <w:pStyle w:val="TableParagraph"/>
              <w:spacing w:line="162" w:lineRule="exact" w:before="0"/>
              <w:rPr>
                <w:rFonts w:ascii="Courier New"/>
                <w:b/>
                <w:sz w:val="16"/>
              </w:rPr>
            </w:pPr>
            <w:r>
              <w:rPr>
                <w:rFonts w:ascii="Courier New"/>
                <w:b/>
                <w:sz w:val="16"/>
              </w:rPr>
              <w:t>0.423</w:t>
            </w:r>
          </w:p>
        </w:tc>
        <w:tc>
          <w:tcPr>
            <w:tcW w:w="723" w:type="dxa"/>
          </w:tcPr>
          <w:p>
            <w:pPr>
              <w:pStyle w:val="TableParagraph"/>
              <w:spacing w:line="162" w:lineRule="exact" w:before="0"/>
              <w:ind w:left="191"/>
              <w:jc w:val="left"/>
              <w:rPr>
                <w:rFonts w:ascii="Courier New"/>
                <w:b/>
                <w:sz w:val="16"/>
              </w:rPr>
            </w:pPr>
            <w:r>
              <w:rPr>
                <w:rFonts w:ascii="Courier New"/>
                <w:b/>
                <w:sz w:val="16"/>
              </w:rPr>
              <w:t>1.08</w:t>
            </w:r>
          </w:p>
        </w:tc>
      </w:tr>
      <w:tr>
        <w:trPr>
          <w:trHeight w:val="182" w:hRule="atLeast"/>
        </w:trPr>
        <w:tc>
          <w:tcPr>
            <w:tcW w:w="2833" w:type="dxa"/>
            <w:gridSpan w:val="2"/>
          </w:tcPr>
          <w:p>
            <w:pPr>
              <w:pStyle w:val="TableParagraph"/>
              <w:spacing w:line="161" w:lineRule="exact" w:before="1"/>
              <w:ind w:left="50"/>
              <w:jc w:val="left"/>
              <w:rPr>
                <w:rFonts w:ascii="Courier New" w:hAnsi="Courier New"/>
                <w:b/>
                <w:sz w:val="16"/>
              </w:rPr>
            </w:pPr>
            <w:r>
              <w:rPr>
                <w:rFonts w:ascii="Courier New" w:hAnsi="Courier New"/>
                <w:b/>
                <w:sz w:val="16"/>
              </w:rPr>
              <w:t>Ln Año Construccion</w:t>
            </w:r>
          </w:p>
        </w:tc>
        <w:tc>
          <w:tcPr>
            <w:tcW w:w="672" w:type="dxa"/>
          </w:tcPr>
          <w:p>
            <w:pPr>
              <w:pStyle w:val="TableParagraph"/>
              <w:spacing w:line="161" w:lineRule="exact" w:before="1"/>
              <w:ind w:right="-15"/>
              <w:rPr>
                <w:rFonts w:ascii="Courier New"/>
                <w:b/>
                <w:sz w:val="16"/>
              </w:rPr>
            </w:pPr>
            <w:r>
              <w:rPr>
                <w:rFonts w:ascii="Courier New"/>
                <w:b/>
                <w:sz w:val="16"/>
              </w:rPr>
              <w:t>-10.98</w:t>
            </w:r>
          </w:p>
        </w:tc>
        <w:tc>
          <w:tcPr>
            <w:tcW w:w="864" w:type="dxa"/>
          </w:tcPr>
          <w:p>
            <w:pPr>
              <w:pStyle w:val="TableParagraph"/>
              <w:spacing w:line="161" w:lineRule="exact" w:before="1"/>
              <w:ind w:right="-15"/>
              <w:rPr>
                <w:rFonts w:ascii="Courier New"/>
                <w:b/>
                <w:sz w:val="16"/>
              </w:rPr>
            </w:pPr>
            <w:r>
              <w:rPr>
                <w:rFonts w:ascii="Courier New"/>
                <w:b/>
                <w:sz w:val="16"/>
              </w:rPr>
              <w:t>8.13</w:t>
            </w:r>
          </w:p>
        </w:tc>
        <w:tc>
          <w:tcPr>
            <w:tcW w:w="864" w:type="dxa"/>
          </w:tcPr>
          <w:p>
            <w:pPr>
              <w:pStyle w:val="TableParagraph"/>
              <w:spacing w:line="161" w:lineRule="exact" w:before="1"/>
              <w:ind w:right="-15"/>
              <w:rPr>
                <w:rFonts w:ascii="Courier New"/>
                <w:b/>
                <w:sz w:val="16"/>
              </w:rPr>
            </w:pPr>
            <w:r>
              <w:rPr>
                <w:rFonts w:ascii="Courier New"/>
                <w:b/>
                <w:sz w:val="16"/>
              </w:rPr>
              <w:t>-1.35</w:t>
            </w:r>
          </w:p>
        </w:tc>
        <w:tc>
          <w:tcPr>
            <w:tcW w:w="865" w:type="dxa"/>
          </w:tcPr>
          <w:p>
            <w:pPr>
              <w:pStyle w:val="TableParagraph"/>
              <w:spacing w:line="161" w:lineRule="exact" w:before="1"/>
              <w:ind w:right="-15"/>
              <w:rPr>
                <w:rFonts w:ascii="Courier New"/>
                <w:b/>
                <w:sz w:val="16"/>
              </w:rPr>
            </w:pPr>
            <w:r>
              <w:rPr>
                <w:rFonts w:ascii="Courier New"/>
                <w:b/>
                <w:sz w:val="16"/>
              </w:rPr>
              <w:t>0.178</w:t>
            </w:r>
          </w:p>
        </w:tc>
        <w:tc>
          <w:tcPr>
            <w:tcW w:w="723" w:type="dxa"/>
          </w:tcPr>
          <w:p>
            <w:pPr>
              <w:pStyle w:val="TableParagraph"/>
              <w:spacing w:line="161" w:lineRule="exact" w:before="1"/>
              <w:ind w:left="193"/>
              <w:jc w:val="left"/>
              <w:rPr>
                <w:rFonts w:ascii="Courier New"/>
                <w:b/>
                <w:sz w:val="16"/>
              </w:rPr>
            </w:pPr>
            <w:r>
              <w:rPr>
                <w:rFonts w:ascii="Courier New"/>
                <w:b/>
                <w:sz w:val="16"/>
              </w:rPr>
              <w:t>1.18</w:t>
            </w:r>
          </w:p>
        </w:tc>
      </w:tr>
      <w:tr>
        <w:trPr>
          <w:trHeight w:val="180" w:hRule="atLeast"/>
        </w:trPr>
        <w:tc>
          <w:tcPr>
            <w:tcW w:w="2833" w:type="dxa"/>
            <w:gridSpan w:val="2"/>
          </w:tcPr>
          <w:p>
            <w:pPr>
              <w:pStyle w:val="TableParagraph"/>
              <w:spacing w:line="160" w:lineRule="exact" w:before="0"/>
              <w:ind w:left="50"/>
              <w:jc w:val="left"/>
              <w:rPr>
                <w:rFonts w:ascii="Courier New" w:hAnsi="Courier New"/>
                <w:b/>
                <w:sz w:val="16"/>
              </w:rPr>
            </w:pPr>
            <w:r>
              <w:rPr>
                <w:rFonts w:ascii="Courier New" w:hAnsi="Courier New"/>
                <w:b/>
                <w:sz w:val="16"/>
              </w:rPr>
              <w:t>Ln Número Habitaciones</w:t>
            </w:r>
          </w:p>
        </w:tc>
        <w:tc>
          <w:tcPr>
            <w:tcW w:w="672" w:type="dxa"/>
          </w:tcPr>
          <w:p>
            <w:pPr>
              <w:pStyle w:val="TableParagraph"/>
              <w:spacing w:line="160" w:lineRule="exact" w:before="0"/>
              <w:ind w:right="-15"/>
              <w:rPr>
                <w:rFonts w:ascii="Courier New"/>
                <w:b/>
                <w:sz w:val="16"/>
              </w:rPr>
            </w:pPr>
            <w:r>
              <w:rPr>
                <w:rFonts w:ascii="Courier New"/>
                <w:b/>
                <w:sz w:val="16"/>
              </w:rPr>
              <w:t>0.292</w:t>
            </w:r>
          </w:p>
        </w:tc>
        <w:tc>
          <w:tcPr>
            <w:tcW w:w="864" w:type="dxa"/>
          </w:tcPr>
          <w:p>
            <w:pPr>
              <w:pStyle w:val="TableParagraph"/>
              <w:spacing w:line="160" w:lineRule="exact" w:before="0"/>
              <w:ind w:right="-15"/>
              <w:rPr>
                <w:rFonts w:ascii="Courier New"/>
                <w:b/>
                <w:sz w:val="16"/>
              </w:rPr>
            </w:pPr>
            <w:r>
              <w:rPr>
                <w:rFonts w:ascii="Courier New"/>
                <w:b/>
                <w:sz w:val="16"/>
              </w:rPr>
              <w:t>0.129</w:t>
            </w:r>
          </w:p>
        </w:tc>
        <w:tc>
          <w:tcPr>
            <w:tcW w:w="864" w:type="dxa"/>
          </w:tcPr>
          <w:p>
            <w:pPr>
              <w:pStyle w:val="TableParagraph"/>
              <w:spacing w:line="160" w:lineRule="exact" w:before="0"/>
              <w:ind w:right="-15"/>
              <w:rPr>
                <w:rFonts w:ascii="Courier New"/>
                <w:b/>
                <w:sz w:val="16"/>
              </w:rPr>
            </w:pPr>
            <w:r>
              <w:rPr>
                <w:rFonts w:ascii="Courier New"/>
                <w:b/>
                <w:sz w:val="16"/>
              </w:rPr>
              <w:t>2.26</w:t>
            </w:r>
          </w:p>
        </w:tc>
        <w:tc>
          <w:tcPr>
            <w:tcW w:w="865" w:type="dxa"/>
          </w:tcPr>
          <w:p>
            <w:pPr>
              <w:pStyle w:val="TableParagraph"/>
              <w:spacing w:line="160" w:lineRule="exact" w:before="0"/>
              <w:rPr>
                <w:rFonts w:ascii="Courier New"/>
                <w:b/>
                <w:sz w:val="16"/>
              </w:rPr>
            </w:pPr>
            <w:r>
              <w:rPr>
                <w:rFonts w:ascii="Courier New"/>
                <w:b/>
                <w:sz w:val="16"/>
              </w:rPr>
              <w:t>0.025</w:t>
            </w:r>
          </w:p>
        </w:tc>
        <w:tc>
          <w:tcPr>
            <w:tcW w:w="723" w:type="dxa"/>
          </w:tcPr>
          <w:p>
            <w:pPr>
              <w:pStyle w:val="TableParagraph"/>
              <w:spacing w:line="160" w:lineRule="exact" w:before="0"/>
              <w:ind w:left="191"/>
              <w:jc w:val="left"/>
              <w:rPr>
                <w:rFonts w:ascii="Courier New"/>
                <w:b/>
                <w:sz w:val="16"/>
              </w:rPr>
            </w:pPr>
            <w:r>
              <w:rPr>
                <w:rFonts w:ascii="Courier New"/>
                <w:b/>
                <w:sz w:val="16"/>
              </w:rPr>
              <w:t>2.20</w:t>
            </w:r>
          </w:p>
        </w:tc>
      </w:tr>
      <w:tr>
        <w:trPr>
          <w:trHeight w:val="182" w:hRule="atLeast"/>
        </w:trPr>
        <w:tc>
          <w:tcPr>
            <w:tcW w:w="2833" w:type="dxa"/>
            <w:gridSpan w:val="2"/>
          </w:tcPr>
          <w:p>
            <w:pPr>
              <w:pStyle w:val="TableParagraph"/>
              <w:spacing w:line="162" w:lineRule="exact" w:before="0"/>
              <w:ind w:left="50"/>
              <w:jc w:val="left"/>
              <w:rPr>
                <w:rFonts w:ascii="Courier New" w:hAnsi="Courier New"/>
                <w:b/>
                <w:sz w:val="16"/>
              </w:rPr>
            </w:pPr>
            <w:r>
              <w:rPr>
                <w:rFonts w:ascii="Courier New" w:hAnsi="Courier New"/>
                <w:b/>
                <w:sz w:val="16"/>
              </w:rPr>
              <w:t>Ln Número de Baños</w:t>
            </w:r>
          </w:p>
        </w:tc>
        <w:tc>
          <w:tcPr>
            <w:tcW w:w="672" w:type="dxa"/>
          </w:tcPr>
          <w:p>
            <w:pPr>
              <w:pStyle w:val="TableParagraph"/>
              <w:spacing w:line="162" w:lineRule="exact" w:before="0"/>
              <w:ind w:right="-15"/>
              <w:rPr>
                <w:rFonts w:ascii="Courier New"/>
                <w:b/>
                <w:sz w:val="16"/>
              </w:rPr>
            </w:pPr>
            <w:r>
              <w:rPr>
                <w:rFonts w:ascii="Courier New"/>
                <w:b/>
                <w:sz w:val="16"/>
              </w:rPr>
              <w:t>0.887</w:t>
            </w:r>
          </w:p>
        </w:tc>
        <w:tc>
          <w:tcPr>
            <w:tcW w:w="864" w:type="dxa"/>
          </w:tcPr>
          <w:p>
            <w:pPr>
              <w:pStyle w:val="TableParagraph"/>
              <w:spacing w:line="162" w:lineRule="exact" w:before="0"/>
              <w:ind w:right="-15"/>
              <w:rPr>
                <w:rFonts w:ascii="Courier New"/>
                <w:b/>
                <w:sz w:val="16"/>
              </w:rPr>
            </w:pPr>
            <w:r>
              <w:rPr>
                <w:rFonts w:ascii="Courier New"/>
                <w:b/>
                <w:sz w:val="16"/>
              </w:rPr>
              <w:t>0.102</w:t>
            </w:r>
          </w:p>
        </w:tc>
        <w:tc>
          <w:tcPr>
            <w:tcW w:w="864" w:type="dxa"/>
          </w:tcPr>
          <w:p>
            <w:pPr>
              <w:pStyle w:val="TableParagraph"/>
              <w:spacing w:line="162" w:lineRule="exact" w:before="0"/>
              <w:ind w:right="-15"/>
              <w:rPr>
                <w:rFonts w:ascii="Courier New"/>
                <w:b/>
                <w:sz w:val="16"/>
              </w:rPr>
            </w:pPr>
            <w:r>
              <w:rPr>
                <w:rFonts w:ascii="Courier New"/>
                <w:b/>
                <w:sz w:val="16"/>
              </w:rPr>
              <w:t>8.68</w:t>
            </w:r>
          </w:p>
        </w:tc>
        <w:tc>
          <w:tcPr>
            <w:tcW w:w="865" w:type="dxa"/>
          </w:tcPr>
          <w:p>
            <w:pPr>
              <w:pStyle w:val="TableParagraph"/>
              <w:spacing w:line="162" w:lineRule="exact" w:before="0"/>
              <w:rPr>
                <w:rFonts w:ascii="Courier New"/>
                <w:b/>
                <w:sz w:val="16"/>
              </w:rPr>
            </w:pPr>
            <w:r>
              <w:rPr>
                <w:rFonts w:ascii="Courier New"/>
                <w:b/>
                <w:sz w:val="16"/>
              </w:rPr>
              <w:t>0.000</w:t>
            </w:r>
          </w:p>
        </w:tc>
        <w:tc>
          <w:tcPr>
            <w:tcW w:w="723" w:type="dxa"/>
          </w:tcPr>
          <w:p>
            <w:pPr>
              <w:pStyle w:val="TableParagraph"/>
              <w:spacing w:line="162" w:lineRule="exact" w:before="0"/>
              <w:ind w:left="191"/>
              <w:jc w:val="left"/>
              <w:rPr>
                <w:rFonts w:ascii="Courier New"/>
                <w:b/>
                <w:sz w:val="16"/>
              </w:rPr>
            </w:pPr>
            <w:r>
              <w:rPr>
                <w:rFonts w:ascii="Courier New"/>
                <w:b/>
                <w:sz w:val="16"/>
              </w:rPr>
              <w:t>2.21</w:t>
            </w:r>
          </w:p>
        </w:tc>
      </w:tr>
      <w:tr>
        <w:trPr>
          <w:trHeight w:val="181" w:hRule="atLeast"/>
        </w:trPr>
        <w:tc>
          <w:tcPr>
            <w:tcW w:w="2833" w:type="dxa"/>
            <w:gridSpan w:val="2"/>
          </w:tcPr>
          <w:p>
            <w:pPr>
              <w:pStyle w:val="TableParagraph"/>
              <w:spacing w:line="161" w:lineRule="exact" w:before="1"/>
              <w:ind w:left="50"/>
              <w:jc w:val="left"/>
              <w:rPr>
                <w:rFonts w:ascii="Courier New" w:hAnsi="Courier New"/>
                <w:b/>
                <w:sz w:val="16"/>
              </w:rPr>
            </w:pPr>
            <w:r>
              <w:rPr>
                <w:rFonts w:ascii="Courier New" w:hAnsi="Courier New"/>
                <w:b/>
                <w:sz w:val="16"/>
              </w:rPr>
              <w:t>Ln Número de Plantas</w:t>
            </w:r>
          </w:p>
        </w:tc>
        <w:tc>
          <w:tcPr>
            <w:tcW w:w="672" w:type="dxa"/>
          </w:tcPr>
          <w:p>
            <w:pPr>
              <w:pStyle w:val="TableParagraph"/>
              <w:spacing w:line="161" w:lineRule="exact" w:before="1"/>
              <w:ind w:right="-15"/>
              <w:rPr>
                <w:rFonts w:ascii="Courier New"/>
                <w:b/>
                <w:sz w:val="16"/>
              </w:rPr>
            </w:pPr>
            <w:r>
              <w:rPr>
                <w:rFonts w:ascii="Courier New"/>
                <w:b/>
                <w:sz w:val="16"/>
              </w:rPr>
              <w:t>-0.1429</w:t>
            </w:r>
          </w:p>
        </w:tc>
        <w:tc>
          <w:tcPr>
            <w:tcW w:w="864" w:type="dxa"/>
          </w:tcPr>
          <w:p>
            <w:pPr>
              <w:pStyle w:val="TableParagraph"/>
              <w:spacing w:line="161" w:lineRule="exact" w:before="1"/>
              <w:ind w:right="-15"/>
              <w:rPr>
                <w:rFonts w:ascii="Courier New"/>
                <w:b/>
                <w:sz w:val="16"/>
              </w:rPr>
            </w:pPr>
            <w:r>
              <w:rPr>
                <w:rFonts w:ascii="Courier New"/>
                <w:b/>
                <w:sz w:val="16"/>
              </w:rPr>
              <w:t>0.0843</w:t>
            </w:r>
          </w:p>
        </w:tc>
        <w:tc>
          <w:tcPr>
            <w:tcW w:w="864" w:type="dxa"/>
          </w:tcPr>
          <w:p>
            <w:pPr>
              <w:pStyle w:val="TableParagraph"/>
              <w:spacing w:line="161" w:lineRule="exact" w:before="1"/>
              <w:ind w:right="-15"/>
              <w:rPr>
                <w:rFonts w:ascii="Courier New"/>
                <w:b/>
                <w:sz w:val="16"/>
              </w:rPr>
            </w:pPr>
            <w:r>
              <w:rPr>
                <w:rFonts w:ascii="Courier New"/>
                <w:b/>
                <w:sz w:val="16"/>
              </w:rPr>
              <w:t>-1.69</w:t>
            </w:r>
          </w:p>
        </w:tc>
        <w:tc>
          <w:tcPr>
            <w:tcW w:w="865" w:type="dxa"/>
          </w:tcPr>
          <w:p>
            <w:pPr>
              <w:pStyle w:val="TableParagraph"/>
              <w:spacing w:line="161" w:lineRule="exact" w:before="1"/>
              <w:ind w:right="-15"/>
              <w:rPr>
                <w:rFonts w:ascii="Courier New"/>
                <w:b/>
                <w:sz w:val="16"/>
              </w:rPr>
            </w:pPr>
            <w:r>
              <w:rPr>
                <w:rFonts w:ascii="Courier New"/>
                <w:b/>
                <w:sz w:val="16"/>
              </w:rPr>
              <w:t>0.091</w:t>
            </w:r>
          </w:p>
        </w:tc>
        <w:tc>
          <w:tcPr>
            <w:tcW w:w="723" w:type="dxa"/>
          </w:tcPr>
          <w:p>
            <w:pPr>
              <w:pStyle w:val="TableParagraph"/>
              <w:spacing w:line="161" w:lineRule="exact" w:before="1"/>
              <w:ind w:left="193"/>
              <w:jc w:val="left"/>
              <w:rPr>
                <w:rFonts w:ascii="Courier New"/>
                <w:b/>
                <w:sz w:val="16"/>
              </w:rPr>
            </w:pPr>
            <w:r>
              <w:rPr>
                <w:rFonts w:ascii="Courier New"/>
                <w:b/>
                <w:sz w:val="16"/>
              </w:rPr>
              <w:t>1.22</w:t>
            </w:r>
          </w:p>
        </w:tc>
      </w:tr>
      <w:tr>
        <w:trPr>
          <w:trHeight w:val="180" w:hRule="atLeast"/>
        </w:trPr>
        <w:tc>
          <w:tcPr>
            <w:tcW w:w="2833" w:type="dxa"/>
            <w:gridSpan w:val="2"/>
          </w:tcPr>
          <w:p>
            <w:pPr>
              <w:pStyle w:val="TableParagraph"/>
              <w:spacing w:line="160" w:lineRule="exact" w:before="0"/>
              <w:ind w:left="50"/>
              <w:jc w:val="left"/>
              <w:rPr>
                <w:rFonts w:ascii="Courier New"/>
                <w:b/>
                <w:sz w:val="16"/>
              </w:rPr>
            </w:pPr>
            <w:r>
              <w:rPr>
                <w:rFonts w:ascii="Courier New"/>
                <w:b/>
                <w:sz w:val="16"/>
              </w:rPr>
              <w:t>Ln Distancia SJ</w:t>
            </w:r>
          </w:p>
        </w:tc>
        <w:tc>
          <w:tcPr>
            <w:tcW w:w="672" w:type="dxa"/>
          </w:tcPr>
          <w:p>
            <w:pPr>
              <w:pStyle w:val="TableParagraph"/>
              <w:spacing w:line="160" w:lineRule="exact" w:before="0"/>
              <w:ind w:right="-15"/>
              <w:rPr>
                <w:rFonts w:ascii="Courier New"/>
                <w:b/>
                <w:sz w:val="16"/>
              </w:rPr>
            </w:pPr>
            <w:r>
              <w:rPr>
                <w:rFonts w:ascii="Courier New"/>
                <w:b/>
                <w:sz w:val="16"/>
              </w:rPr>
              <w:t>-0.240</w:t>
            </w:r>
          </w:p>
        </w:tc>
        <w:tc>
          <w:tcPr>
            <w:tcW w:w="864" w:type="dxa"/>
          </w:tcPr>
          <w:p>
            <w:pPr>
              <w:pStyle w:val="TableParagraph"/>
              <w:spacing w:line="160" w:lineRule="exact" w:before="0"/>
              <w:ind w:right="-15"/>
              <w:rPr>
                <w:rFonts w:ascii="Courier New"/>
                <w:b/>
                <w:sz w:val="16"/>
              </w:rPr>
            </w:pPr>
            <w:r>
              <w:rPr>
                <w:rFonts w:ascii="Courier New"/>
                <w:b/>
                <w:sz w:val="16"/>
              </w:rPr>
              <w:t>0.104</w:t>
            </w:r>
          </w:p>
        </w:tc>
        <w:tc>
          <w:tcPr>
            <w:tcW w:w="864" w:type="dxa"/>
          </w:tcPr>
          <w:p>
            <w:pPr>
              <w:pStyle w:val="TableParagraph"/>
              <w:spacing w:line="160" w:lineRule="exact" w:before="0"/>
              <w:ind w:right="-15"/>
              <w:rPr>
                <w:rFonts w:ascii="Courier New"/>
                <w:b/>
                <w:sz w:val="16"/>
              </w:rPr>
            </w:pPr>
            <w:r>
              <w:rPr>
                <w:rFonts w:ascii="Courier New"/>
                <w:b/>
                <w:sz w:val="16"/>
              </w:rPr>
              <w:t>-2.31</w:t>
            </w:r>
          </w:p>
        </w:tc>
        <w:tc>
          <w:tcPr>
            <w:tcW w:w="865" w:type="dxa"/>
          </w:tcPr>
          <w:p>
            <w:pPr>
              <w:pStyle w:val="TableParagraph"/>
              <w:spacing w:line="160" w:lineRule="exact" w:before="0"/>
              <w:ind w:right="-15"/>
              <w:rPr>
                <w:rFonts w:ascii="Courier New"/>
                <w:b/>
                <w:sz w:val="16"/>
              </w:rPr>
            </w:pPr>
            <w:r>
              <w:rPr>
                <w:rFonts w:ascii="Courier New"/>
                <w:b/>
                <w:sz w:val="16"/>
              </w:rPr>
              <w:t>0.022</w:t>
            </w:r>
          </w:p>
        </w:tc>
        <w:tc>
          <w:tcPr>
            <w:tcW w:w="723" w:type="dxa"/>
          </w:tcPr>
          <w:p>
            <w:pPr>
              <w:pStyle w:val="TableParagraph"/>
              <w:spacing w:line="160" w:lineRule="exact" w:before="0"/>
              <w:ind w:left="193"/>
              <w:jc w:val="left"/>
              <w:rPr>
                <w:rFonts w:ascii="Courier New"/>
                <w:b/>
                <w:sz w:val="16"/>
              </w:rPr>
            </w:pPr>
            <w:r>
              <w:rPr>
                <w:rFonts w:ascii="Courier New"/>
                <w:b/>
                <w:sz w:val="16"/>
              </w:rPr>
              <w:t>1.21</w:t>
            </w:r>
          </w:p>
        </w:tc>
      </w:tr>
      <w:tr>
        <w:trPr>
          <w:trHeight w:val="544" w:hRule="atLeast"/>
        </w:trPr>
        <w:tc>
          <w:tcPr>
            <w:tcW w:w="2833" w:type="dxa"/>
            <w:gridSpan w:val="2"/>
          </w:tcPr>
          <w:p>
            <w:pPr>
              <w:pStyle w:val="TableParagraph"/>
              <w:spacing w:line="244" w:lineRule="auto" w:before="0"/>
              <w:ind w:left="50" w:right="477"/>
              <w:jc w:val="left"/>
              <w:rPr>
                <w:rFonts w:ascii="Courier New"/>
                <w:b/>
                <w:sz w:val="16"/>
              </w:rPr>
            </w:pPr>
            <w:r>
              <w:rPr>
                <w:rFonts w:ascii="Courier New"/>
                <w:b/>
                <w:sz w:val="16"/>
              </w:rPr>
              <w:t>Ln Distancia Pobreza Tipo = 1 casa, 0 =</w:t>
            </w:r>
            <w:r>
              <w:rPr>
                <w:rFonts w:ascii="Courier New"/>
                <w:b/>
                <w:spacing w:val="-18"/>
                <w:sz w:val="16"/>
              </w:rPr>
              <w:t> </w:t>
            </w:r>
            <w:r>
              <w:rPr>
                <w:rFonts w:ascii="Courier New"/>
                <w:b/>
                <w:sz w:val="16"/>
              </w:rPr>
              <w:t>Condo</w:t>
            </w:r>
          </w:p>
          <w:p>
            <w:pPr>
              <w:pStyle w:val="TableParagraph"/>
              <w:spacing w:line="155" w:lineRule="exact" w:before="0"/>
              <w:ind w:left="241"/>
              <w:jc w:val="left"/>
              <w:rPr>
                <w:rFonts w:ascii="Courier New"/>
                <w:b/>
                <w:sz w:val="16"/>
              </w:rPr>
            </w:pPr>
            <w:r>
              <w:rPr>
                <w:rFonts w:ascii="Courier New"/>
                <w:b/>
                <w:sz w:val="16"/>
              </w:rPr>
              <w:t>1</w:t>
            </w:r>
          </w:p>
        </w:tc>
        <w:tc>
          <w:tcPr>
            <w:tcW w:w="672" w:type="dxa"/>
          </w:tcPr>
          <w:p>
            <w:pPr>
              <w:pStyle w:val="TableParagraph"/>
              <w:spacing w:line="181" w:lineRule="exact" w:before="0"/>
              <w:ind w:left="96" w:right="-15"/>
              <w:jc w:val="left"/>
              <w:rPr>
                <w:rFonts w:ascii="Courier New"/>
                <w:b/>
                <w:sz w:val="16"/>
              </w:rPr>
            </w:pPr>
            <w:r>
              <w:rPr>
                <w:rFonts w:ascii="Courier New"/>
                <w:b/>
                <w:sz w:val="16"/>
              </w:rPr>
              <w:t>0.2336</w:t>
            </w:r>
          </w:p>
          <w:p>
            <w:pPr>
              <w:pStyle w:val="TableParagraph"/>
              <w:spacing w:line="240" w:lineRule="auto" w:before="10"/>
              <w:jc w:val="left"/>
              <w:rPr>
                <w:b/>
                <w:sz w:val="15"/>
              </w:rPr>
            </w:pPr>
          </w:p>
          <w:p>
            <w:pPr>
              <w:pStyle w:val="TableParagraph"/>
              <w:spacing w:line="161" w:lineRule="exact" w:before="0"/>
              <w:ind w:left="96" w:right="-15"/>
              <w:jc w:val="left"/>
              <w:rPr>
                <w:rFonts w:ascii="Courier New"/>
                <w:b/>
                <w:sz w:val="16"/>
              </w:rPr>
            </w:pPr>
            <w:r>
              <w:rPr>
                <w:rFonts w:ascii="Courier New"/>
                <w:b/>
                <w:sz w:val="16"/>
              </w:rPr>
              <w:t>0.1243</w:t>
            </w:r>
          </w:p>
        </w:tc>
        <w:tc>
          <w:tcPr>
            <w:tcW w:w="864" w:type="dxa"/>
          </w:tcPr>
          <w:p>
            <w:pPr>
              <w:pStyle w:val="TableParagraph"/>
              <w:spacing w:line="181" w:lineRule="exact" w:before="0"/>
              <w:ind w:left="288" w:right="-15"/>
              <w:jc w:val="left"/>
              <w:rPr>
                <w:rFonts w:ascii="Courier New"/>
                <w:b/>
                <w:sz w:val="16"/>
              </w:rPr>
            </w:pPr>
            <w:r>
              <w:rPr>
                <w:rFonts w:ascii="Courier New"/>
                <w:b/>
                <w:sz w:val="16"/>
              </w:rPr>
              <w:t>0.0774</w:t>
            </w:r>
          </w:p>
          <w:p>
            <w:pPr>
              <w:pStyle w:val="TableParagraph"/>
              <w:spacing w:line="240" w:lineRule="auto" w:before="10"/>
              <w:jc w:val="left"/>
              <w:rPr>
                <w:b/>
                <w:sz w:val="15"/>
              </w:rPr>
            </w:pPr>
          </w:p>
          <w:p>
            <w:pPr>
              <w:pStyle w:val="TableParagraph"/>
              <w:spacing w:line="161" w:lineRule="exact" w:before="0"/>
              <w:ind w:left="288" w:right="-15"/>
              <w:jc w:val="left"/>
              <w:rPr>
                <w:rFonts w:ascii="Courier New"/>
                <w:b/>
                <w:sz w:val="16"/>
              </w:rPr>
            </w:pPr>
            <w:r>
              <w:rPr>
                <w:rFonts w:ascii="Courier New"/>
                <w:b/>
                <w:sz w:val="16"/>
              </w:rPr>
              <w:t>0.0513</w:t>
            </w:r>
          </w:p>
        </w:tc>
        <w:tc>
          <w:tcPr>
            <w:tcW w:w="864" w:type="dxa"/>
          </w:tcPr>
          <w:p>
            <w:pPr>
              <w:pStyle w:val="TableParagraph"/>
              <w:spacing w:line="181" w:lineRule="exact" w:before="0"/>
              <w:ind w:left="482" w:right="-15"/>
              <w:jc w:val="left"/>
              <w:rPr>
                <w:rFonts w:ascii="Courier New"/>
                <w:b/>
                <w:sz w:val="16"/>
              </w:rPr>
            </w:pPr>
            <w:r>
              <w:rPr>
                <w:rFonts w:ascii="Courier New"/>
                <w:b/>
                <w:sz w:val="16"/>
              </w:rPr>
              <w:t>3.02</w:t>
            </w:r>
          </w:p>
          <w:p>
            <w:pPr>
              <w:pStyle w:val="TableParagraph"/>
              <w:spacing w:line="240" w:lineRule="auto" w:before="10"/>
              <w:jc w:val="left"/>
              <w:rPr>
                <w:b/>
                <w:sz w:val="15"/>
              </w:rPr>
            </w:pPr>
          </w:p>
          <w:p>
            <w:pPr>
              <w:pStyle w:val="TableParagraph"/>
              <w:spacing w:line="161" w:lineRule="exact" w:before="0"/>
              <w:ind w:left="480" w:right="-15"/>
              <w:jc w:val="left"/>
              <w:rPr>
                <w:rFonts w:ascii="Courier New"/>
                <w:b/>
                <w:sz w:val="16"/>
              </w:rPr>
            </w:pPr>
            <w:r>
              <w:rPr>
                <w:rFonts w:ascii="Courier New"/>
                <w:b/>
                <w:sz w:val="16"/>
              </w:rPr>
              <w:t>2.42</w:t>
            </w:r>
          </w:p>
        </w:tc>
        <w:tc>
          <w:tcPr>
            <w:tcW w:w="865" w:type="dxa"/>
          </w:tcPr>
          <w:p>
            <w:pPr>
              <w:pStyle w:val="TableParagraph"/>
              <w:spacing w:line="181" w:lineRule="exact" w:before="0"/>
              <w:ind w:left="386" w:right="-15"/>
              <w:jc w:val="left"/>
              <w:rPr>
                <w:rFonts w:ascii="Courier New"/>
                <w:b/>
                <w:sz w:val="16"/>
              </w:rPr>
            </w:pPr>
            <w:r>
              <w:rPr>
                <w:rFonts w:ascii="Courier New"/>
                <w:b/>
                <w:sz w:val="16"/>
              </w:rPr>
              <w:t>0.003</w:t>
            </w:r>
          </w:p>
          <w:p>
            <w:pPr>
              <w:pStyle w:val="TableParagraph"/>
              <w:spacing w:line="240" w:lineRule="auto" w:before="10"/>
              <w:jc w:val="left"/>
              <w:rPr>
                <w:b/>
                <w:sz w:val="15"/>
              </w:rPr>
            </w:pPr>
          </w:p>
          <w:p>
            <w:pPr>
              <w:pStyle w:val="TableParagraph"/>
              <w:spacing w:line="161" w:lineRule="exact" w:before="0"/>
              <w:ind w:left="384"/>
              <w:jc w:val="left"/>
              <w:rPr>
                <w:rFonts w:ascii="Courier New"/>
                <w:b/>
                <w:sz w:val="16"/>
              </w:rPr>
            </w:pPr>
            <w:r>
              <w:rPr>
                <w:rFonts w:ascii="Courier New"/>
                <w:b/>
                <w:spacing w:val="-1"/>
                <w:sz w:val="16"/>
              </w:rPr>
              <w:t>0.016</w:t>
            </w:r>
          </w:p>
        </w:tc>
        <w:tc>
          <w:tcPr>
            <w:tcW w:w="723" w:type="dxa"/>
          </w:tcPr>
          <w:p>
            <w:pPr>
              <w:pStyle w:val="TableParagraph"/>
              <w:spacing w:line="181" w:lineRule="exact" w:before="0"/>
              <w:ind w:left="193"/>
              <w:jc w:val="left"/>
              <w:rPr>
                <w:rFonts w:ascii="Courier New"/>
                <w:b/>
                <w:sz w:val="16"/>
              </w:rPr>
            </w:pPr>
            <w:r>
              <w:rPr>
                <w:rFonts w:ascii="Courier New"/>
                <w:b/>
                <w:sz w:val="16"/>
              </w:rPr>
              <w:t>1.20</w:t>
            </w:r>
          </w:p>
          <w:p>
            <w:pPr>
              <w:pStyle w:val="TableParagraph"/>
              <w:spacing w:line="240" w:lineRule="auto" w:before="10"/>
              <w:jc w:val="left"/>
              <w:rPr>
                <w:b/>
                <w:sz w:val="15"/>
              </w:rPr>
            </w:pPr>
          </w:p>
          <w:p>
            <w:pPr>
              <w:pStyle w:val="TableParagraph"/>
              <w:spacing w:line="161" w:lineRule="exact" w:before="0"/>
              <w:ind w:left="191"/>
              <w:jc w:val="left"/>
              <w:rPr>
                <w:rFonts w:ascii="Courier New"/>
                <w:b/>
                <w:sz w:val="16"/>
              </w:rPr>
            </w:pPr>
            <w:r>
              <w:rPr>
                <w:rFonts w:ascii="Courier New"/>
                <w:b/>
                <w:sz w:val="16"/>
              </w:rPr>
              <w:t>1.22</w:t>
            </w:r>
          </w:p>
        </w:tc>
      </w:tr>
      <w:tr>
        <w:trPr>
          <w:trHeight w:val="361" w:hRule="atLeast"/>
        </w:trPr>
        <w:tc>
          <w:tcPr>
            <w:tcW w:w="2833" w:type="dxa"/>
            <w:gridSpan w:val="2"/>
          </w:tcPr>
          <w:p>
            <w:pPr>
              <w:pStyle w:val="TableParagraph"/>
              <w:spacing w:line="180" w:lineRule="exact" w:before="0"/>
              <w:ind w:left="50"/>
              <w:jc w:val="left"/>
              <w:rPr>
                <w:rFonts w:ascii="Courier New"/>
                <w:b/>
                <w:sz w:val="16"/>
              </w:rPr>
            </w:pPr>
            <w:r>
              <w:rPr>
                <w:rFonts w:ascii="Courier New"/>
                <w:b/>
                <w:sz w:val="16"/>
              </w:rPr>
              <w:t>Zona de Riesgo de desastre</w:t>
            </w:r>
          </w:p>
          <w:p>
            <w:pPr>
              <w:pStyle w:val="TableParagraph"/>
              <w:spacing w:line="162" w:lineRule="exact" w:before="0"/>
              <w:ind w:left="241"/>
              <w:jc w:val="left"/>
              <w:rPr>
                <w:rFonts w:ascii="Courier New"/>
                <w:b/>
                <w:sz w:val="16"/>
              </w:rPr>
            </w:pPr>
            <w:r>
              <w:rPr>
                <w:rFonts w:ascii="Courier New"/>
                <w:b/>
                <w:sz w:val="16"/>
              </w:rPr>
              <w:t>1</w:t>
            </w:r>
          </w:p>
        </w:tc>
        <w:tc>
          <w:tcPr>
            <w:tcW w:w="672" w:type="dxa"/>
          </w:tcPr>
          <w:p>
            <w:pPr>
              <w:pStyle w:val="TableParagraph"/>
              <w:spacing w:line="240" w:lineRule="auto" w:before="6"/>
              <w:jc w:val="left"/>
              <w:rPr>
                <w:b/>
                <w:sz w:val="15"/>
              </w:rPr>
            </w:pPr>
          </w:p>
          <w:p>
            <w:pPr>
              <w:pStyle w:val="TableParagraph"/>
              <w:spacing w:line="163" w:lineRule="exact" w:before="1"/>
              <w:ind w:right="-15"/>
              <w:rPr>
                <w:rFonts w:ascii="Courier New"/>
                <w:b/>
                <w:sz w:val="16"/>
              </w:rPr>
            </w:pPr>
            <w:r>
              <w:rPr>
                <w:rFonts w:ascii="Courier New"/>
                <w:b/>
                <w:sz w:val="16"/>
              </w:rPr>
              <w:t>-0.0924</w:t>
            </w:r>
          </w:p>
        </w:tc>
        <w:tc>
          <w:tcPr>
            <w:tcW w:w="864" w:type="dxa"/>
          </w:tcPr>
          <w:p>
            <w:pPr>
              <w:pStyle w:val="TableParagraph"/>
              <w:spacing w:line="240" w:lineRule="auto" w:before="6"/>
              <w:jc w:val="left"/>
              <w:rPr>
                <w:b/>
                <w:sz w:val="15"/>
              </w:rPr>
            </w:pPr>
          </w:p>
          <w:p>
            <w:pPr>
              <w:pStyle w:val="TableParagraph"/>
              <w:spacing w:line="163" w:lineRule="exact" w:before="1"/>
              <w:ind w:right="-15"/>
              <w:rPr>
                <w:rFonts w:ascii="Courier New"/>
                <w:b/>
                <w:sz w:val="16"/>
              </w:rPr>
            </w:pPr>
            <w:r>
              <w:rPr>
                <w:rFonts w:ascii="Courier New"/>
                <w:b/>
                <w:sz w:val="16"/>
              </w:rPr>
              <w:t>0.0761</w:t>
            </w:r>
          </w:p>
        </w:tc>
        <w:tc>
          <w:tcPr>
            <w:tcW w:w="864" w:type="dxa"/>
          </w:tcPr>
          <w:p>
            <w:pPr>
              <w:pStyle w:val="TableParagraph"/>
              <w:spacing w:line="240" w:lineRule="auto" w:before="6"/>
              <w:jc w:val="left"/>
              <w:rPr>
                <w:b/>
                <w:sz w:val="15"/>
              </w:rPr>
            </w:pPr>
          </w:p>
          <w:p>
            <w:pPr>
              <w:pStyle w:val="TableParagraph"/>
              <w:spacing w:line="163" w:lineRule="exact" w:before="1"/>
              <w:ind w:right="-15"/>
              <w:rPr>
                <w:rFonts w:ascii="Courier New"/>
                <w:b/>
                <w:sz w:val="16"/>
              </w:rPr>
            </w:pPr>
            <w:r>
              <w:rPr>
                <w:rFonts w:ascii="Courier New"/>
                <w:b/>
                <w:sz w:val="16"/>
              </w:rPr>
              <w:t>-1.22</w:t>
            </w:r>
          </w:p>
        </w:tc>
        <w:tc>
          <w:tcPr>
            <w:tcW w:w="865" w:type="dxa"/>
          </w:tcPr>
          <w:p>
            <w:pPr>
              <w:pStyle w:val="TableParagraph"/>
              <w:spacing w:line="240" w:lineRule="auto" w:before="6"/>
              <w:jc w:val="left"/>
              <w:rPr>
                <w:b/>
                <w:sz w:val="15"/>
              </w:rPr>
            </w:pPr>
          </w:p>
          <w:p>
            <w:pPr>
              <w:pStyle w:val="TableParagraph"/>
              <w:spacing w:line="163" w:lineRule="exact" w:before="1"/>
              <w:ind w:right="-15"/>
              <w:rPr>
                <w:rFonts w:ascii="Courier New"/>
                <w:b/>
                <w:sz w:val="16"/>
              </w:rPr>
            </w:pPr>
            <w:r>
              <w:rPr>
                <w:rFonts w:ascii="Courier New"/>
                <w:b/>
                <w:sz w:val="16"/>
              </w:rPr>
              <w:t>0.225</w:t>
            </w:r>
          </w:p>
        </w:tc>
        <w:tc>
          <w:tcPr>
            <w:tcW w:w="723" w:type="dxa"/>
          </w:tcPr>
          <w:p>
            <w:pPr>
              <w:pStyle w:val="TableParagraph"/>
              <w:spacing w:line="240" w:lineRule="auto" w:before="6"/>
              <w:jc w:val="left"/>
              <w:rPr>
                <w:b/>
                <w:sz w:val="15"/>
              </w:rPr>
            </w:pPr>
          </w:p>
          <w:p>
            <w:pPr>
              <w:pStyle w:val="TableParagraph"/>
              <w:spacing w:line="163" w:lineRule="exact" w:before="1"/>
              <w:ind w:left="193"/>
              <w:jc w:val="left"/>
              <w:rPr>
                <w:rFonts w:ascii="Courier New"/>
                <w:b/>
                <w:sz w:val="16"/>
              </w:rPr>
            </w:pPr>
            <w:r>
              <w:rPr>
                <w:rFonts w:ascii="Courier New"/>
                <w:b/>
                <w:sz w:val="16"/>
              </w:rPr>
              <w:t>1.06</w:t>
            </w:r>
          </w:p>
        </w:tc>
      </w:tr>
      <w:tr>
        <w:trPr>
          <w:trHeight w:val="362" w:hRule="atLeast"/>
        </w:trPr>
        <w:tc>
          <w:tcPr>
            <w:tcW w:w="2833" w:type="dxa"/>
            <w:gridSpan w:val="2"/>
          </w:tcPr>
          <w:p>
            <w:pPr>
              <w:pStyle w:val="TableParagraph"/>
              <w:spacing w:line="181" w:lineRule="exact" w:before="1"/>
              <w:ind w:left="50"/>
              <w:jc w:val="left"/>
              <w:rPr>
                <w:rFonts w:ascii="Courier New"/>
                <w:b/>
                <w:sz w:val="16"/>
              </w:rPr>
            </w:pPr>
            <w:r>
              <w:rPr>
                <w:rFonts w:ascii="Courier New"/>
                <w:b/>
                <w:sz w:val="16"/>
              </w:rPr>
              <w:t>Vista a la Carpintera</w:t>
            </w:r>
          </w:p>
          <w:p>
            <w:pPr>
              <w:pStyle w:val="TableParagraph"/>
              <w:spacing w:line="161" w:lineRule="exact" w:before="0"/>
              <w:ind w:left="241"/>
              <w:jc w:val="left"/>
              <w:rPr>
                <w:rFonts w:ascii="Courier New"/>
                <w:b/>
                <w:sz w:val="16"/>
              </w:rPr>
            </w:pPr>
            <w:r>
              <w:rPr>
                <w:rFonts w:ascii="Courier New"/>
                <w:b/>
                <w:sz w:val="16"/>
              </w:rPr>
              <w:t>1</w:t>
            </w:r>
          </w:p>
        </w:tc>
        <w:tc>
          <w:tcPr>
            <w:tcW w:w="672" w:type="dxa"/>
          </w:tcPr>
          <w:p>
            <w:pPr>
              <w:pStyle w:val="TableParagraph"/>
              <w:spacing w:line="240" w:lineRule="auto" w:before="8"/>
              <w:jc w:val="left"/>
              <w:rPr>
                <w:b/>
                <w:sz w:val="15"/>
              </w:rPr>
            </w:pPr>
          </w:p>
          <w:p>
            <w:pPr>
              <w:pStyle w:val="TableParagraph"/>
              <w:spacing w:line="161" w:lineRule="exact" w:before="1"/>
              <w:ind w:right="-15"/>
              <w:rPr>
                <w:rFonts w:ascii="Courier New"/>
                <w:b/>
                <w:sz w:val="16"/>
              </w:rPr>
            </w:pPr>
            <w:r>
              <w:rPr>
                <w:rFonts w:ascii="Courier New"/>
                <w:b/>
                <w:sz w:val="16"/>
              </w:rPr>
              <w:t>0.0981</w:t>
            </w:r>
          </w:p>
        </w:tc>
        <w:tc>
          <w:tcPr>
            <w:tcW w:w="864" w:type="dxa"/>
          </w:tcPr>
          <w:p>
            <w:pPr>
              <w:pStyle w:val="TableParagraph"/>
              <w:spacing w:line="240" w:lineRule="auto" w:before="8"/>
              <w:jc w:val="left"/>
              <w:rPr>
                <w:b/>
                <w:sz w:val="15"/>
              </w:rPr>
            </w:pPr>
          </w:p>
          <w:p>
            <w:pPr>
              <w:pStyle w:val="TableParagraph"/>
              <w:spacing w:line="161" w:lineRule="exact" w:before="1"/>
              <w:ind w:right="-15"/>
              <w:rPr>
                <w:rFonts w:ascii="Courier New"/>
                <w:b/>
                <w:sz w:val="16"/>
              </w:rPr>
            </w:pPr>
            <w:r>
              <w:rPr>
                <w:rFonts w:ascii="Courier New"/>
                <w:b/>
                <w:sz w:val="16"/>
              </w:rPr>
              <w:t>0.0511</w:t>
            </w:r>
          </w:p>
        </w:tc>
        <w:tc>
          <w:tcPr>
            <w:tcW w:w="864" w:type="dxa"/>
          </w:tcPr>
          <w:p>
            <w:pPr>
              <w:pStyle w:val="TableParagraph"/>
              <w:spacing w:line="240" w:lineRule="auto" w:before="8"/>
              <w:jc w:val="left"/>
              <w:rPr>
                <w:b/>
                <w:sz w:val="15"/>
              </w:rPr>
            </w:pPr>
          </w:p>
          <w:p>
            <w:pPr>
              <w:pStyle w:val="TableParagraph"/>
              <w:spacing w:line="161" w:lineRule="exact" w:before="1"/>
              <w:ind w:right="-15"/>
              <w:rPr>
                <w:rFonts w:ascii="Courier New"/>
                <w:b/>
                <w:sz w:val="16"/>
              </w:rPr>
            </w:pPr>
            <w:r>
              <w:rPr>
                <w:rFonts w:ascii="Courier New"/>
                <w:b/>
                <w:sz w:val="16"/>
              </w:rPr>
              <w:t>1.92</w:t>
            </w:r>
          </w:p>
        </w:tc>
        <w:tc>
          <w:tcPr>
            <w:tcW w:w="865" w:type="dxa"/>
          </w:tcPr>
          <w:p>
            <w:pPr>
              <w:pStyle w:val="TableParagraph"/>
              <w:spacing w:line="240" w:lineRule="auto" w:before="8"/>
              <w:jc w:val="left"/>
              <w:rPr>
                <w:b/>
                <w:sz w:val="15"/>
              </w:rPr>
            </w:pPr>
          </w:p>
          <w:p>
            <w:pPr>
              <w:pStyle w:val="TableParagraph"/>
              <w:spacing w:line="161" w:lineRule="exact" w:before="1"/>
              <w:ind w:right="-15"/>
              <w:rPr>
                <w:rFonts w:ascii="Courier New"/>
                <w:b/>
                <w:sz w:val="16"/>
              </w:rPr>
            </w:pPr>
            <w:r>
              <w:rPr>
                <w:rFonts w:ascii="Courier New"/>
                <w:b/>
                <w:sz w:val="16"/>
              </w:rPr>
              <w:t>0.056</w:t>
            </w:r>
          </w:p>
        </w:tc>
        <w:tc>
          <w:tcPr>
            <w:tcW w:w="723" w:type="dxa"/>
          </w:tcPr>
          <w:p>
            <w:pPr>
              <w:pStyle w:val="TableParagraph"/>
              <w:spacing w:line="240" w:lineRule="auto" w:before="8"/>
              <w:jc w:val="left"/>
              <w:rPr>
                <w:b/>
                <w:sz w:val="15"/>
              </w:rPr>
            </w:pPr>
          </w:p>
          <w:p>
            <w:pPr>
              <w:pStyle w:val="TableParagraph"/>
              <w:spacing w:line="161" w:lineRule="exact" w:before="1"/>
              <w:ind w:left="192"/>
              <w:jc w:val="left"/>
              <w:rPr>
                <w:rFonts w:ascii="Courier New"/>
                <w:b/>
                <w:sz w:val="16"/>
              </w:rPr>
            </w:pPr>
            <w:r>
              <w:rPr>
                <w:rFonts w:ascii="Courier New"/>
                <w:b/>
                <w:sz w:val="16"/>
              </w:rPr>
              <w:t>1.06</w:t>
            </w:r>
          </w:p>
        </w:tc>
      </w:tr>
    </w:tbl>
    <w:p>
      <w:pPr>
        <w:pStyle w:val="BodyText"/>
        <w:spacing w:before="5"/>
        <w:rPr>
          <w:b/>
          <w:sz w:val="17"/>
        </w:rPr>
      </w:pPr>
    </w:p>
    <w:p>
      <w:pPr>
        <w:pStyle w:val="Heading1"/>
        <w:spacing w:before="91"/>
      </w:pPr>
      <w:r>
        <w:rPr/>
        <w:t>B- Heterocedasticidad</w:t>
      </w:r>
    </w:p>
    <w:p>
      <w:pPr>
        <w:pStyle w:val="BodyText"/>
        <w:rPr>
          <w:b/>
          <w:sz w:val="20"/>
        </w:rPr>
      </w:pPr>
    </w:p>
    <w:p>
      <w:pPr>
        <w:pStyle w:val="BodyText"/>
        <w:spacing w:before="9"/>
        <w:rPr>
          <w:b/>
          <w:sz w:val="11"/>
        </w:rPr>
      </w:pPr>
      <w:r>
        <w:rPr/>
        <w:drawing>
          <wp:anchor distT="0" distB="0" distL="0" distR="0" allowOverlap="1" layoutInCell="1" locked="0" behindDoc="0" simplePos="0" relativeHeight="99">
            <wp:simplePos x="0" y="0"/>
            <wp:positionH relativeFrom="page">
              <wp:posOffset>2738123</wp:posOffset>
            </wp:positionH>
            <wp:positionV relativeFrom="paragraph">
              <wp:posOffset>111074</wp:posOffset>
            </wp:positionV>
            <wp:extent cx="2291815" cy="1794510"/>
            <wp:effectExtent l="0" t="0" r="0" b="0"/>
            <wp:wrapTopAndBottom/>
            <wp:docPr id="113" name="image82.jpeg"/>
            <wp:cNvGraphicFramePr>
              <a:graphicFrameLocks noChangeAspect="1"/>
            </wp:cNvGraphicFramePr>
            <a:graphic>
              <a:graphicData uri="http://schemas.openxmlformats.org/drawingml/2006/picture">
                <pic:pic>
                  <pic:nvPicPr>
                    <pic:cNvPr id="114" name="image82.jpeg"/>
                    <pic:cNvPicPr/>
                  </pic:nvPicPr>
                  <pic:blipFill>
                    <a:blip r:embed="rId134" cstate="print"/>
                    <a:stretch>
                      <a:fillRect/>
                    </a:stretch>
                  </pic:blipFill>
                  <pic:spPr>
                    <a:xfrm>
                      <a:off x="0" y="0"/>
                      <a:ext cx="2291815" cy="1794510"/>
                    </a:xfrm>
                    <a:prstGeom prst="rect">
                      <a:avLst/>
                    </a:prstGeom>
                  </pic:spPr>
                </pic:pic>
              </a:graphicData>
            </a:graphic>
          </wp:anchor>
        </w:drawing>
      </w:r>
    </w:p>
    <w:p>
      <w:pPr>
        <w:spacing w:after="0"/>
        <w:rPr>
          <w:sz w:val="11"/>
        </w:rPr>
        <w:sectPr>
          <w:pgSz w:w="12240" w:h="15840"/>
          <w:pgMar w:header="0" w:footer="982" w:top="1440" w:bottom="1260" w:left="400" w:right="180"/>
        </w:sectPr>
      </w:pPr>
    </w:p>
    <w:p>
      <w:pPr>
        <w:pStyle w:val="BodyText"/>
        <w:ind w:left="3639"/>
        <w:rPr>
          <w:sz w:val="20"/>
        </w:rPr>
      </w:pPr>
      <w:r>
        <w:rPr>
          <w:sz w:val="20"/>
        </w:rPr>
        <w:drawing>
          <wp:inline distT="0" distB="0" distL="0" distR="0">
            <wp:extent cx="2705036" cy="2148839"/>
            <wp:effectExtent l="0" t="0" r="0" b="0"/>
            <wp:docPr id="115" name="image83.jpeg"/>
            <wp:cNvGraphicFramePr>
              <a:graphicFrameLocks noChangeAspect="1"/>
            </wp:cNvGraphicFramePr>
            <a:graphic>
              <a:graphicData uri="http://schemas.openxmlformats.org/drawingml/2006/picture">
                <pic:pic>
                  <pic:nvPicPr>
                    <pic:cNvPr id="116" name="image83.jpeg"/>
                    <pic:cNvPicPr/>
                  </pic:nvPicPr>
                  <pic:blipFill>
                    <a:blip r:embed="rId135" cstate="print"/>
                    <a:stretch>
                      <a:fillRect/>
                    </a:stretch>
                  </pic:blipFill>
                  <pic:spPr>
                    <a:xfrm>
                      <a:off x="0" y="0"/>
                      <a:ext cx="2705036" cy="2148839"/>
                    </a:xfrm>
                    <a:prstGeom prst="rect">
                      <a:avLst/>
                    </a:prstGeom>
                  </pic:spPr>
                </pic:pic>
              </a:graphicData>
            </a:graphic>
          </wp:inline>
        </w:drawing>
      </w:r>
      <w:r>
        <w:rPr>
          <w:sz w:val="20"/>
        </w:rPr>
      </w:r>
    </w:p>
    <w:p>
      <w:pPr>
        <w:pStyle w:val="BodyText"/>
        <w:rPr>
          <w:b/>
          <w:sz w:val="20"/>
        </w:rPr>
      </w:pPr>
    </w:p>
    <w:p>
      <w:pPr>
        <w:pStyle w:val="BodyText"/>
        <w:spacing w:before="10"/>
        <w:rPr>
          <w:b/>
        </w:rPr>
      </w:pPr>
    </w:p>
    <w:p>
      <w:pPr>
        <w:spacing w:before="101" w:after="5"/>
        <w:ind w:left="732" w:right="2507" w:firstLine="0"/>
        <w:jc w:val="center"/>
        <w:rPr>
          <w:b/>
          <w:sz w:val="18"/>
        </w:rPr>
      </w:pPr>
      <w:r>
        <w:rPr>
          <w:b/>
          <w:sz w:val="18"/>
        </w:rPr>
        <w:t>BREUSCH PAGAN MODELO 4</w:t>
      </w:r>
      <w:r>
        <w:rPr>
          <w:b/>
          <w:sz w:val="18"/>
          <w:vertAlign w:val="superscript"/>
        </w:rPr>
        <w:t>a</w:t>
      </w:r>
    </w:p>
    <w:tbl>
      <w:tblPr>
        <w:tblW w:w="0" w:type="auto"/>
        <w:jc w:val="left"/>
        <w:tblInd w:w="10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4"/>
        <w:gridCol w:w="1483"/>
        <w:gridCol w:w="1489"/>
        <w:gridCol w:w="993"/>
        <w:gridCol w:w="1485"/>
        <w:gridCol w:w="993"/>
        <w:gridCol w:w="993"/>
      </w:tblGrid>
      <w:tr>
        <w:trPr>
          <w:trHeight w:val="639" w:hRule="atLeast"/>
        </w:trPr>
        <w:tc>
          <w:tcPr>
            <w:tcW w:w="1917" w:type="dxa"/>
            <w:gridSpan w:val="2"/>
          </w:tcPr>
          <w:p>
            <w:pPr>
              <w:pStyle w:val="TableParagraph"/>
              <w:spacing w:line="240" w:lineRule="auto" w:before="110"/>
              <w:ind w:left="25"/>
              <w:jc w:val="left"/>
              <w:rPr>
                <w:sz w:val="18"/>
              </w:rPr>
            </w:pPr>
            <w:r>
              <w:rPr>
                <w:sz w:val="18"/>
              </w:rPr>
              <w:t>Modelo</w:t>
            </w:r>
          </w:p>
        </w:tc>
        <w:tc>
          <w:tcPr>
            <w:tcW w:w="1489" w:type="dxa"/>
            <w:tcBorders>
              <w:right w:val="single" w:sz="8" w:space="0" w:color="000000"/>
            </w:tcBorders>
          </w:tcPr>
          <w:p>
            <w:pPr>
              <w:pStyle w:val="TableParagraph"/>
              <w:spacing w:line="320" w:lineRule="exact" w:before="23"/>
              <w:ind w:left="300" w:right="295" w:firstLine="56"/>
              <w:jc w:val="left"/>
              <w:rPr>
                <w:sz w:val="18"/>
              </w:rPr>
            </w:pPr>
            <w:r>
              <w:rPr>
                <w:sz w:val="18"/>
              </w:rPr>
              <w:t>Suma de cuadrados</w:t>
            </w:r>
          </w:p>
        </w:tc>
        <w:tc>
          <w:tcPr>
            <w:tcW w:w="993" w:type="dxa"/>
            <w:tcBorders>
              <w:left w:val="single" w:sz="8" w:space="0" w:color="000000"/>
              <w:right w:val="single" w:sz="8" w:space="0" w:color="000000"/>
            </w:tcBorders>
          </w:tcPr>
          <w:p>
            <w:pPr>
              <w:pStyle w:val="TableParagraph"/>
              <w:spacing w:line="240" w:lineRule="auto" w:before="110"/>
              <w:ind w:left="386" w:right="406"/>
              <w:jc w:val="center"/>
              <w:rPr>
                <w:sz w:val="18"/>
              </w:rPr>
            </w:pPr>
            <w:r>
              <w:rPr>
                <w:sz w:val="18"/>
              </w:rPr>
              <w:t>gl</w:t>
            </w:r>
          </w:p>
        </w:tc>
        <w:tc>
          <w:tcPr>
            <w:tcW w:w="1485" w:type="dxa"/>
            <w:tcBorders>
              <w:left w:val="single" w:sz="8" w:space="0" w:color="000000"/>
              <w:right w:val="single" w:sz="8" w:space="0" w:color="000000"/>
            </w:tcBorders>
          </w:tcPr>
          <w:p>
            <w:pPr>
              <w:pStyle w:val="TableParagraph"/>
              <w:spacing w:line="240" w:lineRule="auto" w:before="110"/>
              <w:ind w:right="51"/>
              <w:rPr>
                <w:sz w:val="18"/>
              </w:rPr>
            </w:pPr>
            <w:r>
              <w:rPr>
                <w:sz w:val="18"/>
              </w:rPr>
              <w:t>Media cuadrática</w:t>
            </w:r>
          </w:p>
        </w:tc>
        <w:tc>
          <w:tcPr>
            <w:tcW w:w="993" w:type="dxa"/>
            <w:tcBorders>
              <w:left w:val="single" w:sz="8" w:space="0" w:color="000000"/>
              <w:right w:val="single" w:sz="8" w:space="0" w:color="000000"/>
            </w:tcBorders>
          </w:tcPr>
          <w:p>
            <w:pPr>
              <w:pStyle w:val="TableParagraph"/>
              <w:spacing w:line="240" w:lineRule="auto" w:before="110"/>
              <w:ind w:right="12"/>
              <w:jc w:val="center"/>
              <w:rPr>
                <w:sz w:val="18"/>
              </w:rPr>
            </w:pPr>
            <w:r>
              <w:rPr>
                <w:w w:val="100"/>
                <w:sz w:val="18"/>
              </w:rPr>
              <w:t>F</w:t>
            </w:r>
          </w:p>
        </w:tc>
        <w:tc>
          <w:tcPr>
            <w:tcW w:w="993" w:type="dxa"/>
            <w:tcBorders>
              <w:left w:val="single" w:sz="8" w:space="0" w:color="000000"/>
            </w:tcBorders>
          </w:tcPr>
          <w:p>
            <w:pPr>
              <w:pStyle w:val="TableParagraph"/>
              <w:spacing w:line="240" w:lineRule="auto" w:before="110"/>
              <w:ind w:left="311"/>
              <w:jc w:val="left"/>
              <w:rPr>
                <w:sz w:val="18"/>
              </w:rPr>
            </w:pPr>
            <w:r>
              <w:rPr>
                <w:sz w:val="18"/>
              </w:rPr>
              <w:t>Sig.</w:t>
            </w:r>
          </w:p>
        </w:tc>
      </w:tr>
      <w:tr>
        <w:trPr>
          <w:trHeight w:val="352" w:hRule="atLeast"/>
        </w:trPr>
        <w:tc>
          <w:tcPr>
            <w:tcW w:w="434" w:type="dxa"/>
            <w:tcBorders>
              <w:bottom w:val="nil"/>
              <w:right w:val="nil"/>
            </w:tcBorders>
          </w:tcPr>
          <w:p>
            <w:pPr>
              <w:pStyle w:val="TableParagraph"/>
              <w:spacing w:line="240" w:lineRule="auto" w:before="0"/>
              <w:jc w:val="left"/>
              <w:rPr>
                <w:rFonts w:ascii="Times New Roman"/>
                <w:sz w:val="18"/>
              </w:rPr>
            </w:pPr>
          </w:p>
        </w:tc>
        <w:tc>
          <w:tcPr>
            <w:tcW w:w="1483" w:type="dxa"/>
            <w:tcBorders>
              <w:left w:val="nil"/>
              <w:bottom w:val="nil"/>
            </w:tcBorders>
          </w:tcPr>
          <w:p>
            <w:pPr>
              <w:pStyle w:val="TableParagraph"/>
              <w:spacing w:line="240" w:lineRule="auto" w:before="87"/>
              <w:ind w:left="329"/>
              <w:jc w:val="left"/>
              <w:rPr>
                <w:sz w:val="18"/>
              </w:rPr>
            </w:pPr>
            <w:r>
              <w:rPr>
                <w:sz w:val="18"/>
              </w:rPr>
              <w:t>Regresión</w:t>
            </w:r>
          </w:p>
        </w:tc>
        <w:tc>
          <w:tcPr>
            <w:tcW w:w="1489" w:type="dxa"/>
            <w:tcBorders>
              <w:bottom w:val="nil"/>
              <w:right w:val="single" w:sz="8" w:space="0" w:color="000000"/>
            </w:tcBorders>
          </w:tcPr>
          <w:p>
            <w:pPr>
              <w:pStyle w:val="TableParagraph"/>
              <w:spacing w:line="240" w:lineRule="auto" w:before="87"/>
              <w:ind w:right="36"/>
              <w:rPr>
                <w:sz w:val="18"/>
              </w:rPr>
            </w:pPr>
            <w:r>
              <w:rPr>
                <w:sz w:val="18"/>
              </w:rPr>
              <w:t>1.848</w:t>
            </w:r>
          </w:p>
        </w:tc>
        <w:tc>
          <w:tcPr>
            <w:tcW w:w="993" w:type="dxa"/>
            <w:tcBorders>
              <w:left w:val="single" w:sz="8" w:space="0" w:color="000000"/>
              <w:bottom w:val="nil"/>
              <w:right w:val="single" w:sz="8" w:space="0" w:color="000000"/>
            </w:tcBorders>
          </w:tcPr>
          <w:p>
            <w:pPr>
              <w:pStyle w:val="TableParagraph"/>
              <w:spacing w:line="240" w:lineRule="auto" w:before="87"/>
              <w:ind w:right="37"/>
              <w:rPr>
                <w:sz w:val="18"/>
              </w:rPr>
            </w:pPr>
            <w:r>
              <w:rPr>
                <w:w w:val="95"/>
                <w:sz w:val="18"/>
              </w:rPr>
              <w:t>10</w:t>
            </w:r>
          </w:p>
        </w:tc>
        <w:tc>
          <w:tcPr>
            <w:tcW w:w="1485" w:type="dxa"/>
            <w:tcBorders>
              <w:left w:val="single" w:sz="8" w:space="0" w:color="000000"/>
              <w:bottom w:val="nil"/>
              <w:right w:val="single" w:sz="8" w:space="0" w:color="000000"/>
            </w:tcBorders>
          </w:tcPr>
          <w:p>
            <w:pPr>
              <w:pStyle w:val="TableParagraph"/>
              <w:spacing w:line="240" w:lineRule="auto" w:before="87"/>
              <w:ind w:right="34"/>
              <w:rPr>
                <w:sz w:val="18"/>
              </w:rPr>
            </w:pPr>
            <w:r>
              <w:rPr>
                <w:sz w:val="18"/>
              </w:rPr>
              <w:t>.185</w:t>
            </w:r>
          </w:p>
        </w:tc>
        <w:tc>
          <w:tcPr>
            <w:tcW w:w="993" w:type="dxa"/>
            <w:vMerge w:val="restart"/>
            <w:tcBorders>
              <w:left w:val="single" w:sz="8" w:space="0" w:color="000000"/>
              <w:right w:val="single" w:sz="8" w:space="0" w:color="000000"/>
            </w:tcBorders>
          </w:tcPr>
          <w:p>
            <w:pPr>
              <w:pStyle w:val="TableParagraph"/>
              <w:spacing w:line="240" w:lineRule="auto" w:before="87"/>
              <w:ind w:left="483"/>
              <w:jc w:val="left"/>
              <w:rPr>
                <w:sz w:val="18"/>
              </w:rPr>
            </w:pPr>
            <w:r>
              <w:rPr>
                <w:sz w:val="18"/>
              </w:rPr>
              <w:t>3.701</w:t>
            </w:r>
          </w:p>
        </w:tc>
        <w:tc>
          <w:tcPr>
            <w:tcW w:w="993" w:type="dxa"/>
            <w:vMerge w:val="restart"/>
            <w:tcBorders>
              <w:left w:val="single" w:sz="8" w:space="0" w:color="000000"/>
            </w:tcBorders>
          </w:tcPr>
          <w:p>
            <w:pPr>
              <w:pStyle w:val="TableParagraph"/>
              <w:spacing w:line="240" w:lineRule="auto" w:before="87"/>
              <w:ind w:left="503"/>
              <w:jc w:val="left"/>
              <w:rPr>
                <w:sz w:val="12"/>
              </w:rPr>
            </w:pPr>
            <w:r>
              <w:rPr>
                <w:sz w:val="18"/>
              </w:rPr>
              <w:t>.000</w:t>
            </w:r>
            <w:r>
              <w:rPr>
                <w:position w:val="5"/>
                <w:sz w:val="12"/>
              </w:rPr>
              <w:t>b</w:t>
            </w:r>
          </w:p>
        </w:tc>
      </w:tr>
      <w:tr>
        <w:trPr>
          <w:trHeight w:val="321" w:hRule="atLeast"/>
        </w:trPr>
        <w:tc>
          <w:tcPr>
            <w:tcW w:w="434" w:type="dxa"/>
            <w:tcBorders>
              <w:top w:val="nil"/>
              <w:bottom w:val="nil"/>
              <w:right w:val="nil"/>
            </w:tcBorders>
          </w:tcPr>
          <w:p>
            <w:pPr>
              <w:pStyle w:val="TableParagraph"/>
              <w:spacing w:line="240" w:lineRule="auto" w:before="53"/>
              <w:ind w:left="25"/>
              <w:jc w:val="left"/>
              <w:rPr>
                <w:sz w:val="18"/>
              </w:rPr>
            </w:pPr>
            <w:r>
              <w:rPr>
                <w:w w:val="99"/>
                <w:sz w:val="18"/>
              </w:rPr>
              <w:t>4</w:t>
            </w:r>
          </w:p>
        </w:tc>
        <w:tc>
          <w:tcPr>
            <w:tcW w:w="1483" w:type="dxa"/>
            <w:tcBorders>
              <w:top w:val="nil"/>
              <w:left w:val="nil"/>
              <w:bottom w:val="nil"/>
            </w:tcBorders>
          </w:tcPr>
          <w:p>
            <w:pPr>
              <w:pStyle w:val="TableParagraph"/>
              <w:spacing w:line="240" w:lineRule="auto" w:before="53"/>
              <w:ind w:left="329"/>
              <w:jc w:val="left"/>
              <w:rPr>
                <w:sz w:val="18"/>
              </w:rPr>
            </w:pPr>
            <w:r>
              <w:rPr>
                <w:sz w:val="18"/>
              </w:rPr>
              <w:t>Residual</w:t>
            </w:r>
          </w:p>
        </w:tc>
        <w:tc>
          <w:tcPr>
            <w:tcW w:w="1489" w:type="dxa"/>
            <w:tcBorders>
              <w:top w:val="nil"/>
              <w:bottom w:val="nil"/>
              <w:right w:val="single" w:sz="8" w:space="0" w:color="000000"/>
            </w:tcBorders>
          </w:tcPr>
          <w:p>
            <w:pPr>
              <w:pStyle w:val="TableParagraph"/>
              <w:spacing w:line="240" w:lineRule="auto" w:before="53"/>
              <w:ind w:right="36"/>
              <w:rPr>
                <w:sz w:val="18"/>
              </w:rPr>
            </w:pPr>
            <w:r>
              <w:rPr>
                <w:sz w:val="18"/>
              </w:rPr>
              <w:t>14.476</w:t>
            </w:r>
          </w:p>
        </w:tc>
        <w:tc>
          <w:tcPr>
            <w:tcW w:w="993" w:type="dxa"/>
            <w:tcBorders>
              <w:top w:val="nil"/>
              <w:left w:val="single" w:sz="8" w:space="0" w:color="000000"/>
              <w:bottom w:val="nil"/>
              <w:right w:val="single" w:sz="8" w:space="0" w:color="000000"/>
            </w:tcBorders>
          </w:tcPr>
          <w:p>
            <w:pPr>
              <w:pStyle w:val="TableParagraph"/>
              <w:spacing w:line="240" w:lineRule="auto" w:before="53"/>
              <w:ind w:right="38"/>
              <w:rPr>
                <w:sz w:val="18"/>
              </w:rPr>
            </w:pPr>
            <w:r>
              <w:rPr>
                <w:w w:val="95"/>
                <w:sz w:val="18"/>
              </w:rPr>
              <w:t>290</w:t>
            </w:r>
          </w:p>
        </w:tc>
        <w:tc>
          <w:tcPr>
            <w:tcW w:w="1485" w:type="dxa"/>
            <w:tcBorders>
              <w:top w:val="nil"/>
              <w:left w:val="single" w:sz="8" w:space="0" w:color="000000"/>
              <w:bottom w:val="nil"/>
              <w:right w:val="single" w:sz="8" w:space="0" w:color="000000"/>
            </w:tcBorders>
          </w:tcPr>
          <w:p>
            <w:pPr>
              <w:pStyle w:val="TableParagraph"/>
              <w:spacing w:line="240" w:lineRule="auto" w:before="53"/>
              <w:ind w:right="34"/>
              <w:rPr>
                <w:sz w:val="18"/>
              </w:rPr>
            </w:pPr>
            <w:r>
              <w:rPr>
                <w:sz w:val="18"/>
              </w:rPr>
              <w:t>.050</w:t>
            </w:r>
          </w:p>
        </w:tc>
        <w:tc>
          <w:tcPr>
            <w:tcW w:w="993" w:type="dxa"/>
            <w:vMerge/>
            <w:tcBorders>
              <w:top w:val="nil"/>
              <w:left w:val="single" w:sz="8" w:space="0" w:color="000000"/>
              <w:right w:val="single" w:sz="8" w:space="0" w:color="000000"/>
            </w:tcBorders>
          </w:tcPr>
          <w:p>
            <w:pPr>
              <w:rPr>
                <w:sz w:val="2"/>
                <w:szCs w:val="2"/>
              </w:rPr>
            </w:pPr>
          </w:p>
        </w:tc>
        <w:tc>
          <w:tcPr>
            <w:tcW w:w="993" w:type="dxa"/>
            <w:vMerge/>
            <w:tcBorders>
              <w:top w:val="nil"/>
              <w:left w:val="single" w:sz="8" w:space="0" w:color="000000"/>
            </w:tcBorders>
          </w:tcPr>
          <w:p>
            <w:pPr>
              <w:rPr>
                <w:sz w:val="2"/>
                <w:szCs w:val="2"/>
              </w:rPr>
            </w:pPr>
          </w:p>
        </w:tc>
      </w:tr>
      <w:tr>
        <w:trPr>
          <w:trHeight w:val="263" w:hRule="atLeast"/>
        </w:trPr>
        <w:tc>
          <w:tcPr>
            <w:tcW w:w="434" w:type="dxa"/>
            <w:tcBorders>
              <w:top w:val="nil"/>
              <w:right w:val="nil"/>
            </w:tcBorders>
          </w:tcPr>
          <w:p>
            <w:pPr>
              <w:pStyle w:val="TableParagraph"/>
              <w:spacing w:line="240" w:lineRule="auto" w:before="0"/>
              <w:jc w:val="left"/>
              <w:rPr>
                <w:rFonts w:ascii="Times New Roman"/>
                <w:sz w:val="18"/>
              </w:rPr>
            </w:pPr>
          </w:p>
        </w:tc>
        <w:tc>
          <w:tcPr>
            <w:tcW w:w="1483" w:type="dxa"/>
            <w:tcBorders>
              <w:top w:val="nil"/>
              <w:left w:val="nil"/>
            </w:tcBorders>
          </w:tcPr>
          <w:p>
            <w:pPr>
              <w:pStyle w:val="TableParagraph"/>
              <w:spacing w:line="188" w:lineRule="exact" w:before="55"/>
              <w:ind w:left="329"/>
              <w:jc w:val="left"/>
              <w:rPr>
                <w:sz w:val="18"/>
              </w:rPr>
            </w:pPr>
            <w:r>
              <w:rPr>
                <w:sz w:val="18"/>
              </w:rPr>
              <w:t>Total</w:t>
            </w:r>
          </w:p>
        </w:tc>
        <w:tc>
          <w:tcPr>
            <w:tcW w:w="1489" w:type="dxa"/>
            <w:tcBorders>
              <w:top w:val="nil"/>
              <w:right w:val="single" w:sz="8" w:space="0" w:color="000000"/>
            </w:tcBorders>
          </w:tcPr>
          <w:p>
            <w:pPr>
              <w:pStyle w:val="TableParagraph"/>
              <w:spacing w:line="188" w:lineRule="exact" w:before="55"/>
              <w:ind w:right="36"/>
              <w:rPr>
                <w:sz w:val="18"/>
              </w:rPr>
            </w:pPr>
            <w:r>
              <w:rPr>
                <w:sz w:val="18"/>
              </w:rPr>
              <w:t>16.323</w:t>
            </w:r>
          </w:p>
        </w:tc>
        <w:tc>
          <w:tcPr>
            <w:tcW w:w="993" w:type="dxa"/>
            <w:tcBorders>
              <w:top w:val="nil"/>
              <w:left w:val="single" w:sz="8" w:space="0" w:color="000000"/>
              <w:right w:val="single" w:sz="8" w:space="0" w:color="000000"/>
            </w:tcBorders>
          </w:tcPr>
          <w:p>
            <w:pPr>
              <w:pStyle w:val="TableParagraph"/>
              <w:spacing w:line="188" w:lineRule="exact" w:before="55"/>
              <w:ind w:right="38"/>
              <w:rPr>
                <w:sz w:val="18"/>
              </w:rPr>
            </w:pPr>
            <w:r>
              <w:rPr>
                <w:w w:val="95"/>
                <w:sz w:val="18"/>
              </w:rPr>
              <w:t>300</w:t>
            </w:r>
          </w:p>
        </w:tc>
        <w:tc>
          <w:tcPr>
            <w:tcW w:w="1485" w:type="dxa"/>
            <w:tcBorders>
              <w:top w:val="nil"/>
              <w:left w:val="single" w:sz="8" w:space="0" w:color="000000"/>
              <w:right w:val="single" w:sz="8" w:space="0" w:color="000000"/>
            </w:tcBorders>
          </w:tcPr>
          <w:p>
            <w:pPr>
              <w:pStyle w:val="TableParagraph"/>
              <w:spacing w:line="240" w:lineRule="auto" w:before="0"/>
              <w:jc w:val="left"/>
              <w:rPr>
                <w:rFonts w:ascii="Times New Roman"/>
                <w:sz w:val="18"/>
              </w:rPr>
            </w:pPr>
          </w:p>
        </w:tc>
        <w:tc>
          <w:tcPr>
            <w:tcW w:w="993" w:type="dxa"/>
            <w:vMerge/>
            <w:tcBorders>
              <w:top w:val="nil"/>
              <w:left w:val="single" w:sz="8" w:space="0" w:color="000000"/>
              <w:right w:val="single" w:sz="8" w:space="0" w:color="000000"/>
            </w:tcBorders>
          </w:tcPr>
          <w:p>
            <w:pPr>
              <w:rPr>
                <w:sz w:val="2"/>
                <w:szCs w:val="2"/>
              </w:rPr>
            </w:pPr>
          </w:p>
        </w:tc>
        <w:tc>
          <w:tcPr>
            <w:tcW w:w="993"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252"/>
      </w:tblGrid>
      <w:tr>
        <w:trPr>
          <w:trHeight w:val="260" w:hRule="atLeast"/>
        </w:trPr>
        <w:tc>
          <w:tcPr>
            <w:tcW w:w="7252" w:type="dxa"/>
          </w:tcPr>
          <w:p>
            <w:pPr>
              <w:pStyle w:val="TableParagraph"/>
              <w:spacing w:line="201" w:lineRule="exact" w:before="0"/>
              <w:ind w:left="200"/>
              <w:jc w:val="left"/>
              <w:rPr>
                <w:sz w:val="18"/>
              </w:rPr>
            </w:pPr>
            <w:r>
              <w:rPr>
                <w:sz w:val="18"/>
              </w:rPr>
              <w:t>a. Variable dependiente: RES_42</w:t>
            </w:r>
          </w:p>
        </w:tc>
      </w:tr>
      <w:tr>
        <w:trPr>
          <w:trHeight w:val="900" w:hRule="atLeast"/>
        </w:trPr>
        <w:tc>
          <w:tcPr>
            <w:tcW w:w="7252" w:type="dxa"/>
          </w:tcPr>
          <w:p>
            <w:pPr>
              <w:pStyle w:val="TableParagraph"/>
              <w:spacing w:line="372" w:lineRule="auto" w:before="53"/>
              <w:ind w:left="200"/>
              <w:jc w:val="left"/>
              <w:rPr>
                <w:sz w:val="18"/>
              </w:rPr>
            </w:pPr>
            <w:r>
              <w:rPr>
                <w:sz w:val="18"/>
              </w:rPr>
              <w:t>b. Variables predictoras: (Constante), VistaalaCarpintera, LnNúmeroHabitaciones, ZonadeRiesgodedesastre, LnAreadeConstruccion, LnDistanciaSJ, Tipo1casa0Condo,</w:t>
            </w:r>
          </w:p>
          <w:p>
            <w:pPr>
              <w:pStyle w:val="TableParagraph"/>
              <w:spacing w:line="185" w:lineRule="exact" w:before="0"/>
              <w:ind w:left="200"/>
              <w:jc w:val="left"/>
              <w:rPr>
                <w:sz w:val="18"/>
              </w:rPr>
            </w:pPr>
            <w:r>
              <w:rPr>
                <w:sz w:val="18"/>
              </w:rPr>
              <w:t>LnAñoConstruccion, LnNúmerodePlantas, LnDistanciaPobreza, LnNúmerodeBaños</w:t>
            </w:r>
          </w:p>
        </w:tc>
      </w:tr>
    </w:tbl>
    <w:p>
      <w:pPr>
        <w:pStyle w:val="BodyText"/>
        <w:rPr>
          <w:b/>
          <w:sz w:val="20"/>
        </w:rPr>
      </w:pPr>
    </w:p>
    <w:p>
      <w:pPr>
        <w:pStyle w:val="BodyText"/>
        <w:spacing w:before="3"/>
        <w:rPr>
          <w:b/>
        </w:rPr>
      </w:pPr>
    </w:p>
    <w:p>
      <w:pPr>
        <w:spacing w:before="0" w:after="7"/>
        <w:ind w:left="775" w:right="2507" w:firstLine="0"/>
        <w:jc w:val="center"/>
        <w:rPr>
          <w:b/>
          <w:sz w:val="18"/>
        </w:rPr>
      </w:pPr>
      <w:r>
        <w:rPr>
          <w:b/>
          <w:sz w:val="18"/>
        </w:rPr>
        <w:t>ANOVA ABRIDGED WHITE MODELO 4</w:t>
      </w:r>
      <w:r>
        <w:rPr>
          <w:b/>
          <w:sz w:val="18"/>
          <w:vertAlign w:val="superscript"/>
        </w:rPr>
        <w:t>a</w:t>
      </w:r>
    </w:p>
    <w:tbl>
      <w:tblPr>
        <w:tblW w:w="0" w:type="auto"/>
        <w:jc w:val="left"/>
        <w:tblInd w:w="10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6"/>
        <w:gridCol w:w="1485"/>
        <w:gridCol w:w="1485"/>
        <w:gridCol w:w="1005"/>
        <w:gridCol w:w="1485"/>
        <w:gridCol w:w="1008"/>
        <w:gridCol w:w="1005"/>
      </w:tblGrid>
      <w:tr>
        <w:trPr>
          <w:trHeight w:val="638" w:hRule="atLeast"/>
        </w:trPr>
        <w:tc>
          <w:tcPr>
            <w:tcW w:w="1921" w:type="dxa"/>
            <w:gridSpan w:val="2"/>
          </w:tcPr>
          <w:p>
            <w:pPr>
              <w:pStyle w:val="TableParagraph"/>
              <w:spacing w:line="240" w:lineRule="auto" w:before="110"/>
              <w:ind w:left="25"/>
              <w:jc w:val="left"/>
              <w:rPr>
                <w:sz w:val="18"/>
              </w:rPr>
            </w:pPr>
            <w:r>
              <w:rPr>
                <w:sz w:val="18"/>
              </w:rPr>
              <w:t>Modelo</w:t>
            </w:r>
          </w:p>
        </w:tc>
        <w:tc>
          <w:tcPr>
            <w:tcW w:w="1485" w:type="dxa"/>
            <w:tcBorders>
              <w:right w:val="single" w:sz="8" w:space="0" w:color="000000"/>
            </w:tcBorders>
          </w:tcPr>
          <w:p>
            <w:pPr>
              <w:pStyle w:val="TableParagraph"/>
              <w:spacing w:line="320" w:lineRule="exact" w:before="23"/>
              <w:ind w:left="296" w:right="295" w:firstLine="56"/>
              <w:jc w:val="left"/>
              <w:rPr>
                <w:sz w:val="18"/>
              </w:rPr>
            </w:pPr>
            <w:r>
              <w:rPr>
                <w:sz w:val="18"/>
              </w:rPr>
              <w:t>Suma de cuadrados</w:t>
            </w:r>
          </w:p>
        </w:tc>
        <w:tc>
          <w:tcPr>
            <w:tcW w:w="1005" w:type="dxa"/>
            <w:tcBorders>
              <w:left w:val="single" w:sz="8" w:space="0" w:color="000000"/>
              <w:right w:val="single" w:sz="8" w:space="0" w:color="000000"/>
            </w:tcBorders>
          </w:tcPr>
          <w:p>
            <w:pPr>
              <w:pStyle w:val="TableParagraph"/>
              <w:spacing w:line="240" w:lineRule="auto" w:before="110"/>
              <w:ind w:left="393" w:right="410"/>
              <w:jc w:val="center"/>
              <w:rPr>
                <w:sz w:val="18"/>
              </w:rPr>
            </w:pPr>
            <w:r>
              <w:rPr>
                <w:sz w:val="18"/>
              </w:rPr>
              <w:t>gl</w:t>
            </w:r>
          </w:p>
        </w:tc>
        <w:tc>
          <w:tcPr>
            <w:tcW w:w="1485" w:type="dxa"/>
            <w:tcBorders>
              <w:left w:val="single" w:sz="8" w:space="0" w:color="000000"/>
              <w:right w:val="single" w:sz="8" w:space="0" w:color="000000"/>
            </w:tcBorders>
          </w:tcPr>
          <w:p>
            <w:pPr>
              <w:pStyle w:val="TableParagraph"/>
              <w:spacing w:line="240" w:lineRule="auto" w:before="110"/>
              <w:ind w:right="51"/>
              <w:rPr>
                <w:sz w:val="18"/>
              </w:rPr>
            </w:pPr>
            <w:r>
              <w:rPr>
                <w:sz w:val="18"/>
              </w:rPr>
              <w:t>Media cuadrática</w:t>
            </w:r>
          </w:p>
        </w:tc>
        <w:tc>
          <w:tcPr>
            <w:tcW w:w="1008" w:type="dxa"/>
            <w:tcBorders>
              <w:left w:val="single" w:sz="8" w:space="0" w:color="000000"/>
              <w:right w:val="single" w:sz="8" w:space="0" w:color="000000"/>
            </w:tcBorders>
          </w:tcPr>
          <w:p>
            <w:pPr>
              <w:pStyle w:val="TableParagraph"/>
              <w:spacing w:line="240" w:lineRule="auto" w:before="110"/>
              <w:ind w:right="11"/>
              <w:jc w:val="center"/>
              <w:rPr>
                <w:sz w:val="18"/>
              </w:rPr>
            </w:pPr>
            <w:r>
              <w:rPr>
                <w:w w:val="100"/>
                <w:sz w:val="18"/>
              </w:rPr>
              <w:t>F</w:t>
            </w:r>
          </w:p>
        </w:tc>
        <w:tc>
          <w:tcPr>
            <w:tcW w:w="1005" w:type="dxa"/>
            <w:tcBorders>
              <w:left w:val="single" w:sz="8" w:space="0" w:color="000000"/>
            </w:tcBorders>
          </w:tcPr>
          <w:p>
            <w:pPr>
              <w:pStyle w:val="TableParagraph"/>
              <w:spacing w:line="240" w:lineRule="auto" w:before="110"/>
              <w:ind w:left="320"/>
              <w:jc w:val="left"/>
              <w:rPr>
                <w:sz w:val="18"/>
              </w:rPr>
            </w:pPr>
            <w:r>
              <w:rPr>
                <w:sz w:val="18"/>
              </w:rPr>
              <w:t>Sig.</w:t>
            </w:r>
          </w:p>
        </w:tc>
      </w:tr>
      <w:tr>
        <w:trPr>
          <w:trHeight w:val="352" w:hRule="atLeast"/>
        </w:trPr>
        <w:tc>
          <w:tcPr>
            <w:tcW w:w="436" w:type="dxa"/>
            <w:tcBorders>
              <w:bottom w:val="nil"/>
              <w:right w:val="nil"/>
            </w:tcBorders>
          </w:tcPr>
          <w:p>
            <w:pPr>
              <w:pStyle w:val="TableParagraph"/>
              <w:spacing w:line="240" w:lineRule="auto" w:before="0"/>
              <w:jc w:val="left"/>
              <w:rPr>
                <w:rFonts w:ascii="Times New Roman"/>
                <w:sz w:val="18"/>
              </w:rPr>
            </w:pPr>
          </w:p>
        </w:tc>
        <w:tc>
          <w:tcPr>
            <w:tcW w:w="1485" w:type="dxa"/>
            <w:tcBorders>
              <w:left w:val="nil"/>
              <w:bottom w:val="nil"/>
            </w:tcBorders>
          </w:tcPr>
          <w:p>
            <w:pPr>
              <w:pStyle w:val="TableParagraph"/>
              <w:spacing w:line="240" w:lineRule="auto" w:before="86"/>
              <w:ind w:left="331"/>
              <w:jc w:val="left"/>
              <w:rPr>
                <w:sz w:val="18"/>
              </w:rPr>
            </w:pPr>
            <w:r>
              <w:rPr>
                <w:sz w:val="18"/>
              </w:rPr>
              <w:t>Regresión</w:t>
            </w:r>
          </w:p>
        </w:tc>
        <w:tc>
          <w:tcPr>
            <w:tcW w:w="1485" w:type="dxa"/>
            <w:tcBorders>
              <w:bottom w:val="nil"/>
              <w:right w:val="single" w:sz="8" w:space="0" w:color="000000"/>
            </w:tcBorders>
          </w:tcPr>
          <w:p>
            <w:pPr>
              <w:pStyle w:val="TableParagraph"/>
              <w:spacing w:line="240" w:lineRule="auto" w:before="86"/>
              <w:ind w:right="36"/>
              <w:rPr>
                <w:sz w:val="18"/>
              </w:rPr>
            </w:pPr>
            <w:r>
              <w:rPr>
                <w:sz w:val="18"/>
              </w:rPr>
              <w:t>.809</w:t>
            </w:r>
          </w:p>
        </w:tc>
        <w:tc>
          <w:tcPr>
            <w:tcW w:w="1005" w:type="dxa"/>
            <w:tcBorders>
              <w:left w:val="single" w:sz="8" w:space="0" w:color="000000"/>
              <w:bottom w:val="nil"/>
              <w:right w:val="single" w:sz="8" w:space="0" w:color="000000"/>
            </w:tcBorders>
          </w:tcPr>
          <w:p>
            <w:pPr>
              <w:pStyle w:val="TableParagraph"/>
              <w:spacing w:line="240" w:lineRule="auto" w:before="86"/>
              <w:ind w:right="37"/>
              <w:rPr>
                <w:sz w:val="18"/>
              </w:rPr>
            </w:pPr>
            <w:r>
              <w:rPr>
                <w:w w:val="99"/>
                <w:sz w:val="18"/>
              </w:rPr>
              <w:t>2</w:t>
            </w:r>
          </w:p>
        </w:tc>
        <w:tc>
          <w:tcPr>
            <w:tcW w:w="1485" w:type="dxa"/>
            <w:tcBorders>
              <w:left w:val="single" w:sz="8" w:space="0" w:color="000000"/>
              <w:bottom w:val="nil"/>
              <w:right w:val="single" w:sz="8" w:space="0" w:color="000000"/>
            </w:tcBorders>
          </w:tcPr>
          <w:p>
            <w:pPr>
              <w:pStyle w:val="TableParagraph"/>
              <w:spacing w:line="240" w:lineRule="auto" w:before="86"/>
              <w:ind w:right="38"/>
              <w:rPr>
                <w:sz w:val="18"/>
              </w:rPr>
            </w:pPr>
            <w:r>
              <w:rPr>
                <w:sz w:val="18"/>
              </w:rPr>
              <w:t>.405</w:t>
            </w:r>
          </w:p>
        </w:tc>
        <w:tc>
          <w:tcPr>
            <w:tcW w:w="1008" w:type="dxa"/>
            <w:vMerge w:val="restart"/>
            <w:tcBorders>
              <w:left w:val="single" w:sz="8" w:space="0" w:color="000000"/>
              <w:right w:val="single" w:sz="8" w:space="0" w:color="000000"/>
            </w:tcBorders>
          </w:tcPr>
          <w:p>
            <w:pPr>
              <w:pStyle w:val="TableParagraph"/>
              <w:spacing w:line="240" w:lineRule="auto" w:before="86"/>
              <w:ind w:left="495"/>
              <w:jc w:val="left"/>
              <w:rPr>
                <w:sz w:val="18"/>
              </w:rPr>
            </w:pPr>
            <w:r>
              <w:rPr>
                <w:sz w:val="18"/>
              </w:rPr>
              <w:t>7.775</w:t>
            </w:r>
          </w:p>
        </w:tc>
        <w:tc>
          <w:tcPr>
            <w:tcW w:w="1005" w:type="dxa"/>
            <w:vMerge w:val="restart"/>
            <w:tcBorders>
              <w:left w:val="single" w:sz="8" w:space="0" w:color="000000"/>
            </w:tcBorders>
          </w:tcPr>
          <w:p>
            <w:pPr>
              <w:pStyle w:val="TableParagraph"/>
              <w:spacing w:line="240" w:lineRule="auto" w:before="86"/>
              <w:ind w:left="516"/>
              <w:jc w:val="left"/>
              <w:rPr>
                <w:sz w:val="12"/>
              </w:rPr>
            </w:pPr>
            <w:r>
              <w:rPr>
                <w:sz w:val="18"/>
              </w:rPr>
              <w:t>.001</w:t>
            </w:r>
            <w:r>
              <w:rPr>
                <w:position w:val="5"/>
                <w:sz w:val="12"/>
              </w:rPr>
              <w:t>b</w:t>
            </w:r>
          </w:p>
        </w:tc>
      </w:tr>
      <w:tr>
        <w:trPr>
          <w:trHeight w:val="321" w:hRule="atLeast"/>
        </w:trPr>
        <w:tc>
          <w:tcPr>
            <w:tcW w:w="436" w:type="dxa"/>
            <w:tcBorders>
              <w:top w:val="nil"/>
              <w:bottom w:val="nil"/>
              <w:right w:val="nil"/>
            </w:tcBorders>
          </w:tcPr>
          <w:p>
            <w:pPr>
              <w:pStyle w:val="TableParagraph"/>
              <w:spacing w:line="240" w:lineRule="auto" w:before="53"/>
              <w:ind w:left="25"/>
              <w:jc w:val="left"/>
              <w:rPr>
                <w:sz w:val="18"/>
              </w:rPr>
            </w:pPr>
            <w:r>
              <w:rPr>
                <w:w w:val="99"/>
                <w:sz w:val="18"/>
              </w:rPr>
              <w:t>4</w:t>
            </w:r>
          </w:p>
        </w:tc>
        <w:tc>
          <w:tcPr>
            <w:tcW w:w="1485" w:type="dxa"/>
            <w:tcBorders>
              <w:top w:val="nil"/>
              <w:left w:val="nil"/>
              <w:bottom w:val="nil"/>
            </w:tcBorders>
          </w:tcPr>
          <w:p>
            <w:pPr>
              <w:pStyle w:val="TableParagraph"/>
              <w:spacing w:line="240" w:lineRule="auto" w:before="53"/>
              <w:ind w:left="331"/>
              <w:jc w:val="left"/>
              <w:rPr>
                <w:sz w:val="18"/>
              </w:rPr>
            </w:pPr>
            <w:r>
              <w:rPr>
                <w:sz w:val="18"/>
              </w:rPr>
              <w:t>Residual</w:t>
            </w:r>
          </w:p>
        </w:tc>
        <w:tc>
          <w:tcPr>
            <w:tcW w:w="1485" w:type="dxa"/>
            <w:tcBorders>
              <w:top w:val="nil"/>
              <w:bottom w:val="nil"/>
              <w:right w:val="single" w:sz="8" w:space="0" w:color="000000"/>
            </w:tcBorders>
          </w:tcPr>
          <w:p>
            <w:pPr>
              <w:pStyle w:val="TableParagraph"/>
              <w:spacing w:line="240" w:lineRule="auto" w:before="53"/>
              <w:ind w:right="36"/>
              <w:rPr>
                <w:sz w:val="18"/>
              </w:rPr>
            </w:pPr>
            <w:r>
              <w:rPr>
                <w:sz w:val="18"/>
              </w:rPr>
              <w:t>15.514</w:t>
            </w:r>
          </w:p>
        </w:tc>
        <w:tc>
          <w:tcPr>
            <w:tcW w:w="1005" w:type="dxa"/>
            <w:tcBorders>
              <w:top w:val="nil"/>
              <w:left w:val="single" w:sz="8" w:space="0" w:color="000000"/>
              <w:bottom w:val="nil"/>
              <w:right w:val="single" w:sz="8" w:space="0" w:color="000000"/>
            </w:tcBorders>
          </w:tcPr>
          <w:p>
            <w:pPr>
              <w:pStyle w:val="TableParagraph"/>
              <w:spacing w:line="240" w:lineRule="auto" w:before="53"/>
              <w:ind w:right="37"/>
              <w:rPr>
                <w:sz w:val="18"/>
              </w:rPr>
            </w:pPr>
            <w:r>
              <w:rPr>
                <w:w w:val="95"/>
                <w:sz w:val="18"/>
              </w:rPr>
              <w:t>298</w:t>
            </w:r>
          </w:p>
        </w:tc>
        <w:tc>
          <w:tcPr>
            <w:tcW w:w="1485" w:type="dxa"/>
            <w:tcBorders>
              <w:top w:val="nil"/>
              <w:left w:val="single" w:sz="8" w:space="0" w:color="000000"/>
              <w:bottom w:val="nil"/>
              <w:right w:val="single" w:sz="8" w:space="0" w:color="000000"/>
            </w:tcBorders>
          </w:tcPr>
          <w:p>
            <w:pPr>
              <w:pStyle w:val="TableParagraph"/>
              <w:spacing w:line="240" w:lineRule="auto" w:before="53"/>
              <w:ind w:right="38"/>
              <w:rPr>
                <w:sz w:val="18"/>
              </w:rPr>
            </w:pPr>
            <w:r>
              <w:rPr>
                <w:sz w:val="18"/>
              </w:rPr>
              <w:t>.052</w:t>
            </w:r>
          </w:p>
        </w:tc>
        <w:tc>
          <w:tcPr>
            <w:tcW w:w="1008" w:type="dxa"/>
            <w:vMerge/>
            <w:tcBorders>
              <w:top w:val="nil"/>
              <w:left w:val="single" w:sz="8" w:space="0" w:color="000000"/>
              <w:right w:val="single" w:sz="8" w:space="0" w:color="000000"/>
            </w:tcBorders>
          </w:tcPr>
          <w:p>
            <w:pPr>
              <w:rPr>
                <w:sz w:val="2"/>
                <w:szCs w:val="2"/>
              </w:rPr>
            </w:pPr>
          </w:p>
        </w:tc>
        <w:tc>
          <w:tcPr>
            <w:tcW w:w="1005" w:type="dxa"/>
            <w:vMerge/>
            <w:tcBorders>
              <w:top w:val="nil"/>
              <w:left w:val="single" w:sz="8" w:space="0" w:color="000000"/>
            </w:tcBorders>
          </w:tcPr>
          <w:p>
            <w:pPr>
              <w:rPr>
                <w:sz w:val="2"/>
                <w:szCs w:val="2"/>
              </w:rPr>
            </w:pPr>
          </w:p>
        </w:tc>
      </w:tr>
      <w:tr>
        <w:trPr>
          <w:trHeight w:val="263" w:hRule="atLeast"/>
        </w:trPr>
        <w:tc>
          <w:tcPr>
            <w:tcW w:w="436" w:type="dxa"/>
            <w:tcBorders>
              <w:top w:val="nil"/>
              <w:right w:val="nil"/>
            </w:tcBorders>
          </w:tcPr>
          <w:p>
            <w:pPr>
              <w:pStyle w:val="TableParagraph"/>
              <w:spacing w:line="240" w:lineRule="auto" w:before="0"/>
              <w:jc w:val="left"/>
              <w:rPr>
                <w:rFonts w:ascii="Times New Roman"/>
                <w:sz w:val="18"/>
              </w:rPr>
            </w:pPr>
          </w:p>
        </w:tc>
        <w:tc>
          <w:tcPr>
            <w:tcW w:w="1485" w:type="dxa"/>
            <w:tcBorders>
              <w:top w:val="nil"/>
              <w:left w:val="nil"/>
            </w:tcBorders>
          </w:tcPr>
          <w:p>
            <w:pPr>
              <w:pStyle w:val="TableParagraph"/>
              <w:spacing w:line="188" w:lineRule="exact" w:before="55"/>
              <w:ind w:left="331"/>
              <w:jc w:val="left"/>
              <w:rPr>
                <w:sz w:val="18"/>
              </w:rPr>
            </w:pPr>
            <w:r>
              <w:rPr>
                <w:sz w:val="18"/>
              </w:rPr>
              <w:t>Total</w:t>
            </w:r>
          </w:p>
        </w:tc>
        <w:tc>
          <w:tcPr>
            <w:tcW w:w="1485" w:type="dxa"/>
            <w:tcBorders>
              <w:top w:val="nil"/>
              <w:right w:val="single" w:sz="8" w:space="0" w:color="000000"/>
            </w:tcBorders>
          </w:tcPr>
          <w:p>
            <w:pPr>
              <w:pStyle w:val="TableParagraph"/>
              <w:spacing w:line="188" w:lineRule="exact" w:before="55"/>
              <w:ind w:right="36"/>
              <w:rPr>
                <w:sz w:val="18"/>
              </w:rPr>
            </w:pPr>
            <w:r>
              <w:rPr>
                <w:sz w:val="18"/>
              </w:rPr>
              <w:t>16.323</w:t>
            </w:r>
          </w:p>
        </w:tc>
        <w:tc>
          <w:tcPr>
            <w:tcW w:w="1005" w:type="dxa"/>
            <w:tcBorders>
              <w:top w:val="nil"/>
              <w:left w:val="single" w:sz="8" w:space="0" w:color="000000"/>
              <w:right w:val="single" w:sz="8" w:space="0" w:color="000000"/>
            </w:tcBorders>
          </w:tcPr>
          <w:p>
            <w:pPr>
              <w:pStyle w:val="TableParagraph"/>
              <w:spacing w:line="188" w:lineRule="exact" w:before="55"/>
              <w:ind w:right="37"/>
              <w:rPr>
                <w:sz w:val="18"/>
              </w:rPr>
            </w:pPr>
            <w:r>
              <w:rPr>
                <w:w w:val="95"/>
                <w:sz w:val="18"/>
              </w:rPr>
              <w:t>300</w:t>
            </w:r>
          </w:p>
        </w:tc>
        <w:tc>
          <w:tcPr>
            <w:tcW w:w="1485" w:type="dxa"/>
            <w:tcBorders>
              <w:top w:val="nil"/>
              <w:left w:val="single" w:sz="8" w:space="0" w:color="000000"/>
              <w:right w:val="single" w:sz="8" w:space="0" w:color="000000"/>
            </w:tcBorders>
          </w:tcPr>
          <w:p>
            <w:pPr>
              <w:pStyle w:val="TableParagraph"/>
              <w:spacing w:line="240" w:lineRule="auto" w:before="0"/>
              <w:jc w:val="left"/>
              <w:rPr>
                <w:rFonts w:ascii="Times New Roman"/>
                <w:sz w:val="18"/>
              </w:rPr>
            </w:pPr>
          </w:p>
        </w:tc>
        <w:tc>
          <w:tcPr>
            <w:tcW w:w="1008" w:type="dxa"/>
            <w:vMerge/>
            <w:tcBorders>
              <w:top w:val="nil"/>
              <w:left w:val="single" w:sz="8" w:space="0" w:color="000000"/>
              <w:right w:val="single" w:sz="8" w:space="0" w:color="000000"/>
            </w:tcBorders>
          </w:tcPr>
          <w:p>
            <w:pPr>
              <w:rPr>
                <w:sz w:val="2"/>
                <w:szCs w:val="2"/>
              </w:rPr>
            </w:pPr>
          </w:p>
        </w:tc>
        <w:tc>
          <w:tcPr>
            <w:tcW w:w="1005"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88"/>
      </w:tblGrid>
      <w:tr>
        <w:trPr>
          <w:trHeight w:val="260" w:hRule="atLeast"/>
        </w:trPr>
        <w:tc>
          <w:tcPr>
            <w:tcW w:w="6788" w:type="dxa"/>
          </w:tcPr>
          <w:p>
            <w:pPr>
              <w:pStyle w:val="TableParagraph"/>
              <w:spacing w:line="201" w:lineRule="exact" w:before="0"/>
              <w:ind w:left="200"/>
              <w:jc w:val="left"/>
              <w:rPr>
                <w:sz w:val="18"/>
              </w:rPr>
            </w:pPr>
            <w:r>
              <w:rPr>
                <w:sz w:val="18"/>
              </w:rPr>
              <w:t>a. Variable dependiente: RES_42</w:t>
            </w:r>
          </w:p>
        </w:tc>
      </w:tr>
      <w:tr>
        <w:trPr>
          <w:trHeight w:val="260" w:hRule="atLeast"/>
        </w:trPr>
        <w:tc>
          <w:tcPr>
            <w:tcW w:w="6788" w:type="dxa"/>
          </w:tcPr>
          <w:p>
            <w:pPr>
              <w:pStyle w:val="TableParagraph"/>
              <w:spacing w:line="187" w:lineRule="exact" w:before="53"/>
              <w:ind w:left="200"/>
              <w:jc w:val="left"/>
              <w:rPr>
                <w:sz w:val="18"/>
              </w:rPr>
            </w:pPr>
            <w:r>
              <w:rPr>
                <w:sz w:val="18"/>
              </w:rPr>
              <w:t>b. Variables predictoras: (Constante), PRE_42, Unstandardized Predicted Value</w:t>
            </w:r>
          </w:p>
        </w:tc>
      </w:tr>
    </w:tbl>
    <w:p>
      <w:pPr>
        <w:spacing w:after="0" w:line="187" w:lineRule="exact"/>
        <w:jc w:val="left"/>
        <w:rPr>
          <w:sz w:val="18"/>
        </w:rPr>
        <w:sectPr>
          <w:pgSz w:w="12240" w:h="15840"/>
          <w:pgMar w:header="0" w:footer="982" w:top="1460" w:bottom="1260" w:left="400" w:right="180"/>
        </w:sectPr>
      </w:pPr>
    </w:p>
    <w:p>
      <w:pPr>
        <w:pStyle w:val="BodyText"/>
        <w:spacing w:before="10"/>
        <w:rPr>
          <w:b/>
          <w:sz w:val="11"/>
        </w:rPr>
      </w:pPr>
    </w:p>
    <w:p>
      <w:pPr>
        <w:pStyle w:val="Heading1"/>
        <w:spacing w:before="92"/>
      </w:pPr>
      <w:r>
        <w:rPr/>
        <w:t>C- Resultados Modelo Corregido</w:t>
      </w:r>
    </w:p>
    <w:p>
      <w:pPr>
        <w:pStyle w:val="BodyText"/>
        <w:spacing w:before="6"/>
        <w:rPr>
          <w:b/>
          <w:sz w:val="19"/>
        </w:rPr>
      </w:pPr>
    </w:p>
    <w:p>
      <w:pPr>
        <w:spacing w:line="232" w:lineRule="auto" w:before="98"/>
        <w:ind w:left="2618" w:right="6534" w:firstLine="0"/>
        <w:jc w:val="left"/>
        <w:rPr>
          <w:sz w:val="17"/>
        </w:rPr>
      </w:pPr>
      <w:r>
        <w:rPr>
          <w:spacing w:val="-4"/>
          <w:sz w:val="17"/>
        </w:rPr>
        <w:t>Dependent </w:t>
      </w:r>
      <w:r>
        <w:rPr>
          <w:spacing w:val="-5"/>
          <w:sz w:val="17"/>
        </w:rPr>
        <w:t>Variable: </w:t>
      </w:r>
      <w:r>
        <w:rPr>
          <w:spacing w:val="-4"/>
          <w:sz w:val="17"/>
        </w:rPr>
        <w:t>LN_PRECIO </w:t>
      </w:r>
      <w:r>
        <w:rPr>
          <w:spacing w:val="-6"/>
          <w:sz w:val="17"/>
        </w:rPr>
        <w:t>Method: </w:t>
      </w:r>
      <w:r>
        <w:rPr>
          <w:sz w:val="17"/>
        </w:rPr>
        <w:t>Least </w:t>
      </w:r>
      <w:r>
        <w:rPr>
          <w:spacing w:val="-3"/>
          <w:sz w:val="17"/>
        </w:rPr>
        <w:t>Squares</w:t>
      </w:r>
    </w:p>
    <w:p>
      <w:pPr>
        <w:spacing w:line="232" w:lineRule="auto" w:before="0"/>
        <w:ind w:left="2618" w:right="6534" w:firstLine="0"/>
        <w:jc w:val="left"/>
        <w:rPr>
          <w:sz w:val="17"/>
        </w:rPr>
      </w:pPr>
      <w:r>
        <w:rPr>
          <w:sz w:val="17"/>
        </w:rPr>
        <w:t>Date: 05/07/17 Time: 10:33 Sample (adjusted): 1 303</w:t>
      </w:r>
    </w:p>
    <w:p>
      <w:pPr>
        <w:spacing w:line="188" w:lineRule="exact" w:before="0"/>
        <w:ind w:left="2618" w:right="0" w:firstLine="0"/>
        <w:jc w:val="left"/>
        <w:rPr>
          <w:sz w:val="17"/>
        </w:rPr>
      </w:pPr>
      <w:r>
        <w:rPr>
          <w:sz w:val="17"/>
        </w:rPr>
        <w:t>Included observations: 301 after adjustments</w:t>
      </w:r>
    </w:p>
    <w:p>
      <w:pPr>
        <w:spacing w:line="192" w:lineRule="exact" w:before="0" w:after="54"/>
        <w:ind w:left="2618" w:right="0" w:firstLine="0"/>
        <w:jc w:val="left"/>
        <w:rPr>
          <w:sz w:val="17"/>
        </w:rPr>
      </w:pPr>
      <w:r>
        <w:rPr>
          <w:sz w:val="17"/>
        </w:rPr>
        <w:t>White heteroskedasticity-consistent standard errors &amp; covariance</w:t>
      </w:r>
    </w:p>
    <w:tbl>
      <w:tblPr>
        <w:tblW w:w="0" w:type="auto"/>
        <w:jc w:val="left"/>
        <w:tblInd w:w="26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619"/>
        <w:gridCol w:w="947"/>
        <w:gridCol w:w="999"/>
        <w:gridCol w:w="921"/>
        <w:gridCol w:w="752"/>
      </w:tblGrid>
      <w:tr>
        <w:trPr>
          <w:trHeight w:val="334" w:hRule="atLeast"/>
        </w:trPr>
        <w:tc>
          <w:tcPr>
            <w:tcW w:w="2619" w:type="dxa"/>
            <w:tcBorders>
              <w:top w:val="double" w:sz="2" w:space="0" w:color="000000"/>
              <w:bottom w:val="double" w:sz="2" w:space="0" w:color="000000"/>
            </w:tcBorders>
          </w:tcPr>
          <w:p>
            <w:pPr>
              <w:pStyle w:val="TableParagraph"/>
              <w:spacing w:line="240" w:lineRule="auto" w:before="108"/>
              <w:ind w:left="959" w:right="996"/>
              <w:jc w:val="center"/>
              <w:rPr>
                <w:sz w:val="17"/>
              </w:rPr>
            </w:pPr>
            <w:r>
              <w:rPr>
                <w:sz w:val="17"/>
              </w:rPr>
              <w:t>Variable</w:t>
            </w:r>
          </w:p>
        </w:tc>
        <w:tc>
          <w:tcPr>
            <w:tcW w:w="947" w:type="dxa"/>
            <w:tcBorders>
              <w:top w:val="double" w:sz="2" w:space="0" w:color="000000"/>
              <w:bottom w:val="double" w:sz="2" w:space="0" w:color="000000"/>
            </w:tcBorders>
          </w:tcPr>
          <w:p>
            <w:pPr>
              <w:pStyle w:val="TableParagraph"/>
              <w:spacing w:line="240" w:lineRule="auto" w:before="108"/>
              <w:ind w:left="25" w:right="71"/>
              <w:jc w:val="center"/>
              <w:rPr>
                <w:sz w:val="17"/>
              </w:rPr>
            </w:pPr>
            <w:r>
              <w:rPr>
                <w:sz w:val="17"/>
              </w:rPr>
              <w:t>Coefficient</w:t>
            </w:r>
          </w:p>
        </w:tc>
        <w:tc>
          <w:tcPr>
            <w:tcW w:w="999" w:type="dxa"/>
            <w:tcBorders>
              <w:top w:val="double" w:sz="2" w:space="0" w:color="000000"/>
              <w:bottom w:val="double" w:sz="2" w:space="0" w:color="000000"/>
            </w:tcBorders>
          </w:tcPr>
          <w:p>
            <w:pPr>
              <w:pStyle w:val="TableParagraph"/>
              <w:spacing w:line="240" w:lineRule="auto" w:before="108"/>
              <w:ind w:left="122" w:right="88"/>
              <w:jc w:val="center"/>
              <w:rPr>
                <w:sz w:val="17"/>
              </w:rPr>
            </w:pPr>
            <w:r>
              <w:rPr>
                <w:sz w:val="17"/>
              </w:rPr>
              <w:t>Std. Error</w:t>
            </w:r>
          </w:p>
        </w:tc>
        <w:tc>
          <w:tcPr>
            <w:tcW w:w="921" w:type="dxa"/>
            <w:tcBorders>
              <w:top w:val="double" w:sz="2" w:space="0" w:color="000000"/>
              <w:bottom w:val="double" w:sz="2" w:space="0" w:color="000000"/>
            </w:tcBorders>
          </w:tcPr>
          <w:p>
            <w:pPr>
              <w:pStyle w:val="TableParagraph"/>
              <w:spacing w:line="240" w:lineRule="auto" w:before="108"/>
              <w:ind w:left="121" w:right="28"/>
              <w:jc w:val="center"/>
              <w:rPr>
                <w:sz w:val="17"/>
              </w:rPr>
            </w:pPr>
            <w:r>
              <w:rPr>
                <w:sz w:val="17"/>
              </w:rPr>
              <w:t>t-Statistic</w:t>
            </w:r>
          </w:p>
        </w:tc>
        <w:tc>
          <w:tcPr>
            <w:tcW w:w="752" w:type="dxa"/>
            <w:tcBorders>
              <w:top w:val="double" w:sz="2" w:space="0" w:color="000000"/>
              <w:bottom w:val="double" w:sz="2" w:space="0" w:color="000000"/>
            </w:tcBorders>
          </w:tcPr>
          <w:p>
            <w:pPr>
              <w:pStyle w:val="TableParagraph"/>
              <w:spacing w:line="240" w:lineRule="auto" w:before="108"/>
              <w:ind w:left="253"/>
              <w:jc w:val="left"/>
              <w:rPr>
                <w:sz w:val="17"/>
              </w:rPr>
            </w:pPr>
            <w:r>
              <w:rPr>
                <w:sz w:val="17"/>
              </w:rPr>
              <w:t>Prob.</w:t>
            </w:r>
          </w:p>
        </w:tc>
      </w:tr>
      <w:tr>
        <w:trPr>
          <w:trHeight w:val="304" w:hRule="atLeast"/>
        </w:trPr>
        <w:tc>
          <w:tcPr>
            <w:tcW w:w="2619" w:type="dxa"/>
            <w:tcBorders>
              <w:top w:val="double" w:sz="2" w:space="0" w:color="000000"/>
            </w:tcBorders>
          </w:tcPr>
          <w:p>
            <w:pPr>
              <w:pStyle w:val="TableParagraph"/>
              <w:spacing w:before="108"/>
              <w:ind w:left="786"/>
              <w:jc w:val="left"/>
              <w:rPr>
                <w:sz w:val="17"/>
              </w:rPr>
            </w:pPr>
            <w:r>
              <w:rPr>
                <w:sz w:val="17"/>
              </w:rPr>
              <w:t>CONSTANTE</w:t>
            </w:r>
          </w:p>
        </w:tc>
        <w:tc>
          <w:tcPr>
            <w:tcW w:w="947" w:type="dxa"/>
            <w:tcBorders>
              <w:top w:val="double" w:sz="2" w:space="0" w:color="000000"/>
            </w:tcBorders>
          </w:tcPr>
          <w:p>
            <w:pPr>
              <w:pStyle w:val="TableParagraph"/>
              <w:spacing w:before="108"/>
              <w:ind w:left="125" w:right="71"/>
              <w:jc w:val="center"/>
              <w:rPr>
                <w:sz w:val="17"/>
              </w:rPr>
            </w:pPr>
            <w:r>
              <w:rPr>
                <w:sz w:val="17"/>
              </w:rPr>
              <w:t>94.74885</w:t>
            </w:r>
          </w:p>
        </w:tc>
        <w:tc>
          <w:tcPr>
            <w:tcW w:w="999" w:type="dxa"/>
            <w:tcBorders>
              <w:top w:val="double" w:sz="2" w:space="0" w:color="000000"/>
            </w:tcBorders>
          </w:tcPr>
          <w:p>
            <w:pPr>
              <w:pStyle w:val="TableParagraph"/>
              <w:spacing w:before="108"/>
              <w:ind w:left="132" w:right="60"/>
              <w:jc w:val="center"/>
              <w:rPr>
                <w:sz w:val="17"/>
              </w:rPr>
            </w:pPr>
            <w:r>
              <w:rPr>
                <w:sz w:val="17"/>
              </w:rPr>
              <w:t>67.76052</w:t>
            </w:r>
          </w:p>
        </w:tc>
        <w:tc>
          <w:tcPr>
            <w:tcW w:w="921" w:type="dxa"/>
            <w:tcBorders>
              <w:top w:val="double" w:sz="2" w:space="0" w:color="000000"/>
            </w:tcBorders>
          </w:tcPr>
          <w:p>
            <w:pPr>
              <w:pStyle w:val="TableParagraph"/>
              <w:spacing w:before="108"/>
              <w:ind w:left="137" w:right="22"/>
              <w:jc w:val="center"/>
              <w:rPr>
                <w:sz w:val="17"/>
              </w:rPr>
            </w:pPr>
            <w:r>
              <w:rPr>
                <w:sz w:val="17"/>
              </w:rPr>
              <w:t>1.398290</w:t>
            </w:r>
          </w:p>
        </w:tc>
        <w:tc>
          <w:tcPr>
            <w:tcW w:w="752" w:type="dxa"/>
            <w:tcBorders>
              <w:top w:val="double" w:sz="2" w:space="0" w:color="000000"/>
            </w:tcBorders>
          </w:tcPr>
          <w:p>
            <w:pPr>
              <w:pStyle w:val="TableParagraph"/>
              <w:spacing w:before="108"/>
              <w:ind w:right="13"/>
              <w:rPr>
                <w:sz w:val="17"/>
              </w:rPr>
            </w:pPr>
            <w:r>
              <w:rPr>
                <w:w w:val="95"/>
                <w:sz w:val="17"/>
              </w:rPr>
              <w:t>0.1631</w:t>
            </w:r>
          </w:p>
        </w:tc>
      </w:tr>
      <w:tr>
        <w:trPr>
          <w:trHeight w:val="189" w:hRule="atLeast"/>
        </w:trPr>
        <w:tc>
          <w:tcPr>
            <w:tcW w:w="2619" w:type="dxa"/>
          </w:tcPr>
          <w:p>
            <w:pPr>
              <w:pStyle w:val="TableParagraph"/>
              <w:tabs>
                <w:tab w:pos="729" w:val="left" w:leader="none"/>
                <w:tab w:pos="1876" w:val="left" w:leader="none"/>
              </w:tabs>
              <w:spacing w:line="170" w:lineRule="exact" w:before="0"/>
              <w:ind w:left="83"/>
              <w:jc w:val="left"/>
              <w:rPr>
                <w:sz w:val="17"/>
              </w:rPr>
            </w:pPr>
            <w:r>
              <w:rPr>
                <w:spacing w:val="-4"/>
                <w:sz w:val="17"/>
              </w:rPr>
              <w:t>TIPO</w:t>
            </w:r>
            <w:r>
              <w:rPr>
                <w:spacing w:val="-4"/>
                <w:sz w:val="17"/>
                <w:u w:val="single"/>
              </w:rPr>
              <w:t> </w:t>
              <w:tab/>
            </w:r>
            <w:r>
              <w:rPr>
                <w:spacing w:val="-6"/>
                <w:sz w:val="17"/>
              </w:rPr>
              <w:t>1_CASA</w:t>
            </w:r>
            <w:r>
              <w:rPr>
                <w:spacing w:val="-6"/>
                <w:sz w:val="17"/>
                <w:u w:val="single"/>
              </w:rPr>
              <w:t>   </w:t>
            </w:r>
            <w:r>
              <w:rPr>
                <w:spacing w:val="2"/>
                <w:sz w:val="17"/>
                <w:u w:val="single"/>
              </w:rPr>
              <w:t> </w:t>
            </w:r>
            <w:r>
              <w:rPr>
                <w:spacing w:val="-5"/>
                <w:sz w:val="17"/>
              </w:rPr>
              <w:t>0</w:t>
            </w:r>
            <w:r>
              <w:rPr>
                <w:spacing w:val="-5"/>
                <w:sz w:val="17"/>
                <w:u w:val="single"/>
              </w:rPr>
              <w:t> </w:t>
              <w:tab/>
            </w:r>
            <w:r>
              <w:rPr>
                <w:sz w:val="17"/>
              </w:rPr>
              <w:t>CONDO</w:t>
            </w:r>
          </w:p>
        </w:tc>
        <w:tc>
          <w:tcPr>
            <w:tcW w:w="947" w:type="dxa"/>
          </w:tcPr>
          <w:p>
            <w:pPr>
              <w:pStyle w:val="TableParagraph"/>
              <w:spacing w:line="170" w:lineRule="exact" w:before="0"/>
              <w:ind w:left="125" w:right="71"/>
              <w:jc w:val="center"/>
              <w:rPr>
                <w:sz w:val="17"/>
              </w:rPr>
            </w:pPr>
            <w:r>
              <w:rPr>
                <w:sz w:val="17"/>
              </w:rPr>
              <w:t>0.124257</w:t>
            </w:r>
          </w:p>
        </w:tc>
        <w:tc>
          <w:tcPr>
            <w:tcW w:w="999" w:type="dxa"/>
          </w:tcPr>
          <w:p>
            <w:pPr>
              <w:pStyle w:val="TableParagraph"/>
              <w:spacing w:line="170" w:lineRule="exact" w:before="0"/>
              <w:ind w:left="132" w:right="60"/>
              <w:jc w:val="center"/>
              <w:rPr>
                <w:sz w:val="17"/>
              </w:rPr>
            </w:pPr>
            <w:r>
              <w:rPr>
                <w:sz w:val="17"/>
              </w:rPr>
              <w:t>0.049350</w:t>
            </w:r>
          </w:p>
        </w:tc>
        <w:tc>
          <w:tcPr>
            <w:tcW w:w="921" w:type="dxa"/>
          </w:tcPr>
          <w:p>
            <w:pPr>
              <w:pStyle w:val="TableParagraph"/>
              <w:spacing w:line="170" w:lineRule="exact" w:before="0"/>
              <w:ind w:left="137" w:right="22"/>
              <w:jc w:val="center"/>
              <w:rPr>
                <w:sz w:val="17"/>
              </w:rPr>
            </w:pPr>
            <w:r>
              <w:rPr>
                <w:sz w:val="17"/>
              </w:rPr>
              <w:t>2.517884</w:t>
            </w:r>
          </w:p>
        </w:tc>
        <w:tc>
          <w:tcPr>
            <w:tcW w:w="752" w:type="dxa"/>
          </w:tcPr>
          <w:p>
            <w:pPr>
              <w:pStyle w:val="TableParagraph"/>
              <w:spacing w:line="170" w:lineRule="exact" w:before="0"/>
              <w:ind w:right="13"/>
              <w:rPr>
                <w:sz w:val="17"/>
              </w:rPr>
            </w:pPr>
            <w:r>
              <w:rPr>
                <w:w w:val="95"/>
                <w:sz w:val="17"/>
              </w:rPr>
              <w:t>0.0123</w:t>
            </w:r>
          </w:p>
        </w:tc>
      </w:tr>
      <w:tr>
        <w:trPr>
          <w:trHeight w:val="189" w:hRule="atLeast"/>
        </w:trPr>
        <w:tc>
          <w:tcPr>
            <w:tcW w:w="2619" w:type="dxa"/>
          </w:tcPr>
          <w:p>
            <w:pPr>
              <w:pStyle w:val="TableParagraph"/>
              <w:spacing w:line="170" w:lineRule="exact" w:before="0"/>
              <w:ind w:left="50"/>
              <w:jc w:val="left"/>
              <w:rPr>
                <w:sz w:val="17"/>
              </w:rPr>
            </w:pPr>
            <w:r>
              <w:rPr>
                <w:spacing w:val="-4"/>
                <w:sz w:val="17"/>
              </w:rPr>
              <w:t>LN_AREA_DE_CONSTRUCCION</w:t>
            </w:r>
          </w:p>
        </w:tc>
        <w:tc>
          <w:tcPr>
            <w:tcW w:w="947" w:type="dxa"/>
          </w:tcPr>
          <w:p>
            <w:pPr>
              <w:pStyle w:val="TableParagraph"/>
              <w:spacing w:line="170" w:lineRule="exact" w:before="0"/>
              <w:ind w:left="125" w:right="71"/>
              <w:jc w:val="center"/>
              <w:rPr>
                <w:sz w:val="17"/>
              </w:rPr>
            </w:pPr>
            <w:r>
              <w:rPr>
                <w:sz w:val="17"/>
              </w:rPr>
              <w:t>0.035284</w:t>
            </w:r>
          </w:p>
        </w:tc>
        <w:tc>
          <w:tcPr>
            <w:tcW w:w="999" w:type="dxa"/>
          </w:tcPr>
          <w:p>
            <w:pPr>
              <w:pStyle w:val="TableParagraph"/>
              <w:spacing w:line="170" w:lineRule="exact" w:before="0"/>
              <w:ind w:left="132" w:right="60"/>
              <w:jc w:val="center"/>
              <w:rPr>
                <w:sz w:val="17"/>
              </w:rPr>
            </w:pPr>
            <w:r>
              <w:rPr>
                <w:sz w:val="17"/>
              </w:rPr>
              <w:t>0.042196</w:t>
            </w:r>
          </w:p>
        </w:tc>
        <w:tc>
          <w:tcPr>
            <w:tcW w:w="921" w:type="dxa"/>
          </w:tcPr>
          <w:p>
            <w:pPr>
              <w:pStyle w:val="TableParagraph"/>
              <w:spacing w:line="170" w:lineRule="exact" w:before="0"/>
              <w:ind w:left="137" w:right="22"/>
              <w:jc w:val="center"/>
              <w:rPr>
                <w:sz w:val="17"/>
              </w:rPr>
            </w:pPr>
            <w:r>
              <w:rPr>
                <w:sz w:val="17"/>
              </w:rPr>
              <w:t>0.836198</w:t>
            </w:r>
          </w:p>
        </w:tc>
        <w:tc>
          <w:tcPr>
            <w:tcW w:w="752" w:type="dxa"/>
          </w:tcPr>
          <w:p>
            <w:pPr>
              <w:pStyle w:val="TableParagraph"/>
              <w:spacing w:line="170" w:lineRule="exact" w:before="0"/>
              <w:ind w:right="13"/>
              <w:rPr>
                <w:sz w:val="17"/>
              </w:rPr>
            </w:pPr>
            <w:r>
              <w:rPr>
                <w:w w:val="95"/>
                <w:sz w:val="17"/>
              </w:rPr>
              <w:t>0.4037</w:t>
            </w:r>
          </w:p>
        </w:tc>
      </w:tr>
      <w:tr>
        <w:trPr>
          <w:trHeight w:val="189" w:hRule="atLeast"/>
        </w:trPr>
        <w:tc>
          <w:tcPr>
            <w:tcW w:w="2619" w:type="dxa"/>
          </w:tcPr>
          <w:p>
            <w:pPr>
              <w:pStyle w:val="TableParagraph"/>
              <w:spacing w:line="170" w:lineRule="exact" w:before="0"/>
              <w:ind w:left="262"/>
              <w:jc w:val="left"/>
              <w:rPr>
                <w:sz w:val="17"/>
              </w:rPr>
            </w:pPr>
            <w:r>
              <w:rPr>
                <w:sz w:val="17"/>
              </w:rPr>
              <w:t>LN_ANO_CONSTRUCCION</w:t>
            </w:r>
          </w:p>
        </w:tc>
        <w:tc>
          <w:tcPr>
            <w:tcW w:w="947" w:type="dxa"/>
          </w:tcPr>
          <w:p>
            <w:pPr>
              <w:pStyle w:val="TableParagraph"/>
              <w:spacing w:line="170" w:lineRule="exact" w:before="0"/>
              <w:ind w:left="28" w:right="29"/>
              <w:jc w:val="center"/>
              <w:rPr>
                <w:sz w:val="17"/>
              </w:rPr>
            </w:pPr>
            <w:r>
              <w:rPr>
                <w:sz w:val="17"/>
              </w:rPr>
              <w:t>-10.98066</w:t>
            </w:r>
          </w:p>
        </w:tc>
        <w:tc>
          <w:tcPr>
            <w:tcW w:w="999" w:type="dxa"/>
          </w:tcPr>
          <w:p>
            <w:pPr>
              <w:pStyle w:val="TableParagraph"/>
              <w:spacing w:line="170" w:lineRule="exact" w:before="0"/>
              <w:ind w:left="132" w:right="60"/>
              <w:jc w:val="center"/>
              <w:rPr>
                <w:sz w:val="17"/>
              </w:rPr>
            </w:pPr>
            <w:r>
              <w:rPr>
                <w:sz w:val="17"/>
              </w:rPr>
              <w:t>8.914042</w:t>
            </w:r>
          </w:p>
        </w:tc>
        <w:tc>
          <w:tcPr>
            <w:tcW w:w="921" w:type="dxa"/>
          </w:tcPr>
          <w:p>
            <w:pPr>
              <w:pStyle w:val="TableParagraph"/>
              <w:spacing w:line="170" w:lineRule="exact" w:before="0"/>
              <w:ind w:left="87" w:right="28"/>
              <w:jc w:val="center"/>
              <w:rPr>
                <w:sz w:val="17"/>
              </w:rPr>
            </w:pPr>
            <w:r>
              <w:rPr>
                <w:sz w:val="17"/>
              </w:rPr>
              <w:t>-1.231839</w:t>
            </w:r>
          </w:p>
        </w:tc>
        <w:tc>
          <w:tcPr>
            <w:tcW w:w="752" w:type="dxa"/>
          </w:tcPr>
          <w:p>
            <w:pPr>
              <w:pStyle w:val="TableParagraph"/>
              <w:spacing w:line="170" w:lineRule="exact" w:before="0"/>
              <w:ind w:right="13"/>
              <w:rPr>
                <w:sz w:val="17"/>
              </w:rPr>
            </w:pPr>
            <w:r>
              <w:rPr>
                <w:w w:val="95"/>
                <w:sz w:val="17"/>
              </w:rPr>
              <w:t>0.2190</w:t>
            </w:r>
          </w:p>
        </w:tc>
      </w:tr>
      <w:tr>
        <w:trPr>
          <w:trHeight w:val="189" w:hRule="atLeast"/>
        </w:trPr>
        <w:tc>
          <w:tcPr>
            <w:tcW w:w="2619" w:type="dxa"/>
          </w:tcPr>
          <w:p>
            <w:pPr>
              <w:pStyle w:val="TableParagraph"/>
              <w:spacing w:line="170" w:lineRule="exact" w:before="0"/>
              <w:ind w:left="150"/>
              <w:jc w:val="left"/>
              <w:rPr>
                <w:sz w:val="17"/>
              </w:rPr>
            </w:pPr>
            <w:r>
              <w:rPr>
                <w:sz w:val="17"/>
              </w:rPr>
              <w:t>LN_NUMERO_HABITACIONES</w:t>
            </w:r>
          </w:p>
        </w:tc>
        <w:tc>
          <w:tcPr>
            <w:tcW w:w="947" w:type="dxa"/>
          </w:tcPr>
          <w:p>
            <w:pPr>
              <w:pStyle w:val="TableParagraph"/>
              <w:spacing w:line="170" w:lineRule="exact" w:before="0"/>
              <w:ind w:left="125" w:right="71"/>
              <w:jc w:val="center"/>
              <w:rPr>
                <w:sz w:val="17"/>
              </w:rPr>
            </w:pPr>
            <w:r>
              <w:rPr>
                <w:sz w:val="17"/>
              </w:rPr>
              <w:t>0.291729</w:t>
            </w:r>
          </w:p>
        </w:tc>
        <w:tc>
          <w:tcPr>
            <w:tcW w:w="999" w:type="dxa"/>
          </w:tcPr>
          <w:p>
            <w:pPr>
              <w:pStyle w:val="TableParagraph"/>
              <w:spacing w:line="170" w:lineRule="exact" w:before="0"/>
              <w:ind w:left="132" w:right="60"/>
              <w:jc w:val="center"/>
              <w:rPr>
                <w:sz w:val="17"/>
              </w:rPr>
            </w:pPr>
            <w:r>
              <w:rPr>
                <w:sz w:val="17"/>
              </w:rPr>
              <w:t>0.178933</w:t>
            </w:r>
          </w:p>
        </w:tc>
        <w:tc>
          <w:tcPr>
            <w:tcW w:w="921" w:type="dxa"/>
          </w:tcPr>
          <w:p>
            <w:pPr>
              <w:pStyle w:val="TableParagraph"/>
              <w:spacing w:line="170" w:lineRule="exact" w:before="0"/>
              <w:ind w:left="137" w:right="22"/>
              <w:jc w:val="center"/>
              <w:rPr>
                <w:sz w:val="17"/>
              </w:rPr>
            </w:pPr>
            <w:r>
              <w:rPr>
                <w:sz w:val="17"/>
              </w:rPr>
              <w:t>1.630376</w:t>
            </w:r>
          </w:p>
        </w:tc>
        <w:tc>
          <w:tcPr>
            <w:tcW w:w="752" w:type="dxa"/>
          </w:tcPr>
          <w:p>
            <w:pPr>
              <w:pStyle w:val="TableParagraph"/>
              <w:spacing w:line="170" w:lineRule="exact" w:before="0"/>
              <w:ind w:right="13"/>
              <w:rPr>
                <w:sz w:val="17"/>
              </w:rPr>
            </w:pPr>
            <w:r>
              <w:rPr>
                <w:w w:val="95"/>
                <w:sz w:val="17"/>
              </w:rPr>
              <w:t>0.1041</w:t>
            </w:r>
          </w:p>
        </w:tc>
      </w:tr>
      <w:tr>
        <w:trPr>
          <w:trHeight w:val="189" w:hRule="atLeast"/>
        </w:trPr>
        <w:tc>
          <w:tcPr>
            <w:tcW w:w="2619" w:type="dxa"/>
          </w:tcPr>
          <w:p>
            <w:pPr>
              <w:pStyle w:val="TableParagraph"/>
              <w:spacing w:line="170" w:lineRule="exact" w:before="0"/>
              <w:ind w:left="295"/>
              <w:jc w:val="left"/>
              <w:rPr>
                <w:sz w:val="17"/>
              </w:rPr>
            </w:pPr>
            <w:r>
              <w:rPr>
                <w:sz w:val="17"/>
              </w:rPr>
              <w:t>LN_NUMERO_DE_BANOS</w:t>
            </w:r>
          </w:p>
        </w:tc>
        <w:tc>
          <w:tcPr>
            <w:tcW w:w="947" w:type="dxa"/>
          </w:tcPr>
          <w:p>
            <w:pPr>
              <w:pStyle w:val="TableParagraph"/>
              <w:spacing w:line="170" w:lineRule="exact" w:before="0"/>
              <w:ind w:left="125" w:right="71"/>
              <w:jc w:val="center"/>
              <w:rPr>
                <w:sz w:val="17"/>
              </w:rPr>
            </w:pPr>
            <w:r>
              <w:rPr>
                <w:sz w:val="17"/>
              </w:rPr>
              <w:t>0.886690</w:t>
            </w:r>
          </w:p>
        </w:tc>
        <w:tc>
          <w:tcPr>
            <w:tcW w:w="999" w:type="dxa"/>
          </w:tcPr>
          <w:p>
            <w:pPr>
              <w:pStyle w:val="TableParagraph"/>
              <w:spacing w:line="170" w:lineRule="exact" w:before="0"/>
              <w:ind w:left="132" w:right="60"/>
              <w:jc w:val="center"/>
              <w:rPr>
                <w:sz w:val="17"/>
              </w:rPr>
            </w:pPr>
            <w:r>
              <w:rPr>
                <w:sz w:val="17"/>
              </w:rPr>
              <w:t>0.120625</w:t>
            </w:r>
          </w:p>
        </w:tc>
        <w:tc>
          <w:tcPr>
            <w:tcW w:w="921" w:type="dxa"/>
          </w:tcPr>
          <w:p>
            <w:pPr>
              <w:pStyle w:val="TableParagraph"/>
              <w:spacing w:line="170" w:lineRule="exact" w:before="0"/>
              <w:ind w:left="137" w:right="22"/>
              <w:jc w:val="center"/>
              <w:rPr>
                <w:sz w:val="17"/>
              </w:rPr>
            </w:pPr>
            <w:r>
              <w:rPr>
                <w:sz w:val="17"/>
              </w:rPr>
              <w:t>7.350826</w:t>
            </w:r>
          </w:p>
        </w:tc>
        <w:tc>
          <w:tcPr>
            <w:tcW w:w="752" w:type="dxa"/>
          </w:tcPr>
          <w:p>
            <w:pPr>
              <w:pStyle w:val="TableParagraph"/>
              <w:spacing w:line="170" w:lineRule="exact" w:before="0"/>
              <w:ind w:right="13"/>
              <w:rPr>
                <w:sz w:val="17"/>
              </w:rPr>
            </w:pPr>
            <w:r>
              <w:rPr>
                <w:w w:val="95"/>
                <w:sz w:val="17"/>
              </w:rPr>
              <w:t>0.0000</w:t>
            </w:r>
          </w:p>
        </w:tc>
      </w:tr>
      <w:tr>
        <w:trPr>
          <w:trHeight w:val="189" w:hRule="atLeast"/>
        </w:trPr>
        <w:tc>
          <w:tcPr>
            <w:tcW w:w="2619" w:type="dxa"/>
          </w:tcPr>
          <w:p>
            <w:pPr>
              <w:pStyle w:val="TableParagraph"/>
              <w:spacing w:line="170" w:lineRule="exact" w:before="0"/>
              <w:ind w:left="217"/>
              <w:jc w:val="left"/>
              <w:rPr>
                <w:sz w:val="17"/>
              </w:rPr>
            </w:pPr>
            <w:r>
              <w:rPr>
                <w:sz w:val="17"/>
              </w:rPr>
              <w:t>LN_NUMERO_DE_PLANTAS</w:t>
            </w:r>
          </w:p>
        </w:tc>
        <w:tc>
          <w:tcPr>
            <w:tcW w:w="947" w:type="dxa"/>
          </w:tcPr>
          <w:p>
            <w:pPr>
              <w:pStyle w:val="TableParagraph"/>
              <w:spacing w:line="170" w:lineRule="exact" w:before="0"/>
              <w:ind w:left="28" w:right="29"/>
              <w:jc w:val="center"/>
              <w:rPr>
                <w:sz w:val="17"/>
              </w:rPr>
            </w:pPr>
            <w:r>
              <w:rPr>
                <w:sz w:val="17"/>
              </w:rPr>
              <w:t>-0.142879</w:t>
            </w:r>
          </w:p>
        </w:tc>
        <w:tc>
          <w:tcPr>
            <w:tcW w:w="999" w:type="dxa"/>
          </w:tcPr>
          <w:p>
            <w:pPr>
              <w:pStyle w:val="TableParagraph"/>
              <w:spacing w:line="170" w:lineRule="exact" w:before="0"/>
              <w:ind w:left="132" w:right="60"/>
              <w:jc w:val="center"/>
              <w:rPr>
                <w:sz w:val="17"/>
              </w:rPr>
            </w:pPr>
            <w:r>
              <w:rPr>
                <w:sz w:val="17"/>
              </w:rPr>
              <w:t>0.091705</w:t>
            </w:r>
          </w:p>
        </w:tc>
        <w:tc>
          <w:tcPr>
            <w:tcW w:w="921" w:type="dxa"/>
          </w:tcPr>
          <w:p>
            <w:pPr>
              <w:pStyle w:val="TableParagraph"/>
              <w:spacing w:line="170" w:lineRule="exact" w:before="0"/>
              <w:ind w:left="87" w:right="28"/>
              <w:jc w:val="center"/>
              <w:rPr>
                <w:sz w:val="17"/>
              </w:rPr>
            </w:pPr>
            <w:r>
              <w:rPr>
                <w:sz w:val="17"/>
              </w:rPr>
              <w:t>-1.558034</w:t>
            </w:r>
          </w:p>
        </w:tc>
        <w:tc>
          <w:tcPr>
            <w:tcW w:w="752" w:type="dxa"/>
          </w:tcPr>
          <w:p>
            <w:pPr>
              <w:pStyle w:val="TableParagraph"/>
              <w:spacing w:line="170" w:lineRule="exact" w:before="0"/>
              <w:ind w:right="13"/>
              <w:rPr>
                <w:sz w:val="17"/>
              </w:rPr>
            </w:pPr>
            <w:r>
              <w:rPr>
                <w:w w:val="95"/>
                <w:sz w:val="17"/>
              </w:rPr>
              <w:t>0.1203</w:t>
            </w:r>
          </w:p>
        </w:tc>
      </w:tr>
      <w:tr>
        <w:trPr>
          <w:trHeight w:val="189" w:hRule="atLeast"/>
        </w:trPr>
        <w:tc>
          <w:tcPr>
            <w:tcW w:w="2619" w:type="dxa"/>
          </w:tcPr>
          <w:p>
            <w:pPr>
              <w:pStyle w:val="TableParagraph"/>
              <w:spacing w:line="170" w:lineRule="exact" w:before="0"/>
              <w:ind w:left="585"/>
              <w:jc w:val="left"/>
              <w:rPr>
                <w:sz w:val="17"/>
              </w:rPr>
            </w:pPr>
            <w:r>
              <w:rPr>
                <w:sz w:val="17"/>
              </w:rPr>
              <w:t>LN_DISTANCIA_SJ</w:t>
            </w:r>
          </w:p>
        </w:tc>
        <w:tc>
          <w:tcPr>
            <w:tcW w:w="947" w:type="dxa"/>
          </w:tcPr>
          <w:p>
            <w:pPr>
              <w:pStyle w:val="TableParagraph"/>
              <w:spacing w:line="170" w:lineRule="exact" w:before="0"/>
              <w:ind w:left="28" w:right="29"/>
              <w:jc w:val="center"/>
              <w:rPr>
                <w:sz w:val="17"/>
              </w:rPr>
            </w:pPr>
            <w:r>
              <w:rPr>
                <w:sz w:val="17"/>
              </w:rPr>
              <w:t>-0.240107</w:t>
            </w:r>
          </w:p>
        </w:tc>
        <w:tc>
          <w:tcPr>
            <w:tcW w:w="999" w:type="dxa"/>
          </w:tcPr>
          <w:p>
            <w:pPr>
              <w:pStyle w:val="TableParagraph"/>
              <w:spacing w:line="170" w:lineRule="exact" w:before="0"/>
              <w:ind w:left="132" w:right="60"/>
              <w:jc w:val="center"/>
              <w:rPr>
                <w:sz w:val="17"/>
              </w:rPr>
            </w:pPr>
            <w:r>
              <w:rPr>
                <w:sz w:val="17"/>
              </w:rPr>
              <w:t>0.117365</w:t>
            </w:r>
          </w:p>
        </w:tc>
        <w:tc>
          <w:tcPr>
            <w:tcW w:w="921" w:type="dxa"/>
          </w:tcPr>
          <w:p>
            <w:pPr>
              <w:pStyle w:val="TableParagraph"/>
              <w:spacing w:line="170" w:lineRule="exact" w:before="0"/>
              <w:ind w:left="87" w:right="28"/>
              <w:jc w:val="center"/>
              <w:rPr>
                <w:sz w:val="17"/>
              </w:rPr>
            </w:pPr>
            <w:r>
              <w:rPr>
                <w:sz w:val="17"/>
              </w:rPr>
              <w:t>-2.045817</w:t>
            </w:r>
          </w:p>
        </w:tc>
        <w:tc>
          <w:tcPr>
            <w:tcW w:w="752" w:type="dxa"/>
          </w:tcPr>
          <w:p>
            <w:pPr>
              <w:pStyle w:val="TableParagraph"/>
              <w:spacing w:line="170" w:lineRule="exact" w:before="0"/>
              <w:ind w:right="13"/>
              <w:rPr>
                <w:sz w:val="17"/>
              </w:rPr>
            </w:pPr>
            <w:r>
              <w:rPr>
                <w:w w:val="95"/>
                <w:sz w:val="17"/>
              </w:rPr>
              <w:t>0.0417</w:t>
            </w:r>
          </w:p>
        </w:tc>
      </w:tr>
      <w:tr>
        <w:trPr>
          <w:trHeight w:val="189" w:hRule="atLeast"/>
        </w:trPr>
        <w:tc>
          <w:tcPr>
            <w:tcW w:w="2619" w:type="dxa"/>
          </w:tcPr>
          <w:p>
            <w:pPr>
              <w:pStyle w:val="TableParagraph"/>
              <w:spacing w:line="170" w:lineRule="exact" w:before="0"/>
              <w:ind w:left="295"/>
              <w:jc w:val="left"/>
              <w:rPr>
                <w:sz w:val="17"/>
              </w:rPr>
            </w:pPr>
            <w:r>
              <w:rPr>
                <w:sz w:val="17"/>
              </w:rPr>
              <w:t>LN_DISTANCIA_POBREZA</w:t>
            </w:r>
          </w:p>
        </w:tc>
        <w:tc>
          <w:tcPr>
            <w:tcW w:w="947" w:type="dxa"/>
          </w:tcPr>
          <w:p>
            <w:pPr>
              <w:pStyle w:val="TableParagraph"/>
              <w:spacing w:line="170" w:lineRule="exact" w:before="0"/>
              <w:ind w:left="125" w:right="71"/>
              <w:jc w:val="center"/>
              <w:rPr>
                <w:sz w:val="17"/>
              </w:rPr>
            </w:pPr>
            <w:r>
              <w:rPr>
                <w:sz w:val="17"/>
              </w:rPr>
              <w:t>0.233648</w:t>
            </w:r>
          </w:p>
        </w:tc>
        <w:tc>
          <w:tcPr>
            <w:tcW w:w="999" w:type="dxa"/>
          </w:tcPr>
          <w:p>
            <w:pPr>
              <w:pStyle w:val="TableParagraph"/>
              <w:spacing w:line="170" w:lineRule="exact" w:before="0"/>
              <w:ind w:left="132" w:right="60"/>
              <w:jc w:val="center"/>
              <w:rPr>
                <w:sz w:val="17"/>
              </w:rPr>
            </w:pPr>
            <w:r>
              <w:rPr>
                <w:sz w:val="17"/>
              </w:rPr>
              <w:t>0.082520</w:t>
            </w:r>
          </w:p>
        </w:tc>
        <w:tc>
          <w:tcPr>
            <w:tcW w:w="921" w:type="dxa"/>
          </w:tcPr>
          <w:p>
            <w:pPr>
              <w:pStyle w:val="TableParagraph"/>
              <w:spacing w:line="170" w:lineRule="exact" w:before="0"/>
              <w:ind w:left="137" w:right="22"/>
              <w:jc w:val="center"/>
              <w:rPr>
                <w:sz w:val="17"/>
              </w:rPr>
            </w:pPr>
            <w:r>
              <w:rPr>
                <w:sz w:val="17"/>
              </w:rPr>
              <w:t>2.831413</w:t>
            </w:r>
          </w:p>
        </w:tc>
        <w:tc>
          <w:tcPr>
            <w:tcW w:w="752" w:type="dxa"/>
          </w:tcPr>
          <w:p>
            <w:pPr>
              <w:pStyle w:val="TableParagraph"/>
              <w:spacing w:line="170" w:lineRule="exact" w:before="0"/>
              <w:ind w:right="13"/>
              <w:rPr>
                <w:sz w:val="17"/>
              </w:rPr>
            </w:pPr>
            <w:r>
              <w:rPr>
                <w:w w:val="95"/>
                <w:sz w:val="17"/>
              </w:rPr>
              <w:t>0.0050</w:t>
            </w:r>
          </w:p>
        </w:tc>
      </w:tr>
      <w:tr>
        <w:trPr>
          <w:trHeight w:val="189" w:hRule="atLeast"/>
        </w:trPr>
        <w:tc>
          <w:tcPr>
            <w:tcW w:w="2619" w:type="dxa"/>
          </w:tcPr>
          <w:p>
            <w:pPr>
              <w:pStyle w:val="TableParagraph"/>
              <w:spacing w:line="170" w:lineRule="exact" w:before="0"/>
              <w:ind w:left="16"/>
              <w:jc w:val="left"/>
              <w:rPr>
                <w:sz w:val="17"/>
              </w:rPr>
            </w:pPr>
            <w:r>
              <w:rPr>
                <w:sz w:val="17"/>
              </w:rPr>
              <w:t>ZONA_DE</w:t>
            </w:r>
            <w:r>
              <w:rPr>
                <w:sz w:val="17"/>
                <w:u w:val="single"/>
              </w:rPr>
              <w:t> </w:t>
            </w:r>
            <w:r>
              <w:rPr>
                <w:sz w:val="17"/>
              </w:rPr>
              <w:t>RIESGO_DE_DESAS</w:t>
            </w:r>
          </w:p>
        </w:tc>
        <w:tc>
          <w:tcPr>
            <w:tcW w:w="947" w:type="dxa"/>
          </w:tcPr>
          <w:p>
            <w:pPr>
              <w:pStyle w:val="TableParagraph"/>
              <w:spacing w:line="170" w:lineRule="exact" w:before="0"/>
              <w:ind w:left="28" w:right="29"/>
              <w:jc w:val="center"/>
              <w:rPr>
                <w:sz w:val="17"/>
              </w:rPr>
            </w:pPr>
            <w:r>
              <w:rPr>
                <w:sz w:val="17"/>
              </w:rPr>
              <w:t>-0.092427</w:t>
            </w:r>
          </w:p>
        </w:tc>
        <w:tc>
          <w:tcPr>
            <w:tcW w:w="999" w:type="dxa"/>
          </w:tcPr>
          <w:p>
            <w:pPr>
              <w:pStyle w:val="TableParagraph"/>
              <w:spacing w:line="170" w:lineRule="exact" w:before="0"/>
              <w:ind w:left="132" w:right="60"/>
              <w:jc w:val="center"/>
              <w:rPr>
                <w:sz w:val="17"/>
              </w:rPr>
            </w:pPr>
            <w:r>
              <w:rPr>
                <w:sz w:val="17"/>
              </w:rPr>
              <w:t>0.077044</w:t>
            </w:r>
          </w:p>
        </w:tc>
        <w:tc>
          <w:tcPr>
            <w:tcW w:w="921" w:type="dxa"/>
          </w:tcPr>
          <w:p>
            <w:pPr>
              <w:pStyle w:val="TableParagraph"/>
              <w:spacing w:line="170" w:lineRule="exact" w:before="0"/>
              <w:ind w:left="87" w:right="28"/>
              <w:jc w:val="center"/>
              <w:rPr>
                <w:sz w:val="17"/>
              </w:rPr>
            </w:pPr>
            <w:r>
              <w:rPr>
                <w:sz w:val="17"/>
              </w:rPr>
              <w:t>-1.199665</w:t>
            </w:r>
          </w:p>
        </w:tc>
        <w:tc>
          <w:tcPr>
            <w:tcW w:w="752" w:type="dxa"/>
          </w:tcPr>
          <w:p>
            <w:pPr>
              <w:pStyle w:val="TableParagraph"/>
              <w:spacing w:line="170" w:lineRule="exact" w:before="0"/>
              <w:ind w:right="13"/>
              <w:rPr>
                <w:sz w:val="17"/>
              </w:rPr>
            </w:pPr>
            <w:r>
              <w:rPr>
                <w:w w:val="95"/>
                <w:sz w:val="17"/>
              </w:rPr>
              <w:t>0.2312</w:t>
            </w:r>
          </w:p>
        </w:tc>
      </w:tr>
      <w:tr>
        <w:trPr>
          <w:trHeight w:val="219" w:hRule="atLeast"/>
        </w:trPr>
        <w:tc>
          <w:tcPr>
            <w:tcW w:w="2619" w:type="dxa"/>
            <w:tcBorders>
              <w:bottom w:val="double" w:sz="2" w:space="0" w:color="000000"/>
            </w:tcBorders>
          </w:tcPr>
          <w:p>
            <w:pPr>
              <w:pStyle w:val="TableParagraph"/>
              <w:spacing w:line="189" w:lineRule="exact" w:before="0"/>
              <w:ind w:left="273"/>
              <w:jc w:val="left"/>
              <w:rPr>
                <w:sz w:val="17"/>
              </w:rPr>
            </w:pPr>
            <w:r>
              <w:rPr>
                <w:sz w:val="17"/>
              </w:rPr>
              <w:t>VISTA_A_LA_CARPINTERA</w:t>
            </w:r>
          </w:p>
        </w:tc>
        <w:tc>
          <w:tcPr>
            <w:tcW w:w="947" w:type="dxa"/>
            <w:tcBorders>
              <w:bottom w:val="double" w:sz="2" w:space="0" w:color="000000"/>
            </w:tcBorders>
          </w:tcPr>
          <w:p>
            <w:pPr>
              <w:pStyle w:val="TableParagraph"/>
              <w:spacing w:line="189" w:lineRule="exact" w:before="0"/>
              <w:ind w:left="125" w:right="71"/>
              <w:jc w:val="center"/>
              <w:rPr>
                <w:sz w:val="17"/>
              </w:rPr>
            </w:pPr>
            <w:r>
              <w:rPr>
                <w:sz w:val="17"/>
              </w:rPr>
              <w:t>0.098066</w:t>
            </w:r>
          </w:p>
        </w:tc>
        <w:tc>
          <w:tcPr>
            <w:tcW w:w="999" w:type="dxa"/>
            <w:tcBorders>
              <w:bottom w:val="double" w:sz="2" w:space="0" w:color="000000"/>
            </w:tcBorders>
          </w:tcPr>
          <w:p>
            <w:pPr>
              <w:pStyle w:val="TableParagraph"/>
              <w:spacing w:line="189" w:lineRule="exact" w:before="0"/>
              <w:ind w:left="132" w:right="60"/>
              <w:jc w:val="center"/>
              <w:rPr>
                <w:sz w:val="17"/>
              </w:rPr>
            </w:pPr>
            <w:r>
              <w:rPr>
                <w:sz w:val="17"/>
              </w:rPr>
              <w:t>0.049302</w:t>
            </w:r>
          </w:p>
        </w:tc>
        <w:tc>
          <w:tcPr>
            <w:tcW w:w="921" w:type="dxa"/>
            <w:tcBorders>
              <w:bottom w:val="double" w:sz="2" w:space="0" w:color="000000"/>
            </w:tcBorders>
          </w:tcPr>
          <w:p>
            <w:pPr>
              <w:pStyle w:val="TableParagraph"/>
              <w:spacing w:line="189" w:lineRule="exact" w:before="0"/>
              <w:ind w:left="137" w:right="22"/>
              <w:jc w:val="center"/>
              <w:rPr>
                <w:sz w:val="17"/>
              </w:rPr>
            </w:pPr>
            <w:r>
              <w:rPr>
                <w:sz w:val="17"/>
              </w:rPr>
              <w:t>1.989100</w:t>
            </w:r>
          </w:p>
        </w:tc>
        <w:tc>
          <w:tcPr>
            <w:tcW w:w="752" w:type="dxa"/>
            <w:tcBorders>
              <w:bottom w:val="double" w:sz="2" w:space="0" w:color="000000"/>
            </w:tcBorders>
          </w:tcPr>
          <w:p>
            <w:pPr>
              <w:pStyle w:val="TableParagraph"/>
              <w:spacing w:line="189" w:lineRule="exact" w:before="0"/>
              <w:ind w:right="13"/>
              <w:rPr>
                <w:sz w:val="17"/>
              </w:rPr>
            </w:pPr>
            <w:r>
              <w:rPr>
                <w:w w:val="95"/>
                <w:sz w:val="17"/>
              </w:rPr>
              <w:t>0.0476</w:t>
            </w:r>
          </w:p>
        </w:tc>
      </w:tr>
      <w:tr>
        <w:trPr>
          <w:trHeight w:val="304" w:hRule="atLeast"/>
        </w:trPr>
        <w:tc>
          <w:tcPr>
            <w:tcW w:w="2619" w:type="dxa"/>
          </w:tcPr>
          <w:p>
            <w:pPr>
              <w:pStyle w:val="TableParagraph"/>
              <w:spacing w:before="108"/>
              <w:ind w:left="16"/>
              <w:jc w:val="left"/>
              <w:rPr>
                <w:sz w:val="17"/>
              </w:rPr>
            </w:pPr>
            <w:r>
              <w:rPr>
                <w:sz w:val="17"/>
              </w:rPr>
              <w:t>R-squared</w:t>
            </w:r>
          </w:p>
        </w:tc>
        <w:tc>
          <w:tcPr>
            <w:tcW w:w="947" w:type="dxa"/>
          </w:tcPr>
          <w:p>
            <w:pPr>
              <w:pStyle w:val="TableParagraph"/>
              <w:spacing w:before="108"/>
              <w:ind w:left="125" w:right="71"/>
              <w:jc w:val="center"/>
              <w:rPr>
                <w:sz w:val="17"/>
              </w:rPr>
            </w:pPr>
            <w:r>
              <w:rPr>
                <w:sz w:val="17"/>
              </w:rPr>
              <w:t>0.533459</w:t>
            </w:r>
          </w:p>
        </w:tc>
        <w:tc>
          <w:tcPr>
            <w:tcW w:w="1920" w:type="dxa"/>
            <w:gridSpan w:val="2"/>
          </w:tcPr>
          <w:p>
            <w:pPr>
              <w:pStyle w:val="TableParagraph"/>
              <w:spacing w:before="108"/>
              <w:ind w:left="109"/>
              <w:jc w:val="left"/>
              <w:rPr>
                <w:sz w:val="17"/>
              </w:rPr>
            </w:pPr>
            <w:r>
              <w:rPr>
                <w:sz w:val="17"/>
              </w:rPr>
              <w:t>Mean dependent var</w:t>
            </w:r>
          </w:p>
        </w:tc>
        <w:tc>
          <w:tcPr>
            <w:tcW w:w="752" w:type="dxa"/>
          </w:tcPr>
          <w:p>
            <w:pPr>
              <w:pStyle w:val="TableParagraph"/>
              <w:spacing w:before="108"/>
              <w:ind w:right="13"/>
              <w:rPr>
                <w:sz w:val="17"/>
              </w:rPr>
            </w:pPr>
            <w:r>
              <w:rPr>
                <w:w w:val="95"/>
                <w:sz w:val="17"/>
              </w:rPr>
              <w:t>12.60831</w:t>
            </w:r>
          </w:p>
        </w:tc>
      </w:tr>
      <w:tr>
        <w:trPr>
          <w:trHeight w:val="189" w:hRule="atLeast"/>
        </w:trPr>
        <w:tc>
          <w:tcPr>
            <w:tcW w:w="2619" w:type="dxa"/>
          </w:tcPr>
          <w:p>
            <w:pPr>
              <w:pStyle w:val="TableParagraph"/>
              <w:spacing w:line="170" w:lineRule="exact" w:before="0"/>
              <w:ind w:left="16"/>
              <w:jc w:val="left"/>
              <w:rPr>
                <w:sz w:val="17"/>
              </w:rPr>
            </w:pPr>
            <w:r>
              <w:rPr>
                <w:sz w:val="17"/>
              </w:rPr>
              <w:t>Adjusted R-squared</w:t>
            </w:r>
          </w:p>
        </w:tc>
        <w:tc>
          <w:tcPr>
            <w:tcW w:w="947" w:type="dxa"/>
          </w:tcPr>
          <w:p>
            <w:pPr>
              <w:pStyle w:val="TableParagraph"/>
              <w:spacing w:line="170" w:lineRule="exact" w:before="0"/>
              <w:ind w:left="125" w:right="71"/>
              <w:jc w:val="center"/>
              <w:rPr>
                <w:sz w:val="17"/>
              </w:rPr>
            </w:pPr>
            <w:r>
              <w:rPr>
                <w:sz w:val="17"/>
              </w:rPr>
              <w:t>0.517372</w:t>
            </w:r>
          </w:p>
        </w:tc>
        <w:tc>
          <w:tcPr>
            <w:tcW w:w="1920" w:type="dxa"/>
            <w:gridSpan w:val="2"/>
          </w:tcPr>
          <w:p>
            <w:pPr>
              <w:pStyle w:val="TableParagraph"/>
              <w:spacing w:line="170" w:lineRule="exact" w:before="0"/>
              <w:ind w:left="109"/>
              <w:jc w:val="left"/>
              <w:rPr>
                <w:sz w:val="17"/>
              </w:rPr>
            </w:pPr>
            <w:r>
              <w:rPr>
                <w:sz w:val="17"/>
              </w:rPr>
              <w:t>S.D. dependent var</w:t>
            </w:r>
          </w:p>
        </w:tc>
        <w:tc>
          <w:tcPr>
            <w:tcW w:w="752" w:type="dxa"/>
          </w:tcPr>
          <w:p>
            <w:pPr>
              <w:pStyle w:val="TableParagraph"/>
              <w:spacing w:line="170" w:lineRule="exact" w:before="0"/>
              <w:ind w:right="13"/>
              <w:rPr>
                <w:sz w:val="17"/>
              </w:rPr>
            </w:pPr>
            <w:r>
              <w:rPr>
                <w:w w:val="95"/>
                <w:sz w:val="17"/>
              </w:rPr>
              <w:t>0.560920</w:t>
            </w:r>
          </w:p>
        </w:tc>
      </w:tr>
      <w:tr>
        <w:trPr>
          <w:trHeight w:val="189" w:hRule="atLeast"/>
        </w:trPr>
        <w:tc>
          <w:tcPr>
            <w:tcW w:w="2619" w:type="dxa"/>
          </w:tcPr>
          <w:p>
            <w:pPr>
              <w:pStyle w:val="TableParagraph"/>
              <w:spacing w:line="170" w:lineRule="exact" w:before="0"/>
              <w:ind w:left="16"/>
              <w:jc w:val="left"/>
              <w:rPr>
                <w:sz w:val="17"/>
              </w:rPr>
            </w:pPr>
            <w:r>
              <w:rPr>
                <w:sz w:val="17"/>
              </w:rPr>
              <w:t>S.E. of regression</w:t>
            </w:r>
          </w:p>
        </w:tc>
        <w:tc>
          <w:tcPr>
            <w:tcW w:w="947" w:type="dxa"/>
          </w:tcPr>
          <w:p>
            <w:pPr>
              <w:pStyle w:val="TableParagraph"/>
              <w:spacing w:line="170" w:lineRule="exact" w:before="0"/>
              <w:ind w:left="125" w:right="71"/>
              <w:jc w:val="center"/>
              <w:rPr>
                <w:sz w:val="17"/>
              </w:rPr>
            </w:pPr>
            <w:r>
              <w:rPr>
                <w:sz w:val="17"/>
              </w:rPr>
              <w:t>0.389680</w:t>
            </w:r>
          </w:p>
        </w:tc>
        <w:tc>
          <w:tcPr>
            <w:tcW w:w="1920" w:type="dxa"/>
            <w:gridSpan w:val="2"/>
          </w:tcPr>
          <w:p>
            <w:pPr>
              <w:pStyle w:val="TableParagraph"/>
              <w:spacing w:line="170" w:lineRule="exact" w:before="0"/>
              <w:ind w:left="109"/>
              <w:jc w:val="left"/>
              <w:rPr>
                <w:sz w:val="17"/>
              </w:rPr>
            </w:pPr>
            <w:r>
              <w:rPr>
                <w:sz w:val="17"/>
              </w:rPr>
              <w:t>Akaike info criterion</w:t>
            </w:r>
          </w:p>
        </w:tc>
        <w:tc>
          <w:tcPr>
            <w:tcW w:w="752" w:type="dxa"/>
          </w:tcPr>
          <w:p>
            <w:pPr>
              <w:pStyle w:val="TableParagraph"/>
              <w:spacing w:line="170" w:lineRule="exact" w:before="0"/>
              <w:ind w:right="13"/>
              <w:rPr>
                <w:sz w:val="17"/>
              </w:rPr>
            </w:pPr>
            <w:r>
              <w:rPr>
                <w:w w:val="95"/>
                <w:sz w:val="17"/>
              </w:rPr>
              <w:t>0.988876</w:t>
            </w:r>
          </w:p>
        </w:tc>
      </w:tr>
      <w:tr>
        <w:trPr>
          <w:trHeight w:val="189" w:hRule="atLeast"/>
        </w:trPr>
        <w:tc>
          <w:tcPr>
            <w:tcW w:w="2619" w:type="dxa"/>
          </w:tcPr>
          <w:p>
            <w:pPr>
              <w:pStyle w:val="TableParagraph"/>
              <w:spacing w:line="170" w:lineRule="exact" w:before="0"/>
              <w:ind w:left="16"/>
              <w:jc w:val="left"/>
              <w:rPr>
                <w:sz w:val="17"/>
              </w:rPr>
            </w:pPr>
            <w:r>
              <w:rPr>
                <w:sz w:val="17"/>
              </w:rPr>
              <w:t>Sum squared resid</w:t>
            </w:r>
          </w:p>
        </w:tc>
        <w:tc>
          <w:tcPr>
            <w:tcW w:w="947" w:type="dxa"/>
          </w:tcPr>
          <w:p>
            <w:pPr>
              <w:pStyle w:val="TableParagraph"/>
              <w:spacing w:line="170" w:lineRule="exact" w:before="0"/>
              <w:ind w:left="125" w:right="71"/>
              <w:jc w:val="center"/>
              <w:rPr>
                <w:sz w:val="17"/>
              </w:rPr>
            </w:pPr>
            <w:r>
              <w:rPr>
                <w:sz w:val="17"/>
              </w:rPr>
              <w:t>44.03655</w:t>
            </w:r>
          </w:p>
        </w:tc>
        <w:tc>
          <w:tcPr>
            <w:tcW w:w="1920" w:type="dxa"/>
            <w:gridSpan w:val="2"/>
          </w:tcPr>
          <w:p>
            <w:pPr>
              <w:pStyle w:val="TableParagraph"/>
              <w:spacing w:line="170" w:lineRule="exact" w:before="0"/>
              <w:ind w:left="109"/>
              <w:jc w:val="left"/>
              <w:rPr>
                <w:sz w:val="17"/>
              </w:rPr>
            </w:pPr>
            <w:r>
              <w:rPr>
                <w:sz w:val="17"/>
              </w:rPr>
              <w:t>Schwarz criterion</w:t>
            </w:r>
          </w:p>
        </w:tc>
        <w:tc>
          <w:tcPr>
            <w:tcW w:w="752" w:type="dxa"/>
          </w:tcPr>
          <w:p>
            <w:pPr>
              <w:pStyle w:val="TableParagraph"/>
              <w:spacing w:line="170" w:lineRule="exact" w:before="0"/>
              <w:ind w:right="13"/>
              <w:rPr>
                <w:sz w:val="17"/>
              </w:rPr>
            </w:pPr>
            <w:r>
              <w:rPr>
                <w:w w:val="95"/>
                <w:sz w:val="17"/>
              </w:rPr>
              <w:t>1.124352</w:t>
            </w:r>
          </w:p>
        </w:tc>
      </w:tr>
      <w:tr>
        <w:trPr>
          <w:trHeight w:val="189" w:hRule="atLeast"/>
        </w:trPr>
        <w:tc>
          <w:tcPr>
            <w:tcW w:w="2619" w:type="dxa"/>
          </w:tcPr>
          <w:p>
            <w:pPr>
              <w:pStyle w:val="TableParagraph"/>
              <w:spacing w:line="170" w:lineRule="exact" w:before="0"/>
              <w:ind w:left="16"/>
              <w:jc w:val="left"/>
              <w:rPr>
                <w:sz w:val="17"/>
              </w:rPr>
            </w:pPr>
            <w:r>
              <w:rPr>
                <w:sz w:val="17"/>
              </w:rPr>
              <w:t>Log likelihood</w:t>
            </w:r>
          </w:p>
        </w:tc>
        <w:tc>
          <w:tcPr>
            <w:tcW w:w="947" w:type="dxa"/>
          </w:tcPr>
          <w:p>
            <w:pPr>
              <w:pStyle w:val="TableParagraph"/>
              <w:spacing w:line="170" w:lineRule="exact" w:before="0"/>
              <w:ind w:left="28" w:right="29"/>
              <w:jc w:val="center"/>
              <w:rPr>
                <w:sz w:val="17"/>
              </w:rPr>
            </w:pPr>
            <w:r>
              <w:rPr>
                <w:sz w:val="17"/>
              </w:rPr>
              <w:t>-137.8259</w:t>
            </w:r>
          </w:p>
        </w:tc>
        <w:tc>
          <w:tcPr>
            <w:tcW w:w="1920" w:type="dxa"/>
            <w:gridSpan w:val="2"/>
          </w:tcPr>
          <w:p>
            <w:pPr>
              <w:pStyle w:val="TableParagraph"/>
              <w:spacing w:line="170" w:lineRule="exact" w:before="0"/>
              <w:ind w:left="109"/>
              <w:jc w:val="left"/>
              <w:rPr>
                <w:sz w:val="17"/>
              </w:rPr>
            </w:pPr>
            <w:r>
              <w:rPr>
                <w:sz w:val="17"/>
              </w:rPr>
              <w:t>Hannan-Quinn criter.</w:t>
            </w:r>
          </w:p>
        </w:tc>
        <w:tc>
          <w:tcPr>
            <w:tcW w:w="752" w:type="dxa"/>
          </w:tcPr>
          <w:p>
            <w:pPr>
              <w:pStyle w:val="TableParagraph"/>
              <w:spacing w:line="170" w:lineRule="exact" w:before="0"/>
              <w:ind w:right="13"/>
              <w:rPr>
                <w:sz w:val="17"/>
              </w:rPr>
            </w:pPr>
            <w:r>
              <w:rPr>
                <w:w w:val="95"/>
                <w:sz w:val="17"/>
              </w:rPr>
              <w:t>1.043088</w:t>
            </w:r>
          </w:p>
        </w:tc>
      </w:tr>
      <w:tr>
        <w:trPr>
          <w:trHeight w:val="219" w:hRule="atLeast"/>
        </w:trPr>
        <w:tc>
          <w:tcPr>
            <w:tcW w:w="2619" w:type="dxa"/>
            <w:tcBorders>
              <w:bottom w:val="double" w:sz="2" w:space="0" w:color="000000"/>
            </w:tcBorders>
          </w:tcPr>
          <w:p>
            <w:pPr>
              <w:pStyle w:val="TableParagraph"/>
              <w:spacing w:line="189" w:lineRule="exact" w:before="0"/>
              <w:ind w:left="16"/>
              <w:jc w:val="left"/>
              <w:rPr>
                <w:sz w:val="17"/>
              </w:rPr>
            </w:pPr>
            <w:r>
              <w:rPr>
                <w:sz w:val="17"/>
              </w:rPr>
              <w:t>Durbin-Watson stat</w:t>
            </w:r>
          </w:p>
        </w:tc>
        <w:tc>
          <w:tcPr>
            <w:tcW w:w="947" w:type="dxa"/>
            <w:tcBorders>
              <w:bottom w:val="double" w:sz="2" w:space="0" w:color="000000"/>
            </w:tcBorders>
          </w:tcPr>
          <w:p>
            <w:pPr>
              <w:pStyle w:val="TableParagraph"/>
              <w:spacing w:line="189" w:lineRule="exact" w:before="0"/>
              <w:ind w:left="125" w:right="71"/>
              <w:jc w:val="center"/>
              <w:rPr>
                <w:sz w:val="17"/>
              </w:rPr>
            </w:pPr>
            <w:r>
              <w:rPr>
                <w:sz w:val="17"/>
              </w:rPr>
              <w:t>1.794596</w:t>
            </w:r>
          </w:p>
        </w:tc>
        <w:tc>
          <w:tcPr>
            <w:tcW w:w="1920" w:type="dxa"/>
            <w:gridSpan w:val="2"/>
            <w:tcBorders>
              <w:bottom w:val="double" w:sz="2" w:space="0" w:color="000000"/>
            </w:tcBorders>
          </w:tcPr>
          <w:p>
            <w:pPr>
              <w:pStyle w:val="TableParagraph"/>
              <w:spacing w:line="240" w:lineRule="auto" w:before="0"/>
              <w:jc w:val="left"/>
              <w:rPr>
                <w:rFonts w:ascii="Times New Roman"/>
                <w:sz w:val="14"/>
              </w:rPr>
            </w:pPr>
          </w:p>
        </w:tc>
        <w:tc>
          <w:tcPr>
            <w:tcW w:w="752" w:type="dxa"/>
            <w:tcBorders>
              <w:bottom w:val="double" w:sz="2" w:space="0" w:color="000000"/>
            </w:tcBorders>
          </w:tcPr>
          <w:p>
            <w:pPr>
              <w:pStyle w:val="TableParagraph"/>
              <w:spacing w:line="240" w:lineRule="auto" w:before="0"/>
              <w:jc w:val="left"/>
              <w:rPr>
                <w:rFonts w:ascii="Times New Roman"/>
                <w:sz w:val="14"/>
              </w:rPr>
            </w:pPr>
          </w:p>
        </w:tc>
      </w:tr>
    </w:tbl>
    <w:p>
      <w:pPr>
        <w:pStyle w:val="BodyText"/>
        <w:rPr>
          <w:sz w:val="18"/>
        </w:rPr>
      </w:pPr>
    </w:p>
    <w:p>
      <w:pPr>
        <w:pStyle w:val="BodyText"/>
        <w:spacing w:before="6"/>
        <w:rPr>
          <w:sz w:val="16"/>
        </w:rPr>
      </w:pPr>
    </w:p>
    <w:p>
      <w:pPr>
        <w:pStyle w:val="Heading1"/>
        <w:spacing w:line="482" w:lineRule="auto"/>
        <w:ind w:right="7860"/>
      </w:pPr>
      <w:r>
        <w:rPr/>
        <w:t>V- Modelo Número 5 A- Regresión/ACR/VIF</w:t>
      </w: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642"/>
        <w:gridCol w:w="480"/>
        <w:gridCol w:w="864"/>
        <w:gridCol w:w="864"/>
        <w:gridCol w:w="865"/>
        <w:gridCol w:w="819"/>
      </w:tblGrid>
      <w:tr>
        <w:trPr>
          <w:trHeight w:val="272" w:hRule="atLeast"/>
        </w:trPr>
        <w:tc>
          <w:tcPr>
            <w:tcW w:w="2642" w:type="dxa"/>
          </w:tcPr>
          <w:p>
            <w:pPr>
              <w:pStyle w:val="TableParagraph"/>
              <w:spacing w:line="240" w:lineRule="auto" w:before="0"/>
              <w:ind w:left="50"/>
              <w:jc w:val="left"/>
              <w:rPr>
                <w:rFonts w:ascii="Courier New"/>
                <w:b/>
                <w:sz w:val="16"/>
              </w:rPr>
            </w:pPr>
            <w:r>
              <w:rPr>
                <w:rFonts w:ascii="Courier New"/>
                <w:b/>
                <w:sz w:val="16"/>
              </w:rPr>
              <w:t>Analysis of Variance</w:t>
            </w:r>
          </w:p>
        </w:tc>
        <w:tc>
          <w:tcPr>
            <w:tcW w:w="3892" w:type="dxa"/>
            <w:gridSpan w:val="5"/>
          </w:tcPr>
          <w:p>
            <w:pPr>
              <w:pStyle w:val="TableParagraph"/>
              <w:spacing w:line="240" w:lineRule="auto" w:before="0"/>
              <w:jc w:val="left"/>
              <w:rPr>
                <w:rFonts w:ascii="Times New Roman"/>
                <w:sz w:val="16"/>
              </w:rPr>
            </w:pPr>
          </w:p>
        </w:tc>
      </w:tr>
      <w:tr>
        <w:trPr>
          <w:trHeight w:val="272" w:hRule="atLeast"/>
        </w:trPr>
        <w:tc>
          <w:tcPr>
            <w:tcW w:w="2642" w:type="dxa"/>
          </w:tcPr>
          <w:p>
            <w:pPr>
              <w:pStyle w:val="TableParagraph"/>
              <w:spacing w:line="161" w:lineRule="exact"/>
              <w:ind w:left="50"/>
              <w:jc w:val="left"/>
              <w:rPr>
                <w:rFonts w:ascii="Courier New"/>
                <w:b/>
                <w:sz w:val="16"/>
              </w:rPr>
            </w:pPr>
            <w:r>
              <w:rPr>
                <w:rFonts w:ascii="Courier New"/>
                <w:b/>
                <w:sz w:val="16"/>
              </w:rPr>
              <w:t>Source</w:t>
            </w:r>
          </w:p>
        </w:tc>
        <w:tc>
          <w:tcPr>
            <w:tcW w:w="480" w:type="dxa"/>
          </w:tcPr>
          <w:p>
            <w:pPr>
              <w:pStyle w:val="TableParagraph"/>
              <w:spacing w:line="161" w:lineRule="exact"/>
              <w:ind w:right="94"/>
              <w:rPr>
                <w:rFonts w:ascii="Courier New"/>
                <w:b/>
                <w:sz w:val="16"/>
              </w:rPr>
            </w:pPr>
            <w:r>
              <w:rPr>
                <w:rFonts w:ascii="Courier New"/>
                <w:b/>
                <w:sz w:val="16"/>
              </w:rPr>
              <w:t>DF</w:t>
            </w:r>
          </w:p>
        </w:tc>
        <w:tc>
          <w:tcPr>
            <w:tcW w:w="864" w:type="dxa"/>
          </w:tcPr>
          <w:p>
            <w:pPr>
              <w:pStyle w:val="TableParagraph"/>
              <w:spacing w:line="161" w:lineRule="exact"/>
              <w:ind w:right="94"/>
              <w:rPr>
                <w:rFonts w:ascii="Courier New"/>
                <w:b/>
                <w:sz w:val="16"/>
              </w:rPr>
            </w:pPr>
            <w:r>
              <w:rPr>
                <w:rFonts w:ascii="Courier New"/>
                <w:b/>
                <w:sz w:val="16"/>
              </w:rPr>
              <w:t>Adj SS</w:t>
            </w:r>
          </w:p>
        </w:tc>
        <w:tc>
          <w:tcPr>
            <w:tcW w:w="864" w:type="dxa"/>
          </w:tcPr>
          <w:p>
            <w:pPr>
              <w:pStyle w:val="TableParagraph"/>
              <w:spacing w:line="161" w:lineRule="exact"/>
              <w:ind w:left="170" w:right="75"/>
              <w:jc w:val="center"/>
              <w:rPr>
                <w:rFonts w:ascii="Courier New"/>
                <w:b/>
                <w:sz w:val="16"/>
              </w:rPr>
            </w:pPr>
            <w:r>
              <w:rPr>
                <w:rFonts w:ascii="Courier New"/>
                <w:b/>
                <w:sz w:val="16"/>
              </w:rPr>
              <w:t>Adj MS</w:t>
            </w:r>
          </w:p>
        </w:tc>
        <w:tc>
          <w:tcPr>
            <w:tcW w:w="865" w:type="dxa"/>
          </w:tcPr>
          <w:p>
            <w:pPr>
              <w:pStyle w:val="TableParagraph"/>
              <w:spacing w:line="161" w:lineRule="exact"/>
              <w:ind w:right="93"/>
              <w:rPr>
                <w:rFonts w:ascii="Courier New"/>
                <w:b/>
                <w:sz w:val="16"/>
              </w:rPr>
            </w:pPr>
            <w:r>
              <w:rPr>
                <w:rFonts w:ascii="Courier New"/>
                <w:b/>
                <w:sz w:val="16"/>
              </w:rPr>
              <w:t>F-Value</w:t>
            </w:r>
          </w:p>
        </w:tc>
        <w:tc>
          <w:tcPr>
            <w:tcW w:w="819" w:type="dxa"/>
          </w:tcPr>
          <w:p>
            <w:pPr>
              <w:pStyle w:val="TableParagraph"/>
              <w:spacing w:line="161" w:lineRule="exact"/>
              <w:ind w:right="47"/>
              <w:rPr>
                <w:rFonts w:ascii="Courier New"/>
                <w:b/>
                <w:sz w:val="16"/>
              </w:rPr>
            </w:pPr>
            <w:r>
              <w:rPr>
                <w:rFonts w:ascii="Courier New"/>
                <w:b/>
                <w:sz w:val="16"/>
              </w:rPr>
              <w:t>P-Value</w:t>
            </w:r>
          </w:p>
        </w:tc>
      </w:tr>
      <w:tr>
        <w:trPr>
          <w:trHeight w:val="181" w:hRule="atLeast"/>
        </w:trPr>
        <w:tc>
          <w:tcPr>
            <w:tcW w:w="2642" w:type="dxa"/>
          </w:tcPr>
          <w:p>
            <w:pPr>
              <w:pStyle w:val="TableParagraph"/>
              <w:spacing w:line="162" w:lineRule="exact" w:before="0"/>
              <w:ind w:left="50"/>
              <w:jc w:val="left"/>
              <w:rPr>
                <w:rFonts w:ascii="Courier New"/>
                <w:b/>
                <w:sz w:val="16"/>
              </w:rPr>
            </w:pPr>
            <w:r>
              <w:rPr>
                <w:rFonts w:ascii="Courier New"/>
                <w:b/>
                <w:sz w:val="16"/>
              </w:rPr>
              <w:t>Regression</w:t>
            </w:r>
          </w:p>
        </w:tc>
        <w:tc>
          <w:tcPr>
            <w:tcW w:w="480" w:type="dxa"/>
          </w:tcPr>
          <w:p>
            <w:pPr>
              <w:pStyle w:val="TableParagraph"/>
              <w:spacing w:line="162" w:lineRule="exact" w:before="0"/>
              <w:ind w:right="94"/>
              <w:rPr>
                <w:rFonts w:ascii="Courier New"/>
                <w:b/>
                <w:sz w:val="16"/>
              </w:rPr>
            </w:pPr>
            <w:r>
              <w:rPr>
                <w:rFonts w:ascii="Courier New"/>
                <w:b/>
                <w:sz w:val="16"/>
              </w:rPr>
              <w:t>8</w:t>
            </w:r>
          </w:p>
        </w:tc>
        <w:tc>
          <w:tcPr>
            <w:tcW w:w="864" w:type="dxa"/>
          </w:tcPr>
          <w:p>
            <w:pPr>
              <w:pStyle w:val="TableParagraph"/>
              <w:spacing w:line="162" w:lineRule="exact" w:before="0"/>
              <w:ind w:right="94"/>
              <w:rPr>
                <w:rFonts w:ascii="Courier New"/>
                <w:b/>
                <w:sz w:val="16"/>
              </w:rPr>
            </w:pPr>
            <w:r>
              <w:rPr>
                <w:rFonts w:ascii="Courier New"/>
                <w:b/>
                <w:sz w:val="16"/>
              </w:rPr>
              <w:t>50.0064</w:t>
            </w:r>
          </w:p>
        </w:tc>
        <w:tc>
          <w:tcPr>
            <w:tcW w:w="864" w:type="dxa"/>
          </w:tcPr>
          <w:p>
            <w:pPr>
              <w:pStyle w:val="TableParagraph"/>
              <w:spacing w:line="162" w:lineRule="exact" w:before="0"/>
              <w:ind w:left="171" w:right="74"/>
              <w:jc w:val="center"/>
              <w:rPr>
                <w:rFonts w:ascii="Courier New"/>
                <w:b/>
                <w:sz w:val="16"/>
              </w:rPr>
            </w:pPr>
            <w:r>
              <w:rPr>
                <w:rFonts w:ascii="Courier New"/>
                <w:b/>
                <w:sz w:val="16"/>
              </w:rPr>
              <w:t>6.2508</w:t>
            </w:r>
          </w:p>
        </w:tc>
        <w:tc>
          <w:tcPr>
            <w:tcW w:w="865" w:type="dxa"/>
          </w:tcPr>
          <w:p>
            <w:pPr>
              <w:pStyle w:val="TableParagraph"/>
              <w:spacing w:line="162" w:lineRule="exact" w:before="0"/>
              <w:ind w:right="93"/>
              <w:rPr>
                <w:rFonts w:ascii="Courier New"/>
                <w:b/>
                <w:sz w:val="16"/>
              </w:rPr>
            </w:pPr>
            <w:r>
              <w:rPr>
                <w:rFonts w:ascii="Courier New"/>
                <w:b/>
                <w:sz w:val="16"/>
              </w:rPr>
              <w:t>41.12</w:t>
            </w:r>
          </w:p>
        </w:tc>
        <w:tc>
          <w:tcPr>
            <w:tcW w:w="819" w:type="dxa"/>
          </w:tcPr>
          <w:p>
            <w:pPr>
              <w:pStyle w:val="TableParagraph"/>
              <w:spacing w:line="162" w:lineRule="exact" w:before="0"/>
              <w:ind w:right="48"/>
              <w:rPr>
                <w:rFonts w:ascii="Courier New"/>
                <w:b/>
                <w:sz w:val="16"/>
              </w:rPr>
            </w:pPr>
            <w:r>
              <w:rPr>
                <w:rFonts w:ascii="Courier New"/>
                <w:b/>
                <w:sz w:val="16"/>
              </w:rPr>
              <w:t>0.000</w:t>
            </w:r>
          </w:p>
        </w:tc>
      </w:tr>
      <w:tr>
        <w:trPr>
          <w:trHeight w:val="182" w:hRule="atLeast"/>
        </w:trPr>
        <w:tc>
          <w:tcPr>
            <w:tcW w:w="2642" w:type="dxa"/>
          </w:tcPr>
          <w:p>
            <w:pPr>
              <w:pStyle w:val="TableParagraph"/>
              <w:spacing w:line="161" w:lineRule="exact" w:before="1"/>
              <w:ind w:left="241"/>
              <w:jc w:val="left"/>
              <w:rPr>
                <w:rFonts w:ascii="Courier New" w:hAnsi="Courier New"/>
                <w:b/>
                <w:sz w:val="16"/>
              </w:rPr>
            </w:pPr>
            <w:r>
              <w:rPr>
                <w:rFonts w:ascii="Courier New" w:hAnsi="Courier New"/>
                <w:b/>
                <w:sz w:val="16"/>
              </w:rPr>
              <w:t>Ln Año Construccion</w:t>
            </w:r>
          </w:p>
        </w:tc>
        <w:tc>
          <w:tcPr>
            <w:tcW w:w="480" w:type="dxa"/>
          </w:tcPr>
          <w:p>
            <w:pPr>
              <w:pStyle w:val="TableParagraph"/>
              <w:spacing w:line="161" w:lineRule="exact" w:before="1"/>
              <w:ind w:right="94"/>
              <w:rPr>
                <w:rFonts w:ascii="Courier New"/>
                <w:b/>
                <w:sz w:val="16"/>
              </w:rPr>
            </w:pPr>
            <w:r>
              <w:rPr>
                <w:rFonts w:ascii="Courier New"/>
                <w:b/>
                <w:sz w:val="16"/>
              </w:rPr>
              <w:t>1</w:t>
            </w:r>
          </w:p>
        </w:tc>
        <w:tc>
          <w:tcPr>
            <w:tcW w:w="864" w:type="dxa"/>
          </w:tcPr>
          <w:p>
            <w:pPr>
              <w:pStyle w:val="TableParagraph"/>
              <w:spacing w:line="161" w:lineRule="exact" w:before="1"/>
              <w:ind w:right="94"/>
              <w:rPr>
                <w:rFonts w:ascii="Courier New"/>
                <w:b/>
                <w:sz w:val="16"/>
              </w:rPr>
            </w:pPr>
            <w:r>
              <w:rPr>
                <w:rFonts w:ascii="Courier New"/>
                <w:b/>
                <w:sz w:val="16"/>
              </w:rPr>
              <w:t>0.3372</w:t>
            </w:r>
          </w:p>
        </w:tc>
        <w:tc>
          <w:tcPr>
            <w:tcW w:w="864" w:type="dxa"/>
          </w:tcPr>
          <w:p>
            <w:pPr>
              <w:pStyle w:val="TableParagraph"/>
              <w:spacing w:line="161" w:lineRule="exact" w:before="1"/>
              <w:ind w:left="170" w:right="75"/>
              <w:jc w:val="center"/>
              <w:rPr>
                <w:rFonts w:ascii="Courier New"/>
                <w:b/>
                <w:sz w:val="16"/>
              </w:rPr>
            </w:pPr>
            <w:r>
              <w:rPr>
                <w:rFonts w:ascii="Courier New"/>
                <w:b/>
                <w:sz w:val="16"/>
              </w:rPr>
              <w:t>0.3372</w:t>
            </w:r>
          </w:p>
        </w:tc>
        <w:tc>
          <w:tcPr>
            <w:tcW w:w="865" w:type="dxa"/>
          </w:tcPr>
          <w:p>
            <w:pPr>
              <w:pStyle w:val="TableParagraph"/>
              <w:spacing w:line="161" w:lineRule="exact" w:before="1"/>
              <w:ind w:right="95"/>
              <w:rPr>
                <w:rFonts w:ascii="Courier New"/>
                <w:b/>
                <w:sz w:val="16"/>
              </w:rPr>
            </w:pPr>
            <w:r>
              <w:rPr>
                <w:rFonts w:ascii="Courier New"/>
                <w:b/>
                <w:sz w:val="16"/>
              </w:rPr>
              <w:t>2.22</w:t>
            </w:r>
          </w:p>
        </w:tc>
        <w:tc>
          <w:tcPr>
            <w:tcW w:w="819" w:type="dxa"/>
          </w:tcPr>
          <w:p>
            <w:pPr>
              <w:pStyle w:val="TableParagraph"/>
              <w:spacing w:line="161" w:lineRule="exact" w:before="1"/>
              <w:ind w:right="50"/>
              <w:rPr>
                <w:rFonts w:ascii="Courier New"/>
                <w:b/>
                <w:sz w:val="16"/>
              </w:rPr>
            </w:pPr>
            <w:r>
              <w:rPr>
                <w:rFonts w:ascii="Courier New"/>
                <w:b/>
                <w:sz w:val="16"/>
              </w:rPr>
              <w:t>0.137</w:t>
            </w:r>
          </w:p>
        </w:tc>
      </w:tr>
      <w:tr>
        <w:trPr>
          <w:trHeight w:val="180" w:hRule="atLeast"/>
        </w:trPr>
        <w:tc>
          <w:tcPr>
            <w:tcW w:w="2642" w:type="dxa"/>
          </w:tcPr>
          <w:p>
            <w:pPr>
              <w:pStyle w:val="TableParagraph"/>
              <w:spacing w:line="160" w:lineRule="exact" w:before="0"/>
              <w:ind w:left="241"/>
              <w:jc w:val="left"/>
              <w:rPr>
                <w:rFonts w:ascii="Courier New" w:hAnsi="Courier New"/>
                <w:b/>
                <w:sz w:val="16"/>
              </w:rPr>
            </w:pPr>
            <w:r>
              <w:rPr>
                <w:rFonts w:ascii="Courier New" w:hAnsi="Courier New"/>
                <w:b/>
                <w:sz w:val="16"/>
              </w:rPr>
              <w:t>Ln Número Habitaciones</w:t>
            </w:r>
          </w:p>
        </w:tc>
        <w:tc>
          <w:tcPr>
            <w:tcW w:w="480" w:type="dxa"/>
          </w:tcPr>
          <w:p>
            <w:pPr>
              <w:pStyle w:val="TableParagraph"/>
              <w:spacing w:line="160" w:lineRule="exact" w:before="0"/>
              <w:ind w:right="94"/>
              <w:rPr>
                <w:rFonts w:ascii="Courier New"/>
                <w:b/>
                <w:sz w:val="16"/>
              </w:rPr>
            </w:pPr>
            <w:r>
              <w:rPr>
                <w:rFonts w:ascii="Courier New"/>
                <w:b/>
                <w:sz w:val="16"/>
              </w:rPr>
              <w:t>1</w:t>
            </w:r>
          </w:p>
        </w:tc>
        <w:tc>
          <w:tcPr>
            <w:tcW w:w="864" w:type="dxa"/>
          </w:tcPr>
          <w:p>
            <w:pPr>
              <w:pStyle w:val="TableParagraph"/>
              <w:spacing w:line="160" w:lineRule="exact" w:before="0"/>
              <w:ind w:right="94"/>
              <w:rPr>
                <w:rFonts w:ascii="Courier New"/>
                <w:b/>
                <w:sz w:val="16"/>
              </w:rPr>
            </w:pPr>
            <w:r>
              <w:rPr>
                <w:rFonts w:ascii="Courier New"/>
                <w:b/>
                <w:sz w:val="16"/>
              </w:rPr>
              <w:t>0.8535</w:t>
            </w:r>
          </w:p>
        </w:tc>
        <w:tc>
          <w:tcPr>
            <w:tcW w:w="864" w:type="dxa"/>
          </w:tcPr>
          <w:p>
            <w:pPr>
              <w:pStyle w:val="TableParagraph"/>
              <w:spacing w:line="160" w:lineRule="exact" w:before="0"/>
              <w:ind w:left="170" w:right="75"/>
              <w:jc w:val="center"/>
              <w:rPr>
                <w:rFonts w:ascii="Courier New"/>
                <w:b/>
                <w:sz w:val="16"/>
              </w:rPr>
            </w:pPr>
            <w:r>
              <w:rPr>
                <w:rFonts w:ascii="Courier New"/>
                <w:b/>
                <w:sz w:val="16"/>
              </w:rPr>
              <w:t>0.8535</w:t>
            </w:r>
          </w:p>
        </w:tc>
        <w:tc>
          <w:tcPr>
            <w:tcW w:w="865" w:type="dxa"/>
          </w:tcPr>
          <w:p>
            <w:pPr>
              <w:pStyle w:val="TableParagraph"/>
              <w:spacing w:line="160" w:lineRule="exact" w:before="0"/>
              <w:ind w:right="95"/>
              <w:rPr>
                <w:rFonts w:ascii="Courier New"/>
                <w:b/>
                <w:sz w:val="16"/>
              </w:rPr>
            </w:pPr>
            <w:r>
              <w:rPr>
                <w:rFonts w:ascii="Courier New"/>
                <w:b/>
                <w:sz w:val="16"/>
              </w:rPr>
              <w:t>5.62</w:t>
            </w:r>
          </w:p>
        </w:tc>
        <w:tc>
          <w:tcPr>
            <w:tcW w:w="819" w:type="dxa"/>
          </w:tcPr>
          <w:p>
            <w:pPr>
              <w:pStyle w:val="TableParagraph"/>
              <w:spacing w:line="160" w:lineRule="exact" w:before="0"/>
              <w:ind w:right="50"/>
              <w:rPr>
                <w:rFonts w:ascii="Courier New"/>
                <w:b/>
                <w:sz w:val="16"/>
              </w:rPr>
            </w:pPr>
            <w:r>
              <w:rPr>
                <w:rFonts w:ascii="Courier New"/>
                <w:b/>
                <w:sz w:val="16"/>
              </w:rPr>
              <w:t>0.018</w:t>
            </w:r>
          </w:p>
        </w:tc>
      </w:tr>
      <w:tr>
        <w:trPr>
          <w:trHeight w:val="182" w:hRule="atLeast"/>
        </w:trPr>
        <w:tc>
          <w:tcPr>
            <w:tcW w:w="2642" w:type="dxa"/>
          </w:tcPr>
          <w:p>
            <w:pPr>
              <w:pStyle w:val="TableParagraph"/>
              <w:spacing w:line="162" w:lineRule="exact" w:before="0"/>
              <w:ind w:left="241"/>
              <w:jc w:val="left"/>
              <w:rPr>
                <w:rFonts w:ascii="Courier New" w:hAnsi="Courier New"/>
                <w:b/>
                <w:sz w:val="16"/>
              </w:rPr>
            </w:pPr>
            <w:r>
              <w:rPr>
                <w:rFonts w:ascii="Courier New" w:hAnsi="Courier New"/>
                <w:b/>
                <w:sz w:val="16"/>
              </w:rPr>
              <w:t>Ln Número de Baños</w:t>
            </w:r>
          </w:p>
        </w:tc>
        <w:tc>
          <w:tcPr>
            <w:tcW w:w="480" w:type="dxa"/>
          </w:tcPr>
          <w:p>
            <w:pPr>
              <w:pStyle w:val="TableParagraph"/>
              <w:spacing w:line="162" w:lineRule="exact" w:before="0"/>
              <w:ind w:right="94"/>
              <w:rPr>
                <w:rFonts w:ascii="Courier New"/>
                <w:b/>
                <w:sz w:val="16"/>
              </w:rPr>
            </w:pPr>
            <w:r>
              <w:rPr>
                <w:rFonts w:ascii="Courier New"/>
                <w:b/>
                <w:sz w:val="16"/>
              </w:rPr>
              <w:t>1</w:t>
            </w:r>
          </w:p>
        </w:tc>
        <w:tc>
          <w:tcPr>
            <w:tcW w:w="864" w:type="dxa"/>
          </w:tcPr>
          <w:p>
            <w:pPr>
              <w:pStyle w:val="TableParagraph"/>
              <w:spacing w:line="162" w:lineRule="exact" w:before="0"/>
              <w:ind w:right="94"/>
              <w:rPr>
                <w:rFonts w:ascii="Courier New"/>
                <w:b/>
                <w:sz w:val="16"/>
              </w:rPr>
            </w:pPr>
            <w:r>
              <w:rPr>
                <w:rFonts w:ascii="Courier New"/>
                <w:b/>
                <w:sz w:val="16"/>
              </w:rPr>
              <w:t>11.6458</w:t>
            </w:r>
          </w:p>
        </w:tc>
        <w:tc>
          <w:tcPr>
            <w:tcW w:w="864" w:type="dxa"/>
          </w:tcPr>
          <w:p>
            <w:pPr>
              <w:pStyle w:val="TableParagraph"/>
              <w:spacing w:line="162" w:lineRule="exact" w:before="0"/>
              <w:ind w:left="75" w:right="75"/>
              <w:jc w:val="center"/>
              <w:rPr>
                <w:rFonts w:ascii="Courier New"/>
                <w:b/>
                <w:sz w:val="16"/>
              </w:rPr>
            </w:pPr>
            <w:r>
              <w:rPr>
                <w:rFonts w:ascii="Courier New"/>
                <w:b/>
                <w:sz w:val="16"/>
              </w:rPr>
              <w:t>11.6458</w:t>
            </w:r>
          </w:p>
        </w:tc>
        <w:tc>
          <w:tcPr>
            <w:tcW w:w="865" w:type="dxa"/>
          </w:tcPr>
          <w:p>
            <w:pPr>
              <w:pStyle w:val="TableParagraph"/>
              <w:spacing w:line="162" w:lineRule="exact" w:before="0"/>
              <w:ind w:right="95"/>
              <w:rPr>
                <w:rFonts w:ascii="Courier New"/>
                <w:b/>
                <w:sz w:val="16"/>
              </w:rPr>
            </w:pPr>
            <w:r>
              <w:rPr>
                <w:rFonts w:ascii="Courier New"/>
                <w:b/>
                <w:sz w:val="16"/>
              </w:rPr>
              <w:t>76.62</w:t>
            </w:r>
          </w:p>
        </w:tc>
        <w:tc>
          <w:tcPr>
            <w:tcW w:w="819" w:type="dxa"/>
          </w:tcPr>
          <w:p>
            <w:pPr>
              <w:pStyle w:val="TableParagraph"/>
              <w:spacing w:line="162" w:lineRule="exact" w:before="0"/>
              <w:ind w:right="50"/>
              <w:rPr>
                <w:rFonts w:ascii="Courier New"/>
                <w:b/>
                <w:sz w:val="16"/>
              </w:rPr>
            </w:pPr>
            <w:r>
              <w:rPr>
                <w:rFonts w:ascii="Courier New"/>
                <w:b/>
                <w:sz w:val="16"/>
              </w:rPr>
              <w:t>0.000</w:t>
            </w:r>
          </w:p>
        </w:tc>
      </w:tr>
      <w:tr>
        <w:trPr>
          <w:trHeight w:val="182" w:hRule="atLeast"/>
        </w:trPr>
        <w:tc>
          <w:tcPr>
            <w:tcW w:w="2642" w:type="dxa"/>
          </w:tcPr>
          <w:p>
            <w:pPr>
              <w:pStyle w:val="TableParagraph"/>
              <w:spacing w:line="161" w:lineRule="exact" w:before="1"/>
              <w:ind w:left="241"/>
              <w:jc w:val="left"/>
              <w:rPr>
                <w:rFonts w:ascii="Courier New" w:hAnsi="Courier New"/>
                <w:b/>
                <w:sz w:val="16"/>
              </w:rPr>
            </w:pPr>
            <w:r>
              <w:rPr>
                <w:rFonts w:ascii="Courier New" w:hAnsi="Courier New"/>
                <w:b/>
                <w:sz w:val="16"/>
              </w:rPr>
              <w:t>Ln Número de Plantas</w:t>
            </w:r>
          </w:p>
        </w:tc>
        <w:tc>
          <w:tcPr>
            <w:tcW w:w="480" w:type="dxa"/>
          </w:tcPr>
          <w:p>
            <w:pPr>
              <w:pStyle w:val="TableParagraph"/>
              <w:spacing w:line="161" w:lineRule="exact" w:before="1"/>
              <w:ind w:right="94"/>
              <w:rPr>
                <w:rFonts w:ascii="Courier New"/>
                <w:b/>
                <w:sz w:val="16"/>
              </w:rPr>
            </w:pPr>
            <w:r>
              <w:rPr>
                <w:rFonts w:ascii="Courier New"/>
                <w:b/>
                <w:sz w:val="16"/>
              </w:rPr>
              <w:t>1</w:t>
            </w:r>
          </w:p>
        </w:tc>
        <w:tc>
          <w:tcPr>
            <w:tcW w:w="864" w:type="dxa"/>
          </w:tcPr>
          <w:p>
            <w:pPr>
              <w:pStyle w:val="TableParagraph"/>
              <w:spacing w:line="161" w:lineRule="exact" w:before="1"/>
              <w:ind w:right="93"/>
              <w:rPr>
                <w:rFonts w:ascii="Courier New"/>
                <w:b/>
                <w:sz w:val="16"/>
              </w:rPr>
            </w:pPr>
            <w:r>
              <w:rPr>
                <w:rFonts w:ascii="Courier New"/>
                <w:b/>
                <w:sz w:val="16"/>
              </w:rPr>
              <w:t>0.5673</w:t>
            </w:r>
          </w:p>
        </w:tc>
        <w:tc>
          <w:tcPr>
            <w:tcW w:w="864" w:type="dxa"/>
          </w:tcPr>
          <w:p>
            <w:pPr>
              <w:pStyle w:val="TableParagraph"/>
              <w:spacing w:line="161" w:lineRule="exact" w:before="1"/>
              <w:ind w:left="171" w:right="74"/>
              <w:jc w:val="center"/>
              <w:rPr>
                <w:rFonts w:ascii="Courier New"/>
                <w:b/>
                <w:sz w:val="16"/>
              </w:rPr>
            </w:pPr>
            <w:r>
              <w:rPr>
                <w:rFonts w:ascii="Courier New"/>
                <w:b/>
                <w:sz w:val="16"/>
              </w:rPr>
              <w:t>0.5673</w:t>
            </w:r>
          </w:p>
        </w:tc>
        <w:tc>
          <w:tcPr>
            <w:tcW w:w="865" w:type="dxa"/>
          </w:tcPr>
          <w:p>
            <w:pPr>
              <w:pStyle w:val="TableParagraph"/>
              <w:spacing w:line="161" w:lineRule="exact" w:before="1"/>
              <w:ind w:right="94"/>
              <w:rPr>
                <w:rFonts w:ascii="Courier New"/>
                <w:b/>
                <w:sz w:val="16"/>
              </w:rPr>
            </w:pPr>
            <w:r>
              <w:rPr>
                <w:rFonts w:ascii="Courier New"/>
                <w:b/>
                <w:sz w:val="16"/>
              </w:rPr>
              <w:t>3.73</w:t>
            </w:r>
          </w:p>
        </w:tc>
        <w:tc>
          <w:tcPr>
            <w:tcW w:w="819" w:type="dxa"/>
          </w:tcPr>
          <w:p>
            <w:pPr>
              <w:pStyle w:val="TableParagraph"/>
              <w:spacing w:line="161" w:lineRule="exact" w:before="1"/>
              <w:ind w:right="49"/>
              <w:rPr>
                <w:rFonts w:ascii="Courier New"/>
                <w:b/>
                <w:sz w:val="16"/>
              </w:rPr>
            </w:pPr>
            <w:r>
              <w:rPr>
                <w:rFonts w:ascii="Courier New"/>
                <w:b/>
                <w:sz w:val="16"/>
              </w:rPr>
              <w:t>0.054</w:t>
            </w:r>
          </w:p>
        </w:tc>
      </w:tr>
      <w:tr>
        <w:trPr>
          <w:trHeight w:val="179" w:hRule="atLeast"/>
        </w:trPr>
        <w:tc>
          <w:tcPr>
            <w:tcW w:w="2642" w:type="dxa"/>
          </w:tcPr>
          <w:p>
            <w:pPr>
              <w:pStyle w:val="TableParagraph"/>
              <w:spacing w:line="160" w:lineRule="exact" w:before="0"/>
              <w:ind w:left="241"/>
              <w:jc w:val="left"/>
              <w:rPr>
                <w:rFonts w:ascii="Courier New"/>
                <w:b/>
                <w:sz w:val="16"/>
              </w:rPr>
            </w:pPr>
            <w:r>
              <w:rPr>
                <w:rFonts w:ascii="Courier New"/>
                <w:b/>
                <w:sz w:val="16"/>
              </w:rPr>
              <w:t>Ln Distancia SJ</w:t>
            </w:r>
          </w:p>
        </w:tc>
        <w:tc>
          <w:tcPr>
            <w:tcW w:w="480" w:type="dxa"/>
          </w:tcPr>
          <w:p>
            <w:pPr>
              <w:pStyle w:val="TableParagraph"/>
              <w:spacing w:line="160" w:lineRule="exact" w:before="0"/>
              <w:ind w:right="94"/>
              <w:rPr>
                <w:rFonts w:ascii="Courier New"/>
                <w:b/>
                <w:sz w:val="16"/>
              </w:rPr>
            </w:pPr>
            <w:r>
              <w:rPr>
                <w:rFonts w:ascii="Courier New"/>
                <w:b/>
                <w:sz w:val="16"/>
              </w:rPr>
              <w:t>1</w:t>
            </w:r>
          </w:p>
        </w:tc>
        <w:tc>
          <w:tcPr>
            <w:tcW w:w="864" w:type="dxa"/>
          </w:tcPr>
          <w:p>
            <w:pPr>
              <w:pStyle w:val="TableParagraph"/>
              <w:spacing w:line="160" w:lineRule="exact" w:before="0"/>
              <w:ind w:right="94"/>
              <w:rPr>
                <w:rFonts w:ascii="Courier New"/>
                <w:b/>
                <w:sz w:val="16"/>
              </w:rPr>
            </w:pPr>
            <w:r>
              <w:rPr>
                <w:rFonts w:ascii="Courier New"/>
                <w:b/>
                <w:sz w:val="16"/>
              </w:rPr>
              <w:t>0.8829</w:t>
            </w:r>
          </w:p>
        </w:tc>
        <w:tc>
          <w:tcPr>
            <w:tcW w:w="864" w:type="dxa"/>
          </w:tcPr>
          <w:p>
            <w:pPr>
              <w:pStyle w:val="TableParagraph"/>
              <w:spacing w:line="160" w:lineRule="exact" w:before="0"/>
              <w:ind w:left="170" w:right="75"/>
              <w:jc w:val="center"/>
              <w:rPr>
                <w:rFonts w:ascii="Courier New"/>
                <w:b/>
                <w:sz w:val="16"/>
              </w:rPr>
            </w:pPr>
            <w:r>
              <w:rPr>
                <w:rFonts w:ascii="Courier New"/>
                <w:b/>
                <w:sz w:val="16"/>
              </w:rPr>
              <w:t>0.8829</w:t>
            </w:r>
          </w:p>
        </w:tc>
        <w:tc>
          <w:tcPr>
            <w:tcW w:w="865" w:type="dxa"/>
          </w:tcPr>
          <w:p>
            <w:pPr>
              <w:pStyle w:val="TableParagraph"/>
              <w:spacing w:line="160" w:lineRule="exact" w:before="0"/>
              <w:ind w:right="95"/>
              <w:rPr>
                <w:rFonts w:ascii="Courier New"/>
                <w:b/>
                <w:sz w:val="16"/>
              </w:rPr>
            </w:pPr>
            <w:r>
              <w:rPr>
                <w:rFonts w:ascii="Courier New"/>
                <w:b/>
                <w:sz w:val="16"/>
              </w:rPr>
              <w:t>5.81</w:t>
            </w:r>
          </w:p>
        </w:tc>
        <w:tc>
          <w:tcPr>
            <w:tcW w:w="819" w:type="dxa"/>
          </w:tcPr>
          <w:p>
            <w:pPr>
              <w:pStyle w:val="TableParagraph"/>
              <w:spacing w:line="160" w:lineRule="exact" w:before="0"/>
              <w:ind w:right="50"/>
              <w:rPr>
                <w:rFonts w:ascii="Courier New"/>
                <w:b/>
                <w:sz w:val="16"/>
              </w:rPr>
            </w:pPr>
            <w:r>
              <w:rPr>
                <w:rFonts w:ascii="Courier New"/>
                <w:b/>
                <w:sz w:val="16"/>
              </w:rPr>
              <w:t>0.017</w:t>
            </w:r>
          </w:p>
        </w:tc>
      </w:tr>
      <w:tr>
        <w:trPr>
          <w:trHeight w:val="181" w:hRule="atLeast"/>
        </w:trPr>
        <w:tc>
          <w:tcPr>
            <w:tcW w:w="2642" w:type="dxa"/>
          </w:tcPr>
          <w:p>
            <w:pPr>
              <w:pStyle w:val="TableParagraph"/>
              <w:spacing w:line="162" w:lineRule="exact" w:before="0"/>
              <w:ind w:left="241"/>
              <w:jc w:val="left"/>
              <w:rPr>
                <w:rFonts w:ascii="Courier New"/>
                <w:b/>
                <w:sz w:val="16"/>
              </w:rPr>
            </w:pPr>
            <w:r>
              <w:rPr>
                <w:rFonts w:ascii="Courier New"/>
                <w:b/>
                <w:sz w:val="16"/>
              </w:rPr>
              <w:t>Ln Distancia Pobreza</w:t>
            </w:r>
          </w:p>
        </w:tc>
        <w:tc>
          <w:tcPr>
            <w:tcW w:w="480" w:type="dxa"/>
          </w:tcPr>
          <w:p>
            <w:pPr>
              <w:pStyle w:val="TableParagraph"/>
              <w:spacing w:line="162" w:lineRule="exact" w:before="0"/>
              <w:ind w:right="94"/>
              <w:rPr>
                <w:rFonts w:ascii="Courier New"/>
                <w:b/>
                <w:sz w:val="16"/>
              </w:rPr>
            </w:pPr>
            <w:r>
              <w:rPr>
                <w:rFonts w:ascii="Courier New"/>
                <w:b/>
                <w:sz w:val="16"/>
              </w:rPr>
              <w:t>1</w:t>
            </w:r>
          </w:p>
        </w:tc>
        <w:tc>
          <w:tcPr>
            <w:tcW w:w="864" w:type="dxa"/>
          </w:tcPr>
          <w:p>
            <w:pPr>
              <w:pStyle w:val="TableParagraph"/>
              <w:spacing w:line="162" w:lineRule="exact" w:before="0"/>
              <w:ind w:right="94"/>
              <w:rPr>
                <w:rFonts w:ascii="Courier New"/>
                <w:b/>
                <w:sz w:val="16"/>
              </w:rPr>
            </w:pPr>
            <w:r>
              <w:rPr>
                <w:rFonts w:ascii="Courier New"/>
                <w:b/>
                <w:sz w:val="16"/>
              </w:rPr>
              <w:t>1.2702</w:t>
            </w:r>
          </w:p>
        </w:tc>
        <w:tc>
          <w:tcPr>
            <w:tcW w:w="864" w:type="dxa"/>
          </w:tcPr>
          <w:p>
            <w:pPr>
              <w:pStyle w:val="TableParagraph"/>
              <w:spacing w:line="162" w:lineRule="exact" w:before="0"/>
              <w:ind w:left="170" w:right="75"/>
              <w:jc w:val="center"/>
              <w:rPr>
                <w:rFonts w:ascii="Courier New"/>
                <w:b/>
                <w:sz w:val="16"/>
              </w:rPr>
            </w:pPr>
            <w:r>
              <w:rPr>
                <w:rFonts w:ascii="Courier New"/>
                <w:b/>
                <w:sz w:val="16"/>
              </w:rPr>
              <w:t>1.2702</w:t>
            </w:r>
          </w:p>
        </w:tc>
        <w:tc>
          <w:tcPr>
            <w:tcW w:w="865" w:type="dxa"/>
          </w:tcPr>
          <w:p>
            <w:pPr>
              <w:pStyle w:val="TableParagraph"/>
              <w:spacing w:line="162" w:lineRule="exact" w:before="0"/>
              <w:ind w:right="95"/>
              <w:rPr>
                <w:rFonts w:ascii="Courier New"/>
                <w:b/>
                <w:sz w:val="16"/>
              </w:rPr>
            </w:pPr>
            <w:r>
              <w:rPr>
                <w:rFonts w:ascii="Courier New"/>
                <w:b/>
                <w:sz w:val="16"/>
              </w:rPr>
              <w:t>8.36</w:t>
            </w:r>
          </w:p>
        </w:tc>
        <w:tc>
          <w:tcPr>
            <w:tcW w:w="819" w:type="dxa"/>
          </w:tcPr>
          <w:p>
            <w:pPr>
              <w:pStyle w:val="TableParagraph"/>
              <w:spacing w:line="162" w:lineRule="exact" w:before="0"/>
              <w:ind w:right="50"/>
              <w:rPr>
                <w:rFonts w:ascii="Courier New"/>
                <w:b/>
                <w:sz w:val="16"/>
              </w:rPr>
            </w:pPr>
            <w:r>
              <w:rPr>
                <w:rFonts w:ascii="Courier New"/>
                <w:b/>
                <w:sz w:val="16"/>
              </w:rPr>
              <w:t>0.004</w:t>
            </w:r>
          </w:p>
        </w:tc>
      </w:tr>
      <w:tr>
        <w:trPr>
          <w:trHeight w:val="181" w:hRule="atLeast"/>
        </w:trPr>
        <w:tc>
          <w:tcPr>
            <w:tcW w:w="2642" w:type="dxa"/>
          </w:tcPr>
          <w:p>
            <w:pPr>
              <w:pStyle w:val="TableParagraph"/>
              <w:spacing w:line="161" w:lineRule="exact" w:before="1"/>
              <w:ind w:left="241"/>
              <w:jc w:val="left"/>
              <w:rPr>
                <w:rFonts w:ascii="Courier New"/>
                <w:b/>
                <w:sz w:val="16"/>
              </w:rPr>
            </w:pPr>
            <w:r>
              <w:rPr>
                <w:rFonts w:ascii="Courier New"/>
                <w:b/>
                <w:sz w:val="16"/>
              </w:rPr>
              <w:t>Tipo = 1 casa, 0 = Condo</w:t>
            </w:r>
          </w:p>
        </w:tc>
        <w:tc>
          <w:tcPr>
            <w:tcW w:w="480" w:type="dxa"/>
          </w:tcPr>
          <w:p>
            <w:pPr>
              <w:pStyle w:val="TableParagraph"/>
              <w:spacing w:line="161" w:lineRule="exact" w:before="1"/>
              <w:ind w:right="94"/>
              <w:rPr>
                <w:rFonts w:ascii="Courier New"/>
                <w:b/>
                <w:sz w:val="16"/>
              </w:rPr>
            </w:pPr>
            <w:r>
              <w:rPr>
                <w:rFonts w:ascii="Courier New"/>
                <w:b/>
                <w:sz w:val="16"/>
              </w:rPr>
              <w:t>1</w:t>
            </w:r>
          </w:p>
        </w:tc>
        <w:tc>
          <w:tcPr>
            <w:tcW w:w="864" w:type="dxa"/>
          </w:tcPr>
          <w:p>
            <w:pPr>
              <w:pStyle w:val="TableParagraph"/>
              <w:spacing w:line="161" w:lineRule="exact" w:before="1"/>
              <w:ind w:right="94"/>
              <w:rPr>
                <w:rFonts w:ascii="Courier New"/>
                <w:b/>
                <w:sz w:val="16"/>
              </w:rPr>
            </w:pPr>
            <w:r>
              <w:rPr>
                <w:rFonts w:ascii="Courier New"/>
                <w:b/>
                <w:sz w:val="16"/>
              </w:rPr>
              <w:t>0.8560</w:t>
            </w:r>
          </w:p>
        </w:tc>
        <w:tc>
          <w:tcPr>
            <w:tcW w:w="864" w:type="dxa"/>
          </w:tcPr>
          <w:p>
            <w:pPr>
              <w:pStyle w:val="TableParagraph"/>
              <w:spacing w:line="161" w:lineRule="exact" w:before="1"/>
              <w:ind w:left="170" w:right="75"/>
              <w:jc w:val="center"/>
              <w:rPr>
                <w:rFonts w:ascii="Courier New"/>
                <w:b/>
                <w:sz w:val="16"/>
              </w:rPr>
            </w:pPr>
            <w:r>
              <w:rPr>
                <w:rFonts w:ascii="Courier New"/>
                <w:b/>
                <w:sz w:val="16"/>
              </w:rPr>
              <w:t>0.8560</w:t>
            </w:r>
          </w:p>
        </w:tc>
        <w:tc>
          <w:tcPr>
            <w:tcW w:w="865" w:type="dxa"/>
          </w:tcPr>
          <w:p>
            <w:pPr>
              <w:pStyle w:val="TableParagraph"/>
              <w:spacing w:line="161" w:lineRule="exact" w:before="1"/>
              <w:ind w:right="95"/>
              <w:rPr>
                <w:rFonts w:ascii="Courier New"/>
                <w:b/>
                <w:sz w:val="16"/>
              </w:rPr>
            </w:pPr>
            <w:r>
              <w:rPr>
                <w:rFonts w:ascii="Courier New"/>
                <w:b/>
                <w:sz w:val="16"/>
              </w:rPr>
              <w:t>5.63</w:t>
            </w:r>
          </w:p>
        </w:tc>
        <w:tc>
          <w:tcPr>
            <w:tcW w:w="819" w:type="dxa"/>
          </w:tcPr>
          <w:p>
            <w:pPr>
              <w:pStyle w:val="TableParagraph"/>
              <w:spacing w:line="161" w:lineRule="exact" w:before="1"/>
              <w:ind w:right="50"/>
              <w:rPr>
                <w:rFonts w:ascii="Courier New"/>
                <w:b/>
                <w:sz w:val="16"/>
              </w:rPr>
            </w:pPr>
            <w:r>
              <w:rPr>
                <w:rFonts w:ascii="Courier New"/>
                <w:b/>
                <w:sz w:val="16"/>
              </w:rPr>
              <w:t>0.018</w:t>
            </w:r>
          </w:p>
        </w:tc>
      </w:tr>
      <w:tr>
        <w:trPr>
          <w:trHeight w:val="180" w:hRule="atLeast"/>
        </w:trPr>
        <w:tc>
          <w:tcPr>
            <w:tcW w:w="2642" w:type="dxa"/>
          </w:tcPr>
          <w:p>
            <w:pPr>
              <w:pStyle w:val="TableParagraph"/>
              <w:spacing w:line="160" w:lineRule="exact" w:before="0"/>
              <w:ind w:left="241"/>
              <w:jc w:val="left"/>
              <w:rPr>
                <w:rFonts w:ascii="Courier New"/>
                <w:b/>
                <w:sz w:val="16"/>
              </w:rPr>
            </w:pPr>
            <w:r>
              <w:rPr>
                <w:rFonts w:ascii="Courier New"/>
                <w:b/>
                <w:sz w:val="16"/>
              </w:rPr>
              <w:t>Vista a la Carpintera</w:t>
            </w:r>
          </w:p>
        </w:tc>
        <w:tc>
          <w:tcPr>
            <w:tcW w:w="480" w:type="dxa"/>
          </w:tcPr>
          <w:p>
            <w:pPr>
              <w:pStyle w:val="TableParagraph"/>
              <w:spacing w:line="160" w:lineRule="exact" w:before="0"/>
              <w:ind w:right="93"/>
              <w:rPr>
                <w:rFonts w:ascii="Courier New"/>
                <w:b/>
                <w:sz w:val="16"/>
              </w:rPr>
            </w:pPr>
            <w:r>
              <w:rPr>
                <w:rFonts w:ascii="Courier New"/>
                <w:b/>
                <w:sz w:val="16"/>
              </w:rPr>
              <w:t>1</w:t>
            </w:r>
          </w:p>
        </w:tc>
        <w:tc>
          <w:tcPr>
            <w:tcW w:w="864" w:type="dxa"/>
          </w:tcPr>
          <w:p>
            <w:pPr>
              <w:pStyle w:val="TableParagraph"/>
              <w:spacing w:line="160" w:lineRule="exact" w:before="0"/>
              <w:ind w:right="93"/>
              <w:rPr>
                <w:rFonts w:ascii="Courier New"/>
                <w:b/>
                <w:sz w:val="16"/>
              </w:rPr>
            </w:pPr>
            <w:r>
              <w:rPr>
                <w:rFonts w:ascii="Courier New"/>
                <w:b/>
                <w:sz w:val="16"/>
              </w:rPr>
              <w:t>0.5498</w:t>
            </w:r>
          </w:p>
        </w:tc>
        <w:tc>
          <w:tcPr>
            <w:tcW w:w="864" w:type="dxa"/>
          </w:tcPr>
          <w:p>
            <w:pPr>
              <w:pStyle w:val="TableParagraph"/>
              <w:spacing w:line="160" w:lineRule="exact" w:before="0"/>
              <w:ind w:left="171" w:right="75"/>
              <w:jc w:val="center"/>
              <w:rPr>
                <w:rFonts w:ascii="Courier New"/>
                <w:b/>
                <w:sz w:val="16"/>
              </w:rPr>
            </w:pPr>
            <w:r>
              <w:rPr>
                <w:rFonts w:ascii="Courier New"/>
                <w:b/>
                <w:sz w:val="16"/>
              </w:rPr>
              <w:t>0.5498</w:t>
            </w:r>
          </w:p>
        </w:tc>
        <w:tc>
          <w:tcPr>
            <w:tcW w:w="865" w:type="dxa"/>
          </w:tcPr>
          <w:p>
            <w:pPr>
              <w:pStyle w:val="TableParagraph"/>
              <w:spacing w:line="160" w:lineRule="exact" w:before="0"/>
              <w:ind w:right="94"/>
              <w:rPr>
                <w:rFonts w:ascii="Courier New"/>
                <w:b/>
                <w:sz w:val="16"/>
              </w:rPr>
            </w:pPr>
            <w:r>
              <w:rPr>
                <w:rFonts w:ascii="Courier New"/>
                <w:b/>
                <w:sz w:val="16"/>
              </w:rPr>
              <w:t>3.62</w:t>
            </w:r>
          </w:p>
        </w:tc>
        <w:tc>
          <w:tcPr>
            <w:tcW w:w="819" w:type="dxa"/>
          </w:tcPr>
          <w:p>
            <w:pPr>
              <w:pStyle w:val="TableParagraph"/>
              <w:spacing w:line="160" w:lineRule="exact" w:before="0"/>
              <w:ind w:right="49"/>
              <w:rPr>
                <w:rFonts w:ascii="Courier New"/>
                <w:b/>
                <w:sz w:val="16"/>
              </w:rPr>
            </w:pPr>
            <w:r>
              <w:rPr>
                <w:rFonts w:ascii="Courier New"/>
                <w:b/>
                <w:sz w:val="16"/>
              </w:rPr>
              <w:t>0.058</w:t>
            </w:r>
          </w:p>
        </w:tc>
      </w:tr>
      <w:tr>
        <w:trPr>
          <w:trHeight w:val="182" w:hRule="atLeast"/>
        </w:trPr>
        <w:tc>
          <w:tcPr>
            <w:tcW w:w="2642" w:type="dxa"/>
          </w:tcPr>
          <w:p>
            <w:pPr>
              <w:pStyle w:val="TableParagraph"/>
              <w:spacing w:line="162" w:lineRule="exact" w:before="0"/>
              <w:ind w:left="50"/>
              <w:jc w:val="left"/>
              <w:rPr>
                <w:rFonts w:ascii="Courier New"/>
                <w:b/>
                <w:sz w:val="16"/>
              </w:rPr>
            </w:pPr>
            <w:r>
              <w:rPr>
                <w:rFonts w:ascii="Courier New"/>
                <w:b/>
                <w:sz w:val="16"/>
              </w:rPr>
              <w:t>Error</w:t>
            </w:r>
          </w:p>
        </w:tc>
        <w:tc>
          <w:tcPr>
            <w:tcW w:w="480" w:type="dxa"/>
          </w:tcPr>
          <w:p>
            <w:pPr>
              <w:pStyle w:val="TableParagraph"/>
              <w:spacing w:line="162" w:lineRule="exact" w:before="0"/>
              <w:ind w:right="94"/>
              <w:rPr>
                <w:rFonts w:ascii="Courier New"/>
                <w:b/>
                <w:sz w:val="16"/>
              </w:rPr>
            </w:pPr>
            <w:r>
              <w:rPr>
                <w:rFonts w:ascii="Courier New"/>
                <w:b/>
                <w:sz w:val="16"/>
              </w:rPr>
              <w:t>292</w:t>
            </w:r>
          </w:p>
        </w:tc>
        <w:tc>
          <w:tcPr>
            <w:tcW w:w="864" w:type="dxa"/>
          </w:tcPr>
          <w:p>
            <w:pPr>
              <w:pStyle w:val="TableParagraph"/>
              <w:spacing w:line="162" w:lineRule="exact" w:before="0"/>
              <w:ind w:right="94"/>
              <w:rPr>
                <w:rFonts w:ascii="Courier New"/>
                <w:b/>
                <w:sz w:val="16"/>
              </w:rPr>
            </w:pPr>
            <w:r>
              <w:rPr>
                <w:rFonts w:ascii="Courier New"/>
                <w:b/>
                <w:sz w:val="16"/>
              </w:rPr>
              <w:t>44.3831</w:t>
            </w:r>
          </w:p>
        </w:tc>
        <w:tc>
          <w:tcPr>
            <w:tcW w:w="864" w:type="dxa"/>
          </w:tcPr>
          <w:p>
            <w:pPr>
              <w:pStyle w:val="TableParagraph"/>
              <w:spacing w:line="162" w:lineRule="exact" w:before="0"/>
              <w:ind w:left="170" w:right="75"/>
              <w:jc w:val="center"/>
              <w:rPr>
                <w:rFonts w:ascii="Courier New"/>
                <w:b/>
                <w:sz w:val="16"/>
              </w:rPr>
            </w:pPr>
            <w:r>
              <w:rPr>
                <w:rFonts w:ascii="Courier New"/>
                <w:b/>
                <w:sz w:val="16"/>
              </w:rPr>
              <w:t>0.1520</w:t>
            </w:r>
          </w:p>
        </w:tc>
        <w:tc>
          <w:tcPr>
            <w:tcW w:w="865" w:type="dxa"/>
          </w:tcPr>
          <w:p>
            <w:pPr>
              <w:pStyle w:val="TableParagraph"/>
              <w:spacing w:line="240" w:lineRule="auto" w:before="0"/>
              <w:jc w:val="left"/>
              <w:rPr>
                <w:rFonts w:ascii="Times New Roman"/>
                <w:sz w:val="12"/>
              </w:rPr>
            </w:pPr>
          </w:p>
        </w:tc>
        <w:tc>
          <w:tcPr>
            <w:tcW w:w="819" w:type="dxa"/>
          </w:tcPr>
          <w:p>
            <w:pPr>
              <w:pStyle w:val="TableParagraph"/>
              <w:spacing w:line="240" w:lineRule="auto" w:before="0"/>
              <w:jc w:val="left"/>
              <w:rPr>
                <w:rFonts w:ascii="Times New Roman"/>
                <w:sz w:val="12"/>
              </w:rPr>
            </w:pPr>
          </w:p>
        </w:tc>
      </w:tr>
      <w:tr>
        <w:trPr>
          <w:trHeight w:val="182" w:hRule="atLeast"/>
        </w:trPr>
        <w:tc>
          <w:tcPr>
            <w:tcW w:w="2642" w:type="dxa"/>
          </w:tcPr>
          <w:p>
            <w:pPr>
              <w:pStyle w:val="TableParagraph"/>
              <w:spacing w:line="161" w:lineRule="exact" w:before="1"/>
              <w:ind w:left="241"/>
              <w:jc w:val="left"/>
              <w:rPr>
                <w:rFonts w:ascii="Courier New"/>
                <w:b/>
                <w:sz w:val="16"/>
              </w:rPr>
            </w:pPr>
            <w:r>
              <w:rPr>
                <w:rFonts w:ascii="Courier New"/>
                <w:b/>
                <w:sz w:val="16"/>
              </w:rPr>
              <w:t>Lack-of-Fit</w:t>
            </w:r>
          </w:p>
        </w:tc>
        <w:tc>
          <w:tcPr>
            <w:tcW w:w="480" w:type="dxa"/>
          </w:tcPr>
          <w:p>
            <w:pPr>
              <w:pStyle w:val="TableParagraph"/>
              <w:spacing w:line="161" w:lineRule="exact" w:before="1"/>
              <w:ind w:right="93"/>
              <w:rPr>
                <w:rFonts w:ascii="Courier New"/>
                <w:b/>
                <w:sz w:val="16"/>
              </w:rPr>
            </w:pPr>
            <w:r>
              <w:rPr>
                <w:rFonts w:ascii="Courier New"/>
                <w:b/>
                <w:sz w:val="16"/>
              </w:rPr>
              <w:t>291</w:t>
            </w:r>
          </w:p>
        </w:tc>
        <w:tc>
          <w:tcPr>
            <w:tcW w:w="864" w:type="dxa"/>
          </w:tcPr>
          <w:p>
            <w:pPr>
              <w:pStyle w:val="TableParagraph"/>
              <w:spacing w:line="161" w:lineRule="exact" w:before="1"/>
              <w:ind w:right="93"/>
              <w:rPr>
                <w:rFonts w:ascii="Courier New"/>
                <w:b/>
                <w:sz w:val="16"/>
              </w:rPr>
            </w:pPr>
            <w:r>
              <w:rPr>
                <w:rFonts w:ascii="Courier New"/>
                <w:b/>
                <w:sz w:val="16"/>
              </w:rPr>
              <w:t>44.3831</w:t>
            </w:r>
          </w:p>
        </w:tc>
        <w:tc>
          <w:tcPr>
            <w:tcW w:w="864" w:type="dxa"/>
          </w:tcPr>
          <w:p>
            <w:pPr>
              <w:pStyle w:val="TableParagraph"/>
              <w:spacing w:line="161" w:lineRule="exact" w:before="1"/>
              <w:ind w:left="171" w:right="75"/>
              <w:jc w:val="center"/>
              <w:rPr>
                <w:rFonts w:ascii="Courier New"/>
                <w:b/>
                <w:sz w:val="16"/>
              </w:rPr>
            </w:pPr>
            <w:r>
              <w:rPr>
                <w:rFonts w:ascii="Courier New"/>
                <w:b/>
                <w:sz w:val="16"/>
              </w:rPr>
              <w:t>0.1525</w:t>
            </w:r>
          </w:p>
        </w:tc>
        <w:tc>
          <w:tcPr>
            <w:tcW w:w="865" w:type="dxa"/>
          </w:tcPr>
          <w:p>
            <w:pPr>
              <w:pStyle w:val="TableParagraph"/>
              <w:spacing w:line="161" w:lineRule="exact" w:before="1"/>
              <w:ind w:right="94"/>
              <w:rPr>
                <w:rFonts w:ascii="Courier New"/>
                <w:b/>
                <w:sz w:val="16"/>
              </w:rPr>
            </w:pPr>
            <w:r>
              <w:rPr>
                <w:rFonts w:ascii="Courier New"/>
                <w:b/>
                <w:sz w:val="16"/>
              </w:rPr>
              <w:t>*</w:t>
            </w:r>
          </w:p>
        </w:tc>
        <w:tc>
          <w:tcPr>
            <w:tcW w:w="819" w:type="dxa"/>
          </w:tcPr>
          <w:p>
            <w:pPr>
              <w:pStyle w:val="TableParagraph"/>
              <w:spacing w:line="161" w:lineRule="exact" w:before="1"/>
              <w:ind w:right="49"/>
              <w:rPr>
                <w:rFonts w:ascii="Courier New"/>
                <w:b/>
                <w:sz w:val="16"/>
              </w:rPr>
            </w:pPr>
            <w:r>
              <w:rPr>
                <w:rFonts w:ascii="Courier New"/>
                <w:b/>
                <w:sz w:val="16"/>
              </w:rPr>
              <w:t>*</w:t>
            </w:r>
          </w:p>
        </w:tc>
      </w:tr>
      <w:tr>
        <w:trPr>
          <w:trHeight w:val="180" w:hRule="atLeast"/>
        </w:trPr>
        <w:tc>
          <w:tcPr>
            <w:tcW w:w="2642" w:type="dxa"/>
          </w:tcPr>
          <w:p>
            <w:pPr>
              <w:pStyle w:val="TableParagraph"/>
              <w:spacing w:line="160" w:lineRule="exact" w:before="0"/>
              <w:ind w:left="241"/>
              <w:jc w:val="left"/>
              <w:rPr>
                <w:rFonts w:ascii="Courier New"/>
                <w:b/>
                <w:sz w:val="16"/>
              </w:rPr>
            </w:pPr>
            <w:r>
              <w:rPr>
                <w:rFonts w:ascii="Courier New"/>
                <w:b/>
                <w:sz w:val="16"/>
              </w:rPr>
              <w:t>Pure Error</w:t>
            </w:r>
          </w:p>
        </w:tc>
        <w:tc>
          <w:tcPr>
            <w:tcW w:w="480" w:type="dxa"/>
          </w:tcPr>
          <w:p>
            <w:pPr>
              <w:pStyle w:val="TableParagraph"/>
              <w:spacing w:line="160" w:lineRule="exact" w:before="0"/>
              <w:ind w:right="94"/>
              <w:rPr>
                <w:rFonts w:ascii="Courier New"/>
                <w:b/>
                <w:sz w:val="16"/>
              </w:rPr>
            </w:pPr>
            <w:r>
              <w:rPr>
                <w:rFonts w:ascii="Courier New"/>
                <w:b/>
                <w:sz w:val="16"/>
              </w:rPr>
              <w:t>1</w:t>
            </w:r>
          </w:p>
        </w:tc>
        <w:tc>
          <w:tcPr>
            <w:tcW w:w="864" w:type="dxa"/>
          </w:tcPr>
          <w:p>
            <w:pPr>
              <w:pStyle w:val="TableParagraph"/>
              <w:spacing w:line="160" w:lineRule="exact" w:before="0"/>
              <w:ind w:right="94"/>
              <w:rPr>
                <w:rFonts w:ascii="Courier New"/>
                <w:b/>
                <w:sz w:val="16"/>
              </w:rPr>
            </w:pPr>
            <w:r>
              <w:rPr>
                <w:rFonts w:ascii="Courier New"/>
                <w:b/>
                <w:sz w:val="16"/>
              </w:rPr>
              <w:t>0.0000</w:t>
            </w:r>
          </w:p>
        </w:tc>
        <w:tc>
          <w:tcPr>
            <w:tcW w:w="864" w:type="dxa"/>
          </w:tcPr>
          <w:p>
            <w:pPr>
              <w:pStyle w:val="TableParagraph"/>
              <w:spacing w:line="160" w:lineRule="exact" w:before="0"/>
              <w:ind w:left="170" w:right="75"/>
              <w:jc w:val="center"/>
              <w:rPr>
                <w:rFonts w:ascii="Courier New"/>
                <w:b/>
                <w:sz w:val="16"/>
              </w:rPr>
            </w:pPr>
            <w:r>
              <w:rPr>
                <w:rFonts w:ascii="Courier New"/>
                <w:b/>
                <w:sz w:val="16"/>
              </w:rPr>
              <w:t>0.0000</w:t>
            </w:r>
          </w:p>
        </w:tc>
        <w:tc>
          <w:tcPr>
            <w:tcW w:w="865" w:type="dxa"/>
          </w:tcPr>
          <w:p>
            <w:pPr>
              <w:pStyle w:val="TableParagraph"/>
              <w:spacing w:line="240" w:lineRule="auto" w:before="0"/>
              <w:jc w:val="left"/>
              <w:rPr>
                <w:rFonts w:ascii="Times New Roman"/>
                <w:sz w:val="12"/>
              </w:rPr>
            </w:pPr>
          </w:p>
        </w:tc>
        <w:tc>
          <w:tcPr>
            <w:tcW w:w="819" w:type="dxa"/>
          </w:tcPr>
          <w:p>
            <w:pPr>
              <w:pStyle w:val="TableParagraph"/>
              <w:spacing w:line="240" w:lineRule="auto" w:before="0"/>
              <w:jc w:val="left"/>
              <w:rPr>
                <w:rFonts w:ascii="Times New Roman"/>
                <w:sz w:val="12"/>
              </w:rPr>
            </w:pPr>
          </w:p>
        </w:tc>
      </w:tr>
      <w:tr>
        <w:trPr>
          <w:trHeight w:val="361" w:hRule="atLeast"/>
        </w:trPr>
        <w:tc>
          <w:tcPr>
            <w:tcW w:w="2642" w:type="dxa"/>
          </w:tcPr>
          <w:p>
            <w:pPr>
              <w:pStyle w:val="TableParagraph"/>
              <w:spacing w:line="181" w:lineRule="exact" w:before="0"/>
              <w:ind w:left="50"/>
              <w:jc w:val="left"/>
              <w:rPr>
                <w:rFonts w:ascii="Courier New"/>
                <w:b/>
                <w:sz w:val="16"/>
              </w:rPr>
            </w:pPr>
            <w:r>
              <w:rPr>
                <w:rFonts w:ascii="Courier New"/>
                <w:b/>
                <w:sz w:val="16"/>
              </w:rPr>
              <w:t>Total</w:t>
            </w:r>
          </w:p>
        </w:tc>
        <w:tc>
          <w:tcPr>
            <w:tcW w:w="480" w:type="dxa"/>
          </w:tcPr>
          <w:p>
            <w:pPr>
              <w:pStyle w:val="TableParagraph"/>
              <w:spacing w:line="181" w:lineRule="exact" w:before="0"/>
              <w:ind w:right="94"/>
              <w:rPr>
                <w:rFonts w:ascii="Courier New"/>
                <w:b/>
                <w:sz w:val="16"/>
              </w:rPr>
            </w:pPr>
            <w:r>
              <w:rPr>
                <w:rFonts w:ascii="Courier New"/>
                <w:b/>
                <w:sz w:val="16"/>
              </w:rPr>
              <w:t>300</w:t>
            </w:r>
          </w:p>
        </w:tc>
        <w:tc>
          <w:tcPr>
            <w:tcW w:w="864" w:type="dxa"/>
          </w:tcPr>
          <w:p>
            <w:pPr>
              <w:pStyle w:val="TableParagraph"/>
              <w:spacing w:line="181" w:lineRule="exact" w:before="0"/>
              <w:ind w:right="92"/>
              <w:rPr>
                <w:rFonts w:ascii="Courier New"/>
                <w:b/>
                <w:sz w:val="16"/>
              </w:rPr>
            </w:pPr>
            <w:r>
              <w:rPr>
                <w:rFonts w:ascii="Courier New"/>
                <w:b/>
                <w:sz w:val="16"/>
              </w:rPr>
              <w:t>94.3895</w:t>
            </w:r>
          </w:p>
        </w:tc>
        <w:tc>
          <w:tcPr>
            <w:tcW w:w="864" w:type="dxa"/>
          </w:tcPr>
          <w:p>
            <w:pPr>
              <w:pStyle w:val="TableParagraph"/>
              <w:spacing w:line="240" w:lineRule="auto" w:before="0"/>
              <w:jc w:val="left"/>
              <w:rPr>
                <w:rFonts w:ascii="Times New Roman"/>
                <w:sz w:val="16"/>
              </w:rPr>
            </w:pPr>
          </w:p>
        </w:tc>
        <w:tc>
          <w:tcPr>
            <w:tcW w:w="865" w:type="dxa"/>
          </w:tcPr>
          <w:p>
            <w:pPr>
              <w:pStyle w:val="TableParagraph"/>
              <w:spacing w:line="240" w:lineRule="auto" w:before="0"/>
              <w:jc w:val="left"/>
              <w:rPr>
                <w:rFonts w:ascii="Times New Roman"/>
                <w:sz w:val="16"/>
              </w:rPr>
            </w:pPr>
          </w:p>
        </w:tc>
        <w:tc>
          <w:tcPr>
            <w:tcW w:w="819" w:type="dxa"/>
          </w:tcPr>
          <w:p>
            <w:pPr>
              <w:pStyle w:val="TableParagraph"/>
              <w:spacing w:line="240" w:lineRule="auto" w:before="0"/>
              <w:jc w:val="left"/>
              <w:rPr>
                <w:rFonts w:ascii="Times New Roman"/>
                <w:sz w:val="16"/>
              </w:rPr>
            </w:pPr>
          </w:p>
        </w:tc>
      </w:tr>
      <w:tr>
        <w:trPr>
          <w:trHeight w:val="362" w:hRule="atLeast"/>
        </w:trPr>
        <w:tc>
          <w:tcPr>
            <w:tcW w:w="2642" w:type="dxa"/>
          </w:tcPr>
          <w:p>
            <w:pPr>
              <w:pStyle w:val="TableParagraph"/>
              <w:spacing w:line="240" w:lineRule="auto" w:before="8"/>
              <w:jc w:val="left"/>
              <w:rPr>
                <w:b/>
                <w:sz w:val="15"/>
              </w:rPr>
            </w:pPr>
          </w:p>
          <w:p>
            <w:pPr>
              <w:pStyle w:val="TableParagraph"/>
              <w:spacing w:line="161" w:lineRule="exact" w:before="1"/>
              <w:ind w:left="50"/>
              <w:jc w:val="left"/>
              <w:rPr>
                <w:rFonts w:ascii="Courier New"/>
                <w:b/>
                <w:sz w:val="16"/>
              </w:rPr>
            </w:pPr>
            <w:r>
              <w:rPr>
                <w:rFonts w:ascii="Courier New"/>
                <w:b/>
                <w:sz w:val="16"/>
              </w:rPr>
              <w:t>Model Summary</w:t>
            </w:r>
          </w:p>
        </w:tc>
        <w:tc>
          <w:tcPr>
            <w:tcW w:w="480"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65" w:type="dxa"/>
          </w:tcPr>
          <w:p>
            <w:pPr>
              <w:pStyle w:val="TableParagraph"/>
              <w:spacing w:line="240" w:lineRule="auto" w:before="0"/>
              <w:jc w:val="left"/>
              <w:rPr>
                <w:rFonts w:ascii="Times New Roman"/>
                <w:sz w:val="16"/>
              </w:rPr>
            </w:pPr>
          </w:p>
        </w:tc>
        <w:tc>
          <w:tcPr>
            <w:tcW w:w="819" w:type="dxa"/>
          </w:tcPr>
          <w:p>
            <w:pPr>
              <w:pStyle w:val="TableParagraph"/>
              <w:spacing w:line="240" w:lineRule="auto" w:before="0"/>
              <w:jc w:val="left"/>
              <w:rPr>
                <w:rFonts w:ascii="Times New Roman"/>
                <w:sz w:val="16"/>
              </w:rPr>
            </w:pPr>
          </w:p>
        </w:tc>
      </w:tr>
    </w:tbl>
    <w:p>
      <w:pPr>
        <w:tabs>
          <w:tab w:pos="2192" w:val="left" w:leader="none"/>
          <w:tab w:pos="3056" w:val="left" w:leader="none"/>
          <w:tab w:pos="4208" w:val="left" w:leader="none"/>
        </w:tabs>
        <w:spacing w:before="182"/>
        <w:ind w:left="1040" w:right="6872" w:firstLine="671"/>
        <w:jc w:val="left"/>
        <w:rPr>
          <w:rFonts w:ascii="Courier New"/>
          <w:b/>
          <w:sz w:val="16"/>
        </w:rPr>
      </w:pPr>
      <w:r>
        <w:rPr>
          <w:rFonts w:ascii="Courier New"/>
          <w:b/>
          <w:sz w:val="16"/>
        </w:rPr>
        <w:t>S</w:t>
        <w:tab/>
        <w:t>R-sq R-sq(adj) R-sq(pred) 0.389868</w:t>
      </w:r>
      <w:r>
        <w:rPr>
          <w:rFonts w:ascii="Courier New"/>
          <w:b/>
          <w:spacing w:val="86"/>
          <w:sz w:val="16"/>
        </w:rPr>
        <w:t> </w:t>
      </w:r>
      <w:r>
        <w:rPr>
          <w:rFonts w:ascii="Courier New"/>
          <w:b/>
          <w:sz w:val="16"/>
        </w:rPr>
        <w:t>52.98%</w:t>
        <w:tab/>
        <w:t>51.69%</w:t>
        <w:tab/>
      </w:r>
      <w:r>
        <w:rPr>
          <w:rFonts w:ascii="Courier New"/>
          <w:b/>
          <w:spacing w:val="-3"/>
          <w:sz w:val="16"/>
        </w:rPr>
        <w:t>49.40%</w:t>
      </w:r>
    </w:p>
    <w:p>
      <w:pPr>
        <w:spacing w:after="0"/>
        <w:jc w:val="left"/>
        <w:rPr>
          <w:rFonts w:ascii="Courier New"/>
          <w:sz w:val="16"/>
        </w:rPr>
        <w:sectPr>
          <w:pgSz w:w="12240" w:h="15840"/>
          <w:pgMar w:header="0" w:footer="982" w:top="1500" w:bottom="1260" w:left="400" w:right="180"/>
        </w:sect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50"/>
        <w:gridCol w:w="864"/>
        <w:gridCol w:w="864"/>
        <w:gridCol w:w="865"/>
        <w:gridCol w:w="863"/>
        <w:gridCol w:w="532"/>
      </w:tblGrid>
      <w:tr>
        <w:trPr>
          <w:trHeight w:val="272" w:hRule="atLeast"/>
        </w:trPr>
        <w:tc>
          <w:tcPr>
            <w:tcW w:w="2450" w:type="dxa"/>
          </w:tcPr>
          <w:p>
            <w:pPr>
              <w:pStyle w:val="TableParagraph"/>
              <w:spacing w:line="240" w:lineRule="auto" w:before="0"/>
              <w:ind w:left="50"/>
              <w:jc w:val="left"/>
              <w:rPr>
                <w:rFonts w:ascii="Courier New"/>
                <w:b/>
                <w:sz w:val="16"/>
              </w:rPr>
            </w:pPr>
            <w:r>
              <w:rPr>
                <w:rFonts w:ascii="Courier New"/>
                <w:b/>
                <w:sz w:val="16"/>
              </w:rPr>
              <w:t>Coefficients</w:t>
            </w:r>
          </w:p>
        </w:tc>
        <w:tc>
          <w:tcPr>
            <w:tcW w:w="864"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65" w:type="dxa"/>
          </w:tcPr>
          <w:p>
            <w:pPr>
              <w:pStyle w:val="TableParagraph"/>
              <w:spacing w:line="240" w:lineRule="auto" w:before="0"/>
              <w:jc w:val="left"/>
              <w:rPr>
                <w:rFonts w:ascii="Times New Roman"/>
                <w:sz w:val="16"/>
              </w:rPr>
            </w:pPr>
          </w:p>
        </w:tc>
        <w:tc>
          <w:tcPr>
            <w:tcW w:w="863" w:type="dxa"/>
          </w:tcPr>
          <w:p>
            <w:pPr>
              <w:pStyle w:val="TableParagraph"/>
              <w:spacing w:line="240" w:lineRule="auto" w:before="0"/>
              <w:jc w:val="left"/>
              <w:rPr>
                <w:rFonts w:ascii="Times New Roman"/>
                <w:sz w:val="16"/>
              </w:rPr>
            </w:pPr>
          </w:p>
        </w:tc>
        <w:tc>
          <w:tcPr>
            <w:tcW w:w="532" w:type="dxa"/>
          </w:tcPr>
          <w:p>
            <w:pPr>
              <w:pStyle w:val="TableParagraph"/>
              <w:spacing w:line="240" w:lineRule="auto" w:before="0"/>
              <w:jc w:val="left"/>
              <w:rPr>
                <w:rFonts w:ascii="Times New Roman"/>
                <w:sz w:val="16"/>
              </w:rPr>
            </w:pPr>
          </w:p>
        </w:tc>
      </w:tr>
      <w:tr>
        <w:trPr>
          <w:trHeight w:val="272" w:hRule="atLeast"/>
        </w:trPr>
        <w:tc>
          <w:tcPr>
            <w:tcW w:w="2450" w:type="dxa"/>
          </w:tcPr>
          <w:p>
            <w:pPr>
              <w:pStyle w:val="TableParagraph"/>
              <w:spacing w:line="161" w:lineRule="exact"/>
              <w:ind w:left="50"/>
              <w:jc w:val="left"/>
              <w:rPr>
                <w:rFonts w:ascii="Courier New"/>
                <w:b/>
                <w:sz w:val="16"/>
              </w:rPr>
            </w:pPr>
            <w:r>
              <w:rPr>
                <w:rFonts w:ascii="Courier New"/>
                <w:b/>
                <w:sz w:val="16"/>
              </w:rPr>
              <w:t>Term</w:t>
            </w:r>
          </w:p>
        </w:tc>
        <w:tc>
          <w:tcPr>
            <w:tcW w:w="864" w:type="dxa"/>
          </w:tcPr>
          <w:p>
            <w:pPr>
              <w:pStyle w:val="TableParagraph"/>
              <w:spacing w:line="161" w:lineRule="exact"/>
              <w:ind w:right="94"/>
              <w:rPr>
                <w:rFonts w:ascii="Courier New"/>
                <w:b/>
                <w:sz w:val="16"/>
              </w:rPr>
            </w:pPr>
            <w:r>
              <w:rPr>
                <w:rFonts w:ascii="Courier New"/>
                <w:b/>
                <w:sz w:val="16"/>
              </w:rPr>
              <w:t>Coef</w:t>
            </w:r>
          </w:p>
        </w:tc>
        <w:tc>
          <w:tcPr>
            <w:tcW w:w="864" w:type="dxa"/>
          </w:tcPr>
          <w:p>
            <w:pPr>
              <w:pStyle w:val="TableParagraph"/>
              <w:spacing w:line="161" w:lineRule="exact"/>
              <w:ind w:right="94"/>
              <w:rPr>
                <w:rFonts w:ascii="Courier New"/>
                <w:b/>
                <w:sz w:val="16"/>
              </w:rPr>
            </w:pPr>
            <w:r>
              <w:rPr>
                <w:rFonts w:ascii="Courier New"/>
                <w:b/>
                <w:sz w:val="16"/>
              </w:rPr>
              <w:t>SE Coef</w:t>
            </w:r>
          </w:p>
        </w:tc>
        <w:tc>
          <w:tcPr>
            <w:tcW w:w="865" w:type="dxa"/>
          </w:tcPr>
          <w:p>
            <w:pPr>
              <w:pStyle w:val="TableParagraph"/>
              <w:spacing w:line="161" w:lineRule="exact"/>
              <w:ind w:right="93"/>
              <w:rPr>
                <w:rFonts w:ascii="Courier New"/>
                <w:b/>
                <w:sz w:val="16"/>
              </w:rPr>
            </w:pPr>
            <w:r>
              <w:rPr>
                <w:rFonts w:ascii="Courier New"/>
                <w:b/>
                <w:sz w:val="16"/>
              </w:rPr>
              <w:t>T-Value</w:t>
            </w:r>
          </w:p>
        </w:tc>
        <w:tc>
          <w:tcPr>
            <w:tcW w:w="863" w:type="dxa"/>
          </w:tcPr>
          <w:p>
            <w:pPr>
              <w:pStyle w:val="TableParagraph"/>
              <w:spacing w:line="161" w:lineRule="exact"/>
              <w:ind w:right="92"/>
              <w:rPr>
                <w:rFonts w:ascii="Courier New"/>
                <w:b/>
                <w:sz w:val="16"/>
              </w:rPr>
            </w:pPr>
            <w:r>
              <w:rPr>
                <w:rFonts w:ascii="Courier New"/>
                <w:b/>
                <w:sz w:val="16"/>
              </w:rPr>
              <w:t>P-Value</w:t>
            </w:r>
          </w:p>
        </w:tc>
        <w:tc>
          <w:tcPr>
            <w:tcW w:w="532" w:type="dxa"/>
          </w:tcPr>
          <w:p>
            <w:pPr>
              <w:pStyle w:val="TableParagraph"/>
              <w:spacing w:line="161" w:lineRule="exact"/>
              <w:ind w:left="171" w:right="29"/>
              <w:jc w:val="center"/>
              <w:rPr>
                <w:rFonts w:ascii="Courier New"/>
                <w:b/>
                <w:sz w:val="16"/>
              </w:rPr>
            </w:pPr>
            <w:r>
              <w:rPr>
                <w:rFonts w:ascii="Courier New"/>
                <w:b/>
                <w:sz w:val="16"/>
              </w:rPr>
              <w:t>VIF</w:t>
            </w:r>
          </w:p>
        </w:tc>
      </w:tr>
      <w:tr>
        <w:trPr>
          <w:trHeight w:val="180" w:hRule="atLeast"/>
        </w:trPr>
        <w:tc>
          <w:tcPr>
            <w:tcW w:w="2450" w:type="dxa"/>
          </w:tcPr>
          <w:p>
            <w:pPr>
              <w:pStyle w:val="TableParagraph"/>
              <w:spacing w:line="160" w:lineRule="exact" w:before="0"/>
              <w:ind w:left="50"/>
              <w:jc w:val="left"/>
              <w:rPr>
                <w:rFonts w:ascii="Courier New"/>
                <w:b/>
                <w:sz w:val="16"/>
              </w:rPr>
            </w:pPr>
            <w:r>
              <w:rPr>
                <w:rFonts w:ascii="Courier New"/>
                <w:b/>
                <w:sz w:val="16"/>
              </w:rPr>
              <w:t>Constant</w:t>
            </w:r>
          </w:p>
        </w:tc>
        <w:tc>
          <w:tcPr>
            <w:tcW w:w="864" w:type="dxa"/>
          </w:tcPr>
          <w:p>
            <w:pPr>
              <w:pStyle w:val="TableParagraph"/>
              <w:spacing w:line="160" w:lineRule="exact" w:before="0"/>
              <w:ind w:right="94"/>
              <w:rPr>
                <w:rFonts w:ascii="Courier New"/>
                <w:b/>
                <w:sz w:val="16"/>
              </w:rPr>
            </w:pPr>
            <w:r>
              <w:rPr>
                <w:rFonts w:ascii="Courier New"/>
                <w:b/>
                <w:sz w:val="16"/>
              </w:rPr>
              <w:t>103.1</w:t>
            </w:r>
          </w:p>
        </w:tc>
        <w:tc>
          <w:tcPr>
            <w:tcW w:w="864" w:type="dxa"/>
          </w:tcPr>
          <w:p>
            <w:pPr>
              <w:pStyle w:val="TableParagraph"/>
              <w:spacing w:line="160" w:lineRule="exact" w:before="0"/>
              <w:ind w:right="94"/>
              <w:rPr>
                <w:rFonts w:ascii="Courier New"/>
                <w:b/>
                <w:sz w:val="16"/>
              </w:rPr>
            </w:pPr>
            <w:r>
              <w:rPr>
                <w:rFonts w:ascii="Courier New"/>
                <w:b/>
                <w:sz w:val="16"/>
              </w:rPr>
              <w:t>61.5</w:t>
            </w:r>
          </w:p>
        </w:tc>
        <w:tc>
          <w:tcPr>
            <w:tcW w:w="865" w:type="dxa"/>
          </w:tcPr>
          <w:p>
            <w:pPr>
              <w:pStyle w:val="TableParagraph"/>
              <w:spacing w:line="160" w:lineRule="exact" w:before="0"/>
              <w:ind w:right="95"/>
              <w:rPr>
                <w:rFonts w:ascii="Courier New"/>
                <w:b/>
                <w:sz w:val="16"/>
              </w:rPr>
            </w:pPr>
            <w:r>
              <w:rPr>
                <w:rFonts w:ascii="Courier New"/>
                <w:b/>
                <w:sz w:val="16"/>
              </w:rPr>
              <w:t>1.68</w:t>
            </w:r>
          </w:p>
        </w:tc>
        <w:tc>
          <w:tcPr>
            <w:tcW w:w="863" w:type="dxa"/>
          </w:tcPr>
          <w:p>
            <w:pPr>
              <w:pStyle w:val="TableParagraph"/>
              <w:spacing w:line="160" w:lineRule="exact" w:before="0"/>
              <w:ind w:right="94"/>
              <w:rPr>
                <w:rFonts w:ascii="Courier New"/>
                <w:b/>
                <w:sz w:val="16"/>
              </w:rPr>
            </w:pPr>
            <w:r>
              <w:rPr>
                <w:rFonts w:ascii="Courier New"/>
                <w:b/>
                <w:sz w:val="16"/>
              </w:rPr>
              <w:t>0.095</w:t>
            </w:r>
          </w:p>
        </w:tc>
        <w:tc>
          <w:tcPr>
            <w:tcW w:w="532" w:type="dxa"/>
          </w:tcPr>
          <w:p>
            <w:pPr>
              <w:pStyle w:val="TableParagraph"/>
              <w:spacing w:line="240" w:lineRule="auto" w:before="0"/>
              <w:jc w:val="left"/>
              <w:rPr>
                <w:rFonts w:ascii="Times New Roman"/>
                <w:sz w:val="12"/>
              </w:rPr>
            </w:pPr>
          </w:p>
        </w:tc>
      </w:tr>
      <w:tr>
        <w:trPr>
          <w:trHeight w:val="182" w:hRule="atLeast"/>
        </w:trPr>
        <w:tc>
          <w:tcPr>
            <w:tcW w:w="2450" w:type="dxa"/>
          </w:tcPr>
          <w:p>
            <w:pPr>
              <w:pStyle w:val="TableParagraph"/>
              <w:spacing w:line="162" w:lineRule="exact" w:before="0"/>
              <w:ind w:left="50"/>
              <w:jc w:val="left"/>
              <w:rPr>
                <w:rFonts w:ascii="Courier New" w:hAnsi="Courier New"/>
                <w:b/>
                <w:sz w:val="16"/>
              </w:rPr>
            </w:pPr>
            <w:r>
              <w:rPr>
                <w:rFonts w:ascii="Courier New" w:hAnsi="Courier New"/>
                <w:b/>
                <w:sz w:val="16"/>
              </w:rPr>
              <w:t>Ln Año Construccion</w:t>
            </w:r>
          </w:p>
        </w:tc>
        <w:tc>
          <w:tcPr>
            <w:tcW w:w="864" w:type="dxa"/>
          </w:tcPr>
          <w:p>
            <w:pPr>
              <w:pStyle w:val="TableParagraph"/>
              <w:spacing w:line="162" w:lineRule="exact" w:before="0"/>
              <w:ind w:right="92"/>
              <w:rPr>
                <w:rFonts w:ascii="Courier New"/>
                <w:b/>
                <w:sz w:val="16"/>
              </w:rPr>
            </w:pPr>
            <w:r>
              <w:rPr>
                <w:rFonts w:ascii="Courier New"/>
                <w:b/>
                <w:sz w:val="16"/>
              </w:rPr>
              <w:t>-12.04</w:t>
            </w:r>
          </w:p>
        </w:tc>
        <w:tc>
          <w:tcPr>
            <w:tcW w:w="864" w:type="dxa"/>
          </w:tcPr>
          <w:p>
            <w:pPr>
              <w:pStyle w:val="TableParagraph"/>
              <w:spacing w:line="162" w:lineRule="exact" w:before="0"/>
              <w:ind w:right="93"/>
              <w:rPr>
                <w:rFonts w:ascii="Courier New"/>
                <w:b/>
                <w:sz w:val="16"/>
              </w:rPr>
            </w:pPr>
            <w:r>
              <w:rPr>
                <w:rFonts w:ascii="Courier New"/>
                <w:b/>
                <w:sz w:val="16"/>
              </w:rPr>
              <w:t>8.09</w:t>
            </w:r>
          </w:p>
        </w:tc>
        <w:tc>
          <w:tcPr>
            <w:tcW w:w="865" w:type="dxa"/>
          </w:tcPr>
          <w:p>
            <w:pPr>
              <w:pStyle w:val="TableParagraph"/>
              <w:spacing w:line="162" w:lineRule="exact" w:before="0"/>
              <w:ind w:right="93"/>
              <w:rPr>
                <w:rFonts w:ascii="Courier New"/>
                <w:b/>
                <w:sz w:val="16"/>
              </w:rPr>
            </w:pPr>
            <w:r>
              <w:rPr>
                <w:rFonts w:ascii="Courier New"/>
                <w:b/>
                <w:sz w:val="16"/>
              </w:rPr>
              <w:t>-1.49</w:t>
            </w:r>
          </w:p>
        </w:tc>
        <w:tc>
          <w:tcPr>
            <w:tcW w:w="863" w:type="dxa"/>
          </w:tcPr>
          <w:p>
            <w:pPr>
              <w:pStyle w:val="TableParagraph"/>
              <w:spacing w:line="162" w:lineRule="exact" w:before="0"/>
              <w:ind w:right="92"/>
              <w:rPr>
                <w:rFonts w:ascii="Courier New"/>
                <w:b/>
                <w:sz w:val="16"/>
              </w:rPr>
            </w:pPr>
            <w:r>
              <w:rPr>
                <w:rFonts w:ascii="Courier New"/>
                <w:b/>
                <w:sz w:val="16"/>
              </w:rPr>
              <w:t>0.137</w:t>
            </w:r>
          </w:p>
        </w:tc>
        <w:tc>
          <w:tcPr>
            <w:tcW w:w="532" w:type="dxa"/>
          </w:tcPr>
          <w:p>
            <w:pPr>
              <w:pStyle w:val="TableParagraph"/>
              <w:spacing w:line="162" w:lineRule="exact" w:before="0"/>
              <w:ind w:left="74" w:right="28"/>
              <w:jc w:val="center"/>
              <w:rPr>
                <w:rFonts w:ascii="Courier New"/>
                <w:b/>
                <w:sz w:val="16"/>
              </w:rPr>
            </w:pPr>
            <w:r>
              <w:rPr>
                <w:rFonts w:ascii="Courier New"/>
                <w:b/>
                <w:sz w:val="16"/>
              </w:rPr>
              <w:t>1.17</w:t>
            </w:r>
          </w:p>
        </w:tc>
      </w:tr>
      <w:tr>
        <w:trPr>
          <w:trHeight w:val="181" w:hRule="atLeast"/>
        </w:trPr>
        <w:tc>
          <w:tcPr>
            <w:tcW w:w="2450" w:type="dxa"/>
          </w:tcPr>
          <w:p>
            <w:pPr>
              <w:pStyle w:val="TableParagraph"/>
              <w:spacing w:line="161" w:lineRule="exact" w:before="1"/>
              <w:ind w:left="50"/>
              <w:jc w:val="left"/>
              <w:rPr>
                <w:rFonts w:ascii="Courier New" w:hAnsi="Courier New"/>
                <w:b/>
                <w:sz w:val="16"/>
              </w:rPr>
            </w:pPr>
            <w:r>
              <w:rPr>
                <w:rFonts w:ascii="Courier New" w:hAnsi="Courier New"/>
                <w:b/>
                <w:sz w:val="16"/>
              </w:rPr>
              <w:t>Ln Número Habitaciones</w:t>
            </w:r>
          </w:p>
        </w:tc>
        <w:tc>
          <w:tcPr>
            <w:tcW w:w="864" w:type="dxa"/>
          </w:tcPr>
          <w:p>
            <w:pPr>
              <w:pStyle w:val="TableParagraph"/>
              <w:spacing w:line="161" w:lineRule="exact" w:before="1"/>
              <w:ind w:right="94"/>
              <w:rPr>
                <w:rFonts w:ascii="Courier New"/>
                <w:b/>
                <w:sz w:val="16"/>
              </w:rPr>
            </w:pPr>
            <w:r>
              <w:rPr>
                <w:rFonts w:ascii="Courier New"/>
                <w:b/>
                <w:sz w:val="16"/>
              </w:rPr>
              <w:t>0.305</w:t>
            </w:r>
          </w:p>
        </w:tc>
        <w:tc>
          <w:tcPr>
            <w:tcW w:w="864" w:type="dxa"/>
          </w:tcPr>
          <w:p>
            <w:pPr>
              <w:pStyle w:val="TableParagraph"/>
              <w:spacing w:line="161" w:lineRule="exact" w:before="1"/>
              <w:ind w:right="94"/>
              <w:rPr>
                <w:rFonts w:ascii="Courier New"/>
                <w:b/>
                <w:sz w:val="16"/>
              </w:rPr>
            </w:pPr>
            <w:r>
              <w:rPr>
                <w:rFonts w:ascii="Courier New"/>
                <w:b/>
                <w:sz w:val="16"/>
              </w:rPr>
              <w:t>0.129</w:t>
            </w:r>
          </w:p>
        </w:tc>
        <w:tc>
          <w:tcPr>
            <w:tcW w:w="865" w:type="dxa"/>
          </w:tcPr>
          <w:p>
            <w:pPr>
              <w:pStyle w:val="TableParagraph"/>
              <w:spacing w:line="161" w:lineRule="exact" w:before="1"/>
              <w:ind w:right="95"/>
              <w:rPr>
                <w:rFonts w:ascii="Courier New"/>
                <w:b/>
                <w:sz w:val="16"/>
              </w:rPr>
            </w:pPr>
            <w:r>
              <w:rPr>
                <w:rFonts w:ascii="Courier New"/>
                <w:b/>
                <w:sz w:val="16"/>
              </w:rPr>
              <w:t>2.37</w:t>
            </w:r>
          </w:p>
        </w:tc>
        <w:tc>
          <w:tcPr>
            <w:tcW w:w="863" w:type="dxa"/>
          </w:tcPr>
          <w:p>
            <w:pPr>
              <w:pStyle w:val="TableParagraph"/>
              <w:spacing w:line="161" w:lineRule="exact" w:before="1"/>
              <w:ind w:right="94"/>
              <w:rPr>
                <w:rFonts w:ascii="Courier New"/>
                <w:b/>
                <w:sz w:val="16"/>
              </w:rPr>
            </w:pPr>
            <w:r>
              <w:rPr>
                <w:rFonts w:ascii="Courier New"/>
                <w:b/>
                <w:sz w:val="16"/>
              </w:rPr>
              <w:t>0.018</w:t>
            </w:r>
          </w:p>
        </w:tc>
        <w:tc>
          <w:tcPr>
            <w:tcW w:w="532" w:type="dxa"/>
          </w:tcPr>
          <w:p>
            <w:pPr>
              <w:pStyle w:val="TableParagraph"/>
              <w:spacing w:line="161" w:lineRule="exact" w:before="1"/>
              <w:ind w:left="71" w:right="29"/>
              <w:jc w:val="center"/>
              <w:rPr>
                <w:rFonts w:ascii="Courier New"/>
                <w:b/>
                <w:sz w:val="16"/>
              </w:rPr>
            </w:pPr>
            <w:r>
              <w:rPr>
                <w:rFonts w:ascii="Courier New"/>
                <w:b/>
                <w:sz w:val="16"/>
              </w:rPr>
              <w:t>2.19</w:t>
            </w:r>
          </w:p>
        </w:tc>
      </w:tr>
      <w:tr>
        <w:trPr>
          <w:trHeight w:val="180" w:hRule="atLeast"/>
        </w:trPr>
        <w:tc>
          <w:tcPr>
            <w:tcW w:w="2450" w:type="dxa"/>
          </w:tcPr>
          <w:p>
            <w:pPr>
              <w:pStyle w:val="TableParagraph"/>
              <w:spacing w:line="160" w:lineRule="exact" w:before="0"/>
              <w:ind w:left="50"/>
              <w:jc w:val="left"/>
              <w:rPr>
                <w:rFonts w:ascii="Courier New" w:hAnsi="Courier New"/>
                <w:b/>
                <w:sz w:val="16"/>
              </w:rPr>
            </w:pPr>
            <w:r>
              <w:rPr>
                <w:rFonts w:ascii="Courier New" w:hAnsi="Courier New"/>
                <w:b/>
                <w:sz w:val="16"/>
              </w:rPr>
              <w:t>Ln Número de Baños</w:t>
            </w:r>
          </w:p>
        </w:tc>
        <w:tc>
          <w:tcPr>
            <w:tcW w:w="864" w:type="dxa"/>
          </w:tcPr>
          <w:p>
            <w:pPr>
              <w:pStyle w:val="TableParagraph"/>
              <w:spacing w:line="160" w:lineRule="exact" w:before="0"/>
              <w:ind w:right="94"/>
              <w:rPr>
                <w:rFonts w:ascii="Courier New"/>
                <w:b/>
                <w:sz w:val="16"/>
              </w:rPr>
            </w:pPr>
            <w:r>
              <w:rPr>
                <w:rFonts w:ascii="Courier New"/>
                <w:b/>
                <w:sz w:val="16"/>
              </w:rPr>
              <w:t>0.889</w:t>
            </w:r>
          </w:p>
        </w:tc>
        <w:tc>
          <w:tcPr>
            <w:tcW w:w="864" w:type="dxa"/>
          </w:tcPr>
          <w:p>
            <w:pPr>
              <w:pStyle w:val="TableParagraph"/>
              <w:spacing w:line="160" w:lineRule="exact" w:before="0"/>
              <w:ind w:right="94"/>
              <w:rPr>
                <w:rFonts w:ascii="Courier New"/>
                <w:b/>
                <w:sz w:val="16"/>
              </w:rPr>
            </w:pPr>
            <w:r>
              <w:rPr>
                <w:rFonts w:ascii="Courier New"/>
                <w:b/>
                <w:sz w:val="16"/>
              </w:rPr>
              <w:t>0.102</w:t>
            </w:r>
          </w:p>
        </w:tc>
        <w:tc>
          <w:tcPr>
            <w:tcW w:w="865" w:type="dxa"/>
          </w:tcPr>
          <w:p>
            <w:pPr>
              <w:pStyle w:val="TableParagraph"/>
              <w:spacing w:line="160" w:lineRule="exact" w:before="0"/>
              <w:ind w:right="95"/>
              <w:rPr>
                <w:rFonts w:ascii="Courier New"/>
                <w:b/>
                <w:sz w:val="16"/>
              </w:rPr>
            </w:pPr>
            <w:r>
              <w:rPr>
                <w:rFonts w:ascii="Courier New"/>
                <w:b/>
                <w:sz w:val="16"/>
              </w:rPr>
              <w:t>8.75</w:t>
            </w:r>
          </w:p>
        </w:tc>
        <w:tc>
          <w:tcPr>
            <w:tcW w:w="863" w:type="dxa"/>
          </w:tcPr>
          <w:p>
            <w:pPr>
              <w:pStyle w:val="TableParagraph"/>
              <w:spacing w:line="160" w:lineRule="exact" w:before="0"/>
              <w:ind w:right="94"/>
              <w:rPr>
                <w:rFonts w:ascii="Courier New"/>
                <w:b/>
                <w:sz w:val="16"/>
              </w:rPr>
            </w:pPr>
            <w:r>
              <w:rPr>
                <w:rFonts w:ascii="Courier New"/>
                <w:b/>
                <w:sz w:val="16"/>
              </w:rPr>
              <w:t>0.000</w:t>
            </w:r>
          </w:p>
        </w:tc>
        <w:tc>
          <w:tcPr>
            <w:tcW w:w="532" w:type="dxa"/>
          </w:tcPr>
          <w:p>
            <w:pPr>
              <w:pStyle w:val="TableParagraph"/>
              <w:spacing w:line="160" w:lineRule="exact" w:before="0"/>
              <w:ind w:left="71" w:right="29"/>
              <w:jc w:val="center"/>
              <w:rPr>
                <w:rFonts w:ascii="Courier New"/>
                <w:b/>
                <w:sz w:val="16"/>
              </w:rPr>
            </w:pPr>
            <w:r>
              <w:rPr>
                <w:rFonts w:ascii="Courier New"/>
                <w:b/>
                <w:sz w:val="16"/>
              </w:rPr>
              <w:t>2.19</w:t>
            </w:r>
          </w:p>
        </w:tc>
      </w:tr>
      <w:tr>
        <w:trPr>
          <w:trHeight w:val="181" w:hRule="atLeast"/>
        </w:trPr>
        <w:tc>
          <w:tcPr>
            <w:tcW w:w="2450" w:type="dxa"/>
          </w:tcPr>
          <w:p>
            <w:pPr>
              <w:pStyle w:val="TableParagraph"/>
              <w:spacing w:line="162" w:lineRule="exact" w:before="0"/>
              <w:ind w:left="50"/>
              <w:jc w:val="left"/>
              <w:rPr>
                <w:rFonts w:ascii="Courier New" w:hAnsi="Courier New"/>
                <w:b/>
                <w:sz w:val="16"/>
              </w:rPr>
            </w:pPr>
            <w:r>
              <w:rPr>
                <w:rFonts w:ascii="Courier New" w:hAnsi="Courier New"/>
                <w:b/>
                <w:sz w:val="16"/>
              </w:rPr>
              <w:t>Ln Número de Plantas</w:t>
            </w:r>
          </w:p>
        </w:tc>
        <w:tc>
          <w:tcPr>
            <w:tcW w:w="864" w:type="dxa"/>
          </w:tcPr>
          <w:p>
            <w:pPr>
              <w:pStyle w:val="TableParagraph"/>
              <w:spacing w:line="162" w:lineRule="exact" w:before="0"/>
              <w:ind w:right="93"/>
              <w:rPr>
                <w:rFonts w:ascii="Courier New"/>
                <w:b/>
                <w:sz w:val="16"/>
              </w:rPr>
            </w:pPr>
            <w:r>
              <w:rPr>
                <w:rFonts w:ascii="Courier New"/>
                <w:b/>
                <w:sz w:val="16"/>
              </w:rPr>
              <w:t>-0.1599</w:t>
            </w:r>
          </w:p>
        </w:tc>
        <w:tc>
          <w:tcPr>
            <w:tcW w:w="864" w:type="dxa"/>
          </w:tcPr>
          <w:p>
            <w:pPr>
              <w:pStyle w:val="TableParagraph"/>
              <w:spacing w:line="162" w:lineRule="exact" w:before="0"/>
              <w:ind w:right="93"/>
              <w:rPr>
                <w:rFonts w:ascii="Courier New"/>
                <w:b/>
                <w:sz w:val="16"/>
              </w:rPr>
            </w:pPr>
            <w:r>
              <w:rPr>
                <w:rFonts w:ascii="Courier New"/>
                <w:b/>
                <w:sz w:val="16"/>
              </w:rPr>
              <w:t>0.0828</w:t>
            </w:r>
          </w:p>
        </w:tc>
        <w:tc>
          <w:tcPr>
            <w:tcW w:w="865" w:type="dxa"/>
          </w:tcPr>
          <w:p>
            <w:pPr>
              <w:pStyle w:val="TableParagraph"/>
              <w:spacing w:line="162" w:lineRule="exact" w:before="0"/>
              <w:ind w:right="93"/>
              <w:rPr>
                <w:rFonts w:ascii="Courier New"/>
                <w:b/>
                <w:sz w:val="16"/>
              </w:rPr>
            </w:pPr>
            <w:r>
              <w:rPr>
                <w:rFonts w:ascii="Courier New"/>
                <w:b/>
                <w:sz w:val="16"/>
              </w:rPr>
              <w:t>-1.93</w:t>
            </w:r>
          </w:p>
        </w:tc>
        <w:tc>
          <w:tcPr>
            <w:tcW w:w="863" w:type="dxa"/>
          </w:tcPr>
          <w:p>
            <w:pPr>
              <w:pStyle w:val="TableParagraph"/>
              <w:spacing w:line="162" w:lineRule="exact" w:before="0"/>
              <w:ind w:right="92"/>
              <w:rPr>
                <w:rFonts w:ascii="Courier New"/>
                <w:b/>
                <w:sz w:val="16"/>
              </w:rPr>
            </w:pPr>
            <w:r>
              <w:rPr>
                <w:rFonts w:ascii="Courier New"/>
                <w:b/>
                <w:sz w:val="16"/>
              </w:rPr>
              <w:t>0.054</w:t>
            </w:r>
          </w:p>
        </w:tc>
        <w:tc>
          <w:tcPr>
            <w:tcW w:w="532" w:type="dxa"/>
          </w:tcPr>
          <w:p>
            <w:pPr>
              <w:pStyle w:val="TableParagraph"/>
              <w:spacing w:line="162" w:lineRule="exact" w:before="0"/>
              <w:ind w:left="74" w:right="26"/>
              <w:jc w:val="center"/>
              <w:rPr>
                <w:rFonts w:ascii="Courier New"/>
                <w:b/>
                <w:sz w:val="16"/>
              </w:rPr>
            </w:pPr>
            <w:r>
              <w:rPr>
                <w:rFonts w:ascii="Courier New"/>
                <w:b/>
                <w:sz w:val="16"/>
              </w:rPr>
              <w:t>1.18</w:t>
            </w:r>
          </w:p>
        </w:tc>
      </w:tr>
      <w:tr>
        <w:trPr>
          <w:trHeight w:val="182" w:hRule="atLeast"/>
        </w:trPr>
        <w:tc>
          <w:tcPr>
            <w:tcW w:w="2450" w:type="dxa"/>
          </w:tcPr>
          <w:p>
            <w:pPr>
              <w:pStyle w:val="TableParagraph"/>
              <w:spacing w:line="161" w:lineRule="exact" w:before="1"/>
              <w:ind w:left="50"/>
              <w:jc w:val="left"/>
              <w:rPr>
                <w:rFonts w:ascii="Courier New"/>
                <w:b/>
                <w:sz w:val="16"/>
              </w:rPr>
            </w:pPr>
            <w:r>
              <w:rPr>
                <w:rFonts w:ascii="Courier New"/>
                <w:b/>
                <w:sz w:val="16"/>
              </w:rPr>
              <w:t>Ln Distancia SJ</w:t>
            </w:r>
          </w:p>
        </w:tc>
        <w:tc>
          <w:tcPr>
            <w:tcW w:w="864" w:type="dxa"/>
          </w:tcPr>
          <w:p>
            <w:pPr>
              <w:pStyle w:val="TableParagraph"/>
              <w:spacing w:line="161" w:lineRule="exact" w:before="1"/>
              <w:ind w:right="92"/>
              <w:rPr>
                <w:rFonts w:ascii="Courier New"/>
                <w:b/>
                <w:sz w:val="16"/>
              </w:rPr>
            </w:pPr>
            <w:r>
              <w:rPr>
                <w:rFonts w:ascii="Courier New"/>
                <w:b/>
                <w:sz w:val="16"/>
              </w:rPr>
              <w:t>-0.250</w:t>
            </w:r>
          </w:p>
        </w:tc>
        <w:tc>
          <w:tcPr>
            <w:tcW w:w="864" w:type="dxa"/>
          </w:tcPr>
          <w:p>
            <w:pPr>
              <w:pStyle w:val="TableParagraph"/>
              <w:spacing w:line="161" w:lineRule="exact" w:before="1"/>
              <w:ind w:right="93"/>
              <w:rPr>
                <w:rFonts w:ascii="Courier New"/>
                <w:b/>
                <w:sz w:val="16"/>
              </w:rPr>
            </w:pPr>
            <w:r>
              <w:rPr>
                <w:rFonts w:ascii="Courier New"/>
                <w:b/>
                <w:sz w:val="16"/>
              </w:rPr>
              <w:t>0.104</w:t>
            </w:r>
          </w:p>
        </w:tc>
        <w:tc>
          <w:tcPr>
            <w:tcW w:w="865" w:type="dxa"/>
          </w:tcPr>
          <w:p>
            <w:pPr>
              <w:pStyle w:val="TableParagraph"/>
              <w:spacing w:line="161" w:lineRule="exact" w:before="1"/>
              <w:ind w:right="93"/>
              <w:rPr>
                <w:rFonts w:ascii="Courier New"/>
                <w:b/>
                <w:sz w:val="16"/>
              </w:rPr>
            </w:pPr>
            <w:r>
              <w:rPr>
                <w:rFonts w:ascii="Courier New"/>
                <w:b/>
                <w:sz w:val="16"/>
              </w:rPr>
              <w:t>-2.41</w:t>
            </w:r>
          </w:p>
        </w:tc>
        <w:tc>
          <w:tcPr>
            <w:tcW w:w="863" w:type="dxa"/>
          </w:tcPr>
          <w:p>
            <w:pPr>
              <w:pStyle w:val="TableParagraph"/>
              <w:spacing w:line="161" w:lineRule="exact" w:before="1"/>
              <w:ind w:right="92"/>
              <w:rPr>
                <w:rFonts w:ascii="Courier New"/>
                <w:b/>
                <w:sz w:val="16"/>
              </w:rPr>
            </w:pPr>
            <w:r>
              <w:rPr>
                <w:rFonts w:ascii="Courier New"/>
                <w:b/>
                <w:sz w:val="16"/>
              </w:rPr>
              <w:t>0.017</w:t>
            </w:r>
          </w:p>
        </w:tc>
        <w:tc>
          <w:tcPr>
            <w:tcW w:w="532" w:type="dxa"/>
          </w:tcPr>
          <w:p>
            <w:pPr>
              <w:pStyle w:val="TableParagraph"/>
              <w:spacing w:line="161" w:lineRule="exact" w:before="1"/>
              <w:ind w:left="74" w:right="28"/>
              <w:jc w:val="center"/>
              <w:rPr>
                <w:rFonts w:ascii="Courier New"/>
                <w:b/>
                <w:sz w:val="16"/>
              </w:rPr>
            </w:pPr>
            <w:r>
              <w:rPr>
                <w:rFonts w:ascii="Courier New"/>
                <w:b/>
                <w:sz w:val="16"/>
              </w:rPr>
              <w:t>1.20</w:t>
            </w:r>
          </w:p>
        </w:tc>
      </w:tr>
      <w:tr>
        <w:trPr>
          <w:trHeight w:val="180" w:hRule="atLeast"/>
        </w:trPr>
        <w:tc>
          <w:tcPr>
            <w:tcW w:w="2450" w:type="dxa"/>
          </w:tcPr>
          <w:p>
            <w:pPr>
              <w:pStyle w:val="TableParagraph"/>
              <w:spacing w:line="160" w:lineRule="exact" w:before="0"/>
              <w:ind w:left="50"/>
              <w:jc w:val="left"/>
              <w:rPr>
                <w:rFonts w:ascii="Courier New"/>
                <w:b/>
                <w:sz w:val="16"/>
              </w:rPr>
            </w:pPr>
            <w:r>
              <w:rPr>
                <w:rFonts w:ascii="Courier New"/>
                <w:b/>
                <w:sz w:val="16"/>
              </w:rPr>
              <w:t>Ln Distancia Pobreza</w:t>
            </w:r>
          </w:p>
        </w:tc>
        <w:tc>
          <w:tcPr>
            <w:tcW w:w="864" w:type="dxa"/>
          </w:tcPr>
          <w:p>
            <w:pPr>
              <w:pStyle w:val="TableParagraph"/>
              <w:spacing w:line="160" w:lineRule="exact" w:before="0"/>
              <w:ind w:right="94"/>
              <w:rPr>
                <w:rFonts w:ascii="Courier New"/>
                <w:b/>
                <w:sz w:val="16"/>
              </w:rPr>
            </w:pPr>
            <w:r>
              <w:rPr>
                <w:rFonts w:ascii="Courier New"/>
                <w:b/>
                <w:sz w:val="16"/>
              </w:rPr>
              <w:t>0.2211</w:t>
            </w:r>
          </w:p>
        </w:tc>
        <w:tc>
          <w:tcPr>
            <w:tcW w:w="864" w:type="dxa"/>
          </w:tcPr>
          <w:p>
            <w:pPr>
              <w:pStyle w:val="TableParagraph"/>
              <w:spacing w:line="160" w:lineRule="exact" w:before="0"/>
              <w:ind w:right="94"/>
              <w:rPr>
                <w:rFonts w:ascii="Courier New"/>
                <w:b/>
                <w:sz w:val="16"/>
              </w:rPr>
            </w:pPr>
            <w:r>
              <w:rPr>
                <w:rFonts w:ascii="Courier New"/>
                <w:b/>
                <w:sz w:val="16"/>
              </w:rPr>
              <w:t>0.0765</w:t>
            </w:r>
          </w:p>
        </w:tc>
        <w:tc>
          <w:tcPr>
            <w:tcW w:w="865" w:type="dxa"/>
          </w:tcPr>
          <w:p>
            <w:pPr>
              <w:pStyle w:val="TableParagraph"/>
              <w:spacing w:line="160" w:lineRule="exact" w:before="0"/>
              <w:ind w:right="95"/>
              <w:rPr>
                <w:rFonts w:ascii="Courier New"/>
                <w:b/>
                <w:sz w:val="16"/>
              </w:rPr>
            </w:pPr>
            <w:r>
              <w:rPr>
                <w:rFonts w:ascii="Courier New"/>
                <w:b/>
                <w:sz w:val="16"/>
              </w:rPr>
              <w:t>2.89</w:t>
            </w:r>
          </w:p>
        </w:tc>
        <w:tc>
          <w:tcPr>
            <w:tcW w:w="863" w:type="dxa"/>
          </w:tcPr>
          <w:p>
            <w:pPr>
              <w:pStyle w:val="TableParagraph"/>
              <w:spacing w:line="160" w:lineRule="exact" w:before="0"/>
              <w:ind w:right="94"/>
              <w:rPr>
                <w:rFonts w:ascii="Courier New"/>
                <w:b/>
                <w:sz w:val="16"/>
              </w:rPr>
            </w:pPr>
            <w:r>
              <w:rPr>
                <w:rFonts w:ascii="Courier New"/>
                <w:b/>
                <w:sz w:val="16"/>
              </w:rPr>
              <w:t>0.004</w:t>
            </w:r>
          </w:p>
        </w:tc>
        <w:tc>
          <w:tcPr>
            <w:tcW w:w="532" w:type="dxa"/>
          </w:tcPr>
          <w:p>
            <w:pPr>
              <w:pStyle w:val="TableParagraph"/>
              <w:spacing w:line="160" w:lineRule="exact" w:before="0"/>
              <w:ind w:left="71" w:right="29"/>
              <w:jc w:val="center"/>
              <w:rPr>
                <w:rFonts w:ascii="Courier New"/>
                <w:b/>
                <w:sz w:val="16"/>
              </w:rPr>
            </w:pPr>
            <w:r>
              <w:rPr>
                <w:rFonts w:ascii="Courier New"/>
                <w:b/>
                <w:sz w:val="16"/>
              </w:rPr>
              <w:t>1.17</w:t>
            </w:r>
          </w:p>
        </w:tc>
      </w:tr>
      <w:tr>
        <w:trPr>
          <w:trHeight w:val="180" w:hRule="atLeast"/>
        </w:trPr>
        <w:tc>
          <w:tcPr>
            <w:tcW w:w="2450" w:type="dxa"/>
          </w:tcPr>
          <w:p>
            <w:pPr>
              <w:pStyle w:val="TableParagraph"/>
              <w:spacing w:line="160" w:lineRule="exact" w:before="0"/>
              <w:ind w:left="50"/>
              <w:jc w:val="left"/>
              <w:rPr>
                <w:rFonts w:ascii="Courier New"/>
                <w:b/>
                <w:sz w:val="16"/>
              </w:rPr>
            </w:pPr>
            <w:r>
              <w:rPr>
                <w:rFonts w:ascii="Courier New"/>
                <w:b/>
                <w:sz w:val="16"/>
              </w:rPr>
              <w:t>Tipo = 1 casa, 0 = Condo</w:t>
            </w:r>
          </w:p>
        </w:tc>
        <w:tc>
          <w:tcPr>
            <w:tcW w:w="864" w:type="dxa"/>
          </w:tcPr>
          <w:p>
            <w:pPr>
              <w:pStyle w:val="TableParagraph"/>
              <w:spacing w:line="240" w:lineRule="auto" w:before="0"/>
              <w:jc w:val="left"/>
              <w:rPr>
                <w:rFonts w:ascii="Times New Roman"/>
                <w:sz w:val="12"/>
              </w:rPr>
            </w:pPr>
          </w:p>
        </w:tc>
        <w:tc>
          <w:tcPr>
            <w:tcW w:w="864" w:type="dxa"/>
          </w:tcPr>
          <w:p>
            <w:pPr>
              <w:pStyle w:val="TableParagraph"/>
              <w:spacing w:line="240" w:lineRule="auto" w:before="0"/>
              <w:jc w:val="left"/>
              <w:rPr>
                <w:rFonts w:ascii="Times New Roman"/>
                <w:sz w:val="12"/>
              </w:rPr>
            </w:pPr>
          </w:p>
        </w:tc>
        <w:tc>
          <w:tcPr>
            <w:tcW w:w="865" w:type="dxa"/>
          </w:tcPr>
          <w:p>
            <w:pPr>
              <w:pStyle w:val="TableParagraph"/>
              <w:spacing w:line="240" w:lineRule="auto" w:before="0"/>
              <w:jc w:val="left"/>
              <w:rPr>
                <w:rFonts w:ascii="Times New Roman"/>
                <w:sz w:val="12"/>
              </w:rPr>
            </w:pPr>
          </w:p>
        </w:tc>
        <w:tc>
          <w:tcPr>
            <w:tcW w:w="863" w:type="dxa"/>
          </w:tcPr>
          <w:p>
            <w:pPr>
              <w:pStyle w:val="TableParagraph"/>
              <w:spacing w:line="240" w:lineRule="auto" w:before="0"/>
              <w:jc w:val="left"/>
              <w:rPr>
                <w:rFonts w:ascii="Times New Roman"/>
                <w:sz w:val="12"/>
              </w:rPr>
            </w:pPr>
          </w:p>
        </w:tc>
        <w:tc>
          <w:tcPr>
            <w:tcW w:w="532" w:type="dxa"/>
          </w:tcPr>
          <w:p>
            <w:pPr>
              <w:pStyle w:val="TableParagraph"/>
              <w:spacing w:line="240" w:lineRule="auto" w:before="0"/>
              <w:jc w:val="left"/>
              <w:rPr>
                <w:rFonts w:ascii="Times New Roman"/>
                <w:sz w:val="12"/>
              </w:rPr>
            </w:pPr>
          </w:p>
        </w:tc>
      </w:tr>
      <w:tr>
        <w:trPr>
          <w:trHeight w:val="180" w:hRule="atLeast"/>
        </w:trPr>
        <w:tc>
          <w:tcPr>
            <w:tcW w:w="2450" w:type="dxa"/>
          </w:tcPr>
          <w:p>
            <w:pPr>
              <w:pStyle w:val="TableParagraph"/>
              <w:spacing w:line="161" w:lineRule="exact" w:before="0"/>
              <w:ind w:left="241"/>
              <w:jc w:val="left"/>
              <w:rPr>
                <w:rFonts w:ascii="Courier New"/>
                <w:b/>
                <w:sz w:val="16"/>
              </w:rPr>
            </w:pPr>
            <w:r>
              <w:rPr>
                <w:rFonts w:ascii="Courier New"/>
                <w:b/>
                <w:sz w:val="16"/>
              </w:rPr>
              <w:t>1</w:t>
            </w:r>
          </w:p>
        </w:tc>
        <w:tc>
          <w:tcPr>
            <w:tcW w:w="864" w:type="dxa"/>
          </w:tcPr>
          <w:p>
            <w:pPr>
              <w:pStyle w:val="TableParagraph"/>
              <w:spacing w:line="161" w:lineRule="exact" w:before="0"/>
              <w:ind w:right="94"/>
              <w:rPr>
                <w:rFonts w:ascii="Courier New"/>
                <w:b/>
                <w:sz w:val="16"/>
              </w:rPr>
            </w:pPr>
            <w:r>
              <w:rPr>
                <w:rFonts w:ascii="Courier New"/>
                <w:b/>
                <w:sz w:val="16"/>
              </w:rPr>
              <w:t>0.1216</w:t>
            </w:r>
          </w:p>
        </w:tc>
        <w:tc>
          <w:tcPr>
            <w:tcW w:w="864" w:type="dxa"/>
          </w:tcPr>
          <w:p>
            <w:pPr>
              <w:pStyle w:val="TableParagraph"/>
              <w:spacing w:line="161" w:lineRule="exact" w:before="0"/>
              <w:ind w:right="94"/>
              <w:rPr>
                <w:rFonts w:ascii="Courier New"/>
                <w:b/>
                <w:sz w:val="16"/>
              </w:rPr>
            </w:pPr>
            <w:r>
              <w:rPr>
                <w:rFonts w:ascii="Courier New"/>
                <w:b/>
                <w:sz w:val="16"/>
              </w:rPr>
              <w:t>0.0512</w:t>
            </w:r>
          </w:p>
        </w:tc>
        <w:tc>
          <w:tcPr>
            <w:tcW w:w="865" w:type="dxa"/>
          </w:tcPr>
          <w:p>
            <w:pPr>
              <w:pStyle w:val="TableParagraph"/>
              <w:spacing w:line="161" w:lineRule="exact" w:before="0"/>
              <w:ind w:right="95"/>
              <w:rPr>
                <w:rFonts w:ascii="Courier New"/>
                <w:b/>
                <w:sz w:val="16"/>
              </w:rPr>
            </w:pPr>
            <w:r>
              <w:rPr>
                <w:rFonts w:ascii="Courier New"/>
                <w:b/>
                <w:sz w:val="16"/>
              </w:rPr>
              <w:t>2.37</w:t>
            </w:r>
          </w:p>
        </w:tc>
        <w:tc>
          <w:tcPr>
            <w:tcW w:w="863" w:type="dxa"/>
          </w:tcPr>
          <w:p>
            <w:pPr>
              <w:pStyle w:val="TableParagraph"/>
              <w:spacing w:line="161" w:lineRule="exact" w:before="0"/>
              <w:ind w:right="94"/>
              <w:rPr>
                <w:rFonts w:ascii="Courier New"/>
                <w:b/>
                <w:sz w:val="16"/>
              </w:rPr>
            </w:pPr>
            <w:r>
              <w:rPr>
                <w:rFonts w:ascii="Courier New"/>
                <w:b/>
                <w:sz w:val="16"/>
              </w:rPr>
              <w:t>0.018</w:t>
            </w:r>
          </w:p>
        </w:tc>
        <w:tc>
          <w:tcPr>
            <w:tcW w:w="532" w:type="dxa"/>
          </w:tcPr>
          <w:p>
            <w:pPr>
              <w:pStyle w:val="TableParagraph"/>
              <w:spacing w:line="161" w:lineRule="exact" w:before="0"/>
              <w:ind w:left="72" w:right="29"/>
              <w:jc w:val="center"/>
              <w:rPr>
                <w:rFonts w:ascii="Courier New"/>
                <w:b/>
                <w:sz w:val="16"/>
              </w:rPr>
            </w:pPr>
            <w:r>
              <w:rPr>
                <w:rFonts w:ascii="Courier New"/>
                <w:b/>
                <w:sz w:val="16"/>
              </w:rPr>
              <w:t>1.22</w:t>
            </w:r>
          </w:p>
        </w:tc>
      </w:tr>
    </w:tbl>
    <w:p>
      <w:pPr>
        <w:spacing w:line="181" w:lineRule="exact" w:before="2"/>
        <w:ind w:left="1040" w:right="0" w:firstLine="0"/>
        <w:jc w:val="left"/>
        <w:rPr>
          <w:rFonts w:ascii="Courier New"/>
          <w:b/>
          <w:sz w:val="16"/>
        </w:rPr>
      </w:pPr>
      <w:r>
        <w:rPr>
          <w:rFonts w:ascii="Courier New"/>
          <w:b/>
          <w:sz w:val="16"/>
        </w:rPr>
        <w:t>Vista a la Carpintera</w:t>
      </w:r>
    </w:p>
    <w:p>
      <w:pPr>
        <w:tabs>
          <w:tab w:pos="3633" w:val="left" w:leader="none"/>
          <w:tab w:pos="4497" w:val="left" w:leader="none"/>
          <w:tab w:pos="5553" w:val="left" w:leader="none"/>
          <w:tab w:pos="6321" w:val="left" w:leader="none"/>
        </w:tabs>
        <w:spacing w:line="181" w:lineRule="exact" w:before="0"/>
        <w:ind w:left="1232" w:right="0" w:firstLine="0"/>
        <w:jc w:val="left"/>
        <w:rPr>
          <w:rFonts w:ascii="Courier New"/>
          <w:b/>
          <w:sz w:val="16"/>
        </w:rPr>
      </w:pPr>
      <w:r>
        <w:rPr>
          <w:rFonts w:ascii="Courier New"/>
          <w:b/>
          <w:sz w:val="16"/>
        </w:rPr>
        <w:t>1</w:t>
        <w:tab/>
        <w:t>0.0969</w:t>
        <w:tab/>
        <w:t>0.0509</w:t>
        <w:tab/>
        <w:t>1.90</w:t>
        <w:tab/>
        <w:t>0.058</w:t>
      </w:r>
      <w:r>
        <w:rPr>
          <w:rFonts w:ascii="Courier New"/>
          <w:b/>
          <w:spacing w:val="94"/>
          <w:sz w:val="16"/>
        </w:rPr>
        <w:t> </w:t>
      </w:r>
      <w:r>
        <w:rPr>
          <w:rFonts w:ascii="Courier New"/>
          <w:b/>
          <w:sz w:val="16"/>
        </w:rPr>
        <w:t>1.06</w:t>
      </w:r>
    </w:p>
    <w:p>
      <w:pPr>
        <w:pStyle w:val="BodyText"/>
        <w:spacing w:before="2"/>
        <w:rPr>
          <w:rFonts w:ascii="Courier New"/>
          <w:b/>
          <w:sz w:val="15"/>
        </w:rPr>
      </w:pPr>
    </w:p>
    <w:p>
      <w:pPr>
        <w:pStyle w:val="Heading1"/>
      </w:pPr>
      <w:r>
        <w:rPr/>
        <w:t>B- Heterocedasticidad</w:t>
      </w:r>
    </w:p>
    <w:p>
      <w:pPr>
        <w:pStyle w:val="BodyText"/>
        <w:rPr>
          <w:b/>
          <w:sz w:val="10"/>
        </w:rPr>
      </w:pPr>
      <w:r>
        <w:rPr/>
        <w:drawing>
          <wp:anchor distT="0" distB="0" distL="0" distR="0" allowOverlap="1" layoutInCell="1" locked="0" behindDoc="0" simplePos="0" relativeHeight="100">
            <wp:simplePos x="0" y="0"/>
            <wp:positionH relativeFrom="page">
              <wp:posOffset>2183422</wp:posOffset>
            </wp:positionH>
            <wp:positionV relativeFrom="paragraph">
              <wp:posOffset>98009</wp:posOffset>
            </wp:positionV>
            <wp:extent cx="3449881" cy="2691765"/>
            <wp:effectExtent l="0" t="0" r="0" b="0"/>
            <wp:wrapTopAndBottom/>
            <wp:docPr id="117" name="image84.jpeg"/>
            <wp:cNvGraphicFramePr>
              <a:graphicFrameLocks noChangeAspect="1"/>
            </wp:cNvGraphicFramePr>
            <a:graphic>
              <a:graphicData uri="http://schemas.openxmlformats.org/drawingml/2006/picture">
                <pic:pic>
                  <pic:nvPicPr>
                    <pic:cNvPr id="118" name="image84.jpeg"/>
                    <pic:cNvPicPr/>
                  </pic:nvPicPr>
                  <pic:blipFill>
                    <a:blip r:embed="rId136" cstate="print"/>
                    <a:stretch>
                      <a:fillRect/>
                    </a:stretch>
                  </pic:blipFill>
                  <pic:spPr>
                    <a:xfrm>
                      <a:off x="0" y="0"/>
                      <a:ext cx="3449881" cy="2691765"/>
                    </a:xfrm>
                    <a:prstGeom prst="rect">
                      <a:avLst/>
                    </a:prstGeom>
                  </pic:spPr>
                </pic:pic>
              </a:graphicData>
            </a:graphic>
          </wp:anchor>
        </w:drawing>
      </w:r>
    </w:p>
    <w:p>
      <w:pPr>
        <w:pStyle w:val="BodyText"/>
        <w:rPr>
          <w:b/>
          <w:sz w:val="20"/>
        </w:rPr>
      </w:pPr>
    </w:p>
    <w:p>
      <w:pPr>
        <w:pStyle w:val="BodyText"/>
        <w:rPr>
          <w:b/>
          <w:sz w:val="20"/>
        </w:rPr>
      </w:pPr>
    </w:p>
    <w:p>
      <w:pPr>
        <w:pStyle w:val="BodyText"/>
        <w:spacing w:before="8"/>
        <w:rPr>
          <w:b/>
          <w:sz w:val="28"/>
        </w:rPr>
      </w:pPr>
      <w:r>
        <w:rPr/>
        <w:drawing>
          <wp:anchor distT="0" distB="0" distL="0" distR="0" allowOverlap="1" layoutInCell="1" locked="0" behindDoc="0" simplePos="0" relativeHeight="101">
            <wp:simplePos x="0" y="0"/>
            <wp:positionH relativeFrom="page">
              <wp:posOffset>2214038</wp:posOffset>
            </wp:positionH>
            <wp:positionV relativeFrom="paragraph">
              <wp:posOffset>234344</wp:posOffset>
            </wp:positionV>
            <wp:extent cx="3343181" cy="2651760"/>
            <wp:effectExtent l="0" t="0" r="0" b="0"/>
            <wp:wrapTopAndBottom/>
            <wp:docPr id="119" name="image85.jpeg"/>
            <wp:cNvGraphicFramePr>
              <a:graphicFrameLocks noChangeAspect="1"/>
            </wp:cNvGraphicFramePr>
            <a:graphic>
              <a:graphicData uri="http://schemas.openxmlformats.org/drawingml/2006/picture">
                <pic:pic>
                  <pic:nvPicPr>
                    <pic:cNvPr id="120" name="image85.jpeg"/>
                    <pic:cNvPicPr/>
                  </pic:nvPicPr>
                  <pic:blipFill>
                    <a:blip r:embed="rId137" cstate="print"/>
                    <a:stretch>
                      <a:fillRect/>
                    </a:stretch>
                  </pic:blipFill>
                  <pic:spPr>
                    <a:xfrm>
                      <a:off x="0" y="0"/>
                      <a:ext cx="3343181" cy="2651760"/>
                    </a:xfrm>
                    <a:prstGeom prst="rect">
                      <a:avLst/>
                    </a:prstGeom>
                  </pic:spPr>
                </pic:pic>
              </a:graphicData>
            </a:graphic>
          </wp:anchor>
        </w:drawing>
      </w:r>
    </w:p>
    <w:p>
      <w:pPr>
        <w:spacing w:after="0"/>
        <w:rPr>
          <w:sz w:val="28"/>
        </w:rPr>
        <w:sectPr>
          <w:pgSz w:w="12240" w:h="15840"/>
          <w:pgMar w:header="0" w:footer="982" w:top="1440" w:bottom="1260" w:left="400" w:right="180"/>
        </w:sectPr>
      </w:pPr>
    </w:p>
    <w:p>
      <w:pPr>
        <w:pStyle w:val="BodyText"/>
        <w:rPr>
          <w:b/>
          <w:sz w:val="20"/>
        </w:rPr>
      </w:pPr>
    </w:p>
    <w:p>
      <w:pPr>
        <w:pStyle w:val="BodyText"/>
        <w:spacing w:before="7"/>
        <w:rPr>
          <w:b/>
          <w:sz w:val="18"/>
        </w:rPr>
      </w:pPr>
    </w:p>
    <w:p>
      <w:pPr>
        <w:spacing w:before="0" w:after="6"/>
        <w:ind w:left="3289" w:right="0" w:firstLine="0"/>
        <w:jc w:val="left"/>
        <w:rPr>
          <w:b/>
          <w:sz w:val="12"/>
        </w:rPr>
      </w:pPr>
      <w:r>
        <w:rPr>
          <w:b/>
          <w:sz w:val="18"/>
        </w:rPr>
        <w:t>ANOVA BREUSCH PAGAN MODELO 5</w:t>
      </w:r>
      <w:r>
        <w:rPr>
          <w:b/>
          <w:position w:val="6"/>
          <w:sz w:val="12"/>
        </w:rPr>
        <w:t>a</w:t>
      </w:r>
    </w:p>
    <w:tbl>
      <w:tblPr>
        <w:tblW w:w="0" w:type="auto"/>
        <w:jc w:val="left"/>
        <w:tblInd w:w="10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4"/>
        <w:gridCol w:w="1487"/>
        <w:gridCol w:w="1485"/>
        <w:gridCol w:w="1009"/>
        <w:gridCol w:w="1485"/>
        <w:gridCol w:w="1008"/>
        <w:gridCol w:w="1004"/>
      </w:tblGrid>
      <w:tr>
        <w:trPr>
          <w:trHeight w:val="638" w:hRule="atLeast"/>
        </w:trPr>
        <w:tc>
          <w:tcPr>
            <w:tcW w:w="1921" w:type="dxa"/>
            <w:gridSpan w:val="2"/>
          </w:tcPr>
          <w:p>
            <w:pPr>
              <w:pStyle w:val="TableParagraph"/>
              <w:spacing w:line="240" w:lineRule="auto" w:before="110"/>
              <w:ind w:left="25"/>
              <w:jc w:val="left"/>
              <w:rPr>
                <w:sz w:val="18"/>
              </w:rPr>
            </w:pPr>
            <w:r>
              <w:rPr>
                <w:sz w:val="18"/>
              </w:rPr>
              <w:t>Modelo</w:t>
            </w:r>
          </w:p>
        </w:tc>
        <w:tc>
          <w:tcPr>
            <w:tcW w:w="1485" w:type="dxa"/>
            <w:tcBorders>
              <w:right w:val="single" w:sz="8" w:space="0" w:color="000000"/>
            </w:tcBorders>
          </w:tcPr>
          <w:p>
            <w:pPr>
              <w:pStyle w:val="TableParagraph"/>
              <w:spacing w:line="320" w:lineRule="exact" w:before="23"/>
              <w:ind w:left="296" w:right="295" w:firstLine="56"/>
              <w:jc w:val="left"/>
              <w:rPr>
                <w:sz w:val="18"/>
              </w:rPr>
            </w:pPr>
            <w:r>
              <w:rPr>
                <w:sz w:val="18"/>
              </w:rPr>
              <w:t>Suma de cuadrados</w:t>
            </w:r>
          </w:p>
        </w:tc>
        <w:tc>
          <w:tcPr>
            <w:tcW w:w="1009" w:type="dxa"/>
            <w:tcBorders>
              <w:left w:val="single" w:sz="8" w:space="0" w:color="000000"/>
              <w:right w:val="single" w:sz="8" w:space="0" w:color="000000"/>
            </w:tcBorders>
          </w:tcPr>
          <w:p>
            <w:pPr>
              <w:pStyle w:val="TableParagraph"/>
              <w:spacing w:line="240" w:lineRule="auto" w:before="110"/>
              <w:ind w:left="393" w:right="414"/>
              <w:jc w:val="center"/>
              <w:rPr>
                <w:sz w:val="18"/>
              </w:rPr>
            </w:pPr>
            <w:r>
              <w:rPr>
                <w:sz w:val="18"/>
              </w:rPr>
              <w:t>gl</w:t>
            </w:r>
          </w:p>
        </w:tc>
        <w:tc>
          <w:tcPr>
            <w:tcW w:w="1485" w:type="dxa"/>
            <w:tcBorders>
              <w:left w:val="single" w:sz="8" w:space="0" w:color="000000"/>
              <w:right w:val="single" w:sz="8" w:space="0" w:color="000000"/>
            </w:tcBorders>
          </w:tcPr>
          <w:p>
            <w:pPr>
              <w:pStyle w:val="TableParagraph"/>
              <w:spacing w:line="240" w:lineRule="auto" w:before="110"/>
              <w:ind w:right="51"/>
              <w:rPr>
                <w:sz w:val="18"/>
              </w:rPr>
            </w:pPr>
            <w:r>
              <w:rPr>
                <w:sz w:val="18"/>
              </w:rPr>
              <w:t>Media cuadrática</w:t>
            </w:r>
          </w:p>
        </w:tc>
        <w:tc>
          <w:tcPr>
            <w:tcW w:w="1008" w:type="dxa"/>
            <w:tcBorders>
              <w:left w:val="single" w:sz="8" w:space="0" w:color="000000"/>
              <w:right w:val="single" w:sz="8" w:space="0" w:color="000000"/>
            </w:tcBorders>
          </w:tcPr>
          <w:p>
            <w:pPr>
              <w:pStyle w:val="TableParagraph"/>
              <w:spacing w:line="240" w:lineRule="auto" w:before="110"/>
              <w:ind w:right="11"/>
              <w:jc w:val="center"/>
              <w:rPr>
                <w:sz w:val="18"/>
              </w:rPr>
            </w:pPr>
            <w:r>
              <w:rPr>
                <w:w w:val="100"/>
                <w:sz w:val="18"/>
              </w:rPr>
              <w:t>F</w:t>
            </w:r>
          </w:p>
        </w:tc>
        <w:tc>
          <w:tcPr>
            <w:tcW w:w="1004" w:type="dxa"/>
            <w:tcBorders>
              <w:left w:val="single" w:sz="8" w:space="0" w:color="000000"/>
            </w:tcBorders>
          </w:tcPr>
          <w:p>
            <w:pPr>
              <w:pStyle w:val="TableParagraph"/>
              <w:spacing w:line="240" w:lineRule="auto" w:before="110"/>
              <w:ind w:left="320"/>
              <w:jc w:val="left"/>
              <w:rPr>
                <w:sz w:val="18"/>
              </w:rPr>
            </w:pPr>
            <w:r>
              <w:rPr>
                <w:sz w:val="18"/>
              </w:rPr>
              <w:t>Sig.</w:t>
            </w:r>
          </w:p>
        </w:tc>
      </w:tr>
      <w:tr>
        <w:trPr>
          <w:trHeight w:val="357" w:hRule="atLeast"/>
        </w:trPr>
        <w:tc>
          <w:tcPr>
            <w:tcW w:w="434" w:type="dxa"/>
            <w:tcBorders>
              <w:bottom w:val="nil"/>
              <w:right w:val="nil"/>
            </w:tcBorders>
          </w:tcPr>
          <w:p>
            <w:pPr>
              <w:pStyle w:val="TableParagraph"/>
              <w:spacing w:line="240" w:lineRule="auto" w:before="0"/>
              <w:jc w:val="left"/>
              <w:rPr>
                <w:rFonts w:ascii="Times New Roman"/>
                <w:sz w:val="16"/>
              </w:rPr>
            </w:pPr>
          </w:p>
        </w:tc>
        <w:tc>
          <w:tcPr>
            <w:tcW w:w="1487" w:type="dxa"/>
            <w:tcBorders>
              <w:left w:val="nil"/>
              <w:bottom w:val="nil"/>
            </w:tcBorders>
          </w:tcPr>
          <w:p>
            <w:pPr>
              <w:pStyle w:val="TableParagraph"/>
              <w:spacing w:line="240" w:lineRule="auto"/>
              <w:ind w:left="329"/>
              <w:jc w:val="left"/>
              <w:rPr>
                <w:sz w:val="18"/>
              </w:rPr>
            </w:pPr>
            <w:r>
              <w:rPr>
                <w:sz w:val="18"/>
              </w:rPr>
              <w:t>Regresión</w:t>
            </w:r>
          </w:p>
        </w:tc>
        <w:tc>
          <w:tcPr>
            <w:tcW w:w="1485" w:type="dxa"/>
            <w:tcBorders>
              <w:bottom w:val="nil"/>
              <w:right w:val="single" w:sz="8" w:space="0" w:color="000000"/>
            </w:tcBorders>
          </w:tcPr>
          <w:p>
            <w:pPr>
              <w:pStyle w:val="TableParagraph"/>
              <w:spacing w:line="240" w:lineRule="auto"/>
              <w:ind w:right="36"/>
              <w:rPr>
                <w:sz w:val="18"/>
              </w:rPr>
            </w:pPr>
            <w:r>
              <w:rPr>
                <w:sz w:val="18"/>
              </w:rPr>
              <w:t>1.756</w:t>
            </w:r>
          </w:p>
        </w:tc>
        <w:tc>
          <w:tcPr>
            <w:tcW w:w="1009" w:type="dxa"/>
            <w:tcBorders>
              <w:left w:val="single" w:sz="8" w:space="0" w:color="000000"/>
              <w:bottom w:val="nil"/>
              <w:right w:val="single" w:sz="8" w:space="0" w:color="000000"/>
            </w:tcBorders>
          </w:tcPr>
          <w:p>
            <w:pPr>
              <w:pStyle w:val="TableParagraph"/>
              <w:spacing w:line="240" w:lineRule="auto"/>
              <w:ind w:right="37"/>
              <w:rPr>
                <w:sz w:val="18"/>
              </w:rPr>
            </w:pPr>
            <w:r>
              <w:rPr>
                <w:w w:val="99"/>
                <w:sz w:val="18"/>
              </w:rPr>
              <w:t>9</w:t>
            </w:r>
          </w:p>
        </w:tc>
        <w:tc>
          <w:tcPr>
            <w:tcW w:w="1485" w:type="dxa"/>
            <w:tcBorders>
              <w:left w:val="single" w:sz="8" w:space="0" w:color="000000"/>
              <w:bottom w:val="nil"/>
              <w:right w:val="single" w:sz="8" w:space="0" w:color="000000"/>
            </w:tcBorders>
          </w:tcPr>
          <w:p>
            <w:pPr>
              <w:pStyle w:val="TableParagraph"/>
              <w:spacing w:line="240" w:lineRule="auto"/>
              <w:ind w:right="34"/>
              <w:rPr>
                <w:sz w:val="18"/>
              </w:rPr>
            </w:pPr>
            <w:r>
              <w:rPr>
                <w:sz w:val="18"/>
              </w:rPr>
              <w:t>.195</w:t>
            </w:r>
          </w:p>
        </w:tc>
        <w:tc>
          <w:tcPr>
            <w:tcW w:w="1008" w:type="dxa"/>
            <w:vMerge w:val="restart"/>
            <w:tcBorders>
              <w:left w:val="single" w:sz="8" w:space="0" w:color="000000"/>
              <w:right w:val="single" w:sz="8" w:space="0" w:color="000000"/>
            </w:tcBorders>
          </w:tcPr>
          <w:p>
            <w:pPr>
              <w:pStyle w:val="TableParagraph"/>
              <w:spacing w:line="240" w:lineRule="auto"/>
              <w:ind w:left="500"/>
              <w:jc w:val="left"/>
              <w:rPr>
                <w:sz w:val="18"/>
              </w:rPr>
            </w:pPr>
            <w:r>
              <w:rPr>
                <w:sz w:val="18"/>
              </w:rPr>
              <w:t>3.886</w:t>
            </w:r>
          </w:p>
        </w:tc>
        <w:tc>
          <w:tcPr>
            <w:tcW w:w="1004" w:type="dxa"/>
            <w:vMerge w:val="restart"/>
            <w:tcBorders>
              <w:left w:val="single" w:sz="8" w:space="0" w:color="000000"/>
            </w:tcBorders>
          </w:tcPr>
          <w:p>
            <w:pPr>
              <w:pStyle w:val="TableParagraph"/>
              <w:spacing w:line="240" w:lineRule="auto"/>
              <w:ind w:left="516"/>
              <w:jc w:val="left"/>
              <w:rPr>
                <w:sz w:val="12"/>
              </w:rPr>
            </w:pPr>
            <w:r>
              <w:rPr>
                <w:sz w:val="18"/>
              </w:rPr>
              <w:t>.000</w:t>
            </w:r>
            <w:r>
              <w:rPr>
                <w:position w:val="5"/>
                <w:sz w:val="12"/>
              </w:rPr>
              <w:t>b</w:t>
            </w:r>
          </w:p>
        </w:tc>
      </w:tr>
      <w:tr>
        <w:trPr>
          <w:trHeight w:val="319" w:hRule="atLeast"/>
        </w:trPr>
        <w:tc>
          <w:tcPr>
            <w:tcW w:w="434" w:type="dxa"/>
            <w:tcBorders>
              <w:top w:val="nil"/>
              <w:bottom w:val="nil"/>
              <w:right w:val="nil"/>
            </w:tcBorders>
          </w:tcPr>
          <w:p>
            <w:pPr>
              <w:pStyle w:val="TableParagraph"/>
              <w:spacing w:line="240" w:lineRule="auto" w:before="53"/>
              <w:ind w:left="25"/>
              <w:jc w:val="left"/>
              <w:rPr>
                <w:sz w:val="18"/>
              </w:rPr>
            </w:pPr>
            <w:r>
              <w:rPr>
                <w:w w:val="99"/>
                <w:sz w:val="18"/>
              </w:rPr>
              <w:t>5</w:t>
            </w:r>
          </w:p>
        </w:tc>
        <w:tc>
          <w:tcPr>
            <w:tcW w:w="1487" w:type="dxa"/>
            <w:tcBorders>
              <w:top w:val="nil"/>
              <w:left w:val="nil"/>
              <w:bottom w:val="nil"/>
            </w:tcBorders>
          </w:tcPr>
          <w:p>
            <w:pPr>
              <w:pStyle w:val="TableParagraph"/>
              <w:spacing w:line="240" w:lineRule="auto" w:before="53"/>
              <w:ind w:left="329"/>
              <w:jc w:val="left"/>
              <w:rPr>
                <w:sz w:val="18"/>
              </w:rPr>
            </w:pPr>
            <w:r>
              <w:rPr>
                <w:sz w:val="18"/>
              </w:rPr>
              <w:t>Residual</w:t>
            </w:r>
          </w:p>
        </w:tc>
        <w:tc>
          <w:tcPr>
            <w:tcW w:w="1485" w:type="dxa"/>
            <w:tcBorders>
              <w:top w:val="nil"/>
              <w:bottom w:val="nil"/>
              <w:right w:val="single" w:sz="8" w:space="0" w:color="000000"/>
            </w:tcBorders>
          </w:tcPr>
          <w:p>
            <w:pPr>
              <w:pStyle w:val="TableParagraph"/>
              <w:spacing w:line="240" w:lineRule="auto" w:before="53"/>
              <w:ind w:right="36"/>
              <w:rPr>
                <w:sz w:val="18"/>
              </w:rPr>
            </w:pPr>
            <w:r>
              <w:rPr>
                <w:sz w:val="18"/>
              </w:rPr>
              <w:t>14.613</w:t>
            </w:r>
          </w:p>
        </w:tc>
        <w:tc>
          <w:tcPr>
            <w:tcW w:w="1009" w:type="dxa"/>
            <w:tcBorders>
              <w:top w:val="nil"/>
              <w:left w:val="single" w:sz="8" w:space="0" w:color="000000"/>
              <w:bottom w:val="nil"/>
              <w:right w:val="single" w:sz="8" w:space="0" w:color="000000"/>
            </w:tcBorders>
          </w:tcPr>
          <w:p>
            <w:pPr>
              <w:pStyle w:val="TableParagraph"/>
              <w:spacing w:line="240" w:lineRule="auto" w:before="53"/>
              <w:ind w:right="37"/>
              <w:rPr>
                <w:sz w:val="18"/>
              </w:rPr>
            </w:pPr>
            <w:r>
              <w:rPr>
                <w:w w:val="95"/>
                <w:sz w:val="18"/>
              </w:rPr>
              <w:t>291</w:t>
            </w:r>
          </w:p>
        </w:tc>
        <w:tc>
          <w:tcPr>
            <w:tcW w:w="1485" w:type="dxa"/>
            <w:tcBorders>
              <w:top w:val="nil"/>
              <w:left w:val="single" w:sz="8" w:space="0" w:color="000000"/>
              <w:bottom w:val="nil"/>
              <w:right w:val="single" w:sz="8" w:space="0" w:color="000000"/>
            </w:tcBorders>
          </w:tcPr>
          <w:p>
            <w:pPr>
              <w:pStyle w:val="TableParagraph"/>
              <w:spacing w:line="240" w:lineRule="auto" w:before="53"/>
              <w:ind w:right="34"/>
              <w:rPr>
                <w:sz w:val="18"/>
              </w:rPr>
            </w:pPr>
            <w:r>
              <w:rPr>
                <w:sz w:val="18"/>
              </w:rPr>
              <w:t>.050</w:t>
            </w:r>
          </w:p>
        </w:tc>
        <w:tc>
          <w:tcPr>
            <w:tcW w:w="1008" w:type="dxa"/>
            <w:vMerge/>
            <w:tcBorders>
              <w:top w:val="nil"/>
              <w:left w:val="single" w:sz="8" w:space="0" w:color="000000"/>
              <w:right w:val="single" w:sz="8" w:space="0" w:color="000000"/>
            </w:tcBorders>
          </w:tcPr>
          <w:p>
            <w:pPr>
              <w:rPr>
                <w:sz w:val="2"/>
                <w:szCs w:val="2"/>
              </w:rPr>
            </w:pPr>
          </w:p>
        </w:tc>
        <w:tc>
          <w:tcPr>
            <w:tcW w:w="1004" w:type="dxa"/>
            <w:vMerge/>
            <w:tcBorders>
              <w:top w:val="nil"/>
              <w:left w:val="single" w:sz="8" w:space="0" w:color="000000"/>
            </w:tcBorders>
          </w:tcPr>
          <w:p>
            <w:pPr>
              <w:rPr>
                <w:sz w:val="2"/>
                <w:szCs w:val="2"/>
              </w:rPr>
            </w:pPr>
          </w:p>
        </w:tc>
      </w:tr>
      <w:tr>
        <w:trPr>
          <w:trHeight w:val="261" w:hRule="atLeast"/>
        </w:trPr>
        <w:tc>
          <w:tcPr>
            <w:tcW w:w="434" w:type="dxa"/>
            <w:tcBorders>
              <w:top w:val="nil"/>
              <w:right w:val="nil"/>
            </w:tcBorders>
          </w:tcPr>
          <w:p>
            <w:pPr>
              <w:pStyle w:val="TableParagraph"/>
              <w:spacing w:line="240" w:lineRule="auto" w:before="0"/>
              <w:jc w:val="left"/>
              <w:rPr>
                <w:rFonts w:ascii="Times New Roman"/>
                <w:sz w:val="16"/>
              </w:rPr>
            </w:pPr>
          </w:p>
        </w:tc>
        <w:tc>
          <w:tcPr>
            <w:tcW w:w="1487" w:type="dxa"/>
            <w:tcBorders>
              <w:top w:val="nil"/>
              <w:left w:val="nil"/>
            </w:tcBorders>
          </w:tcPr>
          <w:p>
            <w:pPr>
              <w:pStyle w:val="TableParagraph"/>
              <w:spacing w:line="188" w:lineRule="exact" w:before="53"/>
              <w:ind w:left="329"/>
              <w:jc w:val="left"/>
              <w:rPr>
                <w:sz w:val="18"/>
              </w:rPr>
            </w:pPr>
            <w:r>
              <w:rPr>
                <w:sz w:val="18"/>
              </w:rPr>
              <w:t>Total</w:t>
            </w:r>
          </w:p>
        </w:tc>
        <w:tc>
          <w:tcPr>
            <w:tcW w:w="1485" w:type="dxa"/>
            <w:tcBorders>
              <w:top w:val="nil"/>
              <w:right w:val="single" w:sz="8" w:space="0" w:color="000000"/>
            </w:tcBorders>
          </w:tcPr>
          <w:p>
            <w:pPr>
              <w:pStyle w:val="TableParagraph"/>
              <w:spacing w:line="188" w:lineRule="exact" w:before="53"/>
              <w:ind w:right="36"/>
              <w:rPr>
                <w:sz w:val="18"/>
              </w:rPr>
            </w:pPr>
            <w:r>
              <w:rPr>
                <w:sz w:val="18"/>
              </w:rPr>
              <w:t>16.369</w:t>
            </w:r>
          </w:p>
        </w:tc>
        <w:tc>
          <w:tcPr>
            <w:tcW w:w="1009" w:type="dxa"/>
            <w:tcBorders>
              <w:top w:val="nil"/>
              <w:left w:val="single" w:sz="8" w:space="0" w:color="000000"/>
              <w:right w:val="single" w:sz="8" w:space="0" w:color="000000"/>
            </w:tcBorders>
          </w:tcPr>
          <w:p>
            <w:pPr>
              <w:pStyle w:val="TableParagraph"/>
              <w:spacing w:line="188" w:lineRule="exact" w:before="53"/>
              <w:ind w:right="37"/>
              <w:rPr>
                <w:sz w:val="18"/>
              </w:rPr>
            </w:pPr>
            <w:r>
              <w:rPr>
                <w:w w:val="95"/>
                <w:sz w:val="18"/>
              </w:rPr>
              <w:t>300</w:t>
            </w:r>
          </w:p>
        </w:tc>
        <w:tc>
          <w:tcPr>
            <w:tcW w:w="1485" w:type="dxa"/>
            <w:tcBorders>
              <w:top w:val="nil"/>
              <w:left w:val="single" w:sz="8" w:space="0" w:color="000000"/>
              <w:right w:val="single" w:sz="8" w:space="0" w:color="000000"/>
            </w:tcBorders>
          </w:tcPr>
          <w:p>
            <w:pPr>
              <w:pStyle w:val="TableParagraph"/>
              <w:spacing w:line="240" w:lineRule="auto" w:before="0"/>
              <w:jc w:val="left"/>
              <w:rPr>
                <w:rFonts w:ascii="Times New Roman"/>
                <w:sz w:val="16"/>
              </w:rPr>
            </w:pPr>
          </w:p>
        </w:tc>
        <w:tc>
          <w:tcPr>
            <w:tcW w:w="1008" w:type="dxa"/>
            <w:vMerge/>
            <w:tcBorders>
              <w:top w:val="nil"/>
              <w:left w:val="single" w:sz="8" w:space="0" w:color="000000"/>
              <w:right w:val="single" w:sz="8" w:space="0" w:color="000000"/>
            </w:tcBorders>
          </w:tcPr>
          <w:p>
            <w:pPr>
              <w:rPr>
                <w:sz w:val="2"/>
                <w:szCs w:val="2"/>
              </w:rPr>
            </w:pPr>
          </w:p>
        </w:tc>
        <w:tc>
          <w:tcPr>
            <w:tcW w:w="1004" w:type="dxa"/>
            <w:vMerge/>
            <w:tcBorders>
              <w:top w:val="nil"/>
              <w:left w:val="single" w:sz="8" w:space="0" w:color="000000"/>
            </w:tcBorders>
          </w:tcPr>
          <w:p>
            <w:pPr>
              <w:rPr>
                <w:sz w:val="2"/>
                <w:szCs w:val="2"/>
              </w:rPr>
            </w:pPr>
          </w:p>
        </w:tc>
      </w:tr>
    </w:tbl>
    <w:p>
      <w:pPr>
        <w:pStyle w:val="BodyText"/>
        <w:rPr>
          <w:b/>
          <w:sz w:val="20"/>
        </w:rPr>
      </w:pPr>
    </w:p>
    <w:p>
      <w:pPr>
        <w:pStyle w:val="ListParagraph"/>
        <w:numPr>
          <w:ilvl w:val="0"/>
          <w:numId w:val="43"/>
        </w:numPr>
        <w:tabs>
          <w:tab w:pos="1245" w:val="left" w:leader="none"/>
        </w:tabs>
        <w:spacing w:line="240" w:lineRule="auto" w:before="157" w:after="0"/>
        <w:ind w:left="1244" w:right="0" w:hanging="205"/>
        <w:jc w:val="left"/>
        <w:rPr>
          <w:sz w:val="18"/>
        </w:rPr>
      </w:pPr>
      <w:r>
        <w:rPr>
          <w:sz w:val="18"/>
        </w:rPr>
        <w:t>Variable dependiente:</w:t>
      </w:r>
      <w:r>
        <w:rPr>
          <w:spacing w:val="-1"/>
          <w:sz w:val="18"/>
        </w:rPr>
        <w:t> </w:t>
      </w:r>
      <w:r>
        <w:rPr>
          <w:sz w:val="18"/>
        </w:rPr>
        <w:t>RES_52</w:t>
      </w:r>
    </w:p>
    <w:p>
      <w:pPr>
        <w:pStyle w:val="ListParagraph"/>
        <w:numPr>
          <w:ilvl w:val="0"/>
          <w:numId w:val="43"/>
        </w:numPr>
        <w:tabs>
          <w:tab w:pos="1245" w:val="left" w:leader="none"/>
        </w:tabs>
        <w:spacing w:line="372" w:lineRule="auto" w:before="113" w:after="0"/>
        <w:ind w:left="1040" w:right="3846" w:firstLine="0"/>
        <w:jc w:val="left"/>
        <w:rPr>
          <w:sz w:val="18"/>
        </w:rPr>
      </w:pPr>
      <w:r>
        <w:rPr>
          <w:sz w:val="18"/>
        </w:rPr>
        <w:t>Variables predictoras: (Constante), VistaalaCarpintera, LnNúmeroHabitaciones, ZonadeRiesgodedesastre, LnDistanciaSJ, LnNúmerodePlantas,</w:t>
      </w:r>
      <w:r>
        <w:rPr>
          <w:spacing w:val="-20"/>
          <w:sz w:val="18"/>
        </w:rPr>
        <w:t> </w:t>
      </w:r>
      <w:r>
        <w:rPr>
          <w:sz w:val="18"/>
        </w:rPr>
        <w:t>LnAñoConstruccion, LnDistanciaPobreza, Tipo1casa0Condo,</w:t>
      </w:r>
      <w:r>
        <w:rPr>
          <w:spacing w:val="1"/>
          <w:sz w:val="18"/>
        </w:rPr>
        <w:t> </w:t>
      </w:r>
      <w:r>
        <w:rPr>
          <w:sz w:val="18"/>
        </w:rPr>
        <w:t>LnNúmerodeBaños</w:t>
      </w:r>
    </w:p>
    <w:p>
      <w:pPr>
        <w:pStyle w:val="BodyText"/>
        <w:spacing w:before="11"/>
        <w:rPr>
          <w:sz w:val="26"/>
        </w:rPr>
      </w:pPr>
    </w:p>
    <w:p>
      <w:pPr>
        <w:spacing w:before="0" w:after="6"/>
        <w:ind w:left="3297" w:right="0" w:firstLine="0"/>
        <w:jc w:val="left"/>
        <w:rPr>
          <w:b/>
          <w:sz w:val="12"/>
        </w:rPr>
      </w:pPr>
      <w:r>
        <w:rPr>
          <w:b/>
          <w:sz w:val="18"/>
        </w:rPr>
        <w:t>ANOVA ABRIDGED WHITE MODELO 5</w:t>
      </w:r>
      <w:r>
        <w:rPr>
          <w:b/>
          <w:position w:val="6"/>
          <w:sz w:val="12"/>
        </w:rPr>
        <w:t>a</w:t>
      </w:r>
    </w:p>
    <w:tbl>
      <w:tblPr>
        <w:tblW w:w="0" w:type="auto"/>
        <w:jc w:val="left"/>
        <w:tblInd w:w="10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4"/>
        <w:gridCol w:w="1483"/>
        <w:gridCol w:w="1489"/>
        <w:gridCol w:w="993"/>
        <w:gridCol w:w="1485"/>
        <w:gridCol w:w="993"/>
        <w:gridCol w:w="993"/>
      </w:tblGrid>
      <w:tr>
        <w:trPr>
          <w:trHeight w:val="639" w:hRule="atLeast"/>
        </w:trPr>
        <w:tc>
          <w:tcPr>
            <w:tcW w:w="1917" w:type="dxa"/>
            <w:gridSpan w:val="2"/>
          </w:tcPr>
          <w:p>
            <w:pPr>
              <w:pStyle w:val="TableParagraph"/>
              <w:spacing w:line="240" w:lineRule="auto" w:before="110"/>
              <w:ind w:left="25"/>
              <w:jc w:val="left"/>
              <w:rPr>
                <w:sz w:val="18"/>
              </w:rPr>
            </w:pPr>
            <w:r>
              <w:rPr>
                <w:sz w:val="18"/>
              </w:rPr>
              <w:t>Modelo</w:t>
            </w:r>
          </w:p>
        </w:tc>
        <w:tc>
          <w:tcPr>
            <w:tcW w:w="1489" w:type="dxa"/>
            <w:tcBorders>
              <w:right w:val="single" w:sz="8" w:space="0" w:color="000000"/>
            </w:tcBorders>
          </w:tcPr>
          <w:p>
            <w:pPr>
              <w:pStyle w:val="TableParagraph"/>
              <w:spacing w:line="320" w:lineRule="exact" w:before="23"/>
              <w:ind w:left="300" w:right="295" w:firstLine="56"/>
              <w:jc w:val="left"/>
              <w:rPr>
                <w:sz w:val="18"/>
              </w:rPr>
            </w:pPr>
            <w:r>
              <w:rPr>
                <w:sz w:val="18"/>
              </w:rPr>
              <w:t>Suma de cuadrados</w:t>
            </w:r>
          </w:p>
        </w:tc>
        <w:tc>
          <w:tcPr>
            <w:tcW w:w="993" w:type="dxa"/>
            <w:tcBorders>
              <w:left w:val="single" w:sz="8" w:space="0" w:color="000000"/>
              <w:right w:val="single" w:sz="8" w:space="0" w:color="000000"/>
            </w:tcBorders>
          </w:tcPr>
          <w:p>
            <w:pPr>
              <w:pStyle w:val="TableParagraph"/>
              <w:spacing w:line="240" w:lineRule="auto" w:before="110"/>
              <w:ind w:left="386" w:right="406"/>
              <w:jc w:val="center"/>
              <w:rPr>
                <w:sz w:val="18"/>
              </w:rPr>
            </w:pPr>
            <w:r>
              <w:rPr>
                <w:sz w:val="18"/>
              </w:rPr>
              <w:t>gl</w:t>
            </w:r>
          </w:p>
        </w:tc>
        <w:tc>
          <w:tcPr>
            <w:tcW w:w="1485" w:type="dxa"/>
            <w:tcBorders>
              <w:left w:val="single" w:sz="8" w:space="0" w:color="000000"/>
              <w:right w:val="single" w:sz="8" w:space="0" w:color="000000"/>
            </w:tcBorders>
          </w:tcPr>
          <w:p>
            <w:pPr>
              <w:pStyle w:val="TableParagraph"/>
              <w:spacing w:line="240" w:lineRule="auto" w:before="110"/>
              <w:ind w:right="51"/>
              <w:rPr>
                <w:sz w:val="18"/>
              </w:rPr>
            </w:pPr>
            <w:r>
              <w:rPr>
                <w:sz w:val="18"/>
              </w:rPr>
              <w:t>Media cuadrática</w:t>
            </w:r>
          </w:p>
        </w:tc>
        <w:tc>
          <w:tcPr>
            <w:tcW w:w="993" w:type="dxa"/>
            <w:tcBorders>
              <w:left w:val="single" w:sz="8" w:space="0" w:color="000000"/>
              <w:right w:val="single" w:sz="8" w:space="0" w:color="000000"/>
            </w:tcBorders>
          </w:tcPr>
          <w:p>
            <w:pPr>
              <w:pStyle w:val="TableParagraph"/>
              <w:spacing w:line="240" w:lineRule="auto" w:before="110"/>
              <w:ind w:right="12"/>
              <w:jc w:val="center"/>
              <w:rPr>
                <w:sz w:val="18"/>
              </w:rPr>
            </w:pPr>
            <w:r>
              <w:rPr>
                <w:w w:val="100"/>
                <w:sz w:val="18"/>
              </w:rPr>
              <w:t>F</w:t>
            </w:r>
          </w:p>
        </w:tc>
        <w:tc>
          <w:tcPr>
            <w:tcW w:w="993" w:type="dxa"/>
            <w:tcBorders>
              <w:left w:val="single" w:sz="8" w:space="0" w:color="000000"/>
            </w:tcBorders>
          </w:tcPr>
          <w:p>
            <w:pPr>
              <w:pStyle w:val="TableParagraph"/>
              <w:spacing w:line="240" w:lineRule="auto" w:before="110"/>
              <w:ind w:left="311"/>
              <w:jc w:val="left"/>
              <w:rPr>
                <w:sz w:val="18"/>
              </w:rPr>
            </w:pPr>
            <w:r>
              <w:rPr>
                <w:sz w:val="18"/>
              </w:rPr>
              <w:t>Sig.</w:t>
            </w:r>
          </w:p>
        </w:tc>
      </w:tr>
      <w:tr>
        <w:trPr>
          <w:trHeight w:val="356" w:hRule="atLeast"/>
        </w:trPr>
        <w:tc>
          <w:tcPr>
            <w:tcW w:w="434" w:type="dxa"/>
            <w:tcBorders>
              <w:bottom w:val="nil"/>
              <w:right w:val="nil"/>
            </w:tcBorders>
          </w:tcPr>
          <w:p>
            <w:pPr>
              <w:pStyle w:val="TableParagraph"/>
              <w:spacing w:line="240" w:lineRule="auto" w:before="0"/>
              <w:jc w:val="left"/>
              <w:rPr>
                <w:rFonts w:ascii="Times New Roman"/>
                <w:sz w:val="16"/>
              </w:rPr>
            </w:pPr>
          </w:p>
        </w:tc>
        <w:tc>
          <w:tcPr>
            <w:tcW w:w="1483" w:type="dxa"/>
            <w:tcBorders>
              <w:left w:val="nil"/>
              <w:bottom w:val="nil"/>
            </w:tcBorders>
          </w:tcPr>
          <w:p>
            <w:pPr>
              <w:pStyle w:val="TableParagraph"/>
              <w:spacing w:line="240" w:lineRule="auto"/>
              <w:ind w:left="329"/>
              <w:jc w:val="left"/>
              <w:rPr>
                <w:sz w:val="18"/>
              </w:rPr>
            </w:pPr>
            <w:r>
              <w:rPr>
                <w:sz w:val="18"/>
              </w:rPr>
              <w:t>Regresión</w:t>
            </w:r>
          </w:p>
        </w:tc>
        <w:tc>
          <w:tcPr>
            <w:tcW w:w="1489" w:type="dxa"/>
            <w:tcBorders>
              <w:bottom w:val="nil"/>
              <w:right w:val="single" w:sz="8" w:space="0" w:color="000000"/>
            </w:tcBorders>
          </w:tcPr>
          <w:p>
            <w:pPr>
              <w:pStyle w:val="TableParagraph"/>
              <w:spacing w:line="240" w:lineRule="auto"/>
              <w:ind w:right="36"/>
              <w:rPr>
                <w:sz w:val="18"/>
              </w:rPr>
            </w:pPr>
            <w:r>
              <w:rPr>
                <w:sz w:val="18"/>
              </w:rPr>
              <w:t>.853</w:t>
            </w:r>
          </w:p>
        </w:tc>
        <w:tc>
          <w:tcPr>
            <w:tcW w:w="993" w:type="dxa"/>
            <w:tcBorders>
              <w:left w:val="single" w:sz="8" w:space="0" w:color="000000"/>
              <w:bottom w:val="nil"/>
              <w:right w:val="single" w:sz="8" w:space="0" w:color="000000"/>
            </w:tcBorders>
          </w:tcPr>
          <w:p>
            <w:pPr>
              <w:pStyle w:val="TableParagraph"/>
              <w:spacing w:line="240" w:lineRule="auto"/>
              <w:ind w:right="37"/>
              <w:rPr>
                <w:sz w:val="18"/>
              </w:rPr>
            </w:pPr>
            <w:r>
              <w:rPr>
                <w:w w:val="99"/>
                <w:sz w:val="18"/>
              </w:rPr>
              <w:t>2</w:t>
            </w:r>
          </w:p>
        </w:tc>
        <w:tc>
          <w:tcPr>
            <w:tcW w:w="1485" w:type="dxa"/>
            <w:tcBorders>
              <w:left w:val="single" w:sz="8" w:space="0" w:color="000000"/>
              <w:bottom w:val="nil"/>
              <w:right w:val="single" w:sz="8" w:space="0" w:color="000000"/>
            </w:tcBorders>
          </w:tcPr>
          <w:p>
            <w:pPr>
              <w:pStyle w:val="TableParagraph"/>
              <w:spacing w:line="240" w:lineRule="auto"/>
              <w:ind w:right="34"/>
              <w:rPr>
                <w:sz w:val="18"/>
              </w:rPr>
            </w:pPr>
            <w:r>
              <w:rPr>
                <w:sz w:val="18"/>
              </w:rPr>
              <w:t>.426</w:t>
            </w:r>
          </w:p>
        </w:tc>
        <w:tc>
          <w:tcPr>
            <w:tcW w:w="993" w:type="dxa"/>
            <w:vMerge w:val="restart"/>
            <w:tcBorders>
              <w:left w:val="single" w:sz="8" w:space="0" w:color="000000"/>
              <w:right w:val="single" w:sz="8" w:space="0" w:color="000000"/>
            </w:tcBorders>
          </w:tcPr>
          <w:p>
            <w:pPr>
              <w:pStyle w:val="TableParagraph"/>
              <w:spacing w:line="240" w:lineRule="auto"/>
              <w:ind w:left="483"/>
              <w:jc w:val="left"/>
              <w:rPr>
                <w:sz w:val="18"/>
              </w:rPr>
            </w:pPr>
            <w:r>
              <w:rPr>
                <w:sz w:val="18"/>
              </w:rPr>
              <w:t>8.190</w:t>
            </w:r>
          </w:p>
        </w:tc>
        <w:tc>
          <w:tcPr>
            <w:tcW w:w="993" w:type="dxa"/>
            <w:vMerge w:val="restart"/>
            <w:tcBorders>
              <w:left w:val="single" w:sz="8" w:space="0" w:color="000000"/>
            </w:tcBorders>
          </w:tcPr>
          <w:p>
            <w:pPr>
              <w:pStyle w:val="TableParagraph"/>
              <w:spacing w:line="240" w:lineRule="auto"/>
              <w:ind w:left="503"/>
              <w:jc w:val="left"/>
              <w:rPr>
                <w:sz w:val="12"/>
              </w:rPr>
            </w:pPr>
            <w:r>
              <w:rPr>
                <w:sz w:val="18"/>
              </w:rPr>
              <w:t>.000</w:t>
            </w:r>
            <w:r>
              <w:rPr>
                <w:position w:val="5"/>
                <w:sz w:val="12"/>
              </w:rPr>
              <w:t>b</w:t>
            </w:r>
          </w:p>
        </w:tc>
      </w:tr>
      <w:tr>
        <w:trPr>
          <w:trHeight w:val="319" w:hRule="atLeast"/>
        </w:trPr>
        <w:tc>
          <w:tcPr>
            <w:tcW w:w="434" w:type="dxa"/>
            <w:tcBorders>
              <w:top w:val="nil"/>
              <w:bottom w:val="nil"/>
              <w:right w:val="nil"/>
            </w:tcBorders>
          </w:tcPr>
          <w:p>
            <w:pPr>
              <w:pStyle w:val="TableParagraph"/>
              <w:spacing w:line="240" w:lineRule="auto" w:before="53"/>
              <w:ind w:left="25"/>
              <w:jc w:val="left"/>
              <w:rPr>
                <w:sz w:val="18"/>
              </w:rPr>
            </w:pPr>
            <w:r>
              <w:rPr>
                <w:w w:val="99"/>
                <w:sz w:val="18"/>
              </w:rPr>
              <w:t>5</w:t>
            </w:r>
          </w:p>
        </w:tc>
        <w:tc>
          <w:tcPr>
            <w:tcW w:w="1483" w:type="dxa"/>
            <w:tcBorders>
              <w:top w:val="nil"/>
              <w:left w:val="nil"/>
              <w:bottom w:val="nil"/>
            </w:tcBorders>
          </w:tcPr>
          <w:p>
            <w:pPr>
              <w:pStyle w:val="TableParagraph"/>
              <w:spacing w:line="240" w:lineRule="auto" w:before="53"/>
              <w:ind w:left="329"/>
              <w:jc w:val="left"/>
              <w:rPr>
                <w:sz w:val="18"/>
              </w:rPr>
            </w:pPr>
            <w:r>
              <w:rPr>
                <w:sz w:val="18"/>
              </w:rPr>
              <w:t>Residual</w:t>
            </w:r>
          </w:p>
        </w:tc>
        <w:tc>
          <w:tcPr>
            <w:tcW w:w="1489" w:type="dxa"/>
            <w:tcBorders>
              <w:top w:val="nil"/>
              <w:bottom w:val="nil"/>
              <w:right w:val="single" w:sz="8" w:space="0" w:color="000000"/>
            </w:tcBorders>
          </w:tcPr>
          <w:p>
            <w:pPr>
              <w:pStyle w:val="TableParagraph"/>
              <w:spacing w:line="240" w:lineRule="auto" w:before="53"/>
              <w:ind w:right="36"/>
              <w:rPr>
                <w:sz w:val="18"/>
              </w:rPr>
            </w:pPr>
            <w:r>
              <w:rPr>
                <w:sz w:val="18"/>
              </w:rPr>
              <w:t>15.517</w:t>
            </w:r>
          </w:p>
        </w:tc>
        <w:tc>
          <w:tcPr>
            <w:tcW w:w="993" w:type="dxa"/>
            <w:tcBorders>
              <w:top w:val="nil"/>
              <w:left w:val="single" w:sz="8" w:space="0" w:color="000000"/>
              <w:bottom w:val="nil"/>
              <w:right w:val="single" w:sz="8" w:space="0" w:color="000000"/>
            </w:tcBorders>
          </w:tcPr>
          <w:p>
            <w:pPr>
              <w:pStyle w:val="TableParagraph"/>
              <w:spacing w:line="240" w:lineRule="auto" w:before="53"/>
              <w:ind w:right="38"/>
              <w:rPr>
                <w:sz w:val="18"/>
              </w:rPr>
            </w:pPr>
            <w:r>
              <w:rPr>
                <w:w w:val="95"/>
                <w:sz w:val="18"/>
              </w:rPr>
              <w:t>298</w:t>
            </w:r>
          </w:p>
        </w:tc>
        <w:tc>
          <w:tcPr>
            <w:tcW w:w="1485" w:type="dxa"/>
            <w:tcBorders>
              <w:top w:val="nil"/>
              <w:left w:val="single" w:sz="8" w:space="0" w:color="000000"/>
              <w:bottom w:val="nil"/>
              <w:right w:val="single" w:sz="8" w:space="0" w:color="000000"/>
            </w:tcBorders>
          </w:tcPr>
          <w:p>
            <w:pPr>
              <w:pStyle w:val="TableParagraph"/>
              <w:spacing w:line="240" w:lineRule="auto" w:before="53"/>
              <w:ind w:right="34"/>
              <w:rPr>
                <w:sz w:val="18"/>
              </w:rPr>
            </w:pPr>
            <w:r>
              <w:rPr>
                <w:sz w:val="18"/>
              </w:rPr>
              <w:t>.052</w:t>
            </w:r>
          </w:p>
        </w:tc>
        <w:tc>
          <w:tcPr>
            <w:tcW w:w="993" w:type="dxa"/>
            <w:vMerge/>
            <w:tcBorders>
              <w:top w:val="nil"/>
              <w:left w:val="single" w:sz="8" w:space="0" w:color="000000"/>
              <w:right w:val="single" w:sz="8" w:space="0" w:color="000000"/>
            </w:tcBorders>
          </w:tcPr>
          <w:p>
            <w:pPr>
              <w:rPr>
                <w:sz w:val="2"/>
                <w:szCs w:val="2"/>
              </w:rPr>
            </w:pPr>
          </w:p>
        </w:tc>
        <w:tc>
          <w:tcPr>
            <w:tcW w:w="993" w:type="dxa"/>
            <w:vMerge/>
            <w:tcBorders>
              <w:top w:val="nil"/>
              <w:left w:val="single" w:sz="8" w:space="0" w:color="000000"/>
            </w:tcBorders>
          </w:tcPr>
          <w:p>
            <w:pPr>
              <w:rPr>
                <w:sz w:val="2"/>
                <w:szCs w:val="2"/>
              </w:rPr>
            </w:pPr>
          </w:p>
        </w:tc>
      </w:tr>
      <w:tr>
        <w:trPr>
          <w:trHeight w:val="261" w:hRule="atLeast"/>
        </w:trPr>
        <w:tc>
          <w:tcPr>
            <w:tcW w:w="434" w:type="dxa"/>
            <w:tcBorders>
              <w:top w:val="nil"/>
              <w:right w:val="nil"/>
            </w:tcBorders>
          </w:tcPr>
          <w:p>
            <w:pPr>
              <w:pStyle w:val="TableParagraph"/>
              <w:spacing w:line="240" w:lineRule="auto" w:before="0"/>
              <w:jc w:val="left"/>
              <w:rPr>
                <w:rFonts w:ascii="Times New Roman"/>
                <w:sz w:val="16"/>
              </w:rPr>
            </w:pPr>
          </w:p>
        </w:tc>
        <w:tc>
          <w:tcPr>
            <w:tcW w:w="1483" w:type="dxa"/>
            <w:tcBorders>
              <w:top w:val="nil"/>
              <w:left w:val="nil"/>
            </w:tcBorders>
          </w:tcPr>
          <w:p>
            <w:pPr>
              <w:pStyle w:val="TableParagraph"/>
              <w:spacing w:line="188" w:lineRule="exact" w:before="53"/>
              <w:ind w:left="329"/>
              <w:jc w:val="left"/>
              <w:rPr>
                <w:sz w:val="18"/>
              </w:rPr>
            </w:pPr>
            <w:r>
              <w:rPr>
                <w:sz w:val="18"/>
              </w:rPr>
              <w:t>Total</w:t>
            </w:r>
          </w:p>
        </w:tc>
        <w:tc>
          <w:tcPr>
            <w:tcW w:w="1489" w:type="dxa"/>
            <w:tcBorders>
              <w:top w:val="nil"/>
              <w:right w:val="single" w:sz="8" w:space="0" w:color="000000"/>
            </w:tcBorders>
          </w:tcPr>
          <w:p>
            <w:pPr>
              <w:pStyle w:val="TableParagraph"/>
              <w:spacing w:line="188" w:lineRule="exact" w:before="53"/>
              <w:ind w:right="36"/>
              <w:rPr>
                <w:sz w:val="18"/>
              </w:rPr>
            </w:pPr>
            <w:r>
              <w:rPr>
                <w:sz w:val="18"/>
              </w:rPr>
              <w:t>16.369</w:t>
            </w:r>
          </w:p>
        </w:tc>
        <w:tc>
          <w:tcPr>
            <w:tcW w:w="993" w:type="dxa"/>
            <w:tcBorders>
              <w:top w:val="nil"/>
              <w:left w:val="single" w:sz="8" w:space="0" w:color="000000"/>
              <w:right w:val="single" w:sz="8" w:space="0" w:color="000000"/>
            </w:tcBorders>
          </w:tcPr>
          <w:p>
            <w:pPr>
              <w:pStyle w:val="TableParagraph"/>
              <w:spacing w:line="188" w:lineRule="exact" w:before="53"/>
              <w:ind w:right="38"/>
              <w:rPr>
                <w:sz w:val="18"/>
              </w:rPr>
            </w:pPr>
            <w:r>
              <w:rPr>
                <w:w w:val="95"/>
                <w:sz w:val="18"/>
              </w:rPr>
              <w:t>300</w:t>
            </w:r>
          </w:p>
        </w:tc>
        <w:tc>
          <w:tcPr>
            <w:tcW w:w="1485" w:type="dxa"/>
            <w:tcBorders>
              <w:top w:val="nil"/>
              <w:left w:val="single" w:sz="8" w:space="0" w:color="000000"/>
              <w:right w:val="single" w:sz="8" w:space="0" w:color="000000"/>
            </w:tcBorders>
          </w:tcPr>
          <w:p>
            <w:pPr>
              <w:pStyle w:val="TableParagraph"/>
              <w:spacing w:line="240" w:lineRule="auto" w:before="0"/>
              <w:jc w:val="left"/>
              <w:rPr>
                <w:rFonts w:ascii="Times New Roman"/>
                <w:sz w:val="16"/>
              </w:rPr>
            </w:pPr>
          </w:p>
        </w:tc>
        <w:tc>
          <w:tcPr>
            <w:tcW w:w="993" w:type="dxa"/>
            <w:vMerge/>
            <w:tcBorders>
              <w:top w:val="nil"/>
              <w:left w:val="single" w:sz="8" w:space="0" w:color="000000"/>
              <w:right w:val="single" w:sz="8" w:space="0" w:color="000000"/>
            </w:tcBorders>
          </w:tcPr>
          <w:p>
            <w:pPr>
              <w:rPr>
                <w:sz w:val="2"/>
                <w:szCs w:val="2"/>
              </w:rPr>
            </w:pPr>
          </w:p>
        </w:tc>
        <w:tc>
          <w:tcPr>
            <w:tcW w:w="993"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87"/>
      </w:tblGrid>
      <w:tr>
        <w:trPr>
          <w:trHeight w:val="260" w:hRule="atLeast"/>
        </w:trPr>
        <w:tc>
          <w:tcPr>
            <w:tcW w:w="6787" w:type="dxa"/>
          </w:tcPr>
          <w:p>
            <w:pPr>
              <w:pStyle w:val="TableParagraph"/>
              <w:spacing w:line="201" w:lineRule="exact" w:before="0"/>
              <w:ind w:left="200"/>
              <w:jc w:val="left"/>
              <w:rPr>
                <w:sz w:val="18"/>
              </w:rPr>
            </w:pPr>
            <w:r>
              <w:rPr>
                <w:sz w:val="18"/>
              </w:rPr>
              <w:t>a. Variable dependiente: RES_52 ANOVA ABRIDGED WHITE MODELO 5</w:t>
            </w:r>
          </w:p>
        </w:tc>
      </w:tr>
      <w:tr>
        <w:trPr>
          <w:trHeight w:val="260" w:hRule="atLeast"/>
        </w:trPr>
        <w:tc>
          <w:tcPr>
            <w:tcW w:w="6787" w:type="dxa"/>
          </w:tcPr>
          <w:p>
            <w:pPr>
              <w:pStyle w:val="TableParagraph"/>
              <w:spacing w:line="187" w:lineRule="exact" w:before="53"/>
              <w:ind w:left="200"/>
              <w:jc w:val="left"/>
              <w:rPr>
                <w:sz w:val="18"/>
              </w:rPr>
            </w:pPr>
            <w:r>
              <w:rPr>
                <w:sz w:val="18"/>
              </w:rPr>
              <w:t>b. Variables predictoras: (Constante), PRE_52, Unstandardized Predicted Value</w:t>
            </w:r>
          </w:p>
        </w:tc>
      </w:tr>
    </w:tbl>
    <w:p>
      <w:pPr>
        <w:pStyle w:val="BodyText"/>
        <w:rPr>
          <w:b/>
          <w:sz w:val="20"/>
        </w:rPr>
      </w:pPr>
    </w:p>
    <w:p>
      <w:pPr>
        <w:pStyle w:val="Heading1"/>
        <w:spacing w:before="164"/>
      </w:pPr>
      <w:r>
        <w:rPr/>
        <w:t>C- Resultados Modelo Corregido</w:t>
      </w:r>
    </w:p>
    <w:p>
      <w:pPr>
        <w:spacing w:line="235" w:lineRule="auto" w:before="20"/>
        <w:ind w:left="2801" w:right="6534" w:firstLine="0"/>
        <w:jc w:val="left"/>
        <w:rPr>
          <w:sz w:val="16"/>
        </w:rPr>
      </w:pPr>
      <w:r>
        <w:rPr>
          <w:spacing w:val="-3"/>
          <w:sz w:val="16"/>
        </w:rPr>
        <w:t>Dependent </w:t>
      </w:r>
      <w:r>
        <w:rPr>
          <w:spacing w:val="-4"/>
          <w:sz w:val="16"/>
        </w:rPr>
        <w:t>Variable: LN_PRECIO </w:t>
      </w:r>
      <w:r>
        <w:rPr>
          <w:spacing w:val="-5"/>
          <w:sz w:val="16"/>
        </w:rPr>
        <w:t>Method: </w:t>
      </w:r>
      <w:r>
        <w:rPr>
          <w:sz w:val="16"/>
        </w:rPr>
        <w:t>Least </w:t>
      </w:r>
      <w:r>
        <w:rPr>
          <w:spacing w:val="-3"/>
          <w:sz w:val="16"/>
        </w:rPr>
        <w:t>Squares</w:t>
      </w:r>
    </w:p>
    <w:p>
      <w:pPr>
        <w:spacing w:line="235" w:lineRule="auto" w:before="0"/>
        <w:ind w:left="2801" w:right="6534" w:firstLine="0"/>
        <w:jc w:val="left"/>
        <w:rPr>
          <w:sz w:val="16"/>
        </w:rPr>
      </w:pPr>
      <w:r>
        <w:rPr>
          <w:sz w:val="16"/>
        </w:rPr>
        <w:t>Date: 05/07/17 Time: 10:50 Sample (adjusted): 1 303</w:t>
      </w:r>
    </w:p>
    <w:p>
      <w:pPr>
        <w:spacing w:line="181" w:lineRule="exact" w:before="0"/>
        <w:ind w:left="2801" w:right="0" w:firstLine="0"/>
        <w:jc w:val="left"/>
        <w:rPr>
          <w:sz w:val="16"/>
        </w:rPr>
      </w:pPr>
      <w:r>
        <w:rPr>
          <w:sz w:val="16"/>
        </w:rPr>
        <w:t>Included observations: 301 after adjustments</w:t>
      </w:r>
    </w:p>
    <w:p>
      <w:pPr>
        <w:spacing w:line="182" w:lineRule="exact" w:before="0" w:after="52"/>
        <w:ind w:left="2801" w:right="0" w:firstLine="0"/>
        <w:jc w:val="left"/>
        <w:rPr>
          <w:sz w:val="16"/>
        </w:rPr>
      </w:pPr>
      <w:r>
        <w:rPr>
          <w:sz w:val="16"/>
        </w:rPr>
        <w:t>White heteroskedasticity-consistent standard errors &amp; covariance</w:t>
      </w:r>
    </w:p>
    <w:tbl>
      <w:tblPr>
        <w:tblW w:w="0" w:type="auto"/>
        <w:jc w:val="left"/>
        <w:tblInd w:w="27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10"/>
        <w:gridCol w:w="905"/>
        <w:gridCol w:w="951"/>
        <w:gridCol w:w="877"/>
        <w:gridCol w:w="715"/>
      </w:tblGrid>
      <w:tr>
        <w:trPr>
          <w:trHeight w:val="316" w:hRule="atLeast"/>
        </w:trPr>
        <w:tc>
          <w:tcPr>
            <w:tcW w:w="2410" w:type="dxa"/>
            <w:tcBorders>
              <w:top w:val="double" w:sz="2" w:space="0" w:color="000000"/>
              <w:bottom w:val="double" w:sz="2" w:space="0" w:color="000000"/>
            </w:tcBorders>
          </w:tcPr>
          <w:p>
            <w:pPr>
              <w:pStyle w:val="TableParagraph"/>
              <w:spacing w:line="240" w:lineRule="auto" w:before="104"/>
              <w:ind w:left="875" w:right="906"/>
              <w:jc w:val="center"/>
              <w:rPr>
                <w:sz w:val="16"/>
              </w:rPr>
            </w:pPr>
            <w:r>
              <w:rPr>
                <w:sz w:val="16"/>
              </w:rPr>
              <w:t>Variable</w:t>
            </w:r>
          </w:p>
        </w:tc>
        <w:tc>
          <w:tcPr>
            <w:tcW w:w="905" w:type="dxa"/>
            <w:tcBorders>
              <w:top w:val="double" w:sz="2" w:space="0" w:color="000000"/>
              <w:bottom w:val="double" w:sz="2" w:space="0" w:color="000000"/>
            </w:tcBorders>
          </w:tcPr>
          <w:p>
            <w:pPr>
              <w:pStyle w:val="TableParagraph"/>
              <w:spacing w:line="240" w:lineRule="auto" w:before="104"/>
              <w:ind w:left="30" w:right="72"/>
              <w:jc w:val="center"/>
              <w:rPr>
                <w:sz w:val="16"/>
              </w:rPr>
            </w:pPr>
            <w:r>
              <w:rPr>
                <w:sz w:val="16"/>
              </w:rPr>
              <w:t>Coefficient</w:t>
            </w:r>
          </w:p>
        </w:tc>
        <w:tc>
          <w:tcPr>
            <w:tcW w:w="951" w:type="dxa"/>
            <w:tcBorders>
              <w:top w:val="double" w:sz="2" w:space="0" w:color="000000"/>
              <w:bottom w:val="double" w:sz="2" w:space="0" w:color="000000"/>
            </w:tcBorders>
          </w:tcPr>
          <w:p>
            <w:pPr>
              <w:pStyle w:val="TableParagraph"/>
              <w:spacing w:line="240" w:lineRule="auto" w:before="104"/>
              <w:ind w:right="121"/>
              <w:rPr>
                <w:sz w:val="16"/>
              </w:rPr>
            </w:pPr>
            <w:r>
              <w:rPr>
                <w:sz w:val="16"/>
              </w:rPr>
              <w:t>Std. Error</w:t>
            </w:r>
          </w:p>
        </w:tc>
        <w:tc>
          <w:tcPr>
            <w:tcW w:w="877" w:type="dxa"/>
            <w:tcBorders>
              <w:top w:val="double" w:sz="2" w:space="0" w:color="000000"/>
              <w:bottom w:val="double" w:sz="2" w:space="0" w:color="000000"/>
            </w:tcBorders>
          </w:tcPr>
          <w:p>
            <w:pPr>
              <w:pStyle w:val="TableParagraph"/>
              <w:spacing w:line="240" w:lineRule="auto" w:before="104"/>
              <w:ind w:right="69"/>
              <w:rPr>
                <w:sz w:val="16"/>
              </w:rPr>
            </w:pPr>
            <w:r>
              <w:rPr>
                <w:sz w:val="16"/>
              </w:rPr>
              <w:t>t-Statistic</w:t>
            </w:r>
          </w:p>
        </w:tc>
        <w:tc>
          <w:tcPr>
            <w:tcW w:w="715" w:type="dxa"/>
            <w:tcBorders>
              <w:top w:val="double" w:sz="2" w:space="0" w:color="000000"/>
              <w:bottom w:val="double" w:sz="2" w:space="0" w:color="000000"/>
            </w:tcBorders>
          </w:tcPr>
          <w:p>
            <w:pPr>
              <w:pStyle w:val="TableParagraph"/>
              <w:spacing w:line="240" w:lineRule="auto" w:before="104"/>
              <w:ind w:left="241"/>
              <w:jc w:val="left"/>
              <w:rPr>
                <w:sz w:val="16"/>
              </w:rPr>
            </w:pPr>
            <w:r>
              <w:rPr>
                <w:sz w:val="16"/>
              </w:rPr>
              <w:t>Prob.</w:t>
            </w:r>
          </w:p>
        </w:tc>
      </w:tr>
      <w:tr>
        <w:trPr>
          <w:trHeight w:val="288" w:hRule="atLeast"/>
        </w:trPr>
        <w:tc>
          <w:tcPr>
            <w:tcW w:w="2410" w:type="dxa"/>
            <w:tcBorders>
              <w:top w:val="double" w:sz="2" w:space="0" w:color="000000"/>
            </w:tcBorders>
          </w:tcPr>
          <w:p>
            <w:pPr>
              <w:pStyle w:val="TableParagraph"/>
              <w:spacing w:line="165" w:lineRule="exact" w:before="103"/>
              <w:ind w:left="707"/>
              <w:jc w:val="left"/>
              <w:rPr>
                <w:sz w:val="16"/>
              </w:rPr>
            </w:pPr>
            <w:r>
              <w:rPr>
                <w:sz w:val="16"/>
              </w:rPr>
              <w:t>CONSTANTE</w:t>
            </w:r>
          </w:p>
        </w:tc>
        <w:tc>
          <w:tcPr>
            <w:tcW w:w="905" w:type="dxa"/>
            <w:tcBorders>
              <w:top w:val="double" w:sz="2" w:space="0" w:color="000000"/>
            </w:tcBorders>
          </w:tcPr>
          <w:p>
            <w:pPr>
              <w:pStyle w:val="TableParagraph"/>
              <w:spacing w:line="165" w:lineRule="exact" w:before="103"/>
              <w:ind w:left="125" w:right="72"/>
              <w:jc w:val="center"/>
              <w:rPr>
                <w:sz w:val="16"/>
              </w:rPr>
            </w:pPr>
            <w:r>
              <w:rPr>
                <w:sz w:val="16"/>
              </w:rPr>
              <w:t>103.0567</w:t>
            </w:r>
          </w:p>
        </w:tc>
        <w:tc>
          <w:tcPr>
            <w:tcW w:w="951" w:type="dxa"/>
            <w:tcBorders>
              <w:top w:val="double" w:sz="2" w:space="0" w:color="000000"/>
            </w:tcBorders>
          </w:tcPr>
          <w:p>
            <w:pPr>
              <w:pStyle w:val="TableParagraph"/>
              <w:spacing w:line="165" w:lineRule="exact" w:before="103"/>
              <w:ind w:right="117"/>
              <w:rPr>
                <w:sz w:val="16"/>
              </w:rPr>
            </w:pPr>
            <w:r>
              <w:rPr>
                <w:sz w:val="16"/>
              </w:rPr>
              <w:t>66.72694</w:t>
            </w:r>
          </w:p>
        </w:tc>
        <w:tc>
          <w:tcPr>
            <w:tcW w:w="877" w:type="dxa"/>
            <w:tcBorders>
              <w:top w:val="double" w:sz="2" w:space="0" w:color="000000"/>
            </w:tcBorders>
          </w:tcPr>
          <w:p>
            <w:pPr>
              <w:pStyle w:val="TableParagraph"/>
              <w:spacing w:line="165" w:lineRule="exact" w:before="103"/>
              <w:ind w:right="59"/>
              <w:rPr>
                <w:sz w:val="16"/>
              </w:rPr>
            </w:pPr>
            <w:r>
              <w:rPr>
                <w:sz w:val="16"/>
              </w:rPr>
              <w:t>1.544455</w:t>
            </w:r>
          </w:p>
        </w:tc>
        <w:tc>
          <w:tcPr>
            <w:tcW w:w="715" w:type="dxa"/>
            <w:tcBorders>
              <w:top w:val="double" w:sz="2" w:space="0" w:color="000000"/>
            </w:tcBorders>
          </w:tcPr>
          <w:p>
            <w:pPr>
              <w:pStyle w:val="TableParagraph"/>
              <w:spacing w:line="165" w:lineRule="exact" w:before="103"/>
              <w:ind w:right="9"/>
              <w:rPr>
                <w:sz w:val="16"/>
              </w:rPr>
            </w:pPr>
            <w:r>
              <w:rPr>
                <w:sz w:val="16"/>
              </w:rPr>
              <w:t>0.1236</w:t>
            </w:r>
          </w:p>
        </w:tc>
      </w:tr>
      <w:tr>
        <w:trPr>
          <w:trHeight w:val="180" w:hRule="atLeast"/>
        </w:trPr>
        <w:tc>
          <w:tcPr>
            <w:tcW w:w="2410" w:type="dxa"/>
          </w:tcPr>
          <w:p>
            <w:pPr>
              <w:pStyle w:val="TableParagraph"/>
              <w:tabs>
                <w:tab w:pos="655" w:val="left" w:leader="none"/>
                <w:tab w:pos="1754" w:val="left" w:leader="none"/>
              </w:tabs>
              <w:spacing w:line="161" w:lineRule="exact" w:before="0"/>
              <w:ind w:left="37"/>
              <w:jc w:val="left"/>
              <w:rPr>
                <w:sz w:val="16"/>
              </w:rPr>
            </w:pPr>
            <w:r>
              <w:rPr>
                <w:spacing w:val="-3"/>
                <w:sz w:val="16"/>
              </w:rPr>
              <w:t>TIPO</w:t>
            </w:r>
            <w:r>
              <w:rPr>
                <w:spacing w:val="-3"/>
                <w:sz w:val="16"/>
                <w:u w:val="single"/>
              </w:rPr>
              <w:t> </w:t>
              <w:tab/>
            </w:r>
            <w:r>
              <w:rPr>
                <w:spacing w:val="-5"/>
                <w:sz w:val="16"/>
              </w:rPr>
              <w:t>1_CASA</w:t>
            </w:r>
            <w:r>
              <w:rPr>
                <w:spacing w:val="-5"/>
                <w:sz w:val="16"/>
                <w:u w:val="single"/>
              </w:rPr>
              <w:t>   </w:t>
            </w:r>
            <w:r>
              <w:rPr>
                <w:spacing w:val="7"/>
                <w:sz w:val="16"/>
                <w:u w:val="single"/>
              </w:rPr>
              <w:t> </w:t>
            </w:r>
            <w:r>
              <w:rPr>
                <w:spacing w:val="-4"/>
                <w:sz w:val="16"/>
              </w:rPr>
              <w:t>0</w:t>
            </w:r>
            <w:r>
              <w:rPr>
                <w:spacing w:val="-4"/>
                <w:sz w:val="16"/>
                <w:u w:val="single"/>
              </w:rPr>
              <w:t> </w:t>
              <w:tab/>
            </w:r>
            <w:r>
              <w:rPr>
                <w:sz w:val="16"/>
              </w:rPr>
              <w:t>CONDO</w:t>
            </w:r>
          </w:p>
        </w:tc>
        <w:tc>
          <w:tcPr>
            <w:tcW w:w="905" w:type="dxa"/>
          </w:tcPr>
          <w:p>
            <w:pPr>
              <w:pStyle w:val="TableParagraph"/>
              <w:spacing w:line="161" w:lineRule="exact" w:before="0"/>
              <w:ind w:left="125" w:right="72"/>
              <w:jc w:val="center"/>
              <w:rPr>
                <w:sz w:val="16"/>
              </w:rPr>
            </w:pPr>
            <w:r>
              <w:rPr>
                <w:sz w:val="16"/>
              </w:rPr>
              <w:t>0.121616</w:t>
            </w:r>
          </w:p>
        </w:tc>
        <w:tc>
          <w:tcPr>
            <w:tcW w:w="951" w:type="dxa"/>
          </w:tcPr>
          <w:p>
            <w:pPr>
              <w:pStyle w:val="TableParagraph"/>
              <w:spacing w:line="161" w:lineRule="exact" w:before="0"/>
              <w:ind w:right="117"/>
              <w:rPr>
                <w:sz w:val="16"/>
              </w:rPr>
            </w:pPr>
            <w:r>
              <w:rPr>
                <w:sz w:val="16"/>
              </w:rPr>
              <w:t>0.049419</w:t>
            </w:r>
          </w:p>
        </w:tc>
        <w:tc>
          <w:tcPr>
            <w:tcW w:w="877" w:type="dxa"/>
          </w:tcPr>
          <w:p>
            <w:pPr>
              <w:pStyle w:val="TableParagraph"/>
              <w:spacing w:line="161" w:lineRule="exact" w:before="0"/>
              <w:ind w:right="59"/>
              <w:rPr>
                <w:sz w:val="16"/>
              </w:rPr>
            </w:pPr>
            <w:r>
              <w:rPr>
                <w:sz w:val="16"/>
              </w:rPr>
              <w:t>2.460910</w:t>
            </w:r>
          </w:p>
        </w:tc>
        <w:tc>
          <w:tcPr>
            <w:tcW w:w="715" w:type="dxa"/>
          </w:tcPr>
          <w:p>
            <w:pPr>
              <w:pStyle w:val="TableParagraph"/>
              <w:spacing w:line="161" w:lineRule="exact" w:before="0"/>
              <w:ind w:right="9"/>
              <w:rPr>
                <w:sz w:val="16"/>
              </w:rPr>
            </w:pPr>
            <w:r>
              <w:rPr>
                <w:sz w:val="16"/>
              </w:rPr>
              <w:t>0.0144</w:t>
            </w:r>
          </w:p>
        </w:tc>
      </w:tr>
      <w:tr>
        <w:trPr>
          <w:trHeight w:val="180" w:hRule="atLeast"/>
        </w:trPr>
        <w:tc>
          <w:tcPr>
            <w:tcW w:w="2410" w:type="dxa"/>
          </w:tcPr>
          <w:p>
            <w:pPr>
              <w:pStyle w:val="TableParagraph"/>
              <w:spacing w:line="161" w:lineRule="exact" w:before="0"/>
              <w:ind w:left="207"/>
              <w:jc w:val="left"/>
              <w:rPr>
                <w:sz w:val="16"/>
              </w:rPr>
            </w:pPr>
            <w:r>
              <w:rPr>
                <w:sz w:val="16"/>
              </w:rPr>
              <w:t>LN_ANO_CONSTRUCCION</w:t>
            </w:r>
          </w:p>
        </w:tc>
        <w:tc>
          <w:tcPr>
            <w:tcW w:w="905" w:type="dxa"/>
          </w:tcPr>
          <w:p>
            <w:pPr>
              <w:pStyle w:val="TableParagraph"/>
              <w:spacing w:line="161" w:lineRule="exact" w:before="0"/>
              <w:ind w:left="33" w:right="33"/>
              <w:jc w:val="center"/>
              <w:rPr>
                <w:sz w:val="16"/>
              </w:rPr>
            </w:pPr>
            <w:r>
              <w:rPr>
                <w:sz w:val="16"/>
              </w:rPr>
              <w:t>-12.04471</w:t>
            </w:r>
          </w:p>
        </w:tc>
        <w:tc>
          <w:tcPr>
            <w:tcW w:w="951" w:type="dxa"/>
          </w:tcPr>
          <w:p>
            <w:pPr>
              <w:pStyle w:val="TableParagraph"/>
              <w:spacing w:line="161" w:lineRule="exact" w:before="0"/>
              <w:ind w:right="117"/>
              <w:rPr>
                <w:sz w:val="16"/>
              </w:rPr>
            </w:pPr>
            <w:r>
              <w:rPr>
                <w:sz w:val="16"/>
              </w:rPr>
              <w:t>8.776865</w:t>
            </w:r>
          </w:p>
        </w:tc>
        <w:tc>
          <w:tcPr>
            <w:tcW w:w="877" w:type="dxa"/>
          </w:tcPr>
          <w:p>
            <w:pPr>
              <w:pStyle w:val="TableParagraph"/>
              <w:spacing w:line="161" w:lineRule="exact" w:before="0"/>
              <w:ind w:right="59"/>
              <w:rPr>
                <w:sz w:val="16"/>
              </w:rPr>
            </w:pPr>
            <w:r>
              <w:rPr>
                <w:w w:val="95"/>
                <w:sz w:val="16"/>
              </w:rPr>
              <w:t>-1.372325</w:t>
            </w:r>
          </w:p>
        </w:tc>
        <w:tc>
          <w:tcPr>
            <w:tcW w:w="715" w:type="dxa"/>
          </w:tcPr>
          <w:p>
            <w:pPr>
              <w:pStyle w:val="TableParagraph"/>
              <w:spacing w:line="161" w:lineRule="exact" w:before="0"/>
              <w:ind w:right="9"/>
              <w:rPr>
                <w:sz w:val="16"/>
              </w:rPr>
            </w:pPr>
            <w:r>
              <w:rPr>
                <w:sz w:val="16"/>
              </w:rPr>
              <w:t>0.1710</w:t>
            </w:r>
          </w:p>
        </w:tc>
      </w:tr>
      <w:tr>
        <w:trPr>
          <w:trHeight w:val="180" w:hRule="atLeast"/>
        </w:trPr>
        <w:tc>
          <w:tcPr>
            <w:tcW w:w="2410" w:type="dxa"/>
          </w:tcPr>
          <w:p>
            <w:pPr>
              <w:pStyle w:val="TableParagraph"/>
              <w:spacing w:line="161" w:lineRule="exact" w:before="0"/>
              <w:ind w:left="101"/>
              <w:jc w:val="left"/>
              <w:rPr>
                <w:sz w:val="16"/>
              </w:rPr>
            </w:pPr>
            <w:r>
              <w:rPr>
                <w:sz w:val="16"/>
              </w:rPr>
              <w:t>LN_NUMERO_HABITACIONES</w:t>
            </w:r>
          </w:p>
        </w:tc>
        <w:tc>
          <w:tcPr>
            <w:tcW w:w="905" w:type="dxa"/>
          </w:tcPr>
          <w:p>
            <w:pPr>
              <w:pStyle w:val="TableParagraph"/>
              <w:spacing w:line="161" w:lineRule="exact" w:before="0"/>
              <w:ind w:left="125" w:right="72"/>
              <w:jc w:val="center"/>
              <w:rPr>
                <w:sz w:val="16"/>
              </w:rPr>
            </w:pPr>
            <w:r>
              <w:rPr>
                <w:sz w:val="16"/>
              </w:rPr>
              <w:t>0.305116</w:t>
            </w:r>
          </w:p>
        </w:tc>
        <w:tc>
          <w:tcPr>
            <w:tcW w:w="951" w:type="dxa"/>
          </w:tcPr>
          <w:p>
            <w:pPr>
              <w:pStyle w:val="TableParagraph"/>
              <w:spacing w:line="161" w:lineRule="exact" w:before="0"/>
              <w:ind w:right="117"/>
              <w:rPr>
                <w:sz w:val="16"/>
              </w:rPr>
            </w:pPr>
            <w:r>
              <w:rPr>
                <w:sz w:val="16"/>
              </w:rPr>
              <w:t>0.176291</w:t>
            </w:r>
          </w:p>
        </w:tc>
        <w:tc>
          <w:tcPr>
            <w:tcW w:w="877" w:type="dxa"/>
          </w:tcPr>
          <w:p>
            <w:pPr>
              <w:pStyle w:val="TableParagraph"/>
              <w:spacing w:line="161" w:lineRule="exact" w:before="0"/>
              <w:ind w:right="59"/>
              <w:rPr>
                <w:sz w:val="16"/>
              </w:rPr>
            </w:pPr>
            <w:r>
              <w:rPr>
                <w:sz w:val="16"/>
              </w:rPr>
              <w:t>1.730750</w:t>
            </w:r>
          </w:p>
        </w:tc>
        <w:tc>
          <w:tcPr>
            <w:tcW w:w="715" w:type="dxa"/>
          </w:tcPr>
          <w:p>
            <w:pPr>
              <w:pStyle w:val="TableParagraph"/>
              <w:spacing w:line="161" w:lineRule="exact" w:before="0"/>
              <w:ind w:right="9"/>
              <w:rPr>
                <w:sz w:val="16"/>
              </w:rPr>
            </w:pPr>
            <w:r>
              <w:rPr>
                <w:sz w:val="16"/>
              </w:rPr>
              <w:t>0.0846</w:t>
            </w:r>
          </w:p>
        </w:tc>
      </w:tr>
      <w:tr>
        <w:trPr>
          <w:trHeight w:val="180" w:hRule="atLeast"/>
        </w:trPr>
        <w:tc>
          <w:tcPr>
            <w:tcW w:w="2410" w:type="dxa"/>
          </w:tcPr>
          <w:p>
            <w:pPr>
              <w:pStyle w:val="TableParagraph"/>
              <w:spacing w:line="161" w:lineRule="exact" w:before="0"/>
              <w:ind w:left="239"/>
              <w:jc w:val="left"/>
              <w:rPr>
                <w:sz w:val="16"/>
              </w:rPr>
            </w:pPr>
            <w:r>
              <w:rPr>
                <w:sz w:val="16"/>
              </w:rPr>
              <w:t>LN_NUMERO_DE_BANOS</w:t>
            </w:r>
          </w:p>
        </w:tc>
        <w:tc>
          <w:tcPr>
            <w:tcW w:w="905" w:type="dxa"/>
          </w:tcPr>
          <w:p>
            <w:pPr>
              <w:pStyle w:val="TableParagraph"/>
              <w:spacing w:line="161" w:lineRule="exact" w:before="0"/>
              <w:ind w:left="125" w:right="72"/>
              <w:jc w:val="center"/>
              <w:rPr>
                <w:sz w:val="16"/>
              </w:rPr>
            </w:pPr>
            <w:r>
              <w:rPr>
                <w:sz w:val="16"/>
              </w:rPr>
              <w:t>0.889071</w:t>
            </w:r>
          </w:p>
        </w:tc>
        <w:tc>
          <w:tcPr>
            <w:tcW w:w="951" w:type="dxa"/>
          </w:tcPr>
          <w:p>
            <w:pPr>
              <w:pStyle w:val="TableParagraph"/>
              <w:spacing w:line="161" w:lineRule="exact" w:before="0"/>
              <w:ind w:right="117"/>
              <w:rPr>
                <w:sz w:val="16"/>
              </w:rPr>
            </w:pPr>
            <w:r>
              <w:rPr>
                <w:sz w:val="16"/>
              </w:rPr>
              <w:t>0.120451</w:t>
            </w:r>
          </w:p>
        </w:tc>
        <w:tc>
          <w:tcPr>
            <w:tcW w:w="877" w:type="dxa"/>
          </w:tcPr>
          <w:p>
            <w:pPr>
              <w:pStyle w:val="TableParagraph"/>
              <w:spacing w:line="161" w:lineRule="exact" w:before="0"/>
              <w:ind w:right="59"/>
              <w:rPr>
                <w:sz w:val="16"/>
              </w:rPr>
            </w:pPr>
            <w:r>
              <w:rPr>
                <w:sz w:val="16"/>
              </w:rPr>
              <w:t>7.381186</w:t>
            </w:r>
          </w:p>
        </w:tc>
        <w:tc>
          <w:tcPr>
            <w:tcW w:w="715" w:type="dxa"/>
          </w:tcPr>
          <w:p>
            <w:pPr>
              <w:pStyle w:val="TableParagraph"/>
              <w:spacing w:line="161" w:lineRule="exact" w:before="0"/>
              <w:ind w:right="9"/>
              <w:rPr>
                <w:sz w:val="16"/>
              </w:rPr>
            </w:pPr>
            <w:r>
              <w:rPr>
                <w:sz w:val="16"/>
              </w:rPr>
              <w:t>0.0000</w:t>
            </w:r>
          </w:p>
        </w:tc>
      </w:tr>
      <w:tr>
        <w:trPr>
          <w:trHeight w:val="180" w:hRule="atLeast"/>
        </w:trPr>
        <w:tc>
          <w:tcPr>
            <w:tcW w:w="2410" w:type="dxa"/>
          </w:tcPr>
          <w:p>
            <w:pPr>
              <w:pStyle w:val="TableParagraph"/>
              <w:spacing w:line="161" w:lineRule="exact" w:before="0"/>
              <w:ind w:left="164"/>
              <w:jc w:val="left"/>
              <w:rPr>
                <w:sz w:val="16"/>
              </w:rPr>
            </w:pPr>
            <w:r>
              <w:rPr>
                <w:sz w:val="16"/>
              </w:rPr>
              <w:t>LN_NUMERO_DE_PLANTAS</w:t>
            </w:r>
          </w:p>
        </w:tc>
        <w:tc>
          <w:tcPr>
            <w:tcW w:w="905" w:type="dxa"/>
          </w:tcPr>
          <w:p>
            <w:pPr>
              <w:pStyle w:val="TableParagraph"/>
              <w:spacing w:line="161" w:lineRule="exact" w:before="0"/>
              <w:ind w:left="33" w:right="33"/>
              <w:jc w:val="center"/>
              <w:rPr>
                <w:sz w:val="16"/>
              </w:rPr>
            </w:pPr>
            <w:r>
              <w:rPr>
                <w:sz w:val="16"/>
              </w:rPr>
              <w:t>-0.159947</w:t>
            </w:r>
          </w:p>
        </w:tc>
        <w:tc>
          <w:tcPr>
            <w:tcW w:w="951" w:type="dxa"/>
          </w:tcPr>
          <w:p>
            <w:pPr>
              <w:pStyle w:val="TableParagraph"/>
              <w:spacing w:line="161" w:lineRule="exact" w:before="0"/>
              <w:ind w:right="117"/>
              <w:rPr>
                <w:sz w:val="16"/>
              </w:rPr>
            </w:pPr>
            <w:r>
              <w:rPr>
                <w:sz w:val="16"/>
              </w:rPr>
              <w:t>0.090516</w:t>
            </w:r>
          </w:p>
        </w:tc>
        <w:tc>
          <w:tcPr>
            <w:tcW w:w="877" w:type="dxa"/>
          </w:tcPr>
          <w:p>
            <w:pPr>
              <w:pStyle w:val="TableParagraph"/>
              <w:spacing w:line="161" w:lineRule="exact" w:before="0"/>
              <w:ind w:right="59"/>
              <w:rPr>
                <w:sz w:val="16"/>
              </w:rPr>
            </w:pPr>
            <w:r>
              <w:rPr>
                <w:w w:val="95"/>
                <w:sz w:val="16"/>
              </w:rPr>
              <w:t>-1.767045</w:t>
            </w:r>
          </w:p>
        </w:tc>
        <w:tc>
          <w:tcPr>
            <w:tcW w:w="715" w:type="dxa"/>
          </w:tcPr>
          <w:p>
            <w:pPr>
              <w:pStyle w:val="TableParagraph"/>
              <w:spacing w:line="161" w:lineRule="exact" w:before="0"/>
              <w:ind w:right="9"/>
              <w:rPr>
                <w:sz w:val="16"/>
              </w:rPr>
            </w:pPr>
            <w:r>
              <w:rPr>
                <w:sz w:val="16"/>
              </w:rPr>
              <w:t>0.0783</w:t>
            </w:r>
          </w:p>
        </w:tc>
      </w:tr>
      <w:tr>
        <w:trPr>
          <w:trHeight w:val="180" w:hRule="atLeast"/>
        </w:trPr>
        <w:tc>
          <w:tcPr>
            <w:tcW w:w="2410" w:type="dxa"/>
          </w:tcPr>
          <w:p>
            <w:pPr>
              <w:pStyle w:val="TableParagraph"/>
              <w:spacing w:line="161" w:lineRule="exact" w:before="0"/>
              <w:ind w:left="515"/>
              <w:jc w:val="left"/>
              <w:rPr>
                <w:sz w:val="16"/>
              </w:rPr>
            </w:pPr>
            <w:r>
              <w:rPr>
                <w:sz w:val="16"/>
              </w:rPr>
              <w:t>LN_DISTANCIA_SJ</w:t>
            </w:r>
          </w:p>
        </w:tc>
        <w:tc>
          <w:tcPr>
            <w:tcW w:w="905" w:type="dxa"/>
          </w:tcPr>
          <w:p>
            <w:pPr>
              <w:pStyle w:val="TableParagraph"/>
              <w:spacing w:line="161" w:lineRule="exact" w:before="0"/>
              <w:ind w:left="33" w:right="33"/>
              <w:jc w:val="center"/>
              <w:rPr>
                <w:sz w:val="16"/>
              </w:rPr>
            </w:pPr>
            <w:r>
              <w:rPr>
                <w:sz w:val="16"/>
              </w:rPr>
              <w:t>-0.250178</w:t>
            </w:r>
          </w:p>
        </w:tc>
        <w:tc>
          <w:tcPr>
            <w:tcW w:w="951" w:type="dxa"/>
          </w:tcPr>
          <w:p>
            <w:pPr>
              <w:pStyle w:val="TableParagraph"/>
              <w:spacing w:line="161" w:lineRule="exact" w:before="0"/>
              <w:ind w:right="117"/>
              <w:rPr>
                <w:sz w:val="16"/>
              </w:rPr>
            </w:pPr>
            <w:r>
              <w:rPr>
                <w:sz w:val="16"/>
              </w:rPr>
              <w:t>0.116700</w:t>
            </w:r>
          </w:p>
        </w:tc>
        <w:tc>
          <w:tcPr>
            <w:tcW w:w="877" w:type="dxa"/>
          </w:tcPr>
          <w:p>
            <w:pPr>
              <w:pStyle w:val="TableParagraph"/>
              <w:spacing w:line="161" w:lineRule="exact" w:before="0"/>
              <w:ind w:right="59"/>
              <w:rPr>
                <w:sz w:val="16"/>
              </w:rPr>
            </w:pPr>
            <w:r>
              <w:rPr>
                <w:w w:val="95"/>
                <w:sz w:val="16"/>
              </w:rPr>
              <w:t>-2.143775</w:t>
            </w:r>
          </w:p>
        </w:tc>
        <w:tc>
          <w:tcPr>
            <w:tcW w:w="715" w:type="dxa"/>
          </w:tcPr>
          <w:p>
            <w:pPr>
              <w:pStyle w:val="TableParagraph"/>
              <w:spacing w:line="161" w:lineRule="exact" w:before="0"/>
              <w:ind w:right="9"/>
              <w:rPr>
                <w:sz w:val="16"/>
              </w:rPr>
            </w:pPr>
            <w:r>
              <w:rPr>
                <w:sz w:val="16"/>
              </w:rPr>
              <w:t>0.0329</w:t>
            </w:r>
          </w:p>
        </w:tc>
      </w:tr>
      <w:tr>
        <w:trPr>
          <w:trHeight w:val="180" w:hRule="atLeast"/>
        </w:trPr>
        <w:tc>
          <w:tcPr>
            <w:tcW w:w="2410" w:type="dxa"/>
          </w:tcPr>
          <w:p>
            <w:pPr>
              <w:pStyle w:val="TableParagraph"/>
              <w:spacing w:line="161" w:lineRule="exact" w:before="0"/>
              <w:ind w:left="239"/>
              <w:jc w:val="left"/>
              <w:rPr>
                <w:sz w:val="16"/>
              </w:rPr>
            </w:pPr>
            <w:r>
              <w:rPr>
                <w:sz w:val="16"/>
              </w:rPr>
              <w:t>LN_DISTANCIA_POBREZA</w:t>
            </w:r>
          </w:p>
        </w:tc>
        <w:tc>
          <w:tcPr>
            <w:tcW w:w="905" w:type="dxa"/>
          </w:tcPr>
          <w:p>
            <w:pPr>
              <w:pStyle w:val="TableParagraph"/>
              <w:spacing w:line="161" w:lineRule="exact" w:before="0"/>
              <w:ind w:left="125" w:right="72"/>
              <w:jc w:val="center"/>
              <w:rPr>
                <w:sz w:val="16"/>
              </w:rPr>
            </w:pPr>
            <w:r>
              <w:rPr>
                <w:sz w:val="16"/>
              </w:rPr>
              <w:t>0.221105</w:t>
            </w:r>
          </w:p>
        </w:tc>
        <w:tc>
          <w:tcPr>
            <w:tcW w:w="951" w:type="dxa"/>
          </w:tcPr>
          <w:p>
            <w:pPr>
              <w:pStyle w:val="TableParagraph"/>
              <w:spacing w:line="161" w:lineRule="exact" w:before="0"/>
              <w:ind w:right="117"/>
              <w:rPr>
                <w:sz w:val="16"/>
              </w:rPr>
            </w:pPr>
            <w:r>
              <w:rPr>
                <w:sz w:val="16"/>
              </w:rPr>
              <w:t>0.080286</w:t>
            </w:r>
          </w:p>
        </w:tc>
        <w:tc>
          <w:tcPr>
            <w:tcW w:w="877" w:type="dxa"/>
          </w:tcPr>
          <w:p>
            <w:pPr>
              <w:pStyle w:val="TableParagraph"/>
              <w:spacing w:line="161" w:lineRule="exact" w:before="0"/>
              <w:ind w:right="59"/>
              <w:rPr>
                <w:sz w:val="16"/>
              </w:rPr>
            </w:pPr>
            <w:r>
              <w:rPr>
                <w:sz w:val="16"/>
              </w:rPr>
              <w:t>2.753981</w:t>
            </w:r>
          </w:p>
        </w:tc>
        <w:tc>
          <w:tcPr>
            <w:tcW w:w="715" w:type="dxa"/>
          </w:tcPr>
          <w:p>
            <w:pPr>
              <w:pStyle w:val="TableParagraph"/>
              <w:spacing w:line="161" w:lineRule="exact" w:before="0"/>
              <w:ind w:right="9"/>
              <w:rPr>
                <w:sz w:val="16"/>
              </w:rPr>
            </w:pPr>
            <w:r>
              <w:rPr>
                <w:sz w:val="16"/>
              </w:rPr>
              <w:t>0.0063</w:t>
            </w:r>
          </w:p>
        </w:tc>
      </w:tr>
      <w:tr>
        <w:trPr>
          <w:trHeight w:val="208" w:hRule="atLeast"/>
        </w:trPr>
        <w:tc>
          <w:tcPr>
            <w:tcW w:w="2410" w:type="dxa"/>
            <w:tcBorders>
              <w:bottom w:val="double" w:sz="2" w:space="0" w:color="000000"/>
            </w:tcBorders>
          </w:tcPr>
          <w:p>
            <w:pPr>
              <w:pStyle w:val="TableParagraph"/>
              <w:spacing w:line="180" w:lineRule="exact" w:before="0"/>
              <w:ind w:left="218"/>
              <w:jc w:val="left"/>
              <w:rPr>
                <w:sz w:val="16"/>
              </w:rPr>
            </w:pPr>
            <w:r>
              <w:rPr>
                <w:sz w:val="16"/>
              </w:rPr>
              <w:t>VISTA_A_LA_CARPINTERA</w:t>
            </w:r>
          </w:p>
        </w:tc>
        <w:tc>
          <w:tcPr>
            <w:tcW w:w="905" w:type="dxa"/>
            <w:tcBorders>
              <w:bottom w:val="double" w:sz="2" w:space="0" w:color="000000"/>
            </w:tcBorders>
          </w:tcPr>
          <w:p>
            <w:pPr>
              <w:pStyle w:val="TableParagraph"/>
              <w:spacing w:line="180" w:lineRule="exact" w:before="0"/>
              <w:ind w:left="125" w:right="72"/>
              <w:jc w:val="center"/>
              <w:rPr>
                <w:sz w:val="16"/>
              </w:rPr>
            </w:pPr>
            <w:r>
              <w:rPr>
                <w:sz w:val="16"/>
              </w:rPr>
              <w:t>0.096893</w:t>
            </w:r>
          </w:p>
        </w:tc>
        <w:tc>
          <w:tcPr>
            <w:tcW w:w="951" w:type="dxa"/>
            <w:tcBorders>
              <w:bottom w:val="double" w:sz="2" w:space="0" w:color="000000"/>
            </w:tcBorders>
          </w:tcPr>
          <w:p>
            <w:pPr>
              <w:pStyle w:val="TableParagraph"/>
              <w:spacing w:line="180" w:lineRule="exact" w:before="0"/>
              <w:ind w:right="117"/>
              <w:rPr>
                <w:sz w:val="16"/>
              </w:rPr>
            </w:pPr>
            <w:r>
              <w:rPr>
                <w:sz w:val="16"/>
              </w:rPr>
              <w:t>0.048703</w:t>
            </w:r>
          </w:p>
        </w:tc>
        <w:tc>
          <w:tcPr>
            <w:tcW w:w="877" w:type="dxa"/>
            <w:tcBorders>
              <w:bottom w:val="double" w:sz="2" w:space="0" w:color="000000"/>
            </w:tcBorders>
          </w:tcPr>
          <w:p>
            <w:pPr>
              <w:pStyle w:val="TableParagraph"/>
              <w:spacing w:line="180" w:lineRule="exact" w:before="0"/>
              <w:ind w:right="59"/>
              <w:rPr>
                <w:sz w:val="16"/>
              </w:rPr>
            </w:pPr>
            <w:r>
              <w:rPr>
                <w:sz w:val="16"/>
              </w:rPr>
              <w:t>1.989462</w:t>
            </w:r>
          </w:p>
        </w:tc>
        <w:tc>
          <w:tcPr>
            <w:tcW w:w="715" w:type="dxa"/>
            <w:tcBorders>
              <w:bottom w:val="double" w:sz="2" w:space="0" w:color="000000"/>
            </w:tcBorders>
          </w:tcPr>
          <w:p>
            <w:pPr>
              <w:pStyle w:val="TableParagraph"/>
              <w:spacing w:line="180" w:lineRule="exact" w:before="0"/>
              <w:ind w:right="9"/>
              <w:rPr>
                <w:sz w:val="16"/>
              </w:rPr>
            </w:pPr>
            <w:r>
              <w:rPr>
                <w:sz w:val="16"/>
              </w:rPr>
              <w:t>0.0476</w:t>
            </w:r>
          </w:p>
        </w:tc>
      </w:tr>
      <w:tr>
        <w:trPr>
          <w:trHeight w:val="288" w:hRule="atLeast"/>
        </w:trPr>
        <w:tc>
          <w:tcPr>
            <w:tcW w:w="2410" w:type="dxa"/>
          </w:tcPr>
          <w:p>
            <w:pPr>
              <w:pStyle w:val="TableParagraph"/>
              <w:spacing w:line="165" w:lineRule="exact" w:before="103"/>
              <w:ind w:left="16"/>
              <w:jc w:val="left"/>
              <w:rPr>
                <w:sz w:val="16"/>
              </w:rPr>
            </w:pPr>
            <w:r>
              <w:rPr>
                <w:sz w:val="16"/>
              </w:rPr>
              <w:t>R-squared</w:t>
            </w:r>
          </w:p>
        </w:tc>
        <w:tc>
          <w:tcPr>
            <w:tcW w:w="905" w:type="dxa"/>
          </w:tcPr>
          <w:p>
            <w:pPr>
              <w:pStyle w:val="TableParagraph"/>
              <w:spacing w:line="165" w:lineRule="exact" w:before="103"/>
              <w:ind w:left="125" w:right="72"/>
              <w:jc w:val="center"/>
              <w:rPr>
                <w:sz w:val="16"/>
              </w:rPr>
            </w:pPr>
            <w:r>
              <w:rPr>
                <w:sz w:val="16"/>
              </w:rPr>
              <w:t>0.529788</w:t>
            </w:r>
          </w:p>
        </w:tc>
        <w:tc>
          <w:tcPr>
            <w:tcW w:w="1828" w:type="dxa"/>
            <w:gridSpan w:val="2"/>
          </w:tcPr>
          <w:p>
            <w:pPr>
              <w:pStyle w:val="TableParagraph"/>
              <w:spacing w:line="165" w:lineRule="exact" w:before="103"/>
              <w:ind w:left="102"/>
              <w:jc w:val="left"/>
              <w:rPr>
                <w:sz w:val="16"/>
              </w:rPr>
            </w:pPr>
            <w:r>
              <w:rPr>
                <w:sz w:val="16"/>
              </w:rPr>
              <w:t>Mean dependent var</w:t>
            </w:r>
          </w:p>
        </w:tc>
        <w:tc>
          <w:tcPr>
            <w:tcW w:w="715" w:type="dxa"/>
          </w:tcPr>
          <w:p>
            <w:pPr>
              <w:pStyle w:val="TableParagraph"/>
              <w:spacing w:line="165" w:lineRule="exact" w:before="103"/>
              <w:ind w:right="8"/>
              <w:rPr>
                <w:sz w:val="16"/>
              </w:rPr>
            </w:pPr>
            <w:r>
              <w:rPr>
                <w:sz w:val="16"/>
              </w:rPr>
              <w:t>12.60831</w:t>
            </w:r>
          </w:p>
        </w:tc>
      </w:tr>
      <w:tr>
        <w:trPr>
          <w:trHeight w:val="180" w:hRule="atLeast"/>
        </w:trPr>
        <w:tc>
          <w:tcPr>
            <w:tcW w:w="2410" w:type="dxa"/>
          </w:tcPr>
          <w:p>
            <w:pPr>
              <w:pStyle w:val="TableParagraph"/>
              <w:spacing w:line="161" w:lineRule="exact" w:before="0"/>
              <w:ind w:left="16"/>
              <w:jc w:val="left"/>
              <w:rPr>
                <w:sz w:val="16"/>
              </w:rPr>
            </w:pPr>
            <w:r>
              <w:rPr>
                <w:sz w:val="16"/>
              </w:rPr>
              <w:t>Adjusted R-squared</w:t>
            </w:r>
          </w:p>
        </w:tc>
        <w:tc>
          <w:tcPr>
            <w:tcW w:w="905" w:type="dxa"/>
          </w:tcPr>
          <w:p>
            <w:pPr>
              <w:pStyle w:val="TableParagraph"/>
              <w:spacing w:line="161" w:lineRule="exact" w:before="0"/>
              <w:ind w:left="125" w:right="72"/>
              <w:jc w:val="center"/>
              <w:rPr>
                <w:sz w:val="16"/>
              </w:rPr>
            </w:pPr>
            <w:r>
              <w:rPr>
                <w:sz w:val="16"/>
              </w:rPr>
              <w:t>0.516905</w:t>
            </w:r>
          </w:p>
        </w:tc>
        <w:tc>
          <w:tcPr>
            <w:tcW w:w="1828" w:type="dxa"/>
            <w:gridSpan w:val="2"/>
          </w:tcPr>
          <w:p>
            <w:pPr>
              <w:pStyle w:val="TableParagraph"/>
              <w:spacing w:line="161" w:lineRule="exact" w:before="0"/>
              <w:ind w:left="102"/>
              <w:jc w:val="left"/>
              <w:rPr>
                <w:sz w:val="16"/>
              </w:rPr>
            </w:pPr>
            <w:r>
              <w:rPr>
                <w:sz w:val="16"/>
              </w:rPr>
              <w:t>S.D. dependent var</w:t>
            </w:r>
          </w:p>
        </w:tc>
        <w:tc>
          <w:tcPr>
            <w:tcW w:w="715" w:type="dxa"/>
          </w:tcPr>
          <w:p>
            <w:pPr>
              <w:pStyle w:val="TableParagraph"/>
              <w:spacing w:line="161" w:lineRule="exact" w:before="0"/>
              <w:ind w:right="8"/>
              <w:rPr>
                <w:sz w:val="16"/>
              </w:rPr>
            </w:pPr>
            <w:r>
              <w:rPr>
                <w:sz w:val="16"/>
              </w:rPr>
              <w:t>0.560920</w:t>
            </w:r>
          </w:p>
        </w:tc>
      </w:tr>
      <w:tr>
        <w:trPr>
          <w:trHeight w:val="180" w:hRule="atLeast"/>
        </w:trPr>
        <w:tc>
          <w:tcPr>
            <w:tcW w:w="2410" w:type="dxa"/>
          </w:tcPr>
          <w:p>
            <w:pPr>
              <w:pStyle w:val="TableParagraph"/>
              <w:spacing w:line="161" w:lineRule="exact" w:before="0"/>
              <w:ind w:left="16"/>
              <w:jc w:val="left"/>
              <w:rPr>
                <w:sz w:val="16"/>
              </w:rPr>
            </w:pPr>
            <w:r>
              <w:rPr>
                <w:sz w:val="16"/>
              </w:rPr>
              <w:t>S.E. of regression</w:t>
            </w:r>
          </w:p>
        </w:tc>
        <w:tc>
          <w:tcPr>
            <w:tcW w:w="905" w:type="dxa"/>
          </w:tcPr>
          <w:p>
            <w:pPr>
              <w:pStyle w:val="TableParagraph"/>
              <w:spacing w:line="161" w:lineRule="exact" w:before="0"/>
              <w:ind w:left="125" w:right="72"/>
              <w:jc w:val="center"/>
              <w:rPr>
                <w:sz w:val="16"/>
              </w:rPr>
            </w:pPr>
            <w:r>
              <w:rPr>
                <w:sz w:val="16"/>
              </w:rPr>
              <w:t>0.389868</w:t>
            </w:r>
          </w:p>
        </w:tc>
        <w:tc>
          <w:tcPr>
            <w:tcW w:w="1828" w:type="dxa"/>
            <w:gridSpan w:val="2"/>
          </w:tcPr>
          <w:p>
            <w:pPr>
              <w:pStyle w:val="TableParagraph"/>
              <w:spacing w:line="161" w:lineRule="exact" w:before="0"/>
              <w:ind w:left="102"/>
              <w:jc w:val="left"/>
              <w:rPr>
                <w:sz w:val="16"/>
              </w:rPr>
            </w:pPr>
            <w:r>
              <w:rPr>
                <w:sz w:val="16"/>
              </w:rPr>
              <w:t>Akaike info criterion</w:t>
            </w:r>
          </w:p>
        </w:tc>
        <w:tc>
          <w:tcPr>
            <w:tcW w:w="715" w:type="dxa"/>
          </w:tcPr>
          <w:p>
            <w:pPr>
              <w:pStyle w:val="TableParagraph"/>
              <w:spacing w:line="161" w:lineRule="exact" w:before="0"/>
              <w:ind w:right="8"/>
              <w:rPr>
                <w:sz w:val="16"/>
              </w:rPr>
            </w:pPr>
            <w:r>
              <w:rPr>
                <w:sz w:val="16"/>
              </w:rPr>
              <w:t>0.983427</w:t>
            </w:r>
          </w:p>
        </w:tc>
      </w:tr>
      <w:tr>
        <w:trPr>
          <w:trHeight w:val="180" w:hRule="atLeast"/>
        </w:trPr>
        <w:tc>
          <w:tcPr>
            <w:tcW w:w="2410" w:type="dxa"/>
          </w:tcPr>
          <w:p>
            <w:pPr>
              <w:pStyle w:val="TableParagraph"/>
              <w:spacing w:line="161" w:lineRule="exact" w:before="0"/>
              <w:ind w:left="16"/>
              <w:jc w:val="left"/>
              <w:rPr>
                <w:sz w:val="16"/>
              </w:rPr>
            </w:pPr>
            <w:r>
              <w:rPr>
                <w:sz w:val="16"/>
              </w:rPr>
              <w:t>Sum squared resid</w:t>
            </w:r>
          </w:p>
        </w:tc>
        <w:tc>
          <w:tcPr>
            <w:tcW w:w="905" w:type="dxa"/>
          </w:tcPr>
          <w:p>
            <w:pPr>
              <w:pStyle w:val="TableParagraph"/>
              <w:spacing w:line="161" w:lineRule="exact" w:before="0"/>
              <w:ind w:left="125" w:right="72"/>
              <w:jc w:val="center"/>
              <w:rPr>
                <w:sz w:val="16"/>
              </w:rPr>
            </w:pPr>
            <w:r>
              <w:rPr>
                <w:sz w:val="16"/>
              </w:rPr>
              <w:t>44.38311</w:t>
            </w:r>
          </w:p>
        </w:tc>
        <w:tc>
          <w:tcPr>
            <w:tcW w:w="1828" w:type="dxa"/>
            <w:gridSpan w:val="2"/>
          </w:tcPr>
          <w:p>
            <w:pPr>
              <w:pStyle w:val="TableParagraph"/>
              <w:spacing w:line="161" w:lineRule="exact" w:before="0"/>
              <w:ind w:left="102"/>
              <w:jc w:val="left"/>
              <w:rPr>
                <w:sz w:val="16"/>
              </w:rPr>
            </w:pPr>
            <w:r>
              <w:rPr>
                <w:sz w:val="16"/>
              </w:rPr>
              <w:t>Schwarz criterion</w:t>
            </w:r>
          </w:p>
        </w:tc>
        <w:tc>
          <w:tcPr>
            <w:tcW w:w="715" w:type="dxa"/>
          </w:tcPr>
          <w:p>
            <w:pPr>
              <w:pStyle w:val="TableParagraph"/>
              <w:spacing w:line="161" w:lineRule="exact" w:before="0"/>
              <w:ind w:right="8"/>
              <w:rPr>
                <w:sz w:val="16"/>
              </w:rPr>
            </w:pPr>
            <w:r>
              <w:rPr>
                <w:sz w:val="16"/>
              </w:rPr>
              <w:t>1.094270</w:t>
            </w:r>
          </w:p>
        </w:tc>
      </w:tr>
      <w:tr>
        <w:trPr>
          <w:trHeight w:val="180" w:hRule="atLeast"/>
        </w:trPr>
        <w:tc>
          <w:tcPr>
            <w:tcW w:w="2410" w:type="dxa"/>
          </w:tcPr>
          <w:p>
            <w:pPr>
              <w:pStyle w:val="TableParagraph"/>
              <w:spacing w:line="161" w:lineRule="exact" w:before="0"/>
              <w:ind w:left="16"/>
              <w:jc w:val="left"/>
              <w:rPr>
                <w:sz w:val="16"/>
              </w:rPr>
            </w:pPr>
            <w:r>
              <w:rPr>
                <w:sz w:val="16"/>
              </w:rPr>
              <w:t>Log likelihood</w:t>
            </w:r>
          </w:p>
        </w:tc>
        <w:tc>
          <w:tcPr>
            <w:tcW w:w="905" w:type="dxa"/>
          </w:tcPr>
          <w:p>
            <w:pPr>
              <w:pStyle w:val="TableParagraph"/>
              <w:spacing w:line="161" w:lineRule="exact" w:before="0"/>
              <w:ind w:left="33" w:right="33"/>
              <w:jc w:val="center"/>
              <w:rPr>
                <w:sz w:val="16"/>
              </w:rPr>
            </w:pPr>
            <w:r>
              <w:rPr>
                <w:sz w:val="16"/>
              </w:rPr>
              <w:t>-139.0057</w:t>
            </w:r>
          </w:p>
        </w:tc>
        <w:tc>
          <w:tcPr>
            <w:tcW w:w="1828" w:type="dxa"/>
            <w:gridSpan w:val="2"/>
          </w:tcPr>
          <w:p>
            <w:pPr>
              <w:pStyle w:val="TableParagraph"/>
              <w:spacing w:line="161" w:lineRule="exact" w:before="0"/>
              <w:ind w:left="102"/>
              <w:jc w:val="left"/>
              <w:rPr>
                <w:sz w:val="16"/>
              </w:rPr>
            </w:pPr>
            <w:r>
              <w:rPr>
                <w:sz w:val="16"/>
              </w:rPr>
              <w:t>Hannan-Quinn criter.</w:t>
            </w:r>
          </w:p>
        </w:tc>
        <w:tc>
          <w:tcPr>
            <w:tcW w:w="715" w:type="dxa"/>
          </w:tcPr>
          <w:p>
            <w:pPr>
              <w:pStyle w:val="TableParagraph"/>
              <w:spacing w:line="161" w:lineRule="exact" w:before="0"/>
              <w:ind w:right="8"/>
              <w:rPr>
                <w:sz w:val="16"/>
              </w:rPr>
            </w:pPr>
            <w:r>
              <w:rPr>
                <w:sz w:val="16"/>
              </w:rPr>
              <w:t>1.027781</w:t>
            </w:r>
          </w:p>
        </w:tc>
      </w:tr>
      <w:tr>
        <w:trPr>
          <w:trHeight w:val="208" w:hRule="atLeast"/>
        </w:trPr>
        <w:tc>
          <w:tcPr>
            <w:tcW w:w="2410" w:type="dxa"/>
            <w:tcBorders>
              <w:bottom w:val="double" w:sz="2" w:space="0" w:color="000000"/>
            </w:tcBorders>
          </w:tcPr>
          <w:p>
            <w:pPr>
              <w:pStyle w:val="TableParagraph"/>
              <w:spacing w:line="180" w:lineRule="exact" w:before="0"/>
              <w:ind w:left="16"/>
              <w:jc w:val="left"/>
              <w:rPr>
                <w:sz w:val="16"/>
              </w:rPr>
            </w:pPr>
            <w:r>
              <w:rPr>
                <w:sz w:val="16"/>
              </w:rPr>
              <w:t>Durbin-Watson stat</w:t>
            </w:r>
          </w:p>
        </w:tc>
        <w:tc>
          <w:tcPr>
            <w:tcW w:w="905" w:type="dxa"/>
            <w:tcBorders>
              <w:bottom w:val="double" w:sz="2" w:space="0" w:color="000000"/>
            </w:tcBorders>
          </w:tcPr>
          <w:p>
            <w:pPr>
              <w:pStyle w:val="TableParagraph"/>
              <w:spacing w:line="180" w:lineRule="exact" w:before="0"/>
              <w:ind w:left="125" w:right="72"/>
              <w:jc w:val="center"/>
              <w:rPr>
                <w:sz w:val="16"/>
              </w:rPr>
            </w:pPr>
            <w:r>
              <w:rPr>
                <w:sz w:val="16"/>
              </w:rPr>
              <w:t>1.808542</w:t>
            </w:r>
          </w:p>
        </w:tc>
        <w:tc>
          <w:tcPr>
            <w:tcW w:w="1828" w:type="dxa"/>
            <w:gridSpan w:val="2"/>
            <w:tcBorders>
              <w:bottom w:val="double" w:sz="2" w:space="0" w:color="000000"/>
            </w:tcBorders>
          </w:tcPr>
          <w:p>
            <w:pPr>
              <w:pStyle w:val="TableParagraph"/>
              <w:spacing w:line="240" w:lineRule="auto" w:before="0"/>
              <w:jc w:val="left"/>
              <w:rPr>
                <w:rFonts w:ascii="Times New Roman"/>
                <w:sz w:val="14"/>
              </w:rPr>
            </w:pPr>
          </w:p>
        </w:tc>
        <w:tc>
          <w:tcPr>
            <w:tcW w:w="715" w:type="dxa"/>
            <w:tcBorders>
              <w:bottom w:val="double" w:sz="2" w:space="0" w:color="000000"/>
            </w:tcBorders>
          </w:tcPr>
          <w:p>
            <w:pPr>
              <w:pStyle w:val="TableParagraph"/>
              <w:spacing w:line="240" w:lineRule="auto" w:before="0"/>
              <w:jc w:val="left"/>
              <w:rPr>
                <w:rFonts w:ascii="Times New Roman"/>
                <w:sz w:val="14"/>
              </w:rPr>
            </w:pPr>
          </w:p>
        </w:tc>
      </w:tr>
    </w:tbl>
    <w:p>
      <w:pPr>
        <w:spacing w:after="0" w:line="240" w:lineRule="auto"/>
        <w:jc w:val="left"/>
        <w:rPr>
          <w:rFonts w:ascii="Times New Roman"/>
          <w:sz w:val="14"/>
        </w:rPr>
        <w:sectPr>
          <w:pgSz w:w="12240" w:h="15840"/>
          <w:pgMar w:header="0" w:footer="982" w:top="1500" w:bottom="1260" w:left="400" w:right="180"/>
        </w:sect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82"/>
        <w:gridCol w:w="1151"/>
        <w:gridCol w:w="672"/>
        <w:gridCol w:w="863"/>
        <w:gridCol w:w="863"/>
        <w:gridCol w:w="864"/>
        <w:gridCol w:w="722"/>
      </w:tblGrid>
      <w:tr>
        <w:trPr>
          <w:trHeight w:val="443" w:hRule="atLeast"/>
        </w:trPr>
        <w:tc>
          <w:tcPr>
            <w:tcW w:w="2833" w:type="dxa"/>
            <w:gridSpan w:val="2"/>
          </w:tcPr>
          <w:p>
            <w:pPr>
              <w:pStyle w:val="TableParagraph"/>
              <w:spacing w:line="290" w:lineRule="exact" w:before="0"/>
              <w:ind w:left="50"/>
              <w:jc w:val="left"/>
              <w:rPr>
                <w:b/>
                <w:sz w:val="26"/>
              </w:rPr>
            </w:pPr>
            <w:r>
              <w:rPr>
                <w:b/>
                <w:sz w:val="26"/>
              </w:rPr>
              <w:t>VI- Modelo Número 6</w:t>
            </w:r>
          </w:p>
        </w:tc>
        <w:tc>
          <w:tcPr>
            <w:tcW w:w="3984" w:type="dxa"/>
            <w:gridSpan w:val="5"/>
            <w:vMerge w:val="restart"/>
          </w:tcPr>
          <w:p>
            <w:pPr>
              <w:pStyle w:val="TableParagraph"/>
              <w:spacing w:line="240" w:lineRule="auto" w:before="0"/>
              <w:jc w:val="left"/>
              <w:rPr>
                <w:rFonts w:ascii="Times New Roman"/>
                <w:sz w:val="16"/>
              </w:rPr>
            </w:pPr>
          </w:p>
        </w:tc>
      </w:tr>
      <w:tr>
        <w:trPr>
          <w:trHeight w:val="596" w:hRule="atLeast"/>
        </w:trPr>
        <w:tc>
          <w:tcPr>
            <w:tcW w:w="2833" w:type="dxa"/>
            <w:gridSpan w:val="2"/>
          </w:tcPr>
          <w:p>
            <w:pPr>
              <w:pStyle w:val="TableParagraph"/>
              <w:spacing w:line="240" w:lineRule="auto" w:before="144"/>
              <w:ind w:left="50"/>
              <w:jc w:val="left"/>
              <w:rPr>
                <w:b/>
                <w:sz w:val="26"/>
              </w:rPr>
            </w:pPr>
            <w:r>
              <w:rPr>
                <w:b/>
                <w:sz w:val="26"/>
              </w:rPr>
              <w:t>A- Regresión/ACR/VIF</w:t>
            </w:r>
          </w:p>
        </w:tc>
        <w:tc>
          <w:tcPr>
            <w:tcW w:w="3984" w:type="dxa"/>
            <w:gridSpan w:val="5"/>
            <w:vMerge/>
            <w:tcBorders>
              <w:top w:val="nil"/>
            </w:tcBorders>
          </w:tcPr>
          <w:p>
            <w:pPr>
              <w:rPr>
                <w:sz w:val="2"/>
                <w:szCs w:val="2"/>
              </w:rPr>
            </w:pPr>
          </w:p>
        </w:tc>
      </w:tr>
      <w:tr>
        <w:trPr>
          <w:trHeight w:val="426" w:hRule="atLeast"/>
        </w:trPr>
        <w:tc>
          <w:tcPr>
            <w:tcW w:w="2833" w:type="dxa"/>
            <w:gridSpan w:val="2"/>
          </w:tcPr>
          <w:p>
            <w:pPr>
              <w:pStyle w:val="TableParagraph"/>
              <w:spacing w:line="240" w:lineRule="auto" w:before="154"/>
              <w:ind w:left="50"/>
              <w:jc w:val="left"/>
              <w:rPr>
                <w:rFonts w:ascii="Courier New"/>
                <w:b/>
                <w:sz w:val="16"/>
              </w:rPr>
            </w:pPr>
            <w:r>
              <w:rPr>
                <w:rFonts w:ascii="Courier New"/>
                <w:b/>
                <w:sz w:val="16"/>
              </w:rPr>
              <w:t>Analysis of Variance</w:t>
            </w:r>
          </w:p>
        </w:tc>
        <w:tc>
          <w:tcPr>
            <w:tcW w:w="3984" w:type="dxa"/>
            <w:gridSpan w:val="5"/>
            <w:vMerge/>
            <w:tcBorders>
              <w:top w:val="nil"/>
            </w:tcBorders>
          </w:tcPr>
          <w:p>
            <w:pPr>
              <w:rPr>
                <w:sz w:val="2"/>
                <w:szCs w:val="2"/>
              </w:rPr>
            </w:pPr>
          </w:p>
        </w:tc>
      </w:tr>
      <w:tr>
        <w:trPr>
          <w:trHeight w:val="272" w:hRule="atLeast"/>
        </w:trPr>
        <w:tc>
          <w:tcPr>
            <w:tcW w:w="2833" w:type="dxa"/>
            <w:gridSpan w:val="2"/>
          </w:tcPr>
          <w:p>
            <w:pPr>
              <w:pStyle w:val="TableParagraph"/>
              <w:spacing w:line="161" w:lineRule="exact"/>
              <w:ind w:left="50"/>
              <w:jc w:val="left"/>
              <w:rPr>
                <w:rFonts w:ascii="Courier New"/>
                <w:b/>
                <w:sz w:val="16"/>
              </w:rPr>
            </w:pPr>
            <w:r>
              <w:rPr>
                <w:rFonts w:ascii="Courier New"/>
                <w:b/>
                <w:sz w:val="16"/>
              </w:rPr>
              <w:t>Source</w:t>
            </w:r>
          </w:p>
        </w:tc>
        <w:tc>
          <w:tcPr>
            <w:tcW w:w="672" w:type="dxa"/>
          </w:tcPr>
          <w:p>
            <w:pPr>
              <w:pStyle w:val="TableParagraph"/>
              <w:spacing w:line="161" w:lineRule="exact"/>
              <w:ind w:left="288"/>
              <w:jc w:val="left"/>
              <w:rPr>
                <w:rFonts w:ascii="Courier New"/>
                <w:b/>
                <w:sz w:val="16"/>
              </w:rPr>
            </w:pPr>
            <w:r>
              <w:rPr>
                <w:rFonts w:ascii="Courier New"/>
                <w:b/>
                <w:sz w:val="16"/>
              </w:rPr>
              <w:t>DF</w:t>
            </w:r>
          </w:p>
        </w:tc>
        <w:tc>
          <w:tcPr>
            <w:tcW w:w="863" w:type="dxa"/>
          </w:tcPr>
          <w:p>
            <w:pPr>
              <w:pStyle w:val="TableParagraph"/>
              <w:spacing w:line="161" w:lineRule="exact"/>
              <w:ind w:left="96"/>
              <w:jc w:val="left"/>
              <w:rPr>
                <w:rFonts w:ascii="Courier New"/>
                <w:b/>
                <w:sz w:val="16"/>
              </w:rPr>
            </w:pPr>
            <w:r>
              <w:rPr>
                <w:rFonts w:ascii="Courier New"/>
                <w:b/>
                <w:sz w:val="16"/>
              </w:rPr>
              <w:t>Adj SS</w:t>
            </w:r>
          </w:p>
        </w:tc>
        <w:tc>
          <w:tcPr>
            <w:tcW w:w="863" w:type="dxa"/>
          </w:tcPr>
          <w:p>
            <w:pPr>
              <w:pStyle w:val="TableParagraph"/>
              <w:spacing w:line="161" w:lineRule="exact"/>
              <w:ind w:left="97"/>
              <w:jc w:val="left"/>
              <w:rPr>
                <w:rFonts w:ascii="Courier New"/>
                <w:b/>
                <w:sz w:val="16"/>
              </w:rPr>
            </w:pPr>
            <w:r>
              <w:rPr>
                <w:rFonts w:ascii="Courier New"/>
                <w:b/>
                <w:sz w:val="16"/>
              </w:rPr>
              <w:t>Adj MS</w:t>
            </w:r>
          </w:p>
        </w:tc>
        <w:tc>
          <w:tcPr>
            <w:tcW w:w="864" w:type="dxa"/>
          </w:tcPr>
          <w:p>
            <w:pPr>
              <w:pStyle w:val="TableParagraph"/>
              <w:spacing w:line="161" w:lineRule="exact"/>
              <w:ind w:left="2"/>
              <w:jc w:val="left"/>
              <w:rPr>
                <w:rFonts w:ascii="Courier New"/>
                <w:b/>
                <w:sz w:val="16"/>
              </w:rPr>
            </w:pPr>
            <w:r>
              <w:rPr>
                <w:rFonts w:ascii="Courier New"/>
                <w:b/>
                <w:sz w:val="16"/>
              </w:rPr>
              <w:t>F-Value</w:t>
            </w:r>
          </w:p>
        </w:tc>
        <w:tc>
          <w:tcPr>
            <w:tcW w:w="722" w:type="dxa"/>
          </w:tcPr>
          <w:p>
            <w:pPr>
              <w:pStyle w:val="TableParagraph"/>
              <w:spacing w:line="161" w:lineRule="exact"/>
              <w:ind w:right="42"/>
              <w:rPr>
                <w:rFonts w:ascii="Courier New"/>
                <w:b/>
                <w:sz w:val="16"/>
              </w:rPr>
            </w:pPr>
            <w:r>
              <w:rPr>
                <w:rFonts w:ascii="Courier New"/>
                <w:b/>
                <w:sz w:val="16"/>
              </w:rPr>
              <w:t>P-Value</w:t>
            </w:r>
          </w:p>
        </w:tc>
      </w:tr>
      <w:tr>
        <w:trPr>
          <w:trHeight w:val="180" w:hRule="atLeast"/>
        </w:trPr>
        <w:tc>
          <w:tcPr>
            <w:tcW w:w="2833" w:type="dxa"/>
            <w:gridSpan w:val="2"/>
          </w:tcPr>
          <w:p>
            <w:pPr>
              <w:pStyle w:val="TableParagraph"/>
              <w:spacing w:line="160" w:lineRule="exact" w:before="0"/>
              <w:ind w:left="50"/>
              <w:jc w:val="left"/>
              <w:rPr>
                <w:rFonts w:ascii="Courier New"/>
                <w:b/>
                <w:sz w:val="16"/>
              </w:rPr>
            </w:pPr>
            <w:r>
              <w:rPr>
                <w:rFonts w:ascii="Courier New"/>
                <w:b/>
                <w:sz w:val="16"/>
              </w:rPr>
              <w:t>Regression</w:t>
            </w:r>
          </w:p>
        </w:tc>
        <w:tc>
          <w:tcPr>
            <w:tcW w:w="672" w:type="dxa"/>
          </w:tcPr>
          <w:p>
            <w:pPr>
              <w:pStyle w:val="TableParagraph"/>
              <w:spacing w:line="160" w:lineRule="exact" w:before="0"/>
              <w:ind w:left="386"/>
              <w:jc w:val="left"/>
              <w:rPr>
                <w:rFonts w:ascii="Courier New"/>
                <w:b/>
                <w:sz w:val="16"/>
              </w:rPr>
            </w:pPr>
            <w:r>
              <w:rPr>
                <w:rFonts w:ascii="Courier New"/>
                <w:b/>
                <w:sz w:val="16"/>
              </w:rPr>
              <w:t>8</w:t>
            </w:r>
          </w:p>
        </w:tc>
        <w:tc>
          <w:tcPr>
            <w:tcW w:w="863" w:type="dxa"/>
          </w:tcPr>
          <w:p>
            <w:pPr>
              <w:pStyle w:val="TableParagraph"/>
              <w:spacing w:line="160" w:lineRule="exact" w:before="0"/>
              <w:ind w:left="2"/>
              <w:jc w:val="left"/>
              <w:rPr>
                <w:rFonts w:ascii="Courier New"/>
                <w:b/>
                <w:sz w:val="16"/>
              </w:rPr>
            </w:pPr>
            <w:r>
              <w:rPr>
                <w:rFonts w:ascii="Courier New"/>
                <w:b/>
                <w:sz w:val="16"/>
              </w:rPr>
              <w:t>22.6658</w:t>
            </w:r>
          </w:p>
        </w:tc>
        <w:tc>
          <w:tcPr>
            <w:tcW w:w="863" w:type="dxa"/>
          </w:tcPr>
          <w:p>
            <w:pPr>
              <w:pStyle w:val="TableParagraph"/>
              <w:spacing w:line="160" w:lineRule="exact" w:before="0"/>
              <w:ind w:left="2"/>
              <w:jc w:val="left"/>
              <w:rPr>
                <w:rFonts w:ascii="Courier New"/>
                <w:b/>
                <w:sz w:val="16"/>
              </w:rPr>
            </w:pPr>
            <w:r>
              <w:rPr>
                <w:rFonts w:ascii="Courier New"/>
                <w:b/>
                <w:sz w:val="16"/>
              </w:rPr>
              <w:t>2.83322</w:t>
            </w:r>
          </w:p>
        </w:tc>
        <w:tc>
          <w:tcPr>
            <w:tcW w:w="864" w:type="dxa"/>
          </w:tcPr>
          <w:p>
            <w:pPr>
              <w:pStyle w:val="TableParagraph"/>
              <w:spacing w:line="160" w:lineRule="exact" w:before="0"/>
              <w:ind w:left="195"/>
              <w:jc w:val="left"/>
              <w:rPr>
                <w:rFonts w:ascii="Courier New"/>
                <w:b/>
                <w:sz w:val="16"/>
              </w:rPr>
            </w:pPr>
            <w:r>
              <w:rPr>
                <w:rFonts w:ascii="Courier New"/>
                <w:b/>
                <w:sz w:val="16"/>
              </w:rPr>
              <w:t>11.53</w:t>
            </w:r>
          </w:p>
        </w:tc>
        <w:tc>
          <w:tcPr>
            <w:tcW w:w="722" w:type="dxa"/>
          </w:tcPr>
          <w:p>
            <w:pPr>
              <w:pStyle w:val="TableParagraph"/>
              <w:spacing w:line="160" w:lineRule="exact" w:before="0"/>
              <w:ind w:right="44"/>
              <w:rPr>
                <w:rFonts w:ascii="Courier New"/>
                <w:b/>
                <w:sz w:val="16"/>
              </w:rPr>
            </w:pPr>
            <w:r>
              <w:rPr>
                <w:rFonts w:ascii="Courier New"/>
                <w:b/>
                <w:sz w:val="16"/>
              </w:rPr>
              <w:t>0.000</w:t>
            </w:r>
          </w:p>
        </w:tc>
      </w:tr>
      <w:tr>
        <w:trPr>
          <w:trHeight w:val="182" w:hRule="atLeast"/>
        </w:trPr>
        <w:tc>
          <w:tcPr>
            <w:tcW w:w="2833" w:type="dxa"/>
            <w:gridSpan w:val="2"/>
          </w:tcPr>
          <w:p>
            <w:pPr>
              <w:pStyle w:val="TableParagraph"/>
              <w:spacing w:line="162" w:lineRule="exact" w:before="0"/>
              <w:ind w:left="241"/>
              <w:jc w:val="left"/>
              <w:rPr>
                <w:rFonts w:ascii="Courier New"/>
                <w:b/>
                <w:sz w:val="16"/>
              </w:rPr>
            </w:pPr>
            <w:r>
              <w:rPr>
                <w:rFonts w:ascii="Courier New"/>
                <w:b/>
                <w:sz w:val="16"/>
              </w:rPr>
              <w:t>Ln Area de Construccion</w:t>
            </w:r>
          </w:p>
        </w:tc>
        <w:tc>
          <w:tcPr>
            <w:tcW w:w="672" w:type="dxa"/>
          </w:tcPr>
          <w:p>
            <w:pPr>
              <w:pStyle w:val="TableParagraph"/>
              <w:spacing w:line="162" w:lineRule="exact" w:before="0"/>
              <w:ind w:left="384"/>
              <w:jc w:val="left"/>
              <w:rPr>
                <w:rFonts w:ascii="Courier New"/>
                <w:b/>
                <w:sz w:val="16"/>
              </w:rPr>
            </w:pPr>
            <w:r>
              <w:rPr>
                <w:rFonts w:ascii="Courier New"/>
                <w:b/>
                <w:sz w:val="16"/>
              </w:rPr>
              <w:t>1</w:t>
            </w:r>
          </w:p>
        </w:tc>
        <w:tc>
          <w:tcPr>
            <w:tcW w:w="863" w:type="dxa"/>
          </w:tcPr>
          <w:p>
            <w:pPr>
              <w:pStyle w:val="TableParagraph"/>
              <w:spacing w:line="162" w:lineRule="exact" w:before="0"/>
              <w:ind w:left="96"/>
              <w:jc w:val="left"/>
              <w:rPr>
                <w:rFonts w:ascii="Courier New"/>
                <w:b/>
                <w:sz w:val="16"/>
              </w:rPr>
            </w:pPr>
            <w:r>
              <w:rPr>
                <w:rFonts w:ascii="Courier New"/>
                <w:b/>
                <w:sz w:val="16"/>
              </w:rPr>
              <w:t>2.0690</w:t>
            </w:r>
          </w:p>
        </w:tc>
        <w:tc>
          <w:tcPr>
            <w:tcW w:w="863" w:type="dxa"/>
          </w:tcPr>
          <w:p>
            <w:pPr>
              <w:pStyle w:val="TableParagraph"/>
              <w:spacing w:line="162" w:lineRule="exact" w:before="0"/>
              <w:ind w:left="1"/>
              <w:jc w:val="left"/>
              <w:rPr>
                <w:rFonts w:ascii="Courier New"/>
                <w:b/>
                <w:sz w:val="16"/>
              </w:rPr>
            </w:pPr>
            <w:r>
              <w:rPr>
                <w:rFonts w:ascii="Courier New"/>
                <w:b/>
                <w:sz w:val="16"/>
              </w:rPr>
              <w:t>2.06901</w:t>
            </w:r>
          </w:p>
        </w:tc>
        <w:tc>
          <w:tcPr>
            <w:tcW w:w="864" w:type="dxa"/>
          </w:tcPr>
          <w:p>
            <w:pPr>
              <w:pStyle w:val="TableParagraph"/>
              <w:spacing w:line="162" w:lineRule="exact" w:before="0"/>
              <w:ind w:left="290"/>
              <w:jc w:val="left"/>
              <w:rPr>
                <w:rFonts w:ascii="Courier New"/>
                <w:b/>
                <w:sz w:val="16"/>
              </w:rPr>
            </w:pPr>
            <w:r>
              <w:rPr>
                <w:rFonts w:ascii="Courier New"/>
                <w:b/>
                <w:sz w:val="16"/>
              </w:rPr>
              <w:t>8.42</w:t>
            </w:r>
          </w:p>
        </w:tc>
        <w:tc>
          <w:tcPr>
            <w:tcW w:w="722" w:type="dxa"/>
          </w:tcPr>
          <w:p>
            <w:pPr>
              <w:pStyle w:val="TableParagraph"/>
              <w:spacing w:line="162" w:lineRule="exact" w:before="0"/>
              <w:ind w:right="45"/>
              <w:rPr>
                <w:rFonts w:ascii="Courier New"/>
                <w:b/>
                <w:sz w:val="16"/>
              </w:rPr>
            </w:pPr>
            <w:r>
              <w:rPr>
                <w:rFonts w:ascii="Courier New"/>
                <w:b/>
                <w:sz w:val="16"/>
              </w:rPr>
              <w:t>0.004</w:t>
            </w:r>
          </w:p>
        </w:tc>
      </w:tr>
      <w:tr>
        <w:trPr>
          <w:trHeight w:val="182" w:hRule="atLeast"/>
        </w:trPr>
        <w:tc>
          <w:tcPr>
            <w:tcW w:w="2833" w:type="dxa"/>
            <w:gridSpan w:val="2"/>
          </w:tcPr>
          <w:p>
            <w:pPr>
              <w:pStyle w:val="TableParagraph"/>
              <w:spacing w:line="161" w:lineRule="exact" w:before="1"/>
              <w:ind w:left="241"/>
              <w:jc w:val="left"/>
              <w:rPr>
                <w:rFonts w:ascii="Courier New" w:hAnsi="Courier New"/>
                <w:b/>
                <w:sz w:val="16"/>
              </w:rPr>
            </w:pPr>
            <w:r>
              <w:rPr>
                <w:rFonts w:ascii="Courier New" w:hAnsi="Courier New"/>
                <w:b/>
                <w:sz w:val="16"/>
              </w:rPr>
              <w:t>Ln Año Construccion</w:t>
            </w:r>
          </w:p>
        </w:tc>
        <w:tc>
          <w:tcPr>
            <w:tcW w:w="672" w:type="dxa"/>
          </w:tcPr>
          <w:p>
            <w:pPr>
              <w:pStyle w:val="TableParagraph"/>
              <w:spacing w:line="161" w:lineRule="exact" w:before="1"/>
              <w:ind w:left="384"/>
              <w:jc w:val="left"/>
              <w:rPr>
                <w:rFonts w:ascii="Courier New"/>
                <w:b/>
                <w:sz w:val="16"/>
              </w:rPr>
            </w:pPr>
            <w:r>
              <w:rPr>
                <w:rFonts w:ascii="Courier New"/>
                <w:b/>
                <w:sz w:val="16"/>
              </w:rPr>
              <w:t>1</w:t>
            </w:r>
          </w:p>
        </w:tc>
        <w:tc>
          <w:tcPr>
            <w:tcW w:w="863" w:type="dxa"/>
          </w:tcPr>
          <w:p>
            <w:pPr>
              <w:pStyle w:val="TableParagraph"/>
              <w:spacing w:line="161" w:lineRule="exact" w:before="1"/>
              <w:ind w:left="96"/>
              <w:jc w:val="left"/>
              <w:rPr>
                <w:rFonts w:ascii="Courier New"/>
                <w:b/>
                <w:sz w:val="16"/>
              </w:rPr>
            </w:pPr>
            <w:r>
              <w:rPr>
                <w:rFonts w:ascii="Courier New"/>
                <w:b/>
                <w:sz w:val="16"/>
              </w:rPr>
              <w:t>1.7264</w:t>
            </w:r>
          </w:p>
        </w:tc>
        <w:tc>
          <w:tcPr>
            <w:tcW w:w="863" w:type="dxa"/>
          </w:tcPr>
          <w:p>
            <w:pPr>
              <w:pStyle w:val="TableParagraph"/>
              <w:spacing w:line="161" w:lineRule="exact" w:before="1"/>
              <w:ind w:left="1"/>
              <w:jc w:val="left"/>
              <w:rPr>
                <w:rFonts w:ascii="Courier New"/>
                <w:b/>
                <w:sz w:val="16"/>
              </w:rPr>
            </w:pPr>
            <w:r>
              <w:rPr>
                <w:rFonts w:ascii="Courier New"/>
                <w:b/>
                <w:sz w:val="16"/>
              </w:rPr>
              <w:t>1.72636</w:t>
            </w:r>
          </w:p>
        </w:tc>
        <w:tc>
          <w:tcPr>
            <w:tcW w:w="864" w:type="dxa"/>
          </w:tcPr>
          <w:p>
            <w:pPr>
              <w:pStyle w:val="TableParagraph"/>
              <w:spacing w:line="161" w:lineRule="exact" w:before="1"/>
              <w:ind w:left="290"/>
              <w:jc w:val="left"/>
              <w:rPr>
                <w:rFonts w:ascii="Courier New"/>
                <w:b/>
                <w:sz w:val="16"/>
              </w:rPr>
            </w:pPr>
            <w:r>
              <w:rPr>
                <w:rFonts w:ascii="Courier New"/>
                <w:b/>
                <w:sz w:val="16"/>
              </w:rPr>
              <w:t>7.03</w:t>
            </w:r>
          </w:p>
        </w:tc>
        <w:tc>
          <w:tcPr>
            <w:tcW w:w="722" w:type="dxa"/>
          </w:tcPr>
          <w:p>
            <w:pPr>
              <w:pStyle w:val="TableParagraph"/>
              <w:spacing w:line="161" w:lineRule="exact" w:before="1"/>
              <w:ind w:right="45"/>
              <w:rPr>
                <w:rFonts w:ascii="Courier New"/>
                <w:b/>
                <w:sz w:val="16"/>
              </w:rPr>
            </w:pPr>
            <w:r>
              <w:rPr>
                <w:rFonts w:ascii="Courier New"/>
                <w:b/>
                <w:sz w:val="16"/>
              </w:rPr>
              <w:t>0.008</w:t>
            </w:r>
          </w:p>
        </w:tc>
      </w:tr>
      <w:tr>
        <w:trPr>
          <w:trHeight w:val="180" w:hRule="atLeast"/>
        </w:trPr>
        <w:tc>
          <w:tcPr>
            <w:tcW w:w="2833" w:type="dxa"/>
            <w:gridSpan w:val="2"/>
          </w:tcPr>
          <w:p>
            <w:pPr>
              <w:pStyle w:val="TableParagraph"/>
              <w:spacing w:line="160" w:lineRule="exact" w:before="0"/>
              <w:ind w:left="241"/>
              <w:jc w:val="left"/>
              <w:rPr>
                <w:rFonts w:ascii="Courier New" w:hAnsi="Courier New"/>
                <w:b/>
                <w:sz w:val="16"/>
              </w:rPr>
            </w:pPr>
            <w:r>
              <w:rPr>
                <w:rFonts w:ascii="Courier New" w:hAnsi="Courier New"/>
                <w:b/>
                <w:sz w:val="16"/>
              </w:rPr>
              <w:t>Ln Número de Plantas</w:t>
            </w:r>
          </w:p>
        </w:tc>
        <w:tc>
          <w:tcPr>
            <w:tcW w:w="672" w:type="dxa"/>
          </w:tcPr>
          <w:p>
            <w:pPr>
              <w:pStyle w:val="TableParagraph"/>
              <w:spacing w:line="160" w:lineRule="exact" w:before="0"/>
              <w:ind w:left="384"/>
              <w:jc w:val="left"/>
              <w:rPr>
                <w:rFonts w:ascii="Courier New"/>
                <w:b/>
                <w:sz w:val="16"/>
              </w:rPr>
            </w:pPr>
            <w:r>
              <w:rPr>
                <w:rFonts w:ascii="Courier New"/>
                <w:b/>
                <w:sz w:val="16"/>
              </w:rPr>
              <w:t>1</w:t>
            </w:r>
          </w:p>
        </w:tc>
        <w:tc>
          <w:tcPr>
            <w:tcW w:w="863" w:type="dxa"/>
          </w:tcPr>
          <w:p>
            <w:pPr>
              <w:pStyle w:val="TableParagraph"/>
              <w:spacing w:line="160" w:lineRule="exact" w:before="0"/>
              <w:ind w:left="96"/>
              <w:jc w:val="left"/>
              <w:rPr>
                <w:rFonts w:ascii="Courier New"/>
                <w:b/>
                <w:sz w:val="16"/>
              </w:rPr>
            </w:pPr>
            <w:r>
              <w:rPr>
                <w:rFonts w:ascii="Courier New"/>
                <w:b/>
                <w:sz w:val="16"/>
              </w:rPr>
              <w:t>1.7998</w:t>
            </w:r>
          </w:p>
        </w:tc>
        <w:tc>
          <w:tcPr>
            <w:tcW w:w="863" w:type="dxa"/>
          </w:tcPr>
          <w:p>
            <w:pPr>
              <w:pStyle w:val="TableParagraph"/>
              <w:spacing w:line="160" w:lineRule="exact" w:before="0"/>
              <w:ind w:left="1"/>
              <w:jc w:val="left"/>
              <w:rPr>
                <w:rFonts w:ascii="Courier New"/>
                <w:b/>
                <w:sz w:val="16"/>
              </w:rPr>
            </w:pPr>
            <w:r>
              <w:rPr>
                <w:rFonts w:ascii="Courier New"/>
                <w:b/>
                <w:sz w:val="16"/>
              </w:rPr>
              <w:t>1.79981</w:t>
            </w:r>
          </w:p>
        </w:tc>
        <w:tc>
          <w:tcPr>
            <w:tcW w:w="864" w:type="dxa"/>
          </w:tcPr>
          <w:p>
            <w:pPr>
              <w:pStyle w:val="TableParagraph"/>
              <w:spacing w:line="160" w:lineRule="exact" w:before="0"/>
              <w:ind w:left="290"/>
              <w:jc w:val="left"/>
              <w:rPr>
                <w:rFonts w:ascii="Courier New"/>
                <w:b/>
                <w:sz w:val="16"/>
              </w:rPr>
            </w:pPr>
            <w:r>
              <w:rPr>
                <w:rFonts w:ascii="Courier New"/>
                <w:b/>
                <w:sz w:val="16"/>
              </w:rPr>
              <w:t>7.33</w:t>
            </w:r>
          </w:p>
        </w:tc>
        <w:tc>
          <w:tcPr>
            <w:tcW w:w="722" w:type="dxa"/>
          </w:tcPr>
          <w:p>
            <w:pPr>
              <w:pStyle w:val="TableParagraph"/>
              <w:spacing w:line="160" w:lineRule="exact" w:before="0"/>
              <w:ind w:right="42"/>
              <w:rPr>
                <w:rFonts w:ascii="Courier New"/>
                <w:b/>
                <w:sz w:val="16"/>
              </w:rPr>
            </w:pPr>
            <w:r>
              <w:rPr>
                <w:rFonts w:ascii="Courier New"/>
                <w:b/>
                <w:sz w:val="16"/>
              </w:rPr>
              <w:t>0.007</w:t>
            </w:r>
          </w:p>
        </w:tc>
      </w:tr>
      <w:tr>
        <w:trPr>
          <w:trHeight w:val="180" w:hRule="atLeast"/>
        </w:trPr>
        <w:tc>
          <w:tcPr>
            <w:tcW w:w="2833" w:type="dxa"/>
            <w:gridSpan w:val="2"/>
          </w:tcPr>
          <w:p>
            <w:pPr>
              <w:pStyle w:val="TableParagraph"/>
              <w:spacing w:line="160" w:lineRule="exact" w:before="0"/>
              <w:ind w:left="241"/>
              <w:jc w:val="left"/>
              <w:rPr>
                <w:rFonts w:ascii="Courier New"/>
                <w:b/>
                <w:sz w:val="16"/>
              </w:rPr>
            </w:pPr>
            <w:r>
              <w:rPr>
                <w:rFonts w:ascii="Courier New"/>
                <w:b/>
                <w:sz w:val="16"/>
              </w:rPr>
              <w:t>Ln Distancia SJ</w:t>
            </w:r>
          </w:p>
        </w:tc>
        <w:tc>
          <w:tcPr>
            <w:tcW w:w="672" w:type="dxa"/>
          </w:tcPr>
          <w:p>
            <w:pPr>
              <w:pStyle w:val="TableParagraph"/>
              <w:spacing w:line="160" w:lineRule="exact" w:before="0"/>
              <w:ind w:left="384"/>
              <w:jc w:val="left"/>
              <w:rPr>
                <w:rFonts w:ascii="Courier New"/>
                <w:b/>
                <w:sz w:val="16"/>
              </w:rPr>
            </w:pPr>
            <w:r>
              <w:rPr>
                <w:rFonts w:ascii="Courier New"/>
                <w:b/>
                <w:sz w:val="16"/>
              </w:rPr>
              <w:t>1</w:t>
            </w:r>
          </w:p>
        </w:tc>
        <w:tc>
          <w:tcPr>
            <w:tcW w:w="863" w:type="dxa"/>
          </w:tcPr>
          <w:p>
            <w:pPr>
              <w:pStyle w:val="TableParagraph"/>
              <w:spacing w:line="160" w:lineRule="exact" w:before="0"/>
              <w:ind w:left="96"/>
              <w:jc w:val="left"/>
              <w:rPr>
                <w:rFonts w:ascii="Courier New"/>
                <w:b/>
                <w:sz w:val="16"/>
              </w:rPr>
            </w:pPr>
            <w:r>
              <w:rPr>
                <w:rFonts w:ascii="Courier New"/>
                <w:b/>
                <w:sz w:val="16"/>
              </w:rPr>
              <w:t>2.6306</w:t>
            </w:r>
          </w:p>
        </w:tc>
        <w:tc>
          <w:tcPr>
            <w:tcW w:w="863" w:type="dxa"/>
          </w:tcPr>
          <w:p>
            <w:pPr>
              <w:pStyle w:val="TableParagraph"/>
              <w:spacing w:line="160" w:lineRule="exact" w:before="0"/>
              <w:ind w:left="1"/>
              <w:jc w:val="left"/>
              <w:rPr>
                <w:rFonts w:ascii="Courier New"/>
                <w:b/>
                <w:sz w:val="16"/>
              </w:rPr>
            </w:pPr>
            <w:r>
              <w:rPr>
                <w:rFonts w:ascii="Courier New"/>
                <w:b/>
                <w:sz w:val="16"/>
              </w:rPr>
              <w:t>2.63062</w:t>
            </w:r>
          </w:p>
        </w:tc>
        <w:tc>
          <w:tcPr>
            <w:tcW w:w="864" w:type="dxa"/>
          </w:tcPr>
          <w:p>
            <w:pPr>
              <w:pStyle w:val="TableParagraph"/>
              <w:spacing w:line="160" w:lineRule="exact" w:before="0"/>
              <w:ind w:left="194"/>
              <w:jc w:val="left"/>
              <w:rPr>
                <w:rFonts w:ascii="Courier New"/>
                <w:b/>
                <w:sz w:val="16"/>
              </w:rPr>
            </w:pPr>
            <w:r>
              <w:rPr>
                <w:rFonts w:ascii="Courier New"/>
                <w:b/>
                <w:sz w:val="16"/>
              </w:rPr>
              <w:t>10.71</w:t>
            </w:r>
          </w:p>
        </w:tc>
        <w:tc>
          <w:tcPr>
            <w:tcW w:w="722" w:type="dxa"/>
          </w:tcPr>
          <w:p>
            <w:pPr>
              <w:pStyle w:val="TableParagraph"/>
              <w:spacing w:line="160" w:lineRule="exact" w:before="0"/>
              <w:ind w:right="45"/>
              <w:rPr>
                <w:rFonts w:ascii="Courier New"/>
                <w:b/>
                <w:sz w:val="16"/>
              </w:rPr>
            </w:pPr>
            <w:r>
              <w:rPr>
                <w:rFonts w:ascii="Courier New"/>
                <w:b/>
                <w:sz w:val="16"/>
              </w:rPr>
              <w:t>0.001</w:t>
            </w:r>
          </w:p>
        </w:tc>
      </w:tr>
      <w:tr>
        <w:trPr>
          <w:trHeight w:val="182" w:hRule="atLeast"/>
        </w:trPr>
        <w:tc>
          <w:tcPr>
            <w:tcW w:w="2833" w:type="dxa"/>
            <w:gridSpan w:val="2"/>
          </w:tcPr>
          <w:p>
            <w:pPr>
              <w:pStyle w:val="TableParagraph"/>
              <w:spacing w:line="162" w:lineRule="exact" w:before="0"/>
              <w:ind w:left="241"/>
              <w:jc w:val="left"/>
              <w:rPr>
                <w:rFonts w:ascii="Courier New"/>
                <w:b/>
                <w:sz w:val="16"/>
              </w:rPr>
            </w:pPr>
            <w:r>
              <w:rPr>
                <w:rFonts w:ascii="Courier New"/>
                <w:b/>
                <w:sz w:val="16"/>
              </w:rPr>
              <w:t>Ln Distancia Pobreza</w:t>
            </w:r>
          </w:p>
        </w:tc>
        <w:tc>
          <w:tcPr>
            <w:tcW w:w="672" w:type="dxa"/>
          </w:tcPr>
          <w:p>
            <w:pPr>
              <w:pStyle w:val="TableParagraph"/>
              <w:spacing w:line="162" w:lineRule="exact" w:before="0"/>
              <w:ind w:left="384"/>
              <w:jc w:val="left"/>
              <w:rPr>
                <w:rFonts w:ascii="Courier New"/>
                <w:b/>
                <w:sz w:val="16"/>
              </w:rPr>
            </w:pPr>
            <w:r>
              <w:rPr>
                <w:rFonts w:ascii="Courier New"/>
                <w:b/>
                <w:sz w:val="16"/>
              </w:rPr>
              <w:t>1</w:t>
            </w:r>
          </w:p>
        </w:tc>
        <w:tc>
          <w:tcPr>
            <w:tcW w:w="863" w:type="dxa"/>
          </w:tcPr>
          <w:p>
            <w:pPr>
              <w:pStyle w:val="TableParagraph"/>
              <w:spacing w:line="162" w:lineRule="exact" w:before="0"/>
              <w:ind w:left="96"/>
              <w:jc w:val="left"/>
              <w:rPr>
                <w:rFonts w:ascii="Courier New"/>
                <w:b/>
                <w:sz w:val="16"/>
              </w:rPr>
            </w:pPr>
            <w:r>
              <w:rPr>
                <w:rFonts w:ascii="Courier New"/>
                <w:b/>
                <w:sz w:val="16"/>
              </w:rPr>
              <w:t>2.1762</w:t>
            </w:r>
          </w:p>
        </w:tc>
        <w:tc>
          <w:tcPr>
            <w:tcW w:w="863" w:type="dxa"/>
          </w:tcPr>
          <w:p>
            <w:pPr>
              <w:pStyle w:val="TableParagraph"/>
              <w:spacing w:line="162" w:lineRule="exact" w:before="0"/>
              <w:ind w:left="1"/>
              <w:jc w:val="left"/>
              <w:rPr>
                <w:rFonts w:ascii="Courier New"/>
                <w:b/>
                <w:sz w:val="16"/>
              </w:rPr>
            </w:pPr>
            <w:r>
              <w:rPr>
                <w:rFonts w:ascii="Courier New"/>
                <w:b/>
                <w:sz w:val="16"/>
              </w:rPr>
              <w:t>2.17619</w:t>
            </w:r>
          </w:p>
        </w:tc>
        <w:tc>
          <w:tcPr>
            <w:tcW w:w="864" w:type="dxa"/>
          </w:tcPr>
          <w:p>
            <w:pPr>
              <w:pStyle w:val="TableParagraph"/>
              <w:spacing w:line="162" w:lineRule="exact" w:before="0"/>
              <w:ind w:left="290"/>
              <w:jc w:val="left"/>
              <w:rPr>
                <w:rFonts w:ascii="Courier New"/>
                <w:b/>
                <w:sz w:val="16"/>
              </w:rPr>
            </w:pPr>
            <w:r>
              <w:rPr>
                <w:rFonts w:ascii="Courier New"/>
                <w:b/>
                <w:sz w:val="16"/>
              </w:rPr>
              <w:t>8.86</w:t>
            </w:r>
          </w:p>
        </w:tc>
        <w:tc>
          <w:tcPr>
            <w:tcW w:w="722" w:type="dxa"/>
          </w:tcPr>
          <w:p>
            <w:pPr>
              <w:pStyle w:val="TableParagraph"/>
              <w:spacing w:line="162" w:lineRule="exact" w:before="0"/>
              <w:ind w:right="45"/>
              <w:rPr>
                <w:rFonts w:ascii="Courier New"/>
                <w:b/>
                <w:sz w:val="16"/>
              </w:rPr>
            </w:pPr>
            <w:r>
              <w:rPr>
                <w:rFonts w:ascii="Courier New"/>
                <w:b/>
                <w:sz w:val="16"/>
              </w:rPr>
              <w:t>0.003</w:t>
            </w:r>
          </w:p>
        </w:tc>
      </w:tr>
      <w:tr>
        <w:trPr>
          <w:trHeight w:val="181" w:hRule="atLeast"/>
        </w:trPr>
        <w:tc>
          <w:tcPr>
            <w:tcW w:w="2833" w:type="dxa"/>
            <w:gridSpan w:val="2"/>
          </w:tcPr>
          <w:p>
            <w:pPr>
              <w:pStyle w:val="TableParagraph"/>
              <w:spacing w:line="161" w:lineRule="exact" w:before="1"/>
              <w:ind w:left="241"/>
              <w:jc w:val="left"/>
              <w:rPr>
                <w:rFonts w:ascii="Courier New"/>
                <w:b/>
                <w:sz w:val="16"/>
              </w:rPr>
            </w:pPr>
            <w:r>
              <w:rPr>
                <w:rFonts w:ascii="Courier New"/>
                <w:b/>
                <w:sz w:val="16"/>
              </w:rPr>
              <w:t>Tipo = 1 casa, 0 = Condo</w:t>
            </w:r>
          </w:p>
        </w:tc>
        <w:tc>
          <w:tcPr>
            <w:tcW w:w="672" w:type="dxa"/>
          </w:tcPr>
          <w:p>
            <w:pPr>
              <w:pStyle w:val="TableParagraph"/>
              <w:spacing w:line="161" w:lineRule="exact" w:before="1"/>
              <w:ind w:left="384"/>
              <w:jc w:val="left"/>
              <w:rPr>
                <w:rFonts w:ascii="Courier New"/>
                <w:b/>
                <w:sz w:val="16"/>
              </w:rPr>
            </w:pPr>
            <w:r>
              <w:rPr>
                <w:rFonts w:ascii="Courier New"/>
                <w:b/>
                <w:sz w:val="16"/>
              </w:rPr>
              <w:t>1</w:t>
            </w:r>
          </w:p>
        </w:tc>
        <w:tc>
          <w:tcPr>
            <w:tcW w:w="863" w:type="dxa"/>
          </w:tcPr>
          <w:p>
            <w:pPr>
              <w:pStyle w:val="TableParagraph"/>
              <w:spacing w:line="161" w:lineRule="exact" w:before="1"/>
              <w:ind w:left="96"/>
              <w:jc w:val="left"/>
              <w:rPr>
                <w:rFonts w:ascii="Courier New"/>
                <w:b/>
                <w:sz w:val="16"/>
              </w:rPr>
            </w:pPr>
            <w:r>
              <w:rPr>
                <w:rFonts w:ascii="Courier New"/>
                <w:b/>
                <w:sz w:val="16"/>
              </w:rPr>
              <w:t>4.1316</w:t>
            </w:r>
          </w:p>
        </w:tc>
        <w:tc>
          <w:tcPr>
            <w:tcW w:w="863" w:type="dxa"/>
          </w:tcPr>
          <w:p>
            <w:pPr>
              <w:pStyle w:val="TableParagraph"/>
              <w:spacing w:line="161" w:lineRule="exact" w:before="1"/>
              <w:ind w:left="1"/>
              <w:jc w:val="left"/>
              <w:rPr>
                <w:rFonts w:ascii="Courier New"/>
                <w:b/>
                <w:sz w:val="16"/>
              </w:rPr>
            </w:pPr>
            <w:r>
              <w:rPr>
                <w:rFonts w:ascii="Courier New"/>
                <w:b/>
                <w:sz w:val="16"/>
              </w:rPr>
              <w:t>4.13165</w:t>
            </w:r>
          </w:p>
        </w:tc>
        <w:tc>
          <w:tcPr>
            <w:tcW w:w="864" w:type="dxa"/>
          </w:tcPr>
          <w:p>
            <w:pPr>
              <w:pStyle w:val="TableParagraph"/>
              <w:spacing w:line="161" w:lineRule="exact" w:before="1"/>
              <w:ind w:left="194"/>
              <w:jc w:val="left"/>
              <w:rPr>
                <w:rFonts w:ascii="Courier New"/>
                <w:b/>
                <w:sz w:val="16"/>
              </w:rPr>
            </w:pPr>
            <w:r>
              <w:rPr>
                <w:rFonts w:ascii="Courier New"/>
                <w:b/>
                <w:sz w:val="16"/>
              </w:rPr>
              <w:t>16.82</w:t>
            </w:r>
          </w:p>
        </w:tc>
        <w:tc>
          <w:tcPr>
            <w:tcW w:w="722" w:type="dxa"/>
          </w:tcPr>
          <w:p>
            <w:pPr>
              <w:pStyle w:val="TableParagraph"/>
              <w:spacing w:line="161" w:lineRule="exact" w:before="1"/>
              <w:ind w:right="45"/>
              <w:rPr>
                <w:rFonts w:ascii="Courier New"/>
                <w:b/>
                <w:sz w:val="16"/>
              </w:rPr>
            </w:pPr>
            <w:r>
              <w:rPr>
                <w:rFonts w:ascii="Courier New"/>
                <w:b/>
                <w:sz w:val="16"/>
              </w:rPr>
              <w:t>0.000</w:t>
            </w:r>
          </w:p>
        </w:tc>
      </w:tr>
      <w:tr>
        <w:trPr>
          <w:trHeight w:val="180" w:hRule="atLeast"/>
        </w:trPr>
        <w:tc>
          <w:tcPr>
            <w:tcW w:w="2833" w:type="dxa"/>
            <w:gridSpan w:val="2"/>
          </w:tcPr>
          <w:p>
            <w:pPr>
              <w:pStyle w:val="TableParagraph"/>
              <w:spacing w:line="160" w:lineRule="exact" w:before="0"/>
              <w:ind w:left="241" w:right="-15"/>
              <w:jc w:val="left"/>
              <w:rPr>
                <w:rFonts w:ascii="Courier New"/>
                <w:b/>
                <w:sz w:val="16"/>
              </w:rPr>
            </w:pPr>
            <w:r>
              <w:rPr>
                <w:rFonts w:ascii="Courier New"/>
                <w:b/>
                <w:sz w:val="16"/>
              </w:rPr>
              <w:t>Zona de Riesgo de</w:t>
            </w:r>
            <w:r>
              <w:rPr>
                <w:rFonts w:ascii="Courier New"/>
                <w:b/>
                <w:spacing w:val="-21"/>
                <w:sz w:val="16"/>
              </w:rPr>
              <w:t> </w:t>
            </w:r>
            <w:r>
              <w:rPr>
                <w:rFonts w:ascii="Courier New"/>
                <w:b/>
                <w:sz w:val="16"/>
              </w:rPr>
              <w:t>desastre</w:t>
            </w:r>
          </w:p>
        </w:tc>
        <w:tc>
          <w:tcPr>
            <w:tcW w:w="672" w:type="dxa"/>
          </w:tcPr>
          <w:p>
            <w:pPr>
              <w:pStyle w:val="TableParagraph"/>
              <w:spacing w:line="160" w:lineRule="exact" w:before="0"/>
              <w:ind w:left="384"/>
              <w:jc w:val="left"/>
              <w:rPr>
                <w:rFonts w:ascii="Courier New"/>
                <w:b/>
                <w:sz w:val="16"/>
              </w:rPr>
            </w:pPr>
            <w:r>
              <w:rPr>
                <w:rFonts w:ascii="Courier New"/>
                <w:b/>
                <w:sz w:val="16"/>
              </w:rPr>
              <w:t>1</w:t>
            </w:r>
          </w:p>
        </w:tc>
        <w:tc>
          <w:tcPr>
            <w:tcW w:w="863" w:type="dxa"/>
          </w:tcPr>
          <w:p>
            <w:pPr>
              <w:pStyle w:val="TableParagraph"/>
              <w:spacing w:line="160" w:lineRule="exact" w:before="0"/>
              <w:ind w:left="98"/>
              <w:jc w:val="left"/>
              <w:rPr>
                <w:rFonts w:ascii="Courier New"/>
                <w:b/>
                <w:sz w:val="16"/>
              </w:rPr>
            </w:pPr>
            <w:r>
              <w:rPr>
                <w:rFonts w:ascii="Courier New"/>
                <w:b/>
                <w:sz w:val="16"/>
              </w:rPr>
              <w:t>0.0668</w:t>
            </w:r>
          </w:p>
        </w:tc>
        <w:tc>
          <w:tcPr>
            <w:tcW w:w="863" w:type="dxa"/>
          </w:tcPr>
          <w:p>
            <w:pPr>
              <w:pStyle w:val="TableParagraph"/>
              <w:spacing w:line="160" w:lineRule="exact" w:before="0"/>
              <w:ind w:left="3"/>
              <w:jc w:val="left"/>
              <w:rPr>
                <w:rFonts w:ascii="Courier New"/>
                <w:b/>
                <w:sz w:val="16"/>
              </w:rPr>
            </w:pPr>
            <w:r>
              <w:rPr>
                <w:rFonts w:ascii="Courier New"/>
                <w:b/>
                <w:sz w:val="16"/>
              </w:rPr>
              <w:t>0.06683</w:t>
            </w:r>
          </w:p>
        </w:tc>
        <w:tc>
          <w:tcPr>
            <w:tcW w:w="864" w:type="dxa"/>
          </w:tcPr>
          <w:p>
            <w:pPr>
              <w:pStyle w:val="TableParagraph"/>
              <w:spacing w:line="160" w:lineRule="exact" w:before="0"/>
              <w:ind w:left="291"/>
              <w:jc w:val="left"/>
              <w:rPr>
                <w:rFonts w:ascii="Courier New"/>
                <w:b/>
                <w:sz w:val="16"/>
              </w:rPr>
            </w:pPr>
            <w:r>
              <w:rPr>
                <w:rFonts w:ascii="Courier New"/>
                <w:b/>
                <w:sz w:val="16"/>
              </w:rPr>
              <w:t>0.27</w:t>
            </w:r>
          </w:p>
        </w:tc>
        <w:tc>
          <w:tcPr>
            <w:tcW w:w="722" w:type="dxa"/>
          </w:tcPr>
          <w:p>
            <w:pPr>
              <w:pStyle w:val="TableParagraph"/>
              <w:spacing w:line="160" w:lineRule="exact" w:before="0"/>
              <w:ind w:right="44"/>
              <w:rPr>
                <w:rFonts w:ascii="Courier New"/>
                <w:b/>
                <w:sz w:val="16"/>
              </w:rPr>
            </w:pPr>
            <w:r>
              <w:rPr>
                <w:rFonts w:ascii="Courier New"/>
                <w:b/>
                <w:sz w:val="16"/>
              </w:rPr>
              <w:t>0.602</w:t>
            </w:r>
          </w:p>
        </w:tc>
      </w:tr>
      <w:tr>
        <w:trPr>
          <w:trHeight w:val="182" w:hRule="atLeast"/>
        </w:trPr>
        <w:tc>
          <w:tcPr>
            <w:tcW w:w="2833" w:type="dxa"/>
            <w:gridSpan w:val="2"/>
          </w:tcPr>
          <w:p>
            <w:pPr>
              <w:pStyle w:val="TableParagraph"/>
              <w:spacing w:line="162" w:lineRule="exact" w:before="0"/>
              <w:ind w:left="241"/>
              <w:jc w:val="left"/>
              <w:rPr>
                <w:rFonts w:ascii="Courier New"/>
                <w:b/>
                <w:sz w:val="16"/>
              </w:rPr>
            </w:pPr>
            <w:r>
              <w:rPr>
                <w:rFonts w:ascii="Courier New"/>
                <w:b/>
                <w:sz w:val="16"/>
              </w:rPr>
              <w:t>Vista a la Carpintera</w:t>
            </w:r>
          </w:p>
        </w:tc>
        <w:tc>
          <w:tcPr>
            <w:tcW w:w="672" w:type="dxa"/>
          </w:tcPr>
          <w:p>
            <w:pPr>
              <w:pStyle w:val="TableParagraph"/>
              <w:spacing w:line="162" w:lineRule="exact" w:before="0"/>
              <w:ind w:left="384"/>
              <w:jc w:val="left"/>
              <w:rPr>
                <w:rFonts w:ascii="Courier New"/>
                <w:b/>
                <w:sz w:val="16"/>
              </w:rPr>
            </w:pPr>
            <w:r>
              <w:rPr>
                <w:rFonts w:ascii="Courier New"/>
                <w:b/>
                <w:sz w:val="16"/>
              </w:rPr>
              <w:t>1</w:t>
            </w:r>
          </w:p>
        </w:tc>
        <w:tc>
          <w:tcPr>
            <w:tcW w:w="863" w:type="dxa"/>
          </w:tcPr>
          <w:p>
            <w:pPr>
              <w:pStyle w:val="TableParagraph"/>
              <w:spacing w:line="162" w:lineRule="exact" w:before="0"/>
              <w:ind w:left="96"/>
              <w:jc w:val="left"/>
              <w:rPr>
                <w:rFonts w:ascii="Courier New"/>
                <w:b/>
                <w:sz w:val="16"/>
              </w:rPr>
            </w:pPr>
            <w:r>
              <w:rPr>
                <w:rFonts w:ascii="Courier New"/>
                <w:b/>
                <w:sz w:val="16"/>
              </w:rPr>
              <w:t>1.0538</w:t>
            </w:r>
          </w:p>
        </w:tc>
        <w:tc>
          <w:tcPr>
            <w:tcW w:w="863" w:type="dxa"/>
          </w:tcPr>
          <w:p>
            <w:pPr>
              <w:pStyle w:val="TableParagraph"/>
              <w:spacing w:line="162" w:lineRule="exact" w:before="0"/>
              <w:ind w:left="1"/>
              <w:jc w:val="left"/>
              <w:rPr>
                <w:rFonts w:ascii="Courier New"/>
                <w:b/>
                <w:sz w:val="16"/>
              </w:rPr>
            </w:pPr>
            <w:r>
              <w:rPr>
                <w:rFonts w:ascii="Courier New"/>
                <w:b/>
                <w:sz w:val="16"/>
              </w:rPr>
              <w:t>1.05382</w:t>
            </w:r>
          </w:p>
        </w:tc>
        <w:tc>
          <w:tcPr>
            <w:tcW w:w="864" w:type="dxa"/>
          </w:tcPr>
          <w:p>
            <w:pPr>
              <w:pStyle w:val="TableParagraph"/>
              <w:spacing w:line="162" w:lineRule="exact" w:before="0"/>
              <w:ind w:left="290"/>
              <w:jc w:val="left"/>
              <w:rPr>
                <w:rFonts w:ascii="Courier New"/>
                <w:b/>
                <w:sz w:val="16"/>
              </w:rPr>
            </w:pPr>
            <w:r>
              <w:rPr>
                <w:rFonts w:ascii="Courier New"/>
                <w:b/>
                <w:sz w:val="16"/>
              </w:rPr>
              <w:t>4.29</w:t>
            </w:r>
          </w:p>
        </w:tc>
        <w:tc>
          <w:tcPr>
            <w:tcW w:w="722" w:type="dxa"/>
          </w:tcPr>
          <w:p>
            <w:pPr>
              <w:pStyle w:val="TableParagraph"/>
              <w:spacing w:line="162" w:lineRule="exact" w:before="0"/>
              <w:ind w:right="45"/>
              <w:rPr>
                <w:rFonts w:ascii="Courier New"/>
                <w:b/>
                <w:sz w:val="16"/>
              </w:rPr>
            </w:pPr>
            <w:r>
              <w:rPr>
                <w:rFonts w:ascii="Courier New"/>
                <w:b/>
                <w:sz w:val="16"/>
              </w:rPr>
              <w:t>0.039</w:t>
            </w:r>
          </w:p>
        </w:tc>
      </w:tr>
      <w:tr>
        <w:trPr>
          <w:trHeight w:val="182" w:hRule="atLeast"/>
        </w:trPr>
        <w:tc>
          <w:tcPr>
            <w:tcW w:w="2833" w:type="dxa"/>
            <w:gridSpan w:val="2"/>
          </w:tcPr>
          <w:p>
            <w:pPr>
              <w:pStyle w:val="TableParagraph"/>
              <w:spacing w:line="161" w:lineRule="exact" w:before="1"/>
              <w:ind w:left="50"/>
              <w:jc w:val="left"/>
              <w:rPr>
                <w:rFonts w:ascii="Courier New"/>
                <w:b/>
                <w:sz w:val="16"/>
              </w:rPr>
            </w:pPr>
            <w:r>
              <w:rPr>
                <w:rFonts w:ascii="Courier New"/>
                <w:b/>
                <w:sz w:val="16"/>
              </w:rPr>
              <w:t>Error</w:t>
            </w:r>
          </w:p>
        </w:tc>
        <w:tc>
          <w:tcPr>
            <w:tcW w:w="672" w:type="dxa"/>
          </w:tcPr>
          <w:p>
            <w:pPr>
              <w:pStyle w:val="TableParagraph"/>
              <w:spacing w:line="161" w:lineRule="exact" w:before="1"/>
              <w:ind w:left="192"/>
              <w:jc w:val="left"/>
              <w:rPr>
                <w:rFonts w:ascii="Courier New"/>
                <w:b/>
                <w:sz w:val="16"/>
              </w:rPr>
            </w:pPr>
            <w:r>
              <w:rPr>
                <w:rFonts w:ascii="Courier New"/>
                <w:b/>
                <w:sz w:val="16"/>
              </w:rPr>
              <w:t>292</w:t>
            </w:r>
          </w:p>
        </w:tc>
        <w:tc>
          <w:tcPr>
            <w:tcW w:w="863" w:type="dxa"/>
          </w:tcPr>
          <w:p>
            <w:pPr>
              <w:pStyle w:val="TableParagraph"/>
              <w:spacing w:line="161" w:lineRule="exact" w:before="1"/>
              <w:jc w:val="left"/>
              <w:rPr>
                <w:rFonts w:ascii="Courier New"/>
                <w:b/>
                <w:sz w:val="16"/>
              </w:rPr>
            </w:pPr>
            <w:r>
              <w:rPr>
                <w:rFonts w:ascii="Courier New"/>
                <w:b/>
                <w:sz w:val="16"/>
              </w:rPr>
              <w:t>71.7238</w:t>
            </w:r>
          </w:p>
        </w:tc>
        <w:tc>
          <w:tcPr>
            <w:tcW w:w="863" w:type="dxa"/>
          </w:tcPr>
          <w:p>
            <w:pPr>
              <w:pStyle w:val="TableParagraph"/>
              <w:spacing w:line="161" w:lineRule="exact" w:before="1"/>
              <w:ind w:left="1"/>
              <w:jc w:val="left"/>
              <w:rPr>
                <w:rFonts w:ascii="Courier New"/>
                <w:b/>
                <w:sz w:val="16"/>
              </w:rPr>
            </w:pPr>
            <w:r>
              <w:rPr>
                <w:rFonts w:ascii="Courier New"/>
                <w:b/>
                <w:sz w:val="16"/>
              </w:rPr>
              <w:t>0.24563</w:t>
            </w:r>
          </w:p>
        </w:tc>
        <w:tc>
          <w:tcPr>
            <w:tcW w:w="864" w:type="dxa"/>
          </w:tcPr>
          <w:p>
            <w:pPr>
              <w:pStyle w:val="TableParagraph"/>
              <w:spacing w:line="240" w:lineRule="auto" w:before="0"/>
              <w:jc w:val="left"/>
              <w:rPr>
                <w:rFonts w:ascii="Times New Roman"/>
                <w:sz w:val="12"/>
              </w:rPr>
            </w:pPr>
          </w:p>
        </w:tc>
        <w:tc>
          <w:tcPr>
            <w:tcW w:w="722" w:type="dxa"/>
          </w:tcPr>
          <w:p>
            <w:pPr>
              <w:pStyle w:val="TableParagraph"/>
              <w:spacing w:line="240" w:lineRule="auto" w:before="0"/>
              <w:jc w:val="left"/>
              <w:rPr>
                <w:rFonts w:ascii="Times New Roman"/>
                <w:sz w:val="12"/>
              </w:rPr>
            </w:pPr>
          </w:p>
        </w:tc>
      </w:tr>
      <w:tr>
        <w:trPr>
          <w:trHeight w:val="180" w:hRule="atLeast"/>
        </w:trPr>
        <w:tc>
          <w:tcPr>
            <w:tcW w:w="2833" w:type="dxa"/>
            <w:gridSpan w:val="2"/>
          </w:tcPr>
          <w:p>
            <w:pPr>
              <w:pStyle w:val="TableParagraph"/>
              <w:spacing w:line="160" w:lineRule="exact" w:before="0"/>
              <w:ind w:left="241"/>
              <w:jc w:val="left"/>
              <w:rPr>
                <w:rFonts w:ascii="Courier New"/>
                <w:b/>
                <w:sz w:val="16"/>
              </w:rPr>
            </w:pPr>
            <w:r>
              <w:rPr>
                <w:rFonts w:ascii="Courier New"/>
                <w:b/>
                <w:sz w:val="16"/>
              </w:rPr>
              <w:t>Lack-of-Fit</w:t>
            </w:r>
          </w:p>
        </w:tc>
        <w:tc>
          <w:tcPr>
            <w:tcW w:w="672" w:type="dxa"/>
          </w:tcPr>
          <w:p>
            <w:pPr>
              <w:pStyle w:val="TableParagraph"/>
              <w:spacing w:line="160" w:lineRule="exact" w:before="0"/>
              <w:ind w:left="193"/>
              <w:jc w:val="left"/>
              <w:rPr>
                <w:rFonts w:ascii="Courier New"/>
                <w:b/>
                <w:sz w:val="16"/>
              </w:rPr>
            </w:pPr>
            <w:r>
              <w:rPr>
                <w:rFonts w:ascii="Courier New"/>
                <w:b/>
                <w:sz w:val="16"/>
              </w:rPr>
              <w:t>287</w:t>
            </w:r>
          </w:p>
        </w:tc>
        <w:tc>
          <w:tcPr>
            <w:tcW w:w="863" w:type="dxa"/>
          </w:tcPr>
          <w:p>
            <w:pPr>
              <w:pStyle w:val="TableParagraph"/>
              <w:spacing w:line="160" w:lineRule="exact" w:before="0"/>
              <w:ind w:left="1"/>
              <w:jc w:val="left"/>
              <w:rPr>
                <w:rFonts w:ascii="Courier New"/>
                <w:b/>
                <w:sz w:val="16"/>
              </w:rPr>
            </w:pPr>
            <w:r>
              <w:rPr>
                <w:rFonts w:ascii="Courier New"/>
                <w:b/>
                <w:sz w:val="16"/>
              </w:rPr>
              <w:t>70.6503</w:t>
            </w:r>
          </w:p>
        </w:tc>
        <w:tc>
          <w:tcPr>
            <w:tcW w:w="863" w:type="dxa"/>
          </w:tcPr>
          <w:p>
            <w:pPr>
              <w:pStyle w:val="TableParagraph"/>
              <w:spacing w:line="160" w:lineRule="exact" w:before="0"/>
              <w:ind w:left="2"/>
              <w:jc w:val="left"/>
              <w:rPr>
                <w:rFonts w:ascii="Courier New"/>
                <w:b/>
                <w:sz w:val="16"/>
              </w:rPr>
            </w:pPr>
            <w:r>
              <w:rPr>
                <w:rFonts w:ascii="Courier New"/>
                <w:b/>
                <w:sz w:val="16"/>
              </w:rPr>
              <w:t>0.24617</w:t>
            </w:r>
          </w:p>
        </w:tc>
        <w:tc>
          <w:tcPr>
            <w:tcW w:w="864" w:type="dxa"/>
          </w:tcPr>
          <w:p>
            <w:pPr>
              <w:pStyle w:val="TableParagraph"/>
              <w:spacing w:line="160" w:lineRule="exact" w:before="0"/>
              <w:ind w:left="291"/>
              <w:jc w:val="left"/>
              <w:rPr>
                <w:rFonts w:ascii="Courier New"/>
                <w:b/>
                <w:sz w:val="16"/>
              </w:rPr>
            </w:pPr>
            <w:r>
              <w:rPr>
                <w:rFonts w:ascii="Courier New"/>
                <w:b/>
                <w:sz w:val="16"/>
              </w:rPr>
              <w:t>1.15</w:t>
            </w:r>
          </w:p>
        </w:tc>
        <w:tc>
          <w:tcPr>
            <w:tcW w:w="722" w:type="dxa"/>
          </w:tcPr>
          <w:p>
            <w:pPr>
              <w:pStyle w:val="TableParagraph"/>
              <w:spacing w:line="160" w:lineRule="exact" w:before="0"/>
              <w:ind w:right="44"/>
              <w:rPr>
                <w:rFonts w:ascii="Courier New"/>
                <w:b/>
                <w:sz w:val="16"/>
              </w:rPr>
            </w:pPr>
            <w:r>
              <w:rPr>
                <w:rFonts w:ascii="Courier New"/>
                <w:b/>
                <w:sz w:val="16"/>
              </w:rPr>
              <w:t>0.500</w:t>
            </w:r>
          </w:p>
        </w:tc>
      </w:tr>
      <w:tr>
        <w:trPr>
          <w:trHeight w:val="182" w:hRule="atLeast"/>
        </w:trPr>
        <w:tc>
          <w:tcPr>
            <w:tcW w:w="2833" w:type="dxa"/>
            <w:gridSpan w:val="2"/>
          </w:tcPr>
          <w:p>
            <w:pPr>
              <w:pStyle w:val="TableParagraph"/>
              <w:spacing w:line="162" w:lineRule="exact" w:before="0"/>
              <w:ind w:left="241"/>
              <w:jc w:val="left"/>
              <w:rPr>
                <w:rFonts w:ascii="Courier New"/>
                <w:b/>
                <w:sz w:val="16"/>
              </w:rPr>
            </w:pPr>
            <w:r>
              <w:rPr>
                <w:rFonts w:ascii="Courier New"/>
                <w:b/>
                <w:sz w:val="16"/>
              </w:rPr>
              <w:t>Pure Error</w:t>
            </w:r>
          </w:p>
        </w:tc>
        <w:tc>
          <w:tcPr>
            <w:tcW w:w="672" w:type="dxa"/>
          </w:tcPr>
          <w:p>
            <w:pPr>
              <w:pStyle w:val="TableParagraph"/>
              <w:spacing w:line="162" w:lineRule="exact" w:before="0"/>
              <w:ind w:left="386"/>
              <w:jc w:val="left"/>
              <w:rPr>
                <w:rFonts w:ascii="Courier New"/>
                <w:b/>
                <w:sz w:val="16"/>
              </w:rPr>
            </w:pPr>
            <w:r>
              <w:rPr>
                <w:rFonts w:ascii="Courier New"/>
                <w:b/>
                <w:sz w:val="16"/>
              </w:rPr>
              <w:t>5</w:t>
            </w:r>
          </w:p>
        </w:tc>
        <w:tc>
          <w:tcPr>
            <w:tcW w:w="863" w:type="dxa"/>
          </w:tcPr>
          <w:p>
            <w:pPr>
              <w:pStyle w:val="TableParagraph"/>
              <w:spacing w:line="162" w:lineRule="exact" w:before="0"/>
              <w:ind w:left="98"/>
              <w:jc w:val="left"/>
              <w:rPr>
                <w:rFonts w:ascii="Courier New"/>
                <w:b/>
                <w:sz w:val="16"/>
              </w:rPr>
            </w:pPr>
            <w:r>
              <w:rPr>
                <w:rFonts w:ascii="Courier New"/>
                <w:b/>
                <w:sz w:val="16"/>
              </w:rPr>
              <w:t>1.0735</w:t>
            </w:r>
          </w:p>
        </w:tc>
        <w:tc>
          <w:tcPr>
            <w:tcW w:w="863" w:type="dxa"/>
          </w:tcPr>
          <w:p>
            <w:pPr>
              <w:pStyle w:val="TableParagraph"/>
              <w:spacing w:line="162" w:lineRule="exact" w:before="0"/>
              <w:ind w:left="2"/>
              <w:jc w:val="left"/>
              <w:rPr>
                <w:rFonts w:ascii="Courier New"/>
                <w:b/>
                <w:sz w:val="16"/>
              </w:rPr>
            </w:pPr>
            <w:r>
              <w:rPr>
                <w:rFonts w:ascii="Courier New"/>
                <w:b/>
                <w:sz w:val="16"/>
              </w:rPr>
              <w:t>0.21470</w:t>
            </w:r>
          </w:p>
        </w:tc>
        <w:tc>
          <w:tcPr>
            <w:tcW w:w="864" w:type="dxa"/>
          </w:tcPr>
          <w:p>
            <w:pPr>
              <w:pStyle w:val="TableParagraph"/>
              <w:spacing w:line="240" w:lineRule="auto" w:before="0"/>
              <w:jc w:val="left"/>
              <w:rPr>
                <w:rFonts w:ascii="Times New Roman"/>
                <w:sz w:val="12"/>
              </w:rPr>
            </w:pPr>
          </w:p>
        </w:tc>
        <w:tc>
          <w:tcPr>
            <w:tcW w:w="722" w:type="dxa"/>
          </w:tcPr>
          <w:p>
            <w:pPr>
              <w:pStyle w:val="TableParagraph"/>
              <w:spacing w:line="240" w:lineRule="auto" w:before="0"/>
              <w:jc w:val="left"/>
              <w:rPr>
                <w:rFonts w:ascii="Times New Roman"/>
                <w:sz w:val="12"/>
              </w:rPr>
            </w:pPr>
          </w:p>
        </w:tc>
      </w:tr>
      <w:tr>
        <w:trPr>
          <w:trHeight w:val="272" w:hRule="atLeast"/>
        </w:trPr>
        <w:tc>
          <w:tcPr>
            <w:tcW w:w="2833" w:type="dxa"/>
            <w:gridSpan w:val="2"/>
          </w:tcPr>
          <w:p>
            <w:pPr>
              <w:pStyle w:val="TableParagraph"/>
              <w:spacing w:line="240" w:lineRule="auto" w:before="1"/>
              <w:ind w:left="50"/>
              <w:jc w:val="left"/>
              <w:rPr>
                <w:rFonts w:ascii="Courier New"/>
                <w:b/>
                <w:sz w:val="16"/>
              </w:rPr>
            </w:pPr>
            <w:r>
              <w:rPr>
                <w:rFonts w:ascii="Courier New"/>
                <w:b/>
                <w:sz w:val="16"/>
              </w:rPr>
              <w:t>Total</w:t>
            </w:r>
          </w:p>
        </w:tc>
        <w:tc>
          <w:tcPr>
            <w:tcW w:w="672" w:type="dxa"/>
          </w:tcPr>
          <w:p>
            <w:pPr>
              <w:pStyle w:val="TableParagraph"/>
              <w:spacing w:line="240" w:lineRule="auto" w:before="1"/>
              <w:ind w:left="192"/>
              <w:jc w:val="left"/>
              <w:rPr>
                <w:rFonts w:ascii="Courier New"/>
                <w:b/>
                <w:sz w:val="16"/>
              </w:rPr>
            </w:pPr>
            <w:r>
              <w:rPr>
                <w:rFonts w:ascii="Courier New"/>
                <w:b/>
                <w:sz w:val="16"/>
              </w:rPr>
              <w:t>300</w:t>
            </w:r>
          </w:p>
        </w:tc>
        <w:tc>
          <w:tcPr>
            <w:tcW w:w="863" w:type="dxa"/>
          </w:tcPr>
          <w:p>
            <w:pPr>
              <w:pStyle w:val="TableParagraph"/>
              <w:spacing w:line="240" w:lineRule="auto" w:before="1"/>
              <w:jc w:val="left"/>
              <w:rPr>
                <w:rFonts w:ascii="Courier New"/>
                <w:b/>
                <w:sz w:val="16"/>
              </w:rPr>
            </w:pPr>
            <w:r>
              <w:rPr>
                <w:rFonts w:ascii="Courier New"/>
                <w:b/>
                <w:sz w:val="16"/>
              </w:rPr>
              <w:t>94.3895</w:t>
            </w:r>
          </w:p>
        </w:tc>
        <w:tc>
          <w:tcPr>
            <w:tcW w:w="863"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722" w:type="dxa"/>
          </w:tcPr>
          <w:p>
            <w:pPr>
              <w:pStyle w:val="TableParagraph"/>
              <w:spacing w:line="240" w:lineRule="auto" w:before="0"/>
              <w:jc w:val="left"/>
              <w:rPr>
                <w:rFonts w:ascii="Times New Roman"/>
                <w:sz w:val="16"/>
              </w:rPr>
            </w:pPr>
          </w:p>
        </w:tc>
      </w:tr>
      <w:tr>
        <w:trPr>
          <w:trHeight w:val="270" w:hRule="atLeast"/>
        </w:trPr>
        <w:tc>
          <w:tcPr>
            <w:tcW w:w="2833" w:type="dxa"/>
            <w:gridSpan w:val="2"/>
          </w:tcPr>
          <w:p>
            <w:pPr>
              <w:pStyle w:val="TableParagraph"/>
              <w:spacing w:line="161" w:lineRule="exact" w:before="89"/>
              <w:ind w:left="50"/>
              <w:jc w:val="left"/>
              <w:rPr>
                <w:rFonts w:ascii="Courier New"/>
                <w:b/>
                <w:sz w:val="16"/>
              </w:rPr>
            </w:pPr>
            <w:r>
              <w:rPr>
                <w:rFonts w:ascii="Courier New"/>
                <w:b/>
                <w:sz w:val="16"/>
              </w:rPr>
              <w:t>Model Summary</w:t>
            </w:r>
          </w:p>
        </w:tc>
        <w:tc>
          <w:tcPr>
            <w:tcW w:w="672" w:type="dxa"/>
          </w:tcPr>
          <w:p>
            <w:pPr>
              <w:pStyle w:val="TableParagraph"/>
              <w:spacing w:line="240" w:lineRule="auto" w:before="0"/>
              <w:jc w:val="left"/>
              <w:rPr>
                <w:rFonts w:ascii="Times New Roman"/>
                <w:sz w:val="16"/>
              </w:rPr>
            </w:pPr>
          </w:p>
        </w:tc>
        <w:tc>
          <w:tcPr>
            <w:tcW w:w="863" w:type="dxa"/>
          </w:tcPr>
          <w:p>
            <w:pPr>
              <w:pStyle w:val="TableParagraph"/>
              <w:spacing w:line="240" w:lineRule="auto" w:before="0"/>
              <w:jc w:val="left"/>
              <w:rPr>
                <w:rFonts w:ascii="Times New Roman"/>
                <w:sz w:val="16"/>
              </w:rPr>
            </w:pPr>
          </w:p>
        </w:tc>
        <w:tc>
          <w:tcPr>
            <w:tcW w:w="863"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722" w:type="dxa"/>
          </w:tcPr>
          <w:p>
            <w:pPr>
              <w:pStyle w:val="TableParagraph"/>
              <w:spacing w:line="240" w:lineRule="auto" w:before="0"/>
              <w:jc w:val="left"/>
              <w:rPr>
                <w:rFonts w:ascii="Times New Roman"/>
                <w:sz w:val="16"/>
              </w:rPr>
            </w:pPr>
          </w:p>
        </w:tc>
      </w:tr>
      <w:tr>
        <w:trPr>
          <w:trHeight w:val="363" w:hRule="atLeast"/>
        </w:trPr>
        <w:tc>
          <w:tcPr>
            <w:tcW w:w="1682" w:type="dxa"/>
          </w:tcPr>
          <w:p>
            <w:pPr>
              <w:pStyle w:val="TableParagraph"/>
              <w:spacing w:line="240" w:lineRule="auto" w:before="10"/>
              <w:jc w:val="left"/>
              <w:rPr>
                <w:sz w:val="15"/>
              </w:rPr>
            </w:pPr>
          </w:p>
          <w:p>
            <w:pPr>
              <w:pStyle w:val="TableParagraph"/>
              <w:tabs>
                <w:tab w:pos="479" w:val="left" w:leader="none"/>
              </w:tabs>
              <w:spacing w:line="161" w:lineRule="exact" w:before="0"/>
              <w:ind w:right="93"/>
              <w:rPr>
                <w:rFonts w:ascii="Courier New"/>
                <w:b/>
                <w:sz w:val="16"/>
              </w:rPr>
            </w:pPr>
            <w:r>
              <w:rPr>
                <w:rFonts w:ascii="Courier New"/>
                <w:b/>
                <w:sz w:val="16"/>
              </w:rPr>
              <w:t>S</w:t>
              <w:tab/>
            </w:r>
            <w:r>
              <w:rPr>
                <w:rFonts w:ascii="Courier New"/>
                <w:b/>
                <w:spacing w:val="-1"/>
                <w:sz w:val="16"/>
              </w:rPr>
              <w:t>R-sq</w:t>
            </w:r>
          </w:p>
        </w:tc>
        <w:tc>
          <w:tcPr>
            <w:tcW w:w="1151" w:type="dxa"/>
          </w:tcPr>
          <w:p>
            <w:pPr>
              <w:pStyle w:val="TableParagraph"/>
              <w:spacing w:line="240" w:lineRule="auto" w:before="10"/>
              <w:jc w:val="left"/>
              <w:rPr>
                <w:sz w:val="15"/>
              </w:rPr>
            </w:pPr>
          </w:p>
          <w:p>
            <w:pPr>
              <w:pStyle w:val="TableParagraph"/>
              <w:spacing w:line="161" w:lineRule="exact" w:before="0"/>
              <w:ind w:right="188"/>
              <w:rPr>
                <w:rFonts w:ascii="Courier New"/>
                <w:b/>
                <w:sz w:val="16"/>
              </w:rPr>
            </w:pPr>
            <w:r>
              <w:rPr>
                <w:rFonts w:ascii="Courier New"/>
                <w:b/>
                <w:sz w:val="16"/>
              </w:rPr>
              <w:t>R-sq(adj)</w:t>
            </w:r>
          </w:p>
        </w:tc>
        <w:tc>
          <w:tcPr>
            <w:tcW w:w="3984" w:type="dxa"/>
            <w:gridSpan w:val="5"/>
          </w:tcPr>
          <w:p>
            <w:pPr>
              <w:pStyle w:val="TableParagraph"/>
              <w:spacing w:line="240" w:lineRule="auto" w:before="10"/>
              <w:jc w:val="left"/>
              <w:rPr>
                <w:sz w:val="15"/>
              </w:rPr>
            </w:pPr>
          </w:p>
          <w:p>
            <w:pPr>
              <w:pStyle w:val="TableParagraph"/>
              <w:spacing w:line="161" w:lineRule="exact" w:before="0"/>
              <w:ind w:left="1"/>
              <w:jc w:val="left"/>
              <w:rPr>
                <w:rFonts w:ascii="Courier New"/>
                <w:b/>
                <w:sz w:val="16"/>
              </w:rPr>
            </w:pPr>
            <w:r>
              <w:rPr>
                <w:rFonts w:ascii="Courier New"/>
                <w:b/>
                <w:sz w:val="16"/>
              </w:rPr>
              <w:t>R-sq(pred)</w:t>
            </w:r>
          </w:p>
        </w:tc>
      </w:tr>
      <w:tr>
        <w:trPr>
          <w:trHeight w:val="180" w:hRule="atLeast"/>
        </w:trPr>
        <w:tc>
          <w:tcPr>
            <w:tcW w:w="1682" w:type="dxa"/>
          </w:tcPr>
          <w:p>
            <w:pPr>
              <w:pStyle w:val="TableParagraph"/>
              <w:spacing w:line="161" w:lineRule="exact" w:before="0"/>
              <w:ind w:right="94"/>
              <w:rPr>
                <w:rFonts w:ascii="Courier New"/>
                <w:b/>
                <w:sz w:val="16"/>
              </w:rPr>
            </w:pPr>
            <w:r>
              <w:rPr>
                <w:rFonts w:ascii="Courier New"/>
                <w:b/>
                <w:sz w:val="16"/>
              </w:rPr>
              <w:t>0.495610</w:t>
            </w:r>
            <w:r>
              <w:rPr>
                <w:rFonts w:ascii="Courier New"/>
                <w:b/>
                <w:spacing w:val="82"/>
                <w:sz w:val="16"/>
              </w:rPr>
              <w:t> </w:t>
            </w:r>
            <w:r>
              <w:rPr>
                <w:rFonts w:ascii="Courier New"/>
                <w:b/>
                <w:sz w:val="16"/>
              </w:rPr>
              <w:t>24.01%</w:t>
            </w:r>
          </w:p>
        </w:tc>
        <w:tc>
          <w:tcPr>
            <w:tcW w:w="1151" w:type="dxa"/>
          </w:tcPr>
          <w:p>
            <w:pPr>
              <w:pStyle w:val="TableParagraph"/>
              <w:spacing w:line="161" w:lineRule="exact" w:before="0"/>
              <w:ind w:right="189"/>
              <w:rPr>
                <w:rFonts w:ascii="Courier New"/>
                <w:b/>
                <w:sz w:val="16"/>
              </w:rPr>
            </w:pPr>
            <w:r>
              <w:rPr>
                <w:rFonts w:ascii="Courier New"/>
                <w:b/>
                <w:sz w:val="16"/>
              </w:rPr>
              <w:t>21.93%</w:t>
            </w:r>
          </w:p>
        </w:tc>
        <w:tc>
          <w:tcPr>
            <w:tcW w:w="3984" w:type="dxa"/>
            <w:gridSpan w:val="5"/>
          </w:tcPr>
          <w:p>
            <w:pPr>
              <w:pStyle w:val="TableParagraph"/>
              <w:spacing w:line="161" w:lineRule="exact" w:before="0"/>
              <w:ind w:left="384"/>
              <w:jc w:val="left"/>
              <w:rPr>
                <w:rFonts w:ascii="Courier New"/>
                <w:b/>
                <w:sz w:val="16"/>
              </w:rPr>
            </w:pPr>
            <w:r>
              <w:rPr>
                <w:rFonts w:ascii="Courier New"/>
                <w:b/>
                <w:sz w:val="16"/>
              </w:rPr>
              <w:t>18.81%</w:t>
            </w:r>
          </w:p>
        </w:tc>
      </w:tr>
      <w:tr>
        <w:trPr>
          <w:trHeight w:val="635" w:hRule="atLeast"/>
        </w:trPr>
        <w:tc>
          <w:tcPr>
            <w:tcW w:w="2833" w:type="dxa"/>
            <w:gridSpan w:val="2"/>
          </w:tcPr>
          <w:p>
            <w:pPr>
              <w:pStyle w:val="TableParagraph"/>
              <w:spacing w:line="240" w:lineRule="auto" w:before="0"/>
              <w:jc w:val="left"/>
              <w:rPr>
                <w:sz w:val="18"/>
              </w:rPr>
            </w:pPr>
          </w:p>
          <w:p>
            <w:pPr>
              <w:pStyle w:val="TableParagraph"/>
              <w:spacing w:line="240" w:lineRule="auto" w:before="155"/>
              <w:ind w:left="50"/>
              <w:jc w:val="left"/>
              <w:rPr>
                <w:rFonts w:ascii="Courier New"/>
                <w:b/>
                <w:sz w:val="16"/>
              </w:rPr>
            </w:pPr>
            <w:r>
              <w:rPr>
                <w:rFonts w:ascii="Courier New"/>
                <w:b/>
                <w:sz w:val="16"/>
              </w:rPr>
              <w:t>Coefficients</w:t>
            </w:r>
          </w:p>
        </w:tc>
        <w:tc>
          <w:tcPr>
            <w:tcW w:w="672" w:type="dxa"/>
          </w:tcPr>
          <w:p>
            <w:pPr>
              <w:pStyle w:val="TableParagraph"/>
              <w:spacing w:line="240" w:lineRule="auto" w:before="0"/>
              <w:jc w:val="left"/>
              <w:rPr>
                <w:rFonts w:ascii="Times New Roman"/>
                <w:sz w:val="16"/>
              </w:rPr>
            </w:pPr>
          </w:p>
        </w:tc>
        <w:tc>
          <w:tcPr>
            <w:tcW w:w="863" w:type="dxa"/>
          </w:tcPr>
          <w:p>
            <w:pPr>
              <w:pStyle w:val="TableParagraph"/>
              <w:spacing w:line="240" w:lineRule="auto" w:before="0"/>
              <w:jc w:val="left"/>
              <w:rPr>
                <w:rFonts w:ascii="Times New Roman"/>
                <w:sz w:val="16"/>
              </w:rPr>
            </w:pPr>
          </w:p>
        </w:tc>
        <w:tc>
          <w:tcPr>
            <w:tcW w:w="863"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722" w:type="dxa"/>
          </w:tcPr>
          <w:p>
            <w:pPr>
              <w:pStyle w:val="TableParagraph"/>
              <w:spacing w:line="240" w:lineRule="auto" w:before="0"/>
              <w:jc w:val="left"/>
              <w:rPr>
                <w:rFonts w:ascii="Times New Roman"/>
                <w:sz w:val="16"/>
              </w:rPr>
            </w:pPr>
          </w:p>
        </w:tc>
      </w:tr>
      <w:tr>
        <w:trPr>
          <w:trHeight w:val="452" w:hRule="atLeast"/>
        </w:trPr>
        <w:tc>
          <w:tcPr>
            <w:tcW w:w="2833" w:type="dxa"/>
            <w:gridSpan w:val="2"/>
          </w:tcPr>
          <w:p>
            <w:pPr>
              <w:pStyle w:val="TableParagraph"/>
              <w:spacing w:line="180" w:lineRule="exact" w:before="81"/>
              <w:ind w:left="50" w:right="1994"/>
              <w:jc w:val="left"/>
              <w:rPr>
                <w:rFonts w:ascii="Courier New"/>
                <w:b/>
                <w:sz w:val="16"/>
              </w:rPr>
            </w:pPr>
            <w:r>
              <w:rPr>
                <w:rFonts w:ascii="Courier New"/>
                <w:b/>
                <w:sz w:val="16"/>
              </w:rPr>
              <w:t>Term Constant</w:t>
            </w:r>
          </w:p>
        </w:tc>
        <w:tc>
          <w:tcPr>
            <w:tcW w:w="672" w:type="dxa"/>
          </w:tcPr>
          <w:p>
            <w:pPr>
              <w:pStyle w:val="TableParagraph"/>
              <w:spacing w:line="180" w:lineRule="exact" w:before="81"/>
              <w:ind w:left="192" w:right="-21" w:firstLine="96"/>
              <w:jc w:val="left"/>
              <w:rPr>
                <w:rFonts w:ascii="Courier New"/>
                <w:b/>
                <w:sz w:val="16"/>
              </w:rPr>
            </w:pPr>
            <w:r>
              <w:rPr>
                <w:rFonts w:ascii="Courier New"/>
                <w:b/>
                <w:sz w:val="16"/>
              </w:rPr>
              <w:t>Coef 218.1</w:t>
            </w:r>
          </w:p>
        </w:tc>
        <w:tc>
          <w:tcPr>
            <w:tcW w:w="863" w:type="dxa"/>
          </w:tcPr>
          <w:p>
            <w:pPr>
              <w:pStyle w:val="TableParagraph"/>
              <w:spacing w:line="181" w:lineRule="exact"/>
              <w:ind w:left="192" w:right="-15"/>
              <w:jc w:val="left"/>
              <w:rPr>
                <w:rFonts w:ascii="Courier New"/>
                <w:b/>
                <w:sz w:val="16"/>
              </w:rPr>
            </w:pPr>
            <w:r>
              <w:rPr>
                <w:rFonts w:ascii="Courier New"/>
                <w:b/>
                <w:sz w:val="16"/>
              </w:rPr>
              <w:t>SE</w:t>
            </w:r>
            <w:r>
              <w:rPr>
                <w:rFonts w:ascii="Courier New"/>
                <w:b/>
                <w:spacing w:val="-6"/>
                <w:sz w:val="16"/>
              </w:rPr>
              <w:t> </w:t>
            </w:r>
            <w:r>
              <w:rPr>
                <w:rFonts w:ascii="Courier New"/>
                <w:b/>
                <w:sz w:val="16"/>
              </w:rPr>
              <w:t>Coef</w:t>
            </w:r>
          </w:p>
          <w:p>
            <w:pPr>
              <w:pStyle w:val="TableParagraph"/>
              <w:spacing w:line="160" w:lineRule="exact" w:before="0"/>
              <w:ind w:left="480" w:right="-15"/>
              <w:jc w:val="left"/>
              <w:rPr>
                <w:rFonts w:ascii="Courier New"/>
                <w:b/>
                <w:sz w:val="16"/>
              </w:rPr>
            </w:pPr>
            <w:r>
              <w:rPr>
                <w:rFonts w:ascii="Courier New"/>
                <w:b/>
                <w:sz w:val="16"/>
              </w:rPr>
              <w:t>77.8</w:t>
            </w:r>
          </w:p>
        </w:tc>
        <w:tc>
          <w:tcPr>
            <w:tcW w:w="863" w:type="dxa"/>
          </w:tcPr>
          <w:p>
            <w:pPr>
              <w:pStyle w:val="TableParagraph"/>
              <w:spacing w:line="181" w:lineRule="exact"/>
              <w:ind w:right="-15"/>
              <w:rPr>
                <w:rFonts w:ascii="Courier New"/>
                <w:b/>
                <w:sz w:val="16"/>
              </w:rPr>
            </w:pPr>
            <w:r>
              <w:rPr>
                <w:rFonts w:ascii="Courier New"/>
                <w:b/>
                <w:spacing w:val="-1"/>
                <w:sz w:val="16"/>
              </w:rPr>
              <w:t>T-Value</w:t>
            </w:r>
          </w:p>
          <w:p>
            <w:pPr>
              <w:pStyle w:val="TableParagraph"/>
              <w:spacing w:line="160" w:lineRule="exact" w:before="0"/>
              <w:ind w:right="-15"/>
              <w:rPr>
                <w:rFonts w:ascii="Courier New"/>
                <w:b/>
                <w:sz w:val="16"/>
              </w:rPr>
            </w:pPr>
            <w:r>
              <w:rPr>
                <w:rFonts w:ascii="Courier New"/>
                <w:b/>
                <w:spacing w:val="-1"/>
                <w:sz w:val="16"/>
              </w:rPr>
              <w:t>2.80</w:t>
            </w:r>
          </w:p>
        </w:tc>
        <w:tc>
          <w:tcPr>
            <w:tcW w:w="864" w:type="dxa"/>
          </w:tcPr>
          <w:p>
            <w:pPr>
              <w:pStyle w:val="TableParagraph"/>
              <w:spacing w:line="180" w:lineRule="exact" w:before="81"/>
              <w:ind w:left="386" w:right="-24" w:hanging="191"/>
              <w:jc w:val="left"/>
              <w:rPr>
                <w:rFonts w:ascii="Courier New"/>
                <w:b/>
                <w:sz w:val="16"/>
              </w:rPr>
            </w:pPr>
            <w:r>
              <w:rPr>
                <w:rFonts w:ascii="Courier New"/>
                <w:b/>
                <w:sz w:val="16"/>
              </w:rPr>
              <w:t>P-Value 0.005</w:t>
            </w:r>
          </w:p>
        </w:tc>
        <w:tc>
          <w:tcPr>
            <w:tcW w:w="722" w:type="dxa"/>
          </w:tcPr>
          <w:p>
            <w:pPr>
              <w:pStyle w:val="TableParagraph"/>
              <w:spacing w:line="240" w:lineRule="auto"/>
              <w:ind w:left="292"/>
              <w:jc w:val="left"/>
              <w:rPr>
                <w:rFonts w:ascii="Courier New"/>
                <w:b/>
                <w:sz w:val="16"/>
              </w:rPr>
            </w:pPr>
            <w:r>
              <w:rPr>
                <w:rFonts w:ascii="Courier New"/>
                <w:b/>
                <w:sz w:val="16"/>
              </w:rPr>
              <w:t>VIF</w:t>
            </w:r>
          </w:p>
        </w:tc>
      </w:tr>
      <w:tr>
        <w:trPr>
          <w:trHeight w:val="182" w:hRule="atLeast"/>
        </w:trPr>
        <w:tc>
          <w:tcPr>
            <w:tcW w:w="2833" w:type="dxa"/>
            <w:gridSpan w:val="2"/>
          </w:tcPr>
          <w:p>
            <w:pPr>
              <w:pStyle w:val="TableParagraph"/>
              <w:spacing w:line="162" w:lineRule="exact" w:before="0"/>
              <w:ind w:left="50"/>
              <w:jc w:val="left"/>
              <w:rPr>
                <w:rFonts w:ascii="Courier New"/>
                <w:b/>
                <w:sz w:val="16"/>
              </w:rPr>
            </w:pPr>
            <w:r>
              <w:rPr>
                <w:rFonts w:ascii="Courier New"/>
                <w:b/>
                <w:sz w:val="16"/>
              </w:rPr>
              <w:t>Ln Area de Construccion</w:t>
            </w:r>
          </w:p>
        </w:tc>
        <w:tc>
          <w:tcPr>
            <w:tcW w:w="672" w:type="dxa"/>
          </w:tcPr>
          <w:p>
            <w:pPr>
              <w:pStyle w:val="TableParagraph"/>
              <w:spacing w:line="162" w:lineRule="exact" w:before="0"/>
              <w:ind w:right="-15"/>
              <w:rPr>
                <w:rFonts w:ascii="Courier New"/>
                <w:b/>
                <w:sz w:val="16"/>
              </w:rPr>
            </w:pPr>
            <w:r>
              <w:rPr>
                <w:rFonts w:ascii="Courier New"/>
                <w:b/>
                <w:sz w:val="16"/>
              </w:rPr>
              <w:t>0.1586</w:t>
            </w:r>
          </w:p>
        </w:tc>
        <w:tc>
          <w:tcPr>
            <w:tcW w:w="863" w:type="dxa"/>
          </w:tcPr>
          <w:p>
            <w:pPr>
              <w:pStyle w:val="TableParagraph"/>
              <w:spacing w:line="162" w:lineRule="exact" w:before="0"/>
              <w:ind w:right="-15"/>
              <w:rPr>
                <w:rFonts w:ascii="Courier New"/>
                <w:b/>
                <w:sz w:val="16"/>
              </w:rPr>
            </w:pPr>
            <w:r>
              <w:rPr>
                <w:rFonts w:ascii="Courier New"/>
                <w:b/>
                <w:sz w:val="16"/>
              </w:rPr>
              <w:t>0.0547</w:t>
            </w:r>
          </w:p>
        </w:tc>
        <w:tc>
          <w:tcPr>
            <w:tcW w:w="863" w:type="dxa"/>
          </w:tcPr>
          <w:p>
            <w:pPr>
              <w:pStyle w:val="TableParagraph"/>
              <w:spacing w:line="162" w:lineRule="exact" w:before="0"/>
              <w:ind w:right="-15"/>
              <w:rPr>
                <w:rFonts w:ascii="Courier New"/>
                <w:b/>
                <w:sz w:val="16"/>
              </w:rPr>
            </w:pPr>
            <w:r>
              <w:rPr>
                <w:rFonts w:ascii="Courier New"/>
                <w:b/>
                <w:sz w:val="16"/>
              </w:rPr>
              <w:t>2.90</w:t>
            </w:r>
          </w:p>
        </w:tc>
        <w:tc>
          <w:tcPr>
            <w:tcW w:w="864" w:type="dxa"/>
          </w:tcPr>
          <w:p>
            <w:pPr>
              <w:pStyle w:val="TableParagraph"/>
              <w:spacing w:line="162" w:lineRule="exact" w:before="0"/>
              <w:ind w:right="-15"/>
              <w:rPr>
                <w:rFonts w:ascii="Courier New"/>
                <w:b/>
                <w:sz w:val="16"/>
              </w:rPr>
            </w:pPr>
            <w:r>
              <w:rPr>
                <w:rFonts w:ascii="Courier New"/>
                <w:b/>
                <w:sz w:val="16"/>
              </w:rPr>
              <w:t>0.004</w:t>
            </w:r>
          </w:p>
        </w:tc>
        <w:tc>
          <w:tcPr>
            <w:tcW w:w="722" w:type="dxa"/>
          </w:tcPr>
          <w:p>
            <w:pPr>
              <w:pStyle w:val="TableParagraph"/>
              <w:spacing w:line="162" w:lineRule="exact" w:before="0"/>
              <w:ind w:left="194"/>
              <w:jc w:val="left"/>
              <w:rPr>
                <w:rFonts w:ascii="Courier New"/>
                <w:b/>
                <w:sz w:val="16"/>
              </w:rPr>
            </w:pPr>
            <w:r>
              <w:rPr>
                <w:rFonts w:ascii="Courier New"/>
                <w:b/>
                <w:sz w:val="16"/>
              </w:rPr>
              <w:t>1.04</w:t>
            </w:r>
          </w:p>
        </w:tc>
      </w:tr>
      <w:tr>
        <w:trPr>
          <w:trHeight w:val="181" w:hRule="atLeast"/>
        </w:trPr>
        <w:tc>
          <w:tcPr>
            <w:tcW w:w="2833" w:type="dxa"/>
            <w:gridSpan w:val="2"/>
          </w:tcPr>
          <w:p>
            <w:pPr>
              <w:pStyle w:val="TableParagraph"/>
              <w:spacing w:line="161" w:lineRule="exact" w:before="1"/>
              <w:ind w:left="50"/>
              <w:jc w:val="left"/>
              <w:rPr>
                <w:rFonts w:ascii="Courier New" w:hAnsi="Courier New"/>
                <w:b/>
                <w:sz w:val="16"/>
              </w:rPr>
            </w:pPr>
            <w:r>
              <w:rPr>
                <w:rFonts w:ascii="Courier New" w:hAnsi="Courier New"/>
                <w:b/>
                <w:sz w:val="16"/>
              </w:rPr>
              <w:t>Ln Año Construccion</w:t>
            </w:r>
          </w:p>
        </w:tc>
        <w:tc>
          <w:tcPr>
            <w:tcW w:w="672" w:type="dxa"/>
          </w:tcPr>
          <w:p>
            <w:pPr>
              <w:pStyle w:val="TableParagraph"/>
              <w:spacing w:line="161" w:lineRule="exact" w:before="1"/>
              <w:ind w:right="-15"/>
              <w:rPr>
                <w:rFonts w:ascii="Courier New"/>
                <w:b/>
                <w:sz w:val="16"/>
              </w:rPr>
            </w:pPr>
            <w:r>
              <w:rPr>
                <w:rFonts w:ascii="Courier New"/>
                <w:b/>
                <w:sz w:val="16"/>
              </w:rPr>
              <w:t>-27.1</w:t>
            </w:r>
          </w:p>
        </w:tc>
        <w:tc>
          <w:tcPr>
            <w:tcW w:w="863" w:type="dxa"/>
          </w:tcPr>
          <w:p>
            <w:pPr>
              <w:pStyle w:val="TableParagraph"/>
              <w:spacing w:line="161" w:lineRule="exact" w:before="1"/>
              <w:ind w:right="-15"/>
              <w:rPr>
                <w:rFonts w:ascii="Courier New"/>
                <w:b/>
                <w:sz w:val="16"/>
              </w:rPr>
            </w:pPr>
            <w:r>
              <w:rPr>
                <w:rFonts w:ascii="Courier New"/>
                <w:b/>
                <w:sz w:val="16"/>
              </w:rPr>
              <w:t>10.2</w:t>
            </w:r>
          </w:p>
        </w:tc>
        <w:tc>
          <w:tcPr>
            <w:tcW w:w="863" w:type="dxa"/>
          </w:tcPr>
          <w:p>
            <w:pPr>
              <w:pStyle w:val="TableParagraph"/>
              <w:spacing w:line="161" w:lineRule="exact" w:before="1"/>
              <w:ind w:right="-15"/>
              <w:rPr>
                <w:rFonts w:ascii="Courier New"/>
                <w:b/>
                <w:sz w:val="16"/>
              </w:rPr>
            </w:pPr>
            <w:r>
              <w:rPr>
                <w:rFonts w:ascii="Courier New"/>
                <w:b/>
                <w:sz w:val="16"/>
              </w:rPr>
              <w:t>-2.65</w:t>
            </w:r>
          </w:p>
        </w:tc>
        <w:tc>
          <w:tcPr>
            <w:tcW w:w="864" w:type="dxa"/>
          </w:tcPr>
          <w:p>
            <w:pPr>
              <w:pStyle w:val="TableParagraph"/>
              <w:spacing w:line="161" w:lineRule="exact" w:before="1"/>
              <w:ind w:right="-15"/>
              <w:rPr>
                <w:rFonts w:ascii="Courier New"/>
                <w:b/>
                <w:sz w:val="16"/>
              </w:rPr>
            </w:pPr>
            <w:r>
              <w:rPr>
                <w:rFonts w:ascii="Courier New"/>
                <w:b/>
                <w:sz w:val="16"/>
              </w:rPr>
              <w:t>0.008</w:t>
            </w:r>
          </w:p>
        </w:tc>
        <w:tc>
          <w:tcPr>
            <w:tcW w:w="722" w:type="dxa"/>
          </w:tcPr>
          <w:p>
            <w:pPr>
              <w:pStyle w:val="TableParagraph"/>
              <w:spacing w:line="161" w:lineRule="exact" w:before="1"/>
              <w:ind w:left="196"/>
              <w:jc w:val="left"/>
              <w:rPr>
                <w:rFonts w:ascii="Courier New"/>
                <w:b/>
                <w:sz w:val="16"/>
              </w:rPr>
            </w:pPr>
            <w:r>
              <w:rPr>
                <w:rFonts w:ascii="Courier New"/>
                <w:b/>
                <w:sz w:val="16"/>
              </w:rPr>
              <w:t>1.16</w:t>
            </w:r>
          </w:p>
        </w:tc>
      </w:tr>
      <w:tr>
        <w:trPr>
          <w:trHeight w:val="180" w:hRule="atLeast"/>
        </w:trPr>
        <w:tc>
          <w:tcPr>
            <w:tcW w:w="2833" w:type="dxa"/>
            <w:gridSpan w:val="2"/>
          </w:tcPr>
          <w:p>
            <w:pPr>
              <w:pStyle w:val="TableParagraph"/>
              <w:spacing w:line="160" w:lineRule="exact" w:before="0"/>
              <w:ind w:left="50"/>
              <w:jc w:val="left"/>
              <w:rPr>
                <w:rFonts w:ascii="Courier New" w:hAnsi="Courier New"/>
                <w:b/>
                <w:sz w:val="16"/>
              </w:rPr>
            </w:pPr>
            <w:r>
              <w:rPr>
                <w:rFonts w:ascii="Courier New" w:hAnsi="Courier New"/>
                <w:b/>
                <w:sz w:val="16"/>
              </w:rPr>
              <w:t>Ln Número de Plantas</w:t>
            </w:r>
          </w:p>
        </w:tc>
        <w:tc>
          <w:tcPr>
            <w:tcW w:w="672" w:type="dxa"/>
          </w:tcPr>
          <w:p>
            <w:pPr>
              <w:pStyle w:val="TableParagraph"/>
              <w:spacing w:line="160" w:lineRule="exact" w:before="0"/>
              <w:ind w:right="-15"/>
              <w:rPr>
                <w:rFonts w:ascii="Courier New"/>
                <w:b/>
                <w:sz w:val="16"/>
              </w:rPr>
            </w:pPr>
            <w:r>
              <w:rPr>
                <w:rFonts w:ascii="Courier New"/>
                <w:b/>
                <w:sz w:val="16"/>
              </w:rPr>
              <w:t>0.2702</w:t>
            </w:r>
          </w:p>
        </w:tc>
        <w:tc>
          <w:tcPr>
            <w:tcW w:w="863" w:type="dxa"/>
          </w:tcPr>
          <w:p>
            <w:pPr>
              <w:pStyle w:val="TableParagraph"/>
              <w:spacing w:line="160" w:lineRule="exact" w:before="0"/>
              <w:ind w:right="-15"/>
              <w:rPr>
                <w:rFonts w:ascii="Courier New"/>
                <w:b/>
                <w:sz w:val="16"/>
              </w:rPr>
            </w:pPr>
            <w:r>
              <w:rPr>
                <w:rFonts w:ascii="Courier New"/>
                <w:b/>
                <w:sz w:val="16"/>
              </w:rPr>
              <w:t>0.0998</w:t>
            </w:r>
          </w:p>
        </w:tc>
        <w:tc>
          <w:tcPr>
            <w:tcW w:w="863" w:type="dxa"/>
          </w:tcPr>
          <w:p>
            <w:pPr>
              <w:pStyle w:val="TableParagraph"/>
              <w:spacing w:line="160" w:lineRule="exact" w:before="0"/>
              <w:ind w:right="-15"/>
              <w:rPr>
                <w:rFonts w:ascii="Courier New"/>
                <w:b/>
                <w:sz w:val="16"/>
              </w:rPr>
            </w:pPr>
            <w:r>
              <w:rPr>
                <w:rFonts w:ascii="Courier New"/>
                <w:b/>
                <w:sz w:val="16"/>
              </w:rPr>
              <w:t>2.71</w:t>
            </w:r>
          </w:p>
        </w:tc>
        <w:tc>
          <w:tcPr>
            <w:tcW w:w="864" w:type="dxa"/>
          </w:tcPr>
          <w:p>
            <w:pPr>
              <w:pStyle w:val="TableParagraph"/>
              <w:spacing w:line="160" w:lineRule="exact" w:before="0"/>
              <w:ind w:right="-15"/>
              <w:rPr>
                <w:rFonts w:ascii="Courier New"/>
                <w:b/>
                <w:sz w:val="16"/>
              </w:rPr>
            </w:pPr>
            <w:r>
              <w:rPr>
                <w:rFonts w:ascii="Courier New"/>
                <w:b/>
                <w:sz w:val="16"/>
              </w:rPr>
              <w:t>0.007</w:t>
            </w:r>
          </w:p>
        </w:tc>
        <w:tc>
          <w:tcPr>
            <w:tcW w:w="722" w:type="dxa"/>
          </w:tcPr>
          <w:p>
            <w:pPr>
              <w:pStyle w:val="TableParagraph"/>
              <w:spacing w:line="160" w:lineRule="exact" w:before="0"/>
              <w:ind w:left="196"/>
              <w:jc w:val="left"/>
              <w:rPr>
                <w:rFonts w:ascii="Courier New"/>
                <w:b/>
                <w:sz w:val="16"/>
              </w:rPr>
            </w:pPr>
            <w:r>
              <w:rPr>
                <w:rFonts w:ascii="Courier New"/>
                <w:b/>
                <w:sz w:val="16"/>
              </w:rPr>
              <w:t>1.06</w:t>
            </w:r>
          </w:p>
        </w:tc>
      </w:tr>
      <w:tr>
        <w:trPr>
          <w:trHeight w:val="181" w:hRule="atLeast"/>
        </w:trPr>
        <w:tc>
          <w:tcPr>
            <w:tcW w:w="2833" w:type="dxa"/>
            <w:gridSpan w:val="2"/>
          </w:tcPr>
          <w:p>
            <w:pPr>
              <w:pStyle w:val="TableParagraph"/>
              <w:spacing w:line="162" w:lineRule="exact" w:before="0"/>
              <w:ind w:left="50"/>
              <w:jc w:val="left"/>
              <w:rPr>
                <w:rFonts w:ascii="Courier New"/>
                <w:b/>
                <w:sz w:val="16"/>
              </w:rPr>
            </w:pPr>
            <w:r>
              <w:rPr>
                <w:rFonts w:ascii="Courier New"/>
                <w:b/>
                <w:sz w:val="16"/>
              </w:rPr>
              <w:t>Ln Distancia SJ</w:t>
            </w:r>
          </w:p>
        </w:tc>
        <w:tc>
          <w:tcPr>
            <w:tcW w:w="672" w:type="dxa"/>
          </w:tcPr>
          <w:p>
            <w:pPr>
              <w:pStyle w:val="TableParagraph"/>
              <w:spacing w:line="162" w:lineRule="exact" w:before="0"/>
              <w:ind w:right="-15"/>
              <w:rPr>
                <w:rFonts w:ascii="Courier New"/>
                <w:b/>
                <w:sz w:val="16"/>
              </w:rPr>
            </w:pPr>
            <w:r>
              <w:rPr>
                <w:rFonts w:ascii="Courier New"/>
                <w:b/>
                <w:sz w:val="16"/>
              </w:rPr>
              <w:t>-0.429</w:t>
            </w:r>
          </w:p>
        </w:tc>
        <w:tc>
          <w:tcPr>
            <w:tcW w:w="863" w:type="dxa"/>
          </w:tcPr>
          <w:p>
            <w:pPr>
              <w:pStyle w:val="TableParagraph"/>
              <w:spacing w:line="162" w:lineRule="exact" w:before="0"/>
              <w:ind w:right="-15"/>
              <w:rPr>
                <w:rFonts w:ascii="Courier New"/>
                <w:b/>
                <w:sz w:val="16"/>
              </w:rPr>
            </w:pPr>
            <w:r>
              <w:rPr>
                <w:rFonts w:ascii="Courier New"/>
                <w:b/>
                <w:sz w:val="16"/>
              </w:rPr>
              <w:t>0.131</w:t>
            </w:r>
          </w:p>
        </w:tc>
        <w:tc>
          <w:tcPr>
            <w:tcW w:w="863" w:type="dxa"/>
          </w:tcPr>
          <w:p>
            <w:pPr>
              <w:pStyle w:val="TableParagraph"/>
              <w:spacing w:line="162" w:lineRule="exact" w:before="0"/>
              <w:ind w:right="-15"/>
              <w:rPr>
                <w:rFonts w:ascii="Courier New"/>
                <w:b/>
                <w:sz w:val="16"/>
              </w:rPr>
            </w:pPr>
            <w:r>
              <w:rPr>
                <w:rFonts w:ascii="Courier New"/>
                <w:b/>
                <w:sz w:val="16"/>
              </w:rPr>
              <w:t>-3.27</w:t>
            </w:r>
          </w:p>
        </w:tc>
        <w:tc>
          <w:tcPr>
            <w:tcW w:w="864" w:type="dxa"/>
          </w:tcPr>
          <w:p>
            <w:pPr>
              <w:pStyle w:val="TableParagraph"/>
              <w:spacing w:line="162" w:lineRule="exact" w:before="0"/>
              <w:ind w:right="-15"/>
              <w:rPr>
                <w:rFonts w:ascii="Courier New"/>
                <w:b/>
                <w:sz w:val="16"/>
              </w:rPr>
            </w:pPr>
            <w:r>
              <w:rPr>
                <w:rFonts w:ascii="Courier New"/>
                <w:b/>
                <w:sz w:val="16"/>
              </w:rPr>
              <w:t>0.001</w:t>
            </w:r>
          </w:p>
        </w:tc>
        <w:tc>
          <w:tcPr>
            <w:tcW w:w="722" w:type="dxa"/>
          </w:tcPr>
          <w:p>
            <w:pPr>
              <w:pStyle w:val="TableParagraph"/>
              <w:spacing w:line="162" w:lineRule="exact" w:before="0"/>
              <w:ind w:left="196"/>
              <w:jc w:val="left"/>
              <w:rPr>
                <w:rFonts w:ascii="Courier New"/>
                <w:b/>
                <w:sz w:val="16"/>
              </w:rPr>
            </w:pPr>
            <w:r>
              <w:rPr>
                <w:rFonts w:ascii="Courier New"/>
                <w:b/>
                <w:sz w:val="16"/>
              </w:rPr>
              <w:t>1.18</w:t>
            </w:r>
          </w:p>
        </w:tc>
      </w:tr>
      <w:tr>
        <w:trPr>
          <w:trHeight w:val="544" w:hRule="atLeast"/>
        </w:trPr>
        <w:tc>
          <w:tcPr>
            <w:tcW w:w="2833" w:type="dxa"/>
            <w:gridSpan w:val="2"/>
          </w:tcPr>
          <w:p>
            <w:pPr>
              <w:pStyle w:val="TableParagraph"/>
              <w:spacing w:line="240" w:lineRule="auto" w:before="1"/>
              <w:ind w:left="50" w:right="477"/>
              <w:jc w:val="left"/>
              <w:rPr>
                <w:rFonts w:ascii="Courier New"/>
                <w:b/>
                <w:sz w:val="16"/>
              </w:rPr>
            </w:pPr>
            <w:r>
              <w:rPr>
                <w:rFonts w:ascii="Courier New"/>
                <w:b/>
                <w:sz w:val="16"/>
              </w:rPr>
              <w:t>Ln Distancia Pobreza Tipo = 1 casa, 0 =</w:t>
            </w:r>
            <w:r>
              <w:rPr>
                <w:rFonts w:ascii="Courier New"/>
                <w:b/>
                <w:spacing w:val="-18"/>
                <w:sz w:val="16"/>
              </w:rPr>
              <w:t> </w:t>
            </w:r>
            <w:r>
              <w:rPr>
                <w:rFonts w:ascii="Courier New"/>
                <w:b/>
                <w:sz w:val="16"/>
              </w:rPr>
              <w:t>Condo</w:t>
            </w:r>
          </w:p>
          <w:p>
            <w:pPr>
              <w:pStyle w:val="TableParagraph"/>
              <w:spacing w:line="160" w:lineRule="exact" w:before="0"/>
              <w:ind w:left="241"/>
              <w:jc w:val="left"/>
              <w:rPr>
                <w:rFonts w:ascii="Courier New"/>
                <w:b/>
                <w:sz w:val="16"/>
              </w:rPr>
            </w:pPr>
            <w:r>
              <w:rPr>
                <w:rFonts w:ascii="Courier New"/>
                <w:b/>
                <w:sz w:val="16"/>
              </w:rPr>
              <w:t>1</w:t>
            </w:r>
          </w:p>
        </w:tc>
        <w:tc>
          <w:tcPr>
            <w:tcW w:w="672" w:type="dxa"/>
          </w:tcPr>
          <w:p>
            <w:pPr>
              <w:pStyle w:val="TableParagraph"/>
              <w:spacing w:line="240" w:lineRule="auto" w:before="1"/>
              <w:ind w:left="96" w:right="-15"/>
              <w:jc w:val="left"/>
              <w:rPr>
                <w:rFonts w:ascii="Courier New"/>
                <w:b/>
                <w:sz w:val="16"/>
              </w:rPr>
            </w:pPr>
            <w:r>
              <w:rPr>
                <w:rFonts w:ascii="Courier New"/>
                <w:b/>
                <w:sz w:val="16"/>
              </w:rPr>
              <w:t>0.2925</w:t>
            </w:r>
          </w:p>
          <w:p>
            <w:pPr>
              <w:pStyle w:val="TableParagraph"/>
              <w:spacing w:line="240" w:lineRule="auto" w:before="6"/>
              <w:jc w:val="left"/>
              <w:rPr>
                <w:sz w:val="15"/>
              </w:rPr>
            </w:pPr>
          </w:p>
          <w:p>
            <w:pPr>
              <w:pStyle w:val="TableParagraph"/>
              <w:spacing w:line="163" w:lineRule="exact" w:before="0"/>
              <w:ind w:left="96" w:right="-15"/>
              <w:jc w:val="left"/>
              <w:rPr>
                <w:rFonts w:ascii="Courier New"/>
                <w:b/>
                <w:sz w:val="16"/>
              </w:rPr>
            </w:pPr>
            <w:r>
              <w:rPr>
                <w:rFonts w:ascii="Courier New"/>
                <w:b/>
                <w:sz w:val="16"/>
              </w:rPr>
              <w:t>0.2552</w:t>
            </w:r>
          </w:p>
        </w:tc>
        <w:tc>
          <w:tcPr>
            <w:tcW w:w="863" w:type="dxa"/>
          </w:tcPr>
          <w:p>
            <w:pPr>
              <w:pStyle w:val="TableParagraph"/>
              <w:spacing w:line="240" w:lineRule="auto" w:before="1"/>
              <w:ind w:left="288" w:right="-15"/>
              <w:jc w:val="left"/>
              <w:rPr>
                <w:rFonts w:ascii="Courier New"/>
                <w:b/>
                <w:sz w:val="16"/>
              </w:rPr>
            </w:pPr>
            <w:r>
              <w:rPr>
                <w:rFonts w:ascii="Courier New"/>
                <w:b/>
                <w:sz w:val="16"/>
              </w:rPr>
              <w:t>0.0983</w:t>
            </w:r>
          </w:p>
          <w:p>
            <w:pPr>
              <w:pStyle w:val="TableParagraph"/>
              <w:spacing w:line="240" w:lineRule="auto" w:before="6"/>
              <w:jc w:val="left"/>
              <w:rPr>
                <w:sz w:val="15"/>
              </w:rPr>
            </w:pPr>
          </w:p>
          <w:p>
            <w:pPr>
              <w:pStyle w:val="TableParagraph"/>
              <w:spacing w:line="163" w:lineRule="exact" w:before="0"/>
              <w:ind w:left="288" w:right="-15"/>
              <w:jc w:val="left"/>
              <w:rPr>
                <w:rFonts w:ascii="Courier New"/>
                <w:b/>
                <w:sz w:val="16"/>
              </w:rPr>
            </w:pPr>
            <w:r>
              <w:rPr>
                <w:rFonts w:ascii="Courier New"/>
                <w:b/>
                <w:sz w:val="16"/>
              </w:rPr>
              <w:t>0.0622</w:t>
            </w:r>
          </w:p>
        </w:tc>
        <w:tc>
          <w:tcPr>
            <w:tcW w:w="863" w:type="dxa"/>
          </w:tcPr>
          <w:p>
            <w:pPr>
              <w:pStyle w:val="TableParagraph"/>
              <w:spacing w:line="240" w:lineRule="auto" w:before="1"/>
              <w:ind w:left="481" w:right="-15"/>
              <w:jc w:val="left"/>
              <w:rPr>
                <w:rFonts w:ascii="Courier New"/>
                <w:b/>
                <w:sz w:val="16"/>
              </w:rPr>
            </w:pPr>
            <w:r>
              <w:rPr>
                <w:rFonts w:ascii="Courier New"/>
                <w:b/>
                <w:sz w:val="16"/>
              </w:rPr>
              <w:t>2.98</w:t>
            </w:r>
          </w:p>
          <w:p>
            <w:pPr>
              <w:pStyle w:val="TableParagraph"/>
              <w:spacing w:line="240" w:lineRule="auto" w:before="6"/>
              <w:jc w:val="left"/>
              <w:rPr>
                <w:sz w:val="15"/>
              </w:rPr>
            </w:pPr>
          </w:p>
          <w:p>
            <w:pPr>
              <w:pStyle w:val="TableParagraph"/>
              <w:spacing w:line="163" w:lineRule="exact" w:before="0"/>
              <w:ind w:left="481" w:right="-15"/>
              <w:jc w:val="left"/>
              <w:rPr>
                <w:rFonts w:ascii="Courier New"/>
                <w:b/>
                <w:sz w:val="16"/>
              </w:rPr>
            </w:pPr>
            <w:r>
              <w:rPr>
                <w:rFonts w:ascii="Courier New"/>
                <w:b/>
                <w:sz w:val="16"/>
              </w:rPr>
              <w:t>4.10</w:t>
            </w:r>
          </w:p>
        </w:tc>
        <w:tc>
          <w:tcPr>
            <w:tcW w:w="864" w:type="dxa"/>
          </w:tcPr>
          <w:p>
            <w:pPr>
              <w:pStyle w:val="TableParagraph"/>
              <w:spacing w:line="240" w:lineRule="auto" w:before="1"/>
              <w:ind w:left="386" w:right="-15"/>
              <w:jc w:val="left"/>
              <w:rPr>
                <w:rFonts w:ascii="Courier New"/>
                <w:b/>
                <w:sz w:val="16"/>
              </w:rPr>
            </w:pPr>
            <w:r>
              <w:rPr>
                <w:rFonts w:ascii="Courier New"/>
                <w:b/>
                <w:sz w:val="16"/>
              </w:rPr>
              <w:t>0.003</w:t>
            </w:r>
          </w:p>
          <w:p>
            <w:pPr>
              <w:pStyle w:val="TableParagraph"/>
              <w:spacing w:line="240" w:lineRule="auto" w:before="6"/>
              <w:jc w:val="left"/>
              <w:rPr>
                <w:sz w:val="15"/>
              </w:rPr>
            </w:pPr>
          </w:p>
          <w:p>
            <w:pPr>
              <w:pStyle w:val="TableParagraph"/>
              <w:spacing w:line="163" w:lineRule="exact" w:before="0"/>
              <w:ind w:left="386" w:right="-15"/>
              <w:jc w:val="left"/>
              <w:rPr>
                <w:rFonts w:ascii="Courier New"/>
                <w:b/>
                <w:sz w:val="16"/>
              </w:rPr>
            </w:pPr>
            <w:r>
              <w:rPr>
                <w:rFonts w:ascii="Courier New"/>
                <w:b/>
                <w:sz w:val="16"/>
              </w:rPr>
              <w:t>0.000</w:t>
            </w:r>
          </w:p>
        </w:tc>
        <w:tc>
          <w:tcPr>
            <w:tcW w:w="722" w:type="dxa"/>
          </w:tcPr>
          <w:p>
            <w:pPr>
              <w:pStyle w:val="TableParagraph"/>
              <w:spacing w:line="240" w:lineRule="auto" w:before="1"/>
              <w:ind w:left="194"/>
              <w:jc w:val="left"/>
              <w:rPr>
                <w:rFonts w:ascii="Courier New"/>
                <w:b/>
                <w:sz w:val="16"/>
              </w:rPr>
            </w:pPr>
            <w:r>
              <w:rPr>
                <w:rFonts w:ascii="Courier New"/>
                <w:b/>
                <w:sz w:val="16"/>
              </w:rPr>
              <w:t>1.19</w:t>
            </w:r>
          </w:p>
          <w:p>
            <w:pPr>
              <w:pStyle w:val="TableParagraph"/>
              <w:spacing w:line="240" w:lineRule="auto" w:before="6"/>
              <w:jc w:val="left"/>
              <w:rPr>
                <w:sz w:val="15"/>
              </w:rPr>
            </w:pPr>
          </w:p>
          <w:p>
            <w:pPr>
              <w:pStyle w:val="TableParagraph"/>
              <w:spacing w:line="163" w:lineRule="exact" w:before="0"/>
              <w:ind w:left="194"/>
              <w:jc w:val="left"/>
              <w:rPr>
                <w:rFonts w:ascii="Courier New"/>
                <w:b/>
                <w:sz w:val="16"/>
              </w:rPr>
            </w:pPr>
            <w:r>
              <w:rPr>
                <w:rFonts w:ascii="Courier New"/>
                <w:b/>
                <w:sz w:val="16"/>
              </w:rPr>
              <w:t>1.11</w:t>
            </w:r>
          </w:p>
        </w:tc>
      </w:tr>
      <w:tr>
        <w:trPr>
          <w:trHeight w:val="361" w:hRule="atLeast"/>
        </w:trPr>
        <w:tc>
          <w:tcPr>
            <w:tcW w:w="2833" w:type="dxa"/>
            <w:gridSpan w:val="2"/>
          </w:tcPr>
          <w:p>
            <w:pPr>
              <w:pStyle w:val="TableParagraph"/>
              <w:spacing w:line="181" w:lineRule="exact" w:before="1"/>
              <w:ind w:left="50"/>
              <w:jc w:val="left"/>
              <w:rPr>
                <w:rFonts w:ascii="Courier New"/>
                <w:b/>
                <w:sz w:val="16"/>
              </w:rPr>
            </w:pPr>
            <w:r>
              <w:rPr>
                <w:rFonts w:ascii="Courier New"/>
                <w:b/>
                <w:sz w:val="16"/>
              </w:rPr>
              <w:t>Zona de Riesgo de desastre</w:t>
            </w:r>
          </w:p>
          <w:p>
            <w:pPr>
              <w:pStyle w:val="TableParagraph"/>
              <w:spacing w:line="160" w:lineRule="exact" w:before="0"/>
              <w:ind w:left="241"/>
              <w:jc w:val="left"/>
              <w:rPr>
                <w:rFonts w:ascii="Courier New"/>
                <w:b/>
                <w:sz w:val="16"/>
              </w:rPr>
            </w:pPr>
            <w:r>
              <w:rPr>
                <w:rFonts w:ascii="Courier New"/>
                <w:b/>
                <w:sz w:val="16"/>
              </w:rPr>
              <w:t>1</w:t>
            </w:r>
          </w:p>
        </w:tc>
        <w:tc>
          <w:tcPr>
            <w:tcW w:w="672" w:type="dxa"/>
          </w:tcPr>
          <w:p>
            <w:pPr>
              <w:pStyle w:val="TableParagraph"/>
              <w:spacing w:line="240" w:lineRule="auto" w:before="8"/>
              <w:jc w:val="left"/>
              <w:rPr>
                <w:sz w:val="15"/>
              </w:rPr>
            </w:pPr>
          </w:p>
          <w:p>
            <w:pPr>
              <w:pStyle w:val="TableParagraph"/>
              <w:spacing w:line="161" w:lineRule="exact" w:before="1"/>
              <w:ind w:right="-15"/>
              <w:rPr>
                <w:rFonts w:ascii="Courier New"/>
                <w:b/>
                <w:sz w:val="16"/>
              </w:rPr>
            </w:pPr>
            <w:r>
              <w:rPr>
                <w:rFonts w:ascii="Courier New"/>
                <w:b/>
                <w:sz w:val="16"/>
              </w:rPr>
              <w:t>-0.0504</w:t>
            </w:r>
          </w:p>
        </w:tc>
        <w:tc>
          <w:tcPr>
            <w:tcW w:w="863" w:type="dxa"/>
          </w:tcPr>
          <w:p>
            <w:pPr>
              <w:pStyle w:val="TableParagraph"/>
              <w:spacing w:line="240" w:lineRule="auto" w:before="8"/>
              <w:jc w:val="left"/>
              <w:rPr>
                <w:sz w:val="15"/>
              </w:rPr>
            </w:pPr>
          </w:p>
          <w:p>
            <w:pPr>
              <w:pStyle w:val="TableParagraph"/>
              <w:spacing w:line="161" w:lineRule="exact" w:before="1"/>
              <w:ind w:right="-15"/>
              <w:rPr>
                <w:rFonts w:ascii="Courier New"/>
                <w:b/>
                <w:sz w:val="16"/>
              </w:rPr>
            </w:pPr>
            <w:r>
              <w:rPr>
                <w:rFonts w:ascii="Courier New"/>
                <w:b/>
                <w:sz w:val="16"/>
              </w:rPr>
              <w:t>0.0966</w:t>
            </w:r>
          </w:p>
        </w:tc>
        <w:tc>
          <w:tcPr>
            <w:tcW w:w="863" w:type="dxa"/>
          </w:tcPr>
          <w:p>
            <w:pPr>
              <w:pStyle w:val="TableParagraph"/>
              <w:spacing w:line="240" w:lineRule="auto" w:before="8"/>
              <w:jc w:val="left"/>
              <w:rPr>
                <w:sz w:val="15"/>
              </w:rPr>
            </w:pPr>
          </w:p>
          <w:p>
            <w:pPr>
              <w:pStyle w:val="TableParagraph"/>
              <w:spacing w:line="161" w:lineRule="exact" w:before="1"/>
              <w:ind w:right="-15"/>
              <w:rPr>
                <w:rFonts w:ascii="Courier New"/>
                <w:b/>
                <w:sz w:val="16"/>
              </w:rPr>
            </w:pPr>
            <w:r>
              <w:rPr>
                <w:rFonts w:ascii="Courier New"/>
                <w:b/>
                <w:sz w:val="16"/>
              </w:rPr>
              <w:t>-0.52</w:t>
            </w:r>
          </w:p>
        </w:tc>
        <w:tc>
          <w:tcPr>
            <w:tcW w:w="864" w:type="dxa"/>
          </w:tcPr>
          <w:p>
            <w:pPr>
              <w:pStyle w:val="TableParagraph"/>
              <w:spacing w:line="240" w:lineRule="auto" w:before="8"/>
              <w:jc w:val="left"/>
              <w:rPr>
                <w:sz w:val="15"/>
              </w:rPr>
            </w:pPr>
          </w:p>
          <w:p>
            <w:pPr>
              <w:pStyle w:val="TableParagraph"/>
              <w:spacing w:line="161" w:lineRule="exact" w:before="1"/>
              <w:ind w:right="-15"/>
              <w:rPr>
                <w:rFonts w:ascii="Courier New"/>
                <w:b/>
                <w:sz w:val="16"/>
              </w:rPr>
            </w:pPr>
            <w:r>
              <w:rPr>
                <w:rFonts w:ascii="Courier New"/>
                <w:b/>
                <w:sz w:val="16"/>
              </w:rPr>
              <w:t>0.602</w:t>
            </w:r>
          </w:p>
        </w:tc>
        <w:tc>
          <w:tcPr>
            <w:tcW w:w="722" w:type="dxa"/>
          </w:tcPr>
          <w:p>
            <w:pPr>
              <w:pStyle w:val="TableParagraph"/>
              <w:spacing w:line="240" w:lineRule="auto" w:before="8"/>
              <w:jc w:val="left"/>
              <w:rPr>
                <w:sz w:val="15"/>
              </w:rPr>
            </w:pPr>
          </w:p>
          <w:p>
            <w:pPr>
              <w:pStyle w:val="TableParagraph"/>
              <w:spacing w:line="161" w:lineRule="exact" w:before="1"/>
              <w:ind w:left="196"/>
              <w:jc w:val="left"/>
              <w:rPr>
                <w:rFonts w:ascii="Courier New"/>
                <w:b/>
                <w:sz w:val="16"/>
              </w:rPr>
            </w:pPr>
            <w:r>
              <w:rPr>
                <w:rFonts w:ascii="Courier New"/>
                <w:b/>
                <w:sz w:val="16"/>
              </w:rPr>
              <w:t>1.06</w:t>
            </w:r>
          </w:p>
        </w:tc>
      </w:tr>
      <w:tr>
        <w:trPr>
          <w:trHeight w:val="365" w:hRule="atLeast"/>
        </w:trPr>
        <w:tc>
          <w:tcPr>
            <w:tcW w:w="2833" w:type="dxa"/>
            <w:gridSpan w:val="2"/>
          </w:tcPr>
          <w:p>
            <w:pPr>
              <w:pStyle w:val="TableParagraph"/>
              <w:spacing w:line="181" w:lineRule="exact" w:before="0"/>
              <w:ind w:left="50"/>
              <w:jc w:val="left"/>
              <w:rPr>
                <w:rFonts w:ascii="Courier New"/>
                <w:b/>
                <w:sz w:val="16"/>
              </w:rPr>
            </w:pPr>
            <w:r>
              <w:rPr>
                <w:rFonts w:ascii="Courier New"/>
                <w:b/>
                <w:sz w:val="16"/>
              </w:rPr>
              <w:t>Vista a la Carpintera</w:t>
            </w:r>
          </w:p>
          <w:p>
            <w:pPr>
              <w:pStyle w:val="TableParagraph"/>
              <w:spacing w:line="161" w:lineRule="exact" w:before="3"/>
              <w:ind w:left="241"/>
              <w:jc w:val="left"/>
              <w:rPr>
                <w:rFonts w:ascii="Courier New"/>
                <w:b/>
                <w:sz w:val="16"/>
              </w:rPr>
            </w:pPr>
            <w:r>
              <w:rPr>
                <w:rFonts w:ascii="Courier New"/>
                <w:b/>
                <w:sz w:val="16"/>
              </w:rPr>
              <w:t>1</w:t>
            </w:r>
          </w:p>
        </w:tc>
        <w:tc>
          <w:tcPr>
            <w:tcW w:w="672" w:type="dxa"/>
          </w:tcPr>
          <w:p>
            <w:pPr>
              <w:pStyle w:val="TableParagraph"/>
              <w:spacing w:line="240" w:lineRule="auto" w:before="11"/>
              <w:jc w:val="left"/>
              <w:rPr>
                <w:sz w:val="15"/>
              </w:rPr>
            </w:pPr>
          </w:p>
          <w:p>
            <w:pPr>
              <w:pStyle w:val="TableParagraph"/>
              <w:spacing w:line="161" w:lineRule="exact" w:before="0"/>
              <w:ind w:right="-15"/>
              <w:rPr>
                <w:rFonts w:ascii="Courier New"/>
                <w:b/>
                <w:sz w:val="16"/>
              </w:rPr>
            </w:pPr>
            <w:r>
              <w:rPr>
                <w:rFonts w:ascii="Courier New"/>
                <w:b/>
                <w:sz w:val="16"/>
              </w:rPr>
              <w:t>0.1338</w:t>
            </w:r>
          </w:p>
        </w:tc>
        <w:tc>
          <w:tcPr>
            <w:tcW w:w="863" w:type="dxa"/>
          </w:tcPr>
          <w:p>
            <w:pPr>
              <w:pStyle w:val="TableParagraph"/>
              <w:spacing w:line="240" w:lineRule="auto" w:before="11"/>
              <w:jc w:val="left"/>
              <w:rPr>
                <w:sz w:val="15"/>
              </w:rPr>
            </w:pPr>
          </w:p>
          <w:p>
            <w:pPr>
              <w:pStyle w:val="TableParagraph"/>
              <w:spacing w:line="161" w:lineRule="exact" w:before="0"/>
              <w:ind w:right="-15"/>
              <w:rPr>
                <w:rFonts w:ascii="Courier New"/>
                <w:b/>
                <w:sz w:val="16"/>
              </w:rPr>
            </w:pPr>
            <w:r>
              <w:rPr>
                <w:rFonts w:ascii="Courier New"/>
                <w:b/>
                <w:sz w:val="16"/>
              </w:rPr>
              <w:t>0.0646</w:t>
            </w:r>
          </w:p>
        </w:tc>
        <w:tc>
          <w:tcPr>
            <w:tcW w:w="863" w:type="dxa"/>
          </w:tcPr>
          <w:p>
            <w:pPr>
              <w:pStyle w:val="TableParagraph"/>
              <w:spacing w:line="240" w:lineRule="auto" w:before="11"/>
              <w:jc w:val="left"/>
              <w:rPr>
                <w:sz w:val="15"/>
              </w:rPr>
            </w:pPr>
          </w:p>
          <w:p>
            <w:pPr>
              <w:pStyle w:val="TableParagraph"/>
              <w:spacing w:line="161" w:lineRule="exact" w:before="0"/>
              <w:ind w:right="-15"/>
              <w:rPr>
                <w:rFonts w:ascii="Courier New"/>
                <w:b/>
                <w:sz w:val="16"/>
              </w:rPr>
            </w:pPr>
            <w:r>
              <w:rPr>
                <w:rFonts w:ascii="Courier New"/>
                <w:b/>
                <w:sz w:val="16"/>
              </w:rPr>
              <w:t>2.07</w:t>
            </w:r>
          </w:p>
        </w:tc>
        <w:tc>
          <w:tcPr>
            <w:tcW w:w="864" w:type="dxa"/>
          </w:tcPr>
          <w:p>
            <w:pPr>
              <w:pStyle w:val="TableParagraph"/>
              <w:spacing w:line="240" w:lineRule="auto" w:before="11"/>
              <w:jc w:val="left"/>
              <w:rPr>
                <w:sz w:val="15"/>
              </w:rPr>
            </w:pPr>
          </w:p>
          <w:p>
            <w:pPr>
              <w:pStyle w:val="TableParagraph"/>
              <w:spacing w:line="161" w:lineRule="exact" w:before="0"/>
              <w:ind w:right="-15"/>
              <w:rPr>
                <w:rFonts w:ascii="Courier New"/>
                <w:b/>
                <w:sz w:val="16"/>
              </w:rPr>
            </w:pPr>
            <w:r>
              <w:rPr>
                <w:rFonts w:ascii="Courier New"/>
                <w:b/>
                <w:sz w:val="16"/>
              </w:rPr>
              <w:t>0.039</w:t>
            </w:r>
          </w:p>
        </w:tc>
        <w:tc>
          <w:tcPr>
            <w:tcW w:w="722" w:type="dxa"/>
          </w:tcPr>
          <w:p>
            <w:pPr>
              <w:pStyle w:val="TableParagraph"/>
              <w:spacing w:line="240" w:lineRule="auto" w:before="11"/>
              <w:jc w:val="left"/>
              <w:rPr>
                <w:sz w:val="15"/>
              </w:rPr>
            </w:pPr>
          </w:p>
          <w:p>
            <w:pPr>
              <w:pStyle w:val="TableParagraph"/>
              <w:spacing w:line="161" w:lineRule="exact" w:before="0"/>
              <w:ind w:left="194"/>
              <w:jc w:val="left"/>
              <w:rPr>
                <w:rFonts w:ascii="Courier New"/>
                <w:b/>
                <w:sz w:val="16"/>
              </w:rPr>
            </w:pPr>
            <w:r>
              <w:rPr>
                <w:rFonts w:ascii="Courier New"/>
                <w:b/>
                <w:sz w:val="16"/>
              </w:rPr>
              <w:t>1.05</w:t>
            </w:r>
          </w:p>
        </w:tc>
      </w:tr>
    </w:tbl>
    <w:p>
      <w:pPr>
        <w:pStyle w:val="BodyText"/>
        <w:rPr>
          <w:sz w:val="7"/>
        </w:rPr>
      </w:pPr>
    </w:p>
    <w:p>
      <w:pPr>
        <w:pStyle w:val="Heading1"/>
        <w:spacing w:before="91"/>
      </w:pPr>
      <w:r>
        <w:rPr/>
        <w:t>B- Heterocedasticidad</w:t>
      </w:r>
    </w:p>
    <w:p>
      <w:pPr>
        <w:pStyle w:val="BodyText"/>
        <w:rPr>
          <w:b/>
          <w:sz w:val="9"/>
        </w:rPr>
      </w:pPr>
      <w:r>
        <w:rPr/>
        <w:drawing>
          <wp:anchor distT="0" distB="0" distL="0" distR="0" allowOverlap="1" layoutInCell="1" locked="0" behindDoc="0" simplePos="0" relativeHeight="102">
            <wp:simplePos x="0" y="0"/>
            <wp:positionH relativeFrom="page">
              <wp:posOffset>2277207</wp:posOffset>
            </wp:positionH>
            <wp:positionV relativeFrom="paragraph">
              <wp:posOffset>90780</wp:posOffset>
            </wp:positionV>
            <wp:extent cx="3228310" cy="2512314"/>
            <wp:effectExtent l="0" t="0" r="0" b="0"/>
            <wp:wrapTopAndBottom/>
            <wp:docPr id="121" name="image86.jpeg"/>
            <wp:cNvGraphicFramePr>
              <a:graphicFrameLocks noChangeAspect="1"/>
            </wp:cNvGraphicFramePr>
            <a:graphic>
              <a:graphicData uri="http://schemas.openxmlformats.org/drawingml/2006/picture">
                <pic:pic>
                  <pic:nvPicPr>
                    <pic:cNvPr id="122" name="image86.jpeg"/>
                    <pic:cNvPicPr/>
                  </pic:nvPicPr>
                  <pic:blipFill>
                    <a:blip r:embed="rId138" cstate="print"/>
                    <a:stretch>
                      <a:fillRect/>
                    </a:stretch>
                  </pic:blipFill>
                  <pic:spPr>
                    <a:xfrm>
                      <a:off x="0" y="0"/>
                      <a:ext cx="3228310" cy="2512314"/>
                    </a:xfrm>
                    <a:prstGeom prst="rect">
                      <a:avLst/>
                    </a:prstGeom>
                  </pic:spPr>
                </pic:pic>
              </a:graphicData>
            </a:graphic>
          </wp:anchor>
        </w:drawing>
      </w:r>
    </w:p>
    <w:p>
      <w:pPr>
        <w:spacing w:after="0"/>
        <w:rPr>
          <w:sz w:val="9"/>
        </w:rPr>
        <w:sectPr>
          <w:pgSz w:w="12240" w:h="15840"/>
          <w:pgMar w:header="0" w:footer="982" w:top="1440" w:bottom="1260" w:left="400" w:right="1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7"/>
        </w:rPr>
      </w:pPr>
    </w:p>
    <w:p>
      <w:pPr>
        <w:pStyle w:val="BodyText"/>
        <w:ind w:left="3342"/>
        <w:rPr>
          <w:sz w:val="20"/>
        </w:rPr>
      </w:pPr>
      <w:r>
        <w:rPr>
          <w:sz w:val="20"/>
        </w:rPr>
        <w:drawing>
          <wp:inline distT="0" distB="0" distL="0" distR="0">
            <wp:extent cx="3047771" cy="2423160"/>
            <wp:effectExtent l="0" t="0" r="0" b="0"/>
            <wp:docPr id="123" name="image87.jpeg"/>
            <wp:cNvGraphicFramePr>
              <a:graphicFrameLocks noChangeAspect="1"/>
            </wp:cNvGraphicFramePr>
            <a:graphic>
              <a:graphicData uri="http://schemas.openxmlformats.org/drawingml/2006/picture">
                <pic:pic>
                  <pic:nvPicPr>
                    <pic:cNvPr id="124" name="image87.jpeg"/>
                    <pic:cNvPicPr/>
                  </pic:nvPicPr>
                  <pic:blipFill>
                    <a:blip r:embed="rId139" cstate="print"/>
                    <a:stretch>
                      <a:fillRect/>
                    </a:stretch>
                  </pic:blipFill>
                  <pic:spPr>
                    <a:xfrm>
                      <a:off x="0" y="0"/>
                      <a:ext cx="3047771" cy="2423160"/>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spacing w:before="10"/>
        <w:rPr>
          <w:b/>
          <w:sz w:val="18"/>
        </w:rPr>
      </w:pPr>
    </w:p>
    <w:p>
      <w:pPr>
        <w:spacing w:before="0" w:after="6"/>
        <w:ind w:left="3289" w:right="0" w:firstLine="0"/>
        <w:jc w:val="left"/>
        <w:rPr>
          <w:b/>
          <w:sz w:val="12"/>
        </w:rPr>
      </w:pPr>
      <w:r>
        <w:rPr>
          <w:b/>
          <w:sz w:val="18"/>
        </w:rPr>
        <w:t>ANOVA BREUSCH PAGAN MODELO</w:t>
      </w:r>
      <w:r>
        <w:rPr>
          <w:b/>
          <w:spacing w:val="-9"/>
          <w:sz w:val="18"/>
        </w:rPr>
        <w:t> </w:t>
      </w:r>
      <w:r>
        <w:rPr>
          <w:b/>
          <w:sz w:val="18"/>
        </w:rPr>
        <w:t>6</w:t>
      </w:r>
      <w:r>
        <w:rPr>
          <w:b/>
          <w:position w:val="6"/>
          <w:sz w:val="12"/>
        </w:rPr>
        <w:t>a</w:t>
      </w:r>
    </w:p>
    <w:tbl>
      <w:tblPr>
        <w:tblW w:w="0" w:type="auto"/>
        <w:jc w:val="left"/>
        <w:tblInd w:w="10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6"/>
        <w:gridCol w:w="1485"/>
        <w:gridCol w:w="1485"/>
        <w:gridCol w:w="1005"/>
        <w:gridCol w:w="1485"/>
        <w:gridCol w:w="1008"/>
        <w:gridCol w:w="1005"/>
      </w:tblGrid>
      <w:tr>
        <w:trPr>
          <w:trHeight w:val="639" w:hRule="atLeast"/>
        </w:trPr>
        <w:tc>
          <w:tcPr>
            <w:tcW w:w="1921" w:type="dxa"/>
            <w:gridSpan w:val="2"/>
          </w:tcPr>
          <w:p>
            <w:pPr>
              <w:pStyle w:val="TableParagraph"/>
              <w:spacing w:line="240" w:lineRule="auto" w:before="110"/>
              <w:ind w:left="25"/>
              <w:jc w:val="left"/>
              <w:rPr>
                <w:sz w:val="18"/>
              </w:rPr>
            </w:pPr>
            <w:r>
              <w:rPr>
                <w:sz w:val="18"/>
              </w:rPr>
              <w:t>Modelo</w:t>
            </w:r>
          </w:p>
        </w:tc>
        <w:tc>
          <w:tcPr>
            <w:tcW w:w="1485" w:type="dxa"/>
            <w:tcBorders>
              <w:right w:val="single" w:sz="8" w:space="0" w:color="000000"/>
            </w:tcBorders>
          </w:tcPr>
          <w:p>
            <w:pPr>
              <w:pStyle w:val="TableParagraph"/>
              <w:spacing w:line="320" w:lineRule="exact" w:before="23"/>
              <w:ind w:left="296" w:right="295" w:firstLine="56"/>
              <w:jc w:val="left"/>
              <w:rPr>
                <w:sz w:val="18"/>
              </w:rPr>
            </w:pPr>
            <w:r>
              <w:rPr>
                <w:sz w:val="18"/>
              </w:rPr>
              <w:t>Suma de cuadrados</w:t>
            </w:r>
          </w:p>
        </w:tc>
        <w:tc>
          <w:tcPr>
            <w:tcW w:w="1005" w:type="dxa"/>
            <w:tcBorders>
              <w:left w:val="single" w:sz="8" w:space="0" w:color="000000"/>
              <w:right w:val="single" w:sz="8" w:space="0" w:color="000000"/>
            </w:tcBorders>
          </w:tcPr>
          <w:p>
            <w:pPr>
              <w:pStyle w:val="TableParagraph"/>
              <w:spacing w:line="240" w:lineRule="auto" w:before="110"/>
              <w:ind w:left="393" w:right="410"/>
              <w:jc w:val="center"/>
              <w:rPr>
                <w:sz w:val="18"/>
              </w:rPr>
            </w:pPr>
            <w:r>
              <w:rPr>
                <w:sz w:val="18"/>
              </w:rPr>
              <w:t>gl</w:t>
            </w:r>
          </w:p>
        </w:tc>
        <w:tc>
          <w:tcPr>
            <w:tcW w:w="1485" w:type="dxa"/>
            <w:tcBorders>
              <w:left w:val="single" w:sz="8" w:space="0" w:color="000000"/>
              <w:right w:val="single" w:sz="8" w:space="0" w:color="000000"/>
            </w:tcBorders>
          </w:tcPr>
          <w:p>
            <w:pPr>
              <w:pStyle w:val="TableParagraph"/>
              <w:spacing w:line="240" w:lineRule="auto" w:before="110"/>
              <w:ind w:right="51"/>
              <w:rPr>
                <w:sz w:val="18"/>
              </w:rPr>
            </w:pPr>
            <w:r>
              <w:rPr>
                <w:sz w:val="18"/>
              </w:rPr>
              <w:t>Media cuadrática</w:t>
            </w:r>
          </w:p>
        </w:tc>
        <w:tc>
          <w:tcPr>
            <w:tcW w:w="1008" w:type="dxa"/>
            <w:tcBorders>
              <w:left w:val="single" w:sz="8" w:space="0" w:color="000000"/>
              <w:right w:val="single" w:sz="8" w:space="0" w:color="000000"/>
            </w:tcBorders>
          </w:tcPr>
          <w:p>
            <w:pPr>
              <w:pStyle w:val="TableParagraph"/>
              <w:spacing w:line="240" w:lineRule="auto" w:before="110"/>
              <w:ind w:right="11"/>
              <w:jc w:val="center"/>
              <w:rPr>
                <w:sz w:val="18"/>
              </w:rPr>
            </w:pPr>
            <w:r>
              <w:rPr>
                <w:w w:val="100"/>
                <w:sz w:val="18"/>
              </w:rPr>
              <w:t>F</w:t>
            </w:r>
          </w:p>
        </w:tc>
        <w:tc>
          <w:tcPr>
            <w:tcW w:w="1005" w:type="dxa"/>
            <w:tcBorders>
              <w:left w:val="single" w:sz="8" w:space="0" w:color="000000"/>
            </w:tcBorders>
          </w:tcPr>
          <w:p>
            <w:pPr>
              <w:pStyle w:val="TableParagraph"/>
              <w:spacing w:line="240" w:lineRule="auto" w:before="110"/>
              <w:ind w:left="320"/>
              <w:jc w:val="left"/>
              <w:rPr>
                <w:sz w:val="18"/>
              </w:rPr>
            </w:pPr>
            <w:r>
              <w:rPr>
                <w:sz w:val="18"/>
              </w:rPr>
              <w:t>Sig.</w:t>
            </w:r>
          </w:p>
        </w:tc>
      </w:tr>
      <w:tr>
        <w:trPr>
          <w:trHeight w:val="352" w:hRule="atLeast"/>
        </w:trPr>
        <w:tc>
          <w:tcPr>
            <w:tcW w:w="436" w:type="dxa"/>
            <w:tcBorders>
              <w:bottom w:val="nil"/>
              <w:right w:val="nil"/>
            </w:tcBorders>
          </w:tcPr>
          <w:p>
            <w:pPr>
              <w:pStyle w:val="TableParagraph"/>
              <w:spacing w:line="240" w:lineRule="auto" w:before="0"/>
              <w:jc w:val="left"/>
              <w:rPr>
                <w:rFonts w:ascii="Times New Roman"/>
                <w:sz w:val="16"/>
              </w:rPr>
            </w:pPr>
          </w:p>
        </w:tc>
        <w:tc>
          <w:tcPr>
            <w:tcW w:w="1485" w:type="dxa"/>
            <w:tcBorders>
              <w:left w:val="nil"/>
              <w:bottom w:val="nil"/>
            </w:tcBorders>
          </w:tcPr>
          <w:p>
            <w:pPr>
              <w:pStyle w:val="TableParagraph"/>
              <w:spacing w:line="240" w:lineRule="auto" w:before="86"/>
              <w:ind w:left="331"/>
              <w:jc w:val="left"/>
              <w:rPr>
                <w:sz w:val="18"/>
              </w:rPr>
            </w:pPr>
            <w:r>
              <w:rPr>
                <w:sz w:val="18"/>
              </w:rPr>
              <w:t>Regresión</w:t>
            </w:r>
          </w:p>
        </w:tc>
        <w:tc>
          <w:tcPr>
            <w:tcW w:w="1485" w:type="dxa"/>
            <w:tcBorders>
              <w:bottom w:val="nil"/>
              <w:right w:val="single" w:sz="8" w:space="0" w:color="000000"/>
            </w:tcBorders>
          </w:tcPr>
          <w:p>
            <w:pPr>
              <w:pStyle w:val="TableParagraph"/>
              <w:spacing w:line="240" w:lineRule="auto" w:before="86"/>
              <w:ind w:right="36"/>
              <w:rPr>
                <w:sz w:val="18"/>
              </w:rPr>
            </w:pPr>
            <w:r>
              <w:rPr>
                <w:sz w:val="18"/>
              </w:rPr>
              <w:t>2.423</w:t>
            </w:r>
          </w:p>
        </w:tc>
        <w:tc>
          <w:tcPr>
            <w:tcW w:w="1005" w:type="dxa"/>
            <w:tcBorders>
              <w:left w:val="single" w:sz="8" w:space="0" w:color="000000"/>
              <w:bottom w:val="nil"/>
              <w:right w:val="single" w:sz="8" w:space="0" w:color="000000"/>
            </w:tcBorders>
          </w:tcPr>
          <w:p>
            <w:pPr>
              <w:pStyle w:val="TableParagraph"/>
              <w:spacing w:line="240" w:lineRule="auto" w:before="86"/>
              <w:ind w:right="37"/>
              <w:rPr>
                <w:sz w:val="18"/>
              </w:rPr>
            </w:pPr>
            <w:r>
              <w:rPr>
                <w:w w:val="99"/>
                <w:sz w:val="18"/>
              </w:rPr>
              <w:t>8</w:t>
            </w:r>
          </w:p>
        </w:tc>
        <w:tc>
          <w:tcPr>
            <w:tcW w:w="1485" w:type="dxa"/>
            <w:tcBorders>
              <w:left w:val="single" w:sz="8" w:space="0" w:color="000000"/>
              <w:bottom w:val="nil"/>
              <w:right w:val="single" w:sz="8" w:space="0" w:color="000000"/>
            </w:tcBorders>
          </w:tcPr>
          <w:p>
            <w:pPr>
              <w:pStyle w:val="TableParagraph"/>
              <w:spacing w:line="240" w:lineRule="auto" w:before="86"/>
              <w:ind w:right="38"/>
              <w:rPr>
                <w:sz w:val="18"/>
              </w:rPr>
            </w:pPr>
            <w:r>
              <w:rPr>
                <w:sz w:val="18"/>
              </w:rPr>
              <w:t>.303</w:t>
            </w:r>
          </w:p>
        </w:tc>
        <w:tc>
          <w:tcPr>
            <w:tcW w:w="1008" w:type="dxa"/>
            <w:vMerge w:val="restart"/>
            <w:tcBorders>
              <w:left w:val="single" w:sz="8" w:space="0" w:color="000000"/>
              <w:right w:val="single" w:sz="8" w:space="0" w:color="000000"/>
            </w:tcBorders>
          </w:tcPr>
          <w:p>
            <w:pPr>
              <w:pStyle w:val="TableParagraph"/>
              <w:spacing w:line="240" w:lineRule="auto" w:before="86"/>
              <w:ind w:left="495"/>
              <w:jc w:val="left"/>
              <w:rPr>
                <w:sz w:val="18"/>
              </w:rPr>
            </w:pPr>
            <w:r>
              <w:rPr>
                <w:sz w:val="18"/>
              </w:rPr>
              <w:t>2.921</w:t>
            </w:r>
          </w:p>
        </w:tc>
        <w:tc>
          <w:tcPr>
            <w:tcW w:w="1005" w:type="dxa"/>
            <w:vMerge w:val="restart"/>
            <w:tcBorders>
              <w:left w:val="single" w:sz="8" w:space="0" w:color="000000"/>
            </w:tcBorders>
          </w:tcPr>
          <w:p>
            <w:pPr>
              <w:pStyle w:val="TableParagraph"/>
              <w:spacing w:line="240" w:lineRule="auto" w:before="86"/>
              <w:ind w:left="516"/>
              <w:jc w:val="left"/>
              <w:rPr>
                <w:sz w:val="12"/>
              </w:rPr>
            </w:pPr>
            <w:r>
              <w:rPr>
                <w:sz w:val="18"/>
              </w:rPr>
              <w:t>.004</w:t>
            </w:r>
            <w:r>
              <w:rPr>
                <w:position w:val="5"/>
                <w:sz w:val="12"/>
              </w:rPr>
              <w:t>b</w:t>
            </w:r>
          </w:p>
        </w:tc>
      </w:tr>
      <w:tr>
        <w:trPr>
          <w:trHeight w:val="321" w:hRule="atLeast"/>
        </w:trPr>
        <w:tc>
          <w:tcPr>
            <w:tcW w:w="436" w:type="dxa"/>
            <w:tcBorders>
              <w:top w:val="nil"/>
              <w:bottom w:val="nil"/>
              <w:right w:val="nil"/>
            </w:tcBorders>
          </w:tcPr>
          <w:p>
            <w:pPr>
              <w:pStyle w:val="TableParagraph"/>
              <w:spacing w:line="240" w:lineRule="auto" w:before="53"/>
              <w:ind w:left="25"/>
              <w:jc w:val="left"/>
              <w:rPr>
                <w:sz w:val="18"/>
              </w:rPr>
            </w:pPr>
            <w:r>
              <w:rPr>
                <w:w w:val="99"/>
                <w:sz w:val="18"/>
              </w:rPr>
              <w:t>1</w:t>
            </w:r>
          </w:p>
        </w:tc>
        <w:tc>
          <w:tcPr>
            <w:tcW w:w="1485" w:type="dxa"/>
            <w:tcBorders>
              <w:top w:val="nil"/>
              <w:left w:val="nil"/>
              <w:bottom w:val="nil"/>
            </w:tcBorders>
          </w:tcPr>
          <w:p>
            <w:pPr>
              <w:pStyle w:val="TableParagraph"/>
              <w:spacing w:line="240" w:lineRule="auto" w:before="53"/>
              <w:ind w:left="331"/>
              <w:jc w:val="left"/>
              <w:rPr>
                <w:sz w:val="18"/>
              </w:rPr>
            </w:pPr>
            <w:r>
              <w:rPr>
                <w:sz w:val="18"/>
              </w:rPr>
              <w:t>Residual</w:t>
            </w:r>
          </w:p>
        </w:tc>
        <w:tc>
          <w:tcPr>
            <w:tcW w:w="1485" w:type="dxa"/>
            <w:tcBorders>
              <w:top w:val="nil"/>
              <w:bottom w:val="nil"/>
              <w:right w:val="single" w:sz="8" w:space="0" w:color="000000"/>
            </w:tcBorders>
          </w:tcPr>
          <w:p>
            <w:pPr>
              <w:pStyle w:val="TableParagraph"/>
              <w:spacing w:line="240" w:lineRule="auto" w:before="53"/>
              <w:ind w:right="36"/>
              <w:rPr>
                <w:sz w:val="18"/>
              </w:rPr>
            </w:pPr>
            <w:r>
              <w:rPr>
                <w:sz w:val="18"/>
              </w:rPr>
              <w:t>30.277</w:t>
            </w:r>
          </w:p>
        </w:tc>
        <w:tc>
          <w:tcPr>
            <w:tcW w:w="1005" w:type="dxa"/>
            <w:tcBorders>
              <w:top w:val="nil"/>
              <w:left w:val="single" w:sz="8" w:space="0" w:color="000000"/>
              <w:bottom w:val="nil"/>
              <w:right w:val="single" w:sz="8" w:space="0" w:color="000000"/>
            </w:tcBorders>
          </w:tcPr>
          <w:p>
            <w:pPr>
              <w:pStyle w:val="TableParagraph"/>
              <w:spacing w:line="240" w:lineRule="auto" w:before="53"/>
              <w:ind w:right="37"/>
              <w:rPr>
                <w:sz w:val="18"/>
              </w:rPr>
            </w:pPr>
            <w:r>
              <w:rPr>
                <w:w w:val="95"/>
                <w:sz w:val="18"/>
              </w:rPr>
              <w:t>292</w:t>
            </w:r>
          </w:p>
        </w:tc>
        <w:tc>
          <w:tcPr>
            <w:tcW w:w="1485" w:type="dxa"/>
            <w:tcBorders>
              <w:top w:val="nil"/>
              <w:left w:val="single" w:sz="8" w:space="0" w:color="000000"/>
              <w:bottom w:val="nil"/>
              <w:right w:val="single" w:sz="8" w:space="0" w:color="000000"/>
            </w:tcBorders>
          </w:tcPr>
          <w:p>
            <w:pPr>
              <w:pStyle w:val="TableParagraph"/>
              <w:spacing w:line="240" w:lineRule="auto" w:before="53"/>
              <w:ind w:right="38"/>
              <w:rPr>
                <w:sz w:val="18"/>
              </w:rPr>
            </w:pPr>
            <w:r>
              <w:rPr>
                <w:sz w:val="18"/>
              </w:rPr>
              <w:t>.104</w:t>
            </w:r>
          </w:p>
        </w:tc>
        <w:tc>
          <w:tcPr>
            <w:tcW w:w="1008" w:type="dxa"/>
            <w:vMerge/>
            <w:tcBorders>
              <w:top w:val="nil"/>
              <w:left w:val="single" w:sz="8" w:space="0" w:color="000000"/>
              <w:right w:val="single" w:sz="8" w:space="0" w:color="000000"/>
            </w:tcBorders>
          </w:tcPr>
          <w:p>
            <w:pPr>
              <w:rPr>
                <w:sz w:val="2"/>
                <w:szCs w:val="2"/>
              </w:rPr>
            </w:pPr>
          </w:p>
        </w:tc>
        <w:tc>
          <w:tcPr>
            <w:tcW w:w="1005" w:type="dxa"/>
            <w:vMerge/>
            <w:tcBorders>
              <w:top w:val="nil"/>
              <w:left w:val="single" w:sz="8" w:space="0" w:color="000000"/>
            </w:tcBorders>
          </w:tcPr>
          <w:p>
            <w:pPr>
              <w:rPr>
                <w:sz w:val="2"/>
                <w:szCs w:val="2"/>
              </w:rPr>
            </w:pPr>
          </w:p>
        </w:tc>
      </w:tr>
      <w:tr>
        <w:trPr>
          <w:trHeight w:val="263" w:hRule="atLeast"/>
        </w:trPr>
        <w:tc>
          <w:tcPr>
            <w:tcW w:w="436" w:type="dxa"/>
            <w:tcBorders>
              <w:top w:val="nil"/>
              <w:right w:val="nil"/>
            </w:tcBorders>
          </w:tcPr>
          <w:p>
            <w:pPr>
              <w:pStyle w:val="TableParagraph"/>
              <w:spacing w:line="240" w:lineRule="auto" w:before="0"/>
              <w:jc w:val="left"/>
              <w:rPr>
                <w:rFonts w:ascii="Times New Roman"/>
                <w:sz w:val="16"/>
              </w:rPr>
            </w:pPr>
          </w:p>
        </w:tc>
        <w:tc>
          <w:tcPr>
            <w:tcW w:w="1485" w:type="dxa"/>
            <w:tcBorders>
              <w:top w:val="nil"/>
              <w:left w:val="nil"/>
            </w:tcBorders>
          </w:tcPr>
          <w:p>
            <w:pPr>
              <w:pStyle w:val="TableParagraph"/>
              <w:spacing w:line="188" w:lineRule="exact" w:before="55"/>
              <w:ind w:left="331"/>
              <w:jc w:val="left"/>
              <w:rPr>
                <w:sz w:val="18"/>
              </w:rPr>
            </w:pPr>
            <w:r>
              <w:rPr>
                <w:sz w:val="18"/>
              </w:rPr>
              <w:t>Total</w:t>
            </w:r>
          </w:p>
        </w:tc>
        <w:tc>
          <w:tcPr>
            <w:tcW w:w="1485" w:type="dxa"/>
            <w:tcBorders>
              <w:top w:val="nil"/>
              <w:right w:val="single" w:sz="8" w:space="0" w:color="000000"/>
            </w:tcBorders>
          </w:tcPr>
          <w:p>
            <w:pPr>
              <w:pStyle w:val="TableParagraph"/>
              <w:spacing w:line="188" w:lineRule="exact" w:before="55"/>
              <w:ind w:right="36"/>
              <w:rPr>
                <w:sz w:val="18"/>
              </w:rPr>
            </w:pPr>
            <w:r>
              <w:rPr>
                <w:sz w:val="18"/>
              </w:rPr>
              <w:t>32.700</w:t>
            </w:r>
          </w:p>
        </w:tc>
        <w:tc>
          <w:tcPr>
            <w:tcW w:w="1005" w:type="dxa"/>
            <w:tcBorders>
              <w:top w:val="nil"/>
              <w:left w:val="single" w:sz="8" w:space="0" w:color="000000"/>
              <w:right w:val="single" w:sz="8" w:space="0" w:color="000000"/>
            </w:tcBorders>
          </w:tcPr>
          <w:p>
            <w:pPr>
              <w:pStyle w:val="TableParagraph"/>
              <w:spacing w:line="188" w:lineRule="exact" w:before="55"/>
              <w:ind w:right="37"/>
              <w:rPr>
                <w:sz w:val="18"/>
              </w:rPr>
            </w:pPr>
            <w:r>
              <w:rPr>
                <w:w w:val="95"/>
                <w:sz w:val="18"/>
              </w:rPr>
              <w:t>300</w:t>
            </w:r>
          </w:p>
        </w:tc>
        <w:tc>
          <w:tcPr>
            <w:tcW w:w="1485" w:type="dxa"/>
            <w:tcBorders>
              <w:top w:val="nil"/>
              <w:left w:val="single" w:sz="8" w:space="0" w:color="000000"/>
              <w:right w:val="single" w:sz="8" w:space="0" w:color="000000"/>
            </w:tcBorders>
          </w:tcPr>
          <w:p>
            <w:pPr>
              <w:pStyle w:val="TableParagraph"/>
              <w:spacing w:line="240" w:lineRule="auto" w:before="0"/>
              <w:jc w:val="left"/>
              <w:rPr>
                <w:rFonts w:ascii="Times New Roman"/>
                <w:sz w:val="16"/>
              </w:rPr>
            </w:pPr>
          </w:p>
        </w:tc>
        <w:tc>
          <w:tcPr>
            <w:tcW w:w="1008" w:type="dxa"/>
            <w:vMerge/>
            <w:tcBorders>
              <w:top w:val="nil"/>
              <w:left w:val="single" w:sz="8" w:space="0" w:color="000000"/>
              <w:right w:val="single" w:sz="8" w:space="0" w:color="000000"/>
            </w:tcBorders>
          </w:tcPr>
          <w:p>
            <w:pPr>
              <w:rPr>
                <w:sz w:val="2"/>
                <w:szCs w:val="2"/>
              </w:rPr>
            </w:pPr>
          </w:p>
        </w:tc>
        <w:tc>
          <w:tcPr>
            <w:tcW w:w="1005"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851"/>
      </w:tblGrid>
      <w:tr>
        <w:trPr>
          <w:trHeight w:val="260" w:hRule="atLeast"/>
        </w:trPr>
        <w:tc>
          <w:tcPr>
            <w:tcW w:w="7851" w:type="dxa"/>
          </w:tcPr>
          <w:p>
            <w:pPr>
              <w:pStyle w:val="TableParagraph"/>
              <w:spacing w:line="201" w:lineRule="exact" w:before="0"/>
              <w:ind w:left="200"/>
              <w:jc w:val="left"/>
              <w:rPr>
                <w:sz w:val="18"/>
              </w:rPr>
            </w:pPr>
            <w:r>
              <w:rPr>
                <w:sz w:val="18"/>
              </w:rPr>
              <w:t>a. Variable dependiente: RES_62</w:t>
            </w:r>
          </w:p>
        </w:tc>
      </w:tr>
      <w:tr>
        <w:trPr>
          <w:trHeight w:val="900" w:hRule="atLeast"/>
        </w:trPr>
        <w:tc>
          <w:tcPr>
            <w:tcW w:w="7851" w:type="dxa"/>
          </w:tcPr>
          <w:p>
            <w:pPr>
              <w:pStyle w:val="TableParagraph"/>
              <w:spacing w:line="240" w:lineRule="auto" w:before="53"/>
              <w:ind w:left="200"/>
              <w:jc w:val="left"/>
              <w:rPr>
                <w:sz w:val="18"/>
              </w:rPr>
            </w:pPr>
            <w:r>
              <w:rPr>
                <w:sz w:val="18"/>
              </w:rPr>
              <w:t>b. Variables predictoras: (Constante), VistaalaCarpintera, Tipo1casa0Condo, LnDistanciaSJ,</w:t>
            </w:r>
          </w:p>
          <w:p>
            <w:pPr>
              <w:pStyle w:val="TableParagraph"/>
              <w:spacing w:line="320" w:lineRule="atLeast" w:before="0"/>
              <w:ind w:left="200"/>
              <w:jc w:val="left"/>
              <w:rPr>
                <w:sz w:val="18"/>
              </w:rPr>
            </w:pPr>
            <w:r>
              <w:rPr>
                <w:sz w:val="18"/>
              </w:rPr>
              <w:t>ZonadeRiesgodedesastre, LnAreadeConstruccion, LnNúmerodePlantas, LnAñoConstruccion, LnDistanciaPobreza</w:t>
            </w:r>
          </w:p>
        </w:tc>
      </w:tr>
    </w:tbl>
    <w:p>
      <w:pPr>
        <w:pStyle w:val="BodyText"/>
        <w:rPr>
          <w:b/>
          <w:sz w:val="20"/>
        </w:rPr>
      </w:pPr>
    </w:p>
    <w:p>
      <w:pPr>
        <w:pStyle w:val="BodyText"/>
        <w:spacing w:before="11"/>
        <w:rPr>
          <w:b/>
          <w:sz w:val="23"/>
        </w:rPr>
      </w:pPr>
    </w:p>
    <w:p>
      <w:pPr>
        <w:spacing w:before="0" w:after="6"/>
        <w:ind w:left="3289" w:right="0" w:firstLine="0"/>
        <w:jc w:val="left"/>
        <w:rPr>
          <w:b/>
          <w:sz w:val="12"/>
        </w:rPr>
      </w:pPr>
      <w:r>
        <w:rPr>
          <w:b/>
          <w:sz w:val="18"/>
        </w:rPr>
        <w:t>ANOVA ABRIDGED WHITE MODELO</w:t>
      </w:r>
      <w:r>
        <w:rPr>
          <w:b/>
          <w:spacing w:val="-8"/>
          <w:sz w:val="18"/>
        </w:rPr>
        <w:t> </w:t>
      </w:r>
      <w:r>
        <w:rPr>
          <w:b/>
          <w:sz w:val="18"/>
        </w:rPr>
        <w:t>6</w:t>
      </w:r>
      <w:r>
        <w:rPr>
          <w:b/>
          <w:position w:val="6"/>
          <w:sz w:val="12"/>
        </w:rPr>
        <w:t>a</w:t>
      </w:r>
    </w:p>
    <w:tbl>
      <w:tblPr>
        <w:tblW w:w="0" w:type="auto"/>
        <w:jc w:val="left"/>
        <w:tblInd w:w="10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4"/>
        <w:gridCol w:w="1487"/>
        <w:gridCol w:w="1485"/>
        <w:gridCol w:w="1009"/>
        <w:gridCol w:w="1485"/>
        <w:gridCol w:w="1008"/>
        <w:gridCol w:w="1004"/>
      </w:tblGrid>
      <w:tr>
        <w:trPr>
          <w:trHeight w:val="638" w:hRule="atLeast"/>
        </w:trPr>
        <w:tc>
          <w:tcPr>
            <w:tcW w:w="1921" w:type="dxa"/>
            <w:gridSpan w:val="2"/>
          </w:tcPr>
          <w:p>
            <w:pPr>
              <w:pStyle w:val="TableParagraph"/>
              <w:spacing w:line="240" w:lineRule="auto" w:before="110"/>
              <w:ind w:left="25"/>
              <w:jc w:val="left"/>
              <w:rPr>
                <w:sz w:val="18"/>
              </w:rPr>
            </w:pPr>
            <w:r>
              <w:rPr>
                <w:sz w:val="18"/>
              </w:rPr>
              <w:t>Modelo</w:t>
            </w:r>
          </w:p>
        </w:tc>
        <w:tc>
          <w:tcPr>
            <w:tcW w:w="1485" w:type="dxa"/>
            <w:tcBorders>
              <w:right w:val="single" w:sz="8" w:space="0" w:color="000000"/>
            </w:tcBorders>
          </w:tcPr>
          <w:p>
            <w:pPr>
              <w:pStyle w:val="TableParagraph"/>
              <w:spacing w:line="320" w:lineRule="exact" w:before="23"/>
              <w:ind w:left="296" w:right="295" w:firstLine="56"/>
              <w:jc w:val="left"/>
              <w:rPr>
                <w:sz w:val="18"/>
              </w:rPr>
            </w:pPr>
            <w:r>
              <w:rPr>
                <w:sz w:val="18"/>
              </w:rPr>
              <w:t>Suma de cuadrados</w:t>
            </w:r>
          </w:p>
        </w:tc>
        <w:tc>
          <w:tcPr>
            <w:tcW w:w="1009" w:type="dxa"/>
            <w:tcBorders>
              <w:left w:val="single" w:sz="8" w:space="0" w:color="000000"/>
              <w:right w:val="single" w:sz="8" w:space="0" w:color="000000"/>
            </w:tcBorders>
          </w:tcPr>
          <w:p>
            <w:pPr>
              <w:pStyle w:val="TableParagraph"/>
              <w:spacing w:line="240" w:lineRule="auto" w:before="110"/>
              <w:ind w:left="393" w:right="414"/>
              <w:jc w:val="center"/>
              <w:rPr>
                <w:sz w:val="18"/>
              </w:rPr>
            </w:pPr>
            <w:r>
              <w:rPr>
                <w:sz w:val="18"/>
              </w:rPr>
              <w:t>gl</w:t>
            </w:r>
          </w:p>
        </w:tc>
        <w:tc>
          <w:tcPr>
            <w:tcW w:w="1485" w:type="dxa"/>
            <w:tcBorders>
              <w:left w:val="single" w:sz="8" w:space="0" w:color="000000"/>
              <w:right w:val="single" w:sz="8" w:space="0" w:color="000000"/>
            </w:tcBorders>
          </w:tcPr>
          <w:p>
            <w:pPr>
              <w:pStyle w:val="TableParagraph"/>
              <w:spacing w:line="240" w:lineRule="auto" w:before="110"/>
              <w:ind w:right="51"/>
              <w:rPr>
                <w:sz w:val="18"/>
              </w:rPr>
            </w:pPr>
            <w:r>
              <w:rPr>
                <w:sz w:val="18"/>
              </w:rPr>
              <w:t>Media cuadrática</w:t>
            </w:r>
          </w:p>
        </w:tc>
        <w:tc>
          <w:tcPr>
            <w:tcW w:w="1008" w:type="dxa"/>
            <w:tcBorders>
              <w:left w:val="single" w:sz="8" w:space="0" w:color="000000"/>
              <w:right w:val="single" w:sz="8" w:space="0" w:color="000000"/>
            </w:tcBorders>
          </w:tcPr>
          <w:p>
            <w:pPr>
              <w:pStyle w:val="TableParagraph"/>
              <w:spacing w:line="240" w:lineRule="auto" w:before="110"/>
              <w:ind w:right="11"/>
              <w:jc w:val="center"/>
              <w:rPr>
                <w:sz w:val="18"/>
              </w:rPr>
            </w:pPr>
            <w:r>
              <w:rPr>
                <w:w w:val="100"/>
                <w:sz w:val="18"/>
              </w:rPr>
              <w:t>F</w:t>
            </w:r>
          </w:p>
        </w:tc>
        <w:tc>
          <w:tcPr>
            <w:tcW w:w="1004" w:type="dxa"/>
            <w:tcBorders>
              <w:left w:val="single" w:sz="8" w:space="0" w:color="000000"/>
            </w:tcBorders>
          </w:tcPr>
          <w:p>
            <w:pPr>
              <w:pStyle w:val="TableParagraph"/>
              <w:spacing w:line="240" w:lineRule="auto" w:before="110"/>
              <w:ind w:left="320"/>
              <w:jc w:val="left"/>
              <w:rPr>
                <w:sz w:val="18"/>
              </w:rPr>
            </w:pPr>
            <w:r>
              <w:rPr>
                <w:sz w:val="18"/>
              </w:rPr>
              <w:t>Sig.</w:t>
            </w:r>
          </w:p>
        </w:tc>
      </w:tr>
      <w:tr>
        <w:trPr>
          <w:trHeight w:val="354" w:hRule="atLeast"/>
        </w:trPr>
        <w:tc>
          <w:tcPr>
            <w:tcW w:w="434" w:type="dxa"/>
            <w:tcBorders>
              <w:bottom w:val="nil"/>
              <w:right w:val="nil"/>
            </w:tcBorders>
          </w:tcPr>
          <w:p>
            <w:pPr>
              <w:pStyle w:val="TableParagraph"/>
              <w:spacing w:line="240" w:lineRule="auto" w:before="0"/>
              <w:jc w:val="left"/>
              <w:rPr>
                <w:rFonts w:ascii="Times New Roman"/>
                <w:sz w:val="16"/>
              </w:rPr>
            </w:pPr>
          </w:p>
        </w:tc>
        <w:tc>
          <w:tcPr>
            <w:tcW w:w="1487" w:type="dxa"/>
            <w:tcBorders>
              <w:left w:val="nil"/>
              <w:bottom w:val="nil"/>
            </w:tcBorders>
          </w:tcPr>
          <w:p>
            <w:pPr>
              <w:pStyle w:val="TableParagraph"/>
              <w:spacing w:line="240" w:lineRule="auto" w:before="86"/>
              <w:ind w:left="329"/>
              <w:jc w:val="left"/>
              <w:rPr>
                <w:sz w:val="18"/>
              </w:rPr>
            </w:pPr>
            <w:r>
              <w:rPr>
                <w:sz w:val="18"/>
              </w:rPr>
              <w:t>Regresión</w:t>
            </w:r>
          </w:p>
        </w:tc>
        <w:tc>
          <w:tcPr>
            <w:tcW w:w="1485" w:type="dxa"/>
            <w:tcBorders>
              <w:bottom w:val="nil"/>
              <w:right w:val="single" w:sz="8" w:space="0" w:color="000000"/>
            </w:tcBorders>
          </w:tcPr>
          <w:p>
            <w:pPr>
              <w:pStyle w:val="TableParagraph"/>
              <w:spacing w:line="240" w:lineRule="auto" w:before="86"/>
              <w:ind w:right="36"/>
              <w:rPr>
                <w:sz w:val="18"/>
              </w:rPr>
            </w:pPr>
            <w:r>
              <w:rPr>
                <w:sz w:val="18"/>
              </w:rPr>
              <w:t>.611</w:t>
            </w:r>
          </w:p>
        </w:tc>
        <w:tc>
          <w:tcPr>
            <w:tcW w:w="1009" w:type="dxa"/>
            <w:tcBorders>
              <w:left w:val="single" w:sz="8" w:space="0" w:color="000000"/>
              <w:bottom w:val="nil"/>
              <w:right w:val="single" w:sz="8" w:space="0" w:color="000000"/>
            </w:tcBorders>
          </w:tcPr>
          <w:p>
            <w:pPr>
              <w:pStyle w:val="TableParagraph"/>
              <w:spacing w:line="240" w:lineRule="auto" w:before="86"/>
              <w:ind w:right="37"/>
              <w:rPr>
                <w:sz w:val="18"/>
              </w:rPr>
            </w:pPr>
            <w:r>
              <w:rPr>
                <w:w w:val="99"/>
                <w:sz w:val="18"/>
              </w:rPr>
              <w:t>2</w:t>
            </w:r>
          </w:p>
        </w:tc>
        <w:tc>
          <w:tcPr>
            <w:tcW w:w="1485" w:type="dxa"/>
            <w:tcBorders>
              <w:left w:val="single" w:sz="8" w:space="0" w:color="000000"/>
              <w:bottom w:val="nil"/>
              <w:right w:val="single" w:sz="8" w:space="0" w:color="000000"/>
            </w:tcBorders>
          </w:tcPr>
          <w:p>
            <w:pPr>
              <w:pStyle w:val="TableParagraph"/>
              <w:spacing w:line="240" w:lineRule="auto" w:before="86"/>
              <w:ind w:right="34"/>
              <w:rPr>
                <w:sz w:val="18"/>
              </w:rPr>
            </w:pPr>
            <w:r>
              <w:rPr>
                <w:sz w:val="18"/>
              </w:rPr>
              <w:t>.306</w:t>
            </w:r>
          </w:p>
        </w:tc>
        <w:tc>
          <w:tcPr>
            <w:tcW w:w="1008" w:type="dxa"/>
            <w:vMerge w:val="restart"/>
            <w:tcBorders>
              <w:left w:val="single" w:sz="8" w:space="0" w:color="000000"/>
              <w:right w:val="single" w:sz="8" w:space="0" w:color="000000"/>
            </w:tcBorders>
          </w:tcPr>
          <w:p>
            <w:pPr>
              <w:pStyle w:val="TableParagraph"/>
              <w:spacing w:line="240" w:lineRule="auto" w:before="86"/>
              <w:ind w:left="500"/>
              <w:jc w:val="left"/>
              <w:rPr>
                <w:sz w:val="18"/>
              </w:rPr>
            </w:pPr>
            <w:r>
              <w:rPr>
                <w:sz w:val="18"/>
              </w:rPr>
              <w:t>2.838</w:t>
            </w:r>
          </w:p>
        </w:tc>
        <w:tc>
          <w:tcPr>
            <w:tcW w:w="1004" w:type="dxa"/>
            <w:vMerge w:val="restart"/>
            <w:tcBorders>
              <w:left w:val="single" w:sz="8" w:space="0" w:color="000000"/>
            </w:tcBorders>
          </w:tcPr>
          <w:p>
            <w:pPr>
              <w:pStyle w:val="TableParagraph"/>
              <w:spacing w:line="240" w:lineRule="auto" w:before="86"/>
              <w:ind w:left="516"/>
              <w:jc w:val="left"/>
              <w:rPr>
                <w:sz w:val="12"/>
              </w:rPr>
            </w:pPr>
            <w:r>
              <w:rPr>
                <w:sz w:val="18"/>
              </w:rPr>
              <w:t>.060</w:t>
            </w:r>
            <w:r>
              <w:rPr>
                <w:position w:val="5"/>
                <w:sz w:val="12"/>
              </w:rPr>
              <w:t>b</w:t>
            </w:r>
          </w:p>
        </w:tc>
      </w:tr>
      <w:tr>
        <w:trPr>
          <w:trHeight w:val="320" w:hRule="atLeast"/>
        </w:trPr>
        <w:tc>
          <w:tcPr>
            <w:tcW w:w="434" w:type="dxa"/>
            <w:tcBorders>
              <w:top w:val="nil"/>
              <w:bottom w:val="nil"/>
              <w:right w:val="nil"/>
            </w:tcBorders>
          </w:tcPr>
          <w:p>
            <w:pPr>
              <w:pStyle w:val="TableParagraph"/>
              <w:spacing w:line="240" w:lineRule="auto" w:before="55"/>
              <w:ind w:left="25"/>
              <w:jc w:val="left"/>
              <w:rPr>
                <w:sz w:val="18"/>
              </w:rPr>
            </w:pPr>
            <w:r>
              <w:rPr>
                <w:w w:val="99"/>
                <w:sz w:val="18"/>
              </w:rPr>
              <w:t>1</w:t>
            </w:r>
          </w:p>
        </w:tc>
        <w:tc>
          <w:tcPr>
            <w:tcW w:w="1487" w:type="dxa"/>
            <w:tcBorders>
              <w:top w:val="nil"/>
              <w:left w:val="nil"/>
              <w:bottom w:val="nil"/>
            </w:tcBorders>
          </w:tcPr>
          <w:p>
            <w:pPr>
              <w:pStyle w:val="TableParagraph"/>
              <w:spacing w:line="240" w:lineRule="auto" w:before="55"/>
              <w:ind w:left="329"/>
              <w:jc w:val="left"/>
              <w:rPr>
                <w:sz w:val="18"/>
              </w:rPr>
            </w:pPr>
            <w:r>
              <w:rPr>
                <w:sz w:val="18"/>
              </w:rPr>
              <w:t>Residual</w:t>
            </w:r>
          </w:p>
        </w:tc>
        <w:tc>
          <w:tcPr>
            <w:tcW w:w="1485" w:type="dxa"/>
            <w:tcBorders>
              <w:top w:val="nil"/>
              <w:bottom w:val="nil"/>
              <w:right w:val="single" w:sz="8" w:space="0" w:color="000000"/>
            </w:tcBorders>
          </w:tcPr>
          <w:p>
            <w:pPr>
              <w:pStyle w:val="TableParagraph"/>
              <w:spacing w:line="240" w:lineRule="auto" w:before="55"/>
              <w:ind w:right="36"/>
              <w:rPr>
                <w:sz w:val="18"/>
              </w:rPr>
            </w:pPr>
            <w:r>
              <w:rPr>
                <w:sz w:val="18"/>
              </w:rPr>
              <w:t>32.089</w:t>
            </w:r>
          </w:p>
        </w:tc>
        <w:tc>
          <w:tcPr>
            <w:tcW w:w="1009" w:type="dxa"/>
            <w:tcBorders>
              <w:top w:val="nil"/>
              <w:left w:val="single" w:sz="8" w:space="0" w:color="000000"/>
              <w:bottom w:val="nil"/>
              <w:right w:val="single" w:sz="8" w:space="0" w:color="000000"/>
            </w:tcBorders>
          </w:tcPr>
          <w:p>
            <w:pPr>
              <w:pStyle w:val="TableParagraph"/>
              <w:spacing w:line="240" w:lineRule="auto" w:before="55"/>
              <w:ind w:right="37"/>
              <w:rPr>
                <w:sz w:val="18"/>
              </w:rPr>
            </w:pPr>
            <w:r>
              <w:rPr>
                <w:w w:val="95"/>
                <w:sz w:val="18"/>
              </w:rPr>
              <w:t>298</w:t>
            </w:r>
          </w:p>
        </w:tc>
        <w:tc>
          <w:tcPr>
            <w:tcW w:w="1485" w:type="dxa"/>
            <w:tcBorders>
              <w:top w:val="nil"/>
              <w:left w:val="single" w:sz="8" w:space="0" w:color="000000"/>
              <w:bottom w:val="nil"/>
              <w:right w:val="single" w:sz="8" w:space="0" w:color="000000"/>
            </w:tcBorders>
          </w:tcPr>
          <w:p>
            <w:pPr>
              <w:pStyle w:val="TableParagraph"/>
              <w:spacing w:line="240" w:lineRule="auto" w:before="55"/>
              <w:ind w:right="34"/>
              <w:rPr>
                <w:sz w:val="18"/>
              </w:rPr>
            </w:pPr>
            <w:r>
              <w:rPr>
                <w:sz w:val="18"/>
              </w:rPr>
              <w:t>.108</w:t>
            </w:r>
          </w:p>
        </w:tc>
        <w:tc>
          <w:tcPr>
            <w:tcW w:w="1008" w:type="dxa"/>
            <w:vMerge/>
            <w:tcBorders>
              <w:top w:val="nil"/>
              <w:left w:val="single" w:sz="8" w:space="0" w:color="000000"/>
              <w:right w:val="single" w:sz="8" w:space="0" w:color="000000"/>
            </w:tcBorders>
          </w:tcPr>
          <w:p>
            <w:pPr>
              <w:rPr>
                <w:sz w:val="2"/>
                <w:szCs w:val="2"/>
              </w:rPr>
            </w:pPr>
          </w:p>
        </w:tc>
        <w:tc>
          <w:tcPr>
            <w:tcW w:w="1004" w:type="dxa"/>
            <w:vMerge/>
            <w:tcBorders>
              <w:top w:val="nil"/>
              <w:left w:val="single" w:sz="8" w:space="0" w:color="000000"/>
            </w:tcBorders>
          </w:tcPr>
          <w:p>
            <w:pPr>
              <w:rPr>
                <w:sz w:val="2"/>
                <w:szCs w:val="2"/>
              </w:rPr>
            </w:pPr>
          </w:p>
        </w:tc>
      </w:tr>
      <w:tr>
        <w:trPr>
          <w:trHeight w:val="261" w:hRule="atLeast"/>
        </w:trPr>
        <w:tc>
          <w:tcPr>
            <w:tcW w:w="434" w:type="dxa"/>
            <w:tcBorders>
              <w:top w:val="nil"/>
              <w:right w:val="nil"/>
            </w:tcBorders>
          </w:tcPr>
          <w:p>
            <w:pPr>
              <w:pStyle w:val="TableParagraph"/>
              <w:spacing w:line="240" w:lineRule="auto" w:before="0"/>
              <w:jc w:val="left"/>
              <w:rPr>
                <w:rFonts w:ascii="Times New Roman"/>
                <w:sz w:val="16"/>
              </w:rPr>
            </w:pPr>
          </w:p>
        </w:tc>
        <w:tc>
          <w:tcPr>
            <w:tcW w:w="1487" w:type="dxa"/>
            <w:tcBorders>
              <w:top w:val="nil"/>
              <w:left w:val="nil"/>
            </w:tcBorders>
          </w:tcPr>
          <w:p>
            <w:pPr>
              <w:pStyle w:val="TableParagraph"/>
              <w:spacing w:line="188" w:lineRule="exact" w:before="53"/>
              <w:ind w:left="329"/>
              <w:jc w:val="left"/>
              <w:rPr>
                <w:sz w:val="18"/>
              </w:rPr>
            </w:pPr>
            <w:r>
              <w:rPr>
                <w:sz w:val="18"/>
              </w:rPr>
              <w:t>Total</w:t>
            </w:r>
          </w:p>
        </w:tc>
        <w:tc>
          <w:tcPr>
            <w:tcW w:w="1485" w:type="dxa"/>
            <w:tcBorders>
              <w:top w:val="nil"/>
              <w:right w:val="single" w:sz="8" w:space="0" w:color="000000"/>
            </w:tcBorders>
          </w:tcPr>
          <w:p>
            <w:pPr>
              <w:pStyle w:val="TableParagraph"/>
              <w:spacing w:line="188" w:lineRule="exact" w:before="53"/>
              <w:ind w:right="36"/>
              <w:rPr>
                <w:sz w:val="18"/>
              </w:rPr>
            </w:pPr>
            <w:r>
              <w:rPr>
                <w:sz w:val="18"/>
              </w:rPr>
              <w:t>32.700</w:t>
            </w:r>
          </w:p>
        </w:tc>
        <w:tc>
          <w:tcPr>
            <w:tcW w:w="1009" w:type="dxa"/>
            <w:tcBorders>
              <w:top w:val="nil"/>
              <w:left w:val="single" w:sz="8" w:space="0" w:color="000000"/>
              <w:right w:val="single" w:sz="8" w:space="0" w:color="000000"/>
            </w:tcBorders>
          </w:tcPr>
          <w:p>
            <w:pPr>
              <w:pStyle w:val="TableParagraph"/>
              <w:spacing w:line="188" w:lineRule="exact" w:before="53"/>
              <w:ind w:right="37"/>
              <w:rPr>
                <w:sz w:val="18"/>
              </w:rPr>
            </w:pPr>
            <w:r>
              <w:rPr>
                <w:w w:val="95"/>
                <w:sz w:val="18"/>
              </w:rPr>
              <w:t>300</w:t>
            </w:r>
          </w:p>
        </w:tc>
        <w:tc>
          <w:tcPr>
            <w:tcW w:w="1485" w:type="dxa"/>
            <w:tcBorders>
              <w:top w:val="nil"/>
              <w:left w:val="single" w:sz="8" w:space="0" w:color="000000"/>
              <w:right w:val="single" w:sz="8" w:space="0" w:color="000000"/>
            </w:tcBorders>
          </w:tcPr>
          <w:p>
            <w:pPr>
              <w:pStyle w:val="TableParagraph"/>
              <w:spacing w:line="240" w:lineRule="auto" w:before="0"/>
              <w:jc w:val="left"/>
              <w:rPr>
                <w:rFonts w:ascii="Times New Roman"/>
                <w:sz w:val="16"/>
              </w:rPr>
            </w:pPr>
          </w:p>
        </w:tc>
        <w:tc>
          <w:tcPr>
            <w:tcW w:w="1008" w:type="dxa"/>
            <w:vMerge/>
            <w:tcBorders>
              <w:top w:val="nil"/>
              <w:left w:val="single" w:sz="8" w:space="0" w:color="000000"/>
              <w:right w:val="single" w:sz="8" w:space="0" w:color="000000"/>
            </w:tcBorders>
          </w:tcPr>
          <w:p>
            <w:pPr>
              <w:rPr>
                <w:sz w:val="2"/>
                <w:szCs w:val="2"/>
              </w:rPr>
            </w:pPr>
          </w:p>
        </w:tc>
        <w:tc>
          <w:tcPr>
            <w:tcW w:w="1004"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86"/>
      </w:tblGrid>
      <w:tr>
        <w:trPr>
          <w:trHeight w:val="260" w:hRule="atLeast"/>
        </w:trPr>
        <w:tc>
          <w:tcPr>
            <w:tcW w:w="6786" w:type="dxa"/>
          </w:tcPr>
          <w:p>
            <w:pPr>
              <w:pStyle w:val="TableParagraph"/>
              <w:spacing w:line="201" w:lineRule="exact" w:before="0"/>
              <w:ind w:left="200"/>
              <w:jc w:val="left"/>
              <w:rPr>
                <w:sz w:val="18"/>
              </w:rPr>
            </w:pPr>
            <w:r>
              <w:rPr>
                <w:sz w:val="18"/>
              </w:rPr>
              <w:t>a. Variable dependiente: RES_62</w:t>
            </w:r>
          </w:p>
        </w:tc>
      </w:tr>
      <w:tr>
        <w:trPr>
          <w:trHeight w:val="260" w:hRule="atLeast"/>
        </w:trPr>
        <w:tc>
          <w:tcPr>
            <w:tcW w:w="6786" w:type="dxa"/>
          </w:tcPr>
          <w:p>
            <w:pPr>
              <w:pStyle w:val="TableParagraph"/>
              <w:spacing w:line="187" w:lineRule="exact" w:before="53"/>
              <w:ind w:left="200"/>
              <w:jc w:val="left"/>
              <w:rPr>
                <w:sz w:val="18"/>
              </w:rPr>
            </w:pPr>
            <w:r>
              <w:rPr>
                <w:sz w:val="18"/>
              </w:rPr>
              <w:t>b. Variables predictoras: (Constante), PRE_62, Unstandardized Predicted Value</w:t>
            </w:r>
          </w:p>
        </w:tc>
      </w:tr>
    </w:tbl>
    <w:p>
      <w:pPr>
        <w:spacing w:after="0" w:line="187" w:lineRule="exact"/>
        <w:jc w:val="left"/>
        <w:rPr>
          <w:sz w:val="18"/>
        </w:rPr>
        <w:sectPr>
          <w:pgSz w:w="12240" w:h="15840"/>
          <w:pgMar w:header="0" w:footer="982" w:top="1500" w:bottom="1260" w:left="400" w:right="180"/>
        </w:sect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82"/>
        <w:gridCol w:w="1151"/>
        <w:gridCol w:w="576"/>
        <w:gridCol w:w="864"/>
        <w:gridCol w:w="864"/>
        <w:gridCol w:w="864"/>
        <w:gridCol w:w="819"/>
      </w:tblGrid>
      <w:tr>
        <w:trPr>
          <w:trHeight w:val="1348" w:hRule="atLeast"/>
        </w:trPr>
        <w:tc>
          <w:tcPr>
            <w:tcW w:w="2833" w:type="dxa"/>
            <w:gridSpan w:val="2"/>
          </w:tcPr>
          <w:p>
            <w:pPr>
              <w:pStyle w:val="TableParagraph"/>
              <w:spacing w:line="290" w:lineRule="exact" w:before="0"/>
              <w:ind w:left="50"/>
              <w:jc w:val="left"/>
              <w:rPr>
                <w:b/>
                <w:sz w:val="26"/>
              </w:rPr>
            </w:pPr>
            <w:r>
              <w:rPr>
                <w:b/>
                <w:sz w:val="26"/>
              </w:rPr>
              <w:t>VII- Modelo Número 7</w:t>
            </w:r>
          </w:p>
          <w:p>
            <w:pPr>
              <w:pStyle w:val="TableParagraph"/>
              <w:spacing w:line="240" w:lineRule="auto" w:before="9"/>
              <w:jc w:val="left"/>
              <w:rPr>
                <w:b/>
                <w:sz w:val="25"/>
              </w:rPr>
            </w:pPr>
          </w:p>
          <w:p>
            <w:pPr>
              <w:pStyle w:val="TableParagraph"/>
              <w:spacing w:line="240" w:lineRule="auto" w:before="0"/>
              <w:ind w:left="50"/>
              <w:jc w:val="left"/>
              <w:rPr>
                <w:b/>
                <w:sz w:val="26"/>
              </w:rPr>
            </w:pPr>
            <w:r>
              <w:rPr>
                <w:b/>
                <w:sz w:val="26"/>
              </w:rPr>
              <w:t>A- Regresión/ACR/VIF</w:t>
            </w:r>
          </w:p>
          <w:p>
            <w:pPr>
              <w:pStyle w:val="TableParagraph"/>
              <w:spacing w:line="240" w:lineRule="auto" w:before="192"/>
              <w:ind w:left="50"/>
              <w:jc w:val="left"/>
              <w:rPr>
                <w:rFonts w:ascii="Courier New"/>
                <w:b/>
                <w:sz w:val="16"/>
              </w:rPr>
            </w:pPr>
            <w:r>
              <w:rPr>
                <w:rFonts w:ascii="Courier New"/>
                <w:b/>
                <w:sz w:val="16"/>
              </w:rPr>
              <w:t>Analysis of Variance</w:t>
            </w:r>
          </w:p>
        </w:tc>
        <w:tc>
          <w:tcPr>
            <w:tcW w:w="3987" w:type="dxa"/>
            <w:gridSpan w:val="5"/>
          </w:tcPr>
          <w:p>
            <w:pPr>
              <w:pStyle w:val="TableParagraph"/>
              <w:spacing w:line="240" w:lineRule="auto" w:before="0"/>
              <w:jc w:val="left"/>
              <w:rPr>
                <w:rFonts w:ascii="Times New Roman"/>
                <w:sz w:val="16"/>
              </w:rPr>
            </w:pPr>
          </w:p>
        </w:tc>
      </w:tr>
      <w:tr>
        <w:trPr>
          <w:trHeight w:val="270" w:hRule="atLeast"/>
        </w:trPr>
        <w:tc>
          <w:tcPr>
            <w:tcW w:w="2833" w:type="dxa"/>
            <w:gridSpan w:val="2"/>
          </w:tcPr>
          <w:p>
            <w:pPr>
              <w:pStyle w:val="TableParagraph"/>
              <w:spacing w:line="161" w:lineRule="exact" w:before="89"/>
              <w:ind w:left="50"/>
              <w:jc w:val="left"/>
              <w:rPr>
                <w:rFonts w:ascii="Courier New"/>
                <w:b/>
                <w:sz w:val="16"/>
              </w:rPr>
            </w:pPr>
            <w:r>
              <w:rPr>
                <w:rFonts w:ascii="Courier New"/>
                <w:b/>
                <w:sz w:val="16"/>
              </w:rPr>
              <w:t>Source</w:t>
            </w:r>
          </w:p>
        </w:tc>
        <w:tc>
          <w:tcPr>
            <w:tcW w:w="576" w:type="dxa"/>
          </w:tcPr>
          <w:p>
            <w:pPr>
              <w:pStyle w:val="TableParagraph"/>
              <w:spacing w:line="161" w:lineRule="exact" w:before="89"/>
              <w:ind w:right="93"/>
              <w:rPr>
                <w:rFonts w:ascii="Courier New"/>
                <w:b/>
                <w:sz w:val="16"/>
              </w:rPr>
            </w:pPr>
            <w:r>
              <w:rPr>
                <w:rFonts w:ascii="Courier New"/>
                <w:b/>
                <w:sz w:val="16"/>
              </w:rPr>
              <w:t>DF</w:t>
            </w:r>
          </w:p>
        </w:tc>
        <w:tc>
          <w:tcPr>
            <w:tcW w:w="864" w:type="dxa"/>
          </w:tcPr>
          <w:p>
            <w:pPr>
              <w:pStyle w:val="TableParagraph"/>
              <w:spacing w:line="161" w:lineRule="exact" w:before="89"/>
              <w:ind w:right="93"/>
              <w:rPr>
                <w:rFonts w:ascii="Courier New"/>
                <w:b/>
                <w:sz w:val="16"/>
              </w:rPr>
            </w:pPr>
            <w:r>
              <w:rPr>
                <w:rFonts w:ascii="Courier New"/>
                <w:b/>
                <w:sz w:val="16"/>
              </w:rPr>
              <w:t>Adj SS</w:t>
            </w:r>
          </w:p>
        </w:tc>
        <w:tc>
          <w:tcPr>
            <w:tcW w:w="864" w:type="dxa"/>
          </w:tcPr>
          <w:p>
            <w:pPr>
              <w:pStyle w:val="TableParagraph"/>
              <w:spacing w:line="161" w:lineRule="exact" w:before="89"/>
              <w:ind w:right="93"/>
              <w:rPr>
                <w:rFonts w:ascii="Courier New"/>
                <w:b/>
                <w:sz w:val="16"/>
              </w:rPr>
            </w:pPr>
            <w:r>
              <w:rPr>
                <w:rFonts w:ascii="Courier New"/>
                <w:b/>
                <w:sz w:val="16"/>
              </w:rPr>
              <w:t>Adj MS</w:t>
            </w:r>
          </w:p>
        </w:tc>
        <w:tc>
          <w:tcPr>
            <w:tcW w:w="864" w:type="dxa"/>
          </w:tcPr>
          <w:p>
            <w:pPr>
              <w:pStyle w:val="TableParagraph"/>
              <w:spacing w:line="161" w:lineRule="exact" w:before="89"/>
              <w:ind w:right="91"/>
              <w:rPr>
                <w:rFonts w:ascii="Courier New"/>
                <w:b/>
                <w:sz w:val="16"/>
              </w:rPr>
            </w:pPr>
            <w:r>
              <w:rPr>
                <w:rFonts w:ascii="Courier New"/>
                <w:b/>
                <w:sz w:val="16"/>
              </w:rPr>
              <w:t>F-Value</w:t>
            </w:r>
          </w:p>
        </w:tc>
        <w:tc>
          <w:tcPr>
            <w:tcW w:w="819" w:type="dxa"/>
          </w:tcPr>
          <w:p>
            <w:pPr>
              <w:pStyle w:val="TableParagraph"/>
              <w:spacing w:line="161" w:lineRule="exact" w:before="89"/>
              <w:ind w:right="45"/>
              <w:rPr>
                <w:rFonts w:ascii="Courier New"/>
                <w:b/>
                <w:sz w:val="16"/>
              </w:rPr>
            </w:pPr>
            <w:r>
              <w:rPr>
                <w:rFonts w:ascii="Courier New"/>
                <w:b/>
                <w:sz w:val="16"/>
              </w:rPr>
              <w:t>P-Value</w:t>
            </w:r>
          </w:p>
        </w:tc>
      </w:tr>
      <w:tr>
        <w:trPr>
          <w:trHeight w:val="182" w:hRule="atLeast"/>
        </w:trPr>
        <w:tc>
          <w:tcPr>
            <w:tcW w:w="2833" w:type="dxa"/>
            <w:gridSpan w:val="2"/>
          </w:tcPr>
          <w:p>
            <w:pPr>
              <w:pStyle w:val="TableParagraph"/>
              <w:spacing w:line="162" w:lineRule="exact" w:before="0"/>
              <w:ind w:left="50"/>
              <w:jc w:val="left"/>
              <w:rPr>
                <w:rFonts w:ascii="Courier New"/>
                <w:b/>
                <w:sz w:val="16"/>
              </w:rPr>
            </w:pPr>
            <w:r>
              <w:rPr>
                <w:rFonts w:ascii="Courier New"/>
                <w:b/>
                <w:sz w:val="16"/>
              </w:rPr>
              <w:t>Regression</w:t>
            </w:r>
          </w:p>
        </w:tc>
        <w:tc>
          <w:tcPr>
            <w:tcW w:w="576" w:type="dxa"/>
          </w:tcPr>
          <w:p>
            <w:pPr>
              <w:pStyle w:val="TableParagraph"/>
              <w:spacing w:line="162" w:lineRule="exact" w:before="0"/>
              <w:ind w:right="93"/>
              <w:rPr>
                <w:rFonts w:ascii="Courier New"/>
                <w:b/>
                <w:sz w:val="16"/>
              </w:rPr>
            </w:pPr>
            <w:r>
              <w:rPr>
                <w:rFonts w:ascii="Courier New"/>
                <w:b/>
                <w:sz w:val="16"/>
              </w:rPr>
              <w:t>9</w:t>
            </w:r>
          </w:p>
        </w:tc>
        <w:tc>
          <w:tcPr>
            <w:tcW w:w="864" w:type="dxa"/>
          </w:tcPr>
          <w:p>
            <w:pPr>
              <w:pStyle w:val="TableParagraph"/>
              <w:spacing w:line="162" w:lineRule="exact" w:before="0"/>
              <w:ind w:right="93"/>
              <w:rPr>
                <w:rFonts w:ascii="Courier New"/>
                <w:b/>
                <w:sz w:val="16"/>
              </w:rPr>
            </w:pPr>
            <w:r>
              <w:rPr>
                <w:rFonts w:ascii="Courier New"/>
                <w:b/>
                <w:sz w:val="16"/>
              </w:rPr>
              <w:t>49.5781</w:t>
            </w:r>
          </w:p>
        </w:tc>
        <w:tc>
          <w:tcPr>
            <w:tcW w:w="864" w:type="dxa"/>
          </w:tcPr>
          <w:p>
            <w:pPr>
              <w:pStyle w:val="TableParagraph"/>
              <w:spacing w:line="162" w:lineRule="exact" w:before="0"/>
              <w:ind w:right="93"/>
              <w:rPr>
                <w:rFonts w:ascii="Courier New"/>
                <w:b/>
                <w:sz w:val="16"/>
              </w:rPr>
            </w:pPr>
            <w:r>
              <w:rPr>
                <w:rFonts w:ascii="Courier New"/>
                <w:b/>
                <w:sz w:val="16"/>
              </w:rPr>
              <w:t>5.5087</w:t>
            </w:r>
          </w:p>
        </w:tc>
        <w:tc>
          <w:tcPr>
            <w:tcW w:w="864" w:type="dxa"/>
          </w:tcPr>
          <w:p>
            <w:pPr>
              <w:pStyle w:val="TableParagraph"/>
              <w:spacing w:line="162" w:lineRule="exact" w:before="0"/>
              <w:ind w:right="93"/>
              <w:rPr>
                <w:rFonts w:ascii="Courier New"/>
                <w:b/>
                <w:sz w:val="16"/>
              </w:rPr>
            </w:pPr>
            <w:r>
              <w:rPr>
                <w:rFonts w:ascii="Courier New"/>
                <w:b/>
                <w:sz w:val="16"/>
              </w:rPr>
              <w:t>35.77</w:t>
            </w:r>
          </w:p>
        </w:tc>
        <w:tc>
          <w:tcPr>
            <w:tcW w:w="819" w:type="dxa"/>
          </w:tcPr>
          <w:p>
            <w:pPr>
              <w:pStyle w:val="TableParagraph"/>
              <w:spacing w:line="162" w:lineRule="exact" w:before="0"/>
              <w:ind w:right="48"/>
              <w:rPr>
                <w:rFonts w:ascii="Courier New"/>
                <w:b/>
                <w:sz w:val="16"/>
              </w:rPr>
            </w:pPr>
            <w:r>
              <w:rPr>
                <w:rFonts w:ascii="Courier New"/>
                <w:b/>
                <w:sz w:val="16"/>
              </w:rPr>
              <w:t>0.000</w:t>
            </w:r>
          </w:p>
        </w:tc>
      </w:tr>
      <w:tr>
        <w:trPr>
          <w:trHeight w:val="182" w:hRule="atLeast"/>
        </w:trPr>
        <w:tc>
          <w:tcPr>
            <w:tcW w:w="2833" w:type="dxa"/>
            <w:gridSpan w:val="2"/>
          </w:tcPr>
          <w:p>
            <w:pPr>
              <w:pStyle w:val="TableParagraph"/>
              <w:spacing w:line="161" w:lineRule="exact" w:before="1"/>
              <w:ind w:left="241"/>
              <w:jc w:val="left"/>
              <w:rPr>
                <w:rFonts w:ascii="Courier New"/>
                <w:b/>
                <w:sz w:val="16"/>
              </w:rPr>
            </w:pPr>
            <w:r>
              <w:rPr>
                <w:rFonts w:ascii="Courier New"/>
                <w:b/>
                <w:sz w:val="16"/>
              </w:rPr>
              <w:t>Ln Area de Construccion</w:t>
            </w:r>
          </w:p>
        </w:tc>
        <w:tc>
          <w:tcPr>
            <w:tcW w:w="576" w:type="dxa"/>
          </w:tcPr>
          <w:p>
            <w:pPr>
              <w:pStyle w:val="TableParagraph"/>
              <w:spacing w:line="161" w:lineRule="exact" w:before="1"/>
              <w:ind w:right="93"/>
              <w:rPr>
                <w:rFonts w:ascii="Courier New"/>
                <w:b/>
                <w:sz w:val="16"/>
              </w:rPr>
            </w:pPr>
            <w:r>
              <w:rPr>
                <w:rFonts w:ascii="Courier New"/>
                <w:b/>
                <w:sz w:val="16"/>
              </w:rPr>
              <w:t>1</w:t>
            </w:r>
          </w:p>
        </w:tc>
        <w:tc>
          <w:tcPr>
            <w:tcW w:w="864" w:type="dxa"/>
          </w:tcPr>
          <w:p>
            <w:pPr>
              <w:pStyle w:val="TableParagraph"/>
              <w:spacing w:line="161" w:lineRule="exact" w:before="1"/>
              <w:ind w:right="93"/>
              <w:rPr>
                <w:rFonts w:ascii="Courier New"/>
                <w:b/>
                <w:sz w:val="16"/>
              </w:rPr>
            </w:pPr>
            <w:r>
              <w:rPr>
                <w:rFonts w:ascii="Courier New"/>
                <w:b/>
                <w:sz w:val="16"/>
              </w:rPr>
              <w:t>0.1449</w:t>
            </w:r>
          </w:p>
        </w:tc>
        <w:tc>
          <w:tcPr>
            <w:tcW w:w="864" w:type="dxa"/>
          </w:tcPr>
          <w:p>
            <w:pPr>
              <w:pStyle w:val="TableParagraph"/>
              <w:spacing w:line="161" w:lineRule="exact" w:before="1"/>
              <w:ind w:right="93"/>
              <w:rPr>
                <w:rFonts w:ascii="Courier New"/>
                <w:b/>
                <w:sz w:val="16"/>
              </w:rPr>
            </w:pPr>
            <w:r>
              <w:rPr>
                <w:rFonts w:ascii="Courier New"/>
                <w:b/>
                <w:sz w:val="16"/>
              </w:rPr>
              <w:t>0.1449</w:t>
            </w:r>
          </w:p>
        </w:tc>
        <w:tc>
          <w:tcPr>
            <w:tcW w:w="864" w:type="dxa"/>
          </w:tcPr>
          <w:p>
            <w:pPr>
              <w:pStyle w:val="TableParagraph"/>
              <w:spacing w:line="161" w:lineRule="exact" w:before="1"/>
              <w:ind w:right="93"/>
              <w:rPr>
                <w:rFonts w:ascii="Courier New"/>
                <w:b/>
                <w:sz w:val="16"/>
              </w:rPr>
            </w:pPr>
            <w:r>
              <w:rPr>
                <w:rFonts w:ascii="Courier New"/>
                <w:b/>
                <w:sz w:val="16"/>
              </w:rPr>
              <w:t>0.94</w:t>
            </w:r>
          </w:p>
        </w:tc>
        <w:tc>
          <w:tcPr>
            <w:tcW w:w="819" w:type="dxa"/>
          </w:tcPr>
          <w:p>
            <w:pPr>
              <w:pStyle w:val="TableParagraph"/>
              <w:spacing w:line="161" w:lineRule="exact" w:before="1"/>
              <w:ind w:right="48"/>
              <w:rPr>
                <w:rFonts w:ascii="Courier New"/>
                <w:b/>
                <w:sz w:val="16"/>
              </w:rPr>
            </w:pPr>
            <w:r>
              <w:rPr>
                <w:rFonts w:ascii="Courier New"/>
                <w:b/>
                <w:sz w:val="16"/>
              </w:rPr>
              <w:t>0.333</w:t>
            </w:r>
          </w:p>
        </w:tc>
      </w:tr>
      <w:tr>
        <w:trPr>
          <w:trHeight w:val="180" w:hRule="atLeast"/>
        </w:trPr>
        <w:tc>
          <w:tcPr>
            <w:tcW w:w="2833" w:type="dxa"/>
            <w:gridSpan w:val="2"/>
          </w:tcPr>
          <w:p>
            <w:pPr>
              <w:pStyle w:val="TableParagraph"/>
              <w:spacing w:line="160" w:lineRule="exact" w:before="0"/>
              <w:ind w:left="241"/>
              <w:jc w:val="left"/>
              <w:rPr>
                <w:rFonts w:ascii="Courier New" w:hAnsi="Courier New"/>
                <w:b/>
                <w:sz w:val="16"/>
              </w:rPr>
            </w:pPr>
            <w:r>
              <w:rPr>
                <w:rFonts w:ascii="Courier New" w:hAnsi="Courier New"/>
                <w:b/>
                <w:sz w:val="16"/>
              </w:rPr>
              <w:t>Ln Año Construccion</w:t>
            </w:r>
          </w:p>
        </w:tc>
        <w:tc>
          <w:tcPr>
            <w:tcW w:w="576" w:type="dxa"/>
          </w:tcPr>
          <w:p>
            <w:pPr>
              <w:pStyle w:val="TableParagraph"/>
              <w:spacing w:line="160" w:lineRule="exact" w:before="0"/>
              <w:ind w:right="93"/>
              <w:rPr>
                <w:rFonts w:ascii="Courier New"/>
                <w:b/>
                <w:sz w:val="16"/>
              </w:rPr>
            </w:pPr>
            <w:r>
              <w:rPr>
                <w:rFonts w:ascii="Courier New"/>
                <w:b/>
                <w:sz w:val="16"/>
              </w:rPr>
              <w:t>1</w:t>
            </w:r>
          </w:p>
        </w:tc>
        <w:tc>
          <w:tcPr>
            <w:tcW w:w="864" w:type="dxa"/>
          </w:tcPr>
          <w:p>
            <w:pPr>
              <w:pStyle w:val="TableParagraph"/>
              <w:spacing w:line="160" w:lineRule="exact" w:before="0"/>
              <w:ind w:right="93"/>
              <w:rPr>
                <w:rFonts w:ascii="Courier New"/>
                <w:b/>
                <w:sz w:val="16"/>
              </w:rPr>
            </w:pPr>
            <w:r>
              <w:rPr>
                <w:rFonts w:ascii="Courier New"/>
                <w:b/>
                <w:sz w:val="16"/>
              </w:rPr>
              <w:t>0.2851</w:t>
            </w:r>
          </w:p>
        </w:tc>
        <w:tc>
          <w:tcPr>
            <w:tcW w:w="864" w:type="dxa"/>
          </w:tcPr>
          <w:p>
            <w:pPr>
              <w:pStyle w:val="TableParagraph"/>
              <w:spacing w:line="160" w:lineRule="exact" w:before="0"/>
              <w:ind w:right="93"/>
              <w:rPr>
                <w:rFonts w:ascii="Courier New"/>
                <w:b/>
                <w:sz w:val="16"/>
              </w:rPr>
            </w:pPr>
            <w:r>
              <w:rPr>
                <w:rFonts w:ascii="Courier New"/>
                <w:b/>
                <w:sz w:val="16"/>
              </w:rPr>
              <w:t>0.2851</w:t>
            </w:r>
          </w:p>
        </w:tc>
        <w:tc>
          <w:tcPr>
            <w:tcW w:w="864" w:type="dxa"/>
          </w:tcPr>
          <w:p>
            <w:pPr>
              <w:pStyle w:val="TableParagraph"/>
              <w:spacing w:line="160" w:lineRule="exact" w:before="0"/>
              <w:ind w:right="93"/>
              <w:rPr>
                <w:rFonts w:ascii="Courier New"/>
                <w:b/>
                <w:sz w:val="16"/>
              </w:rPr>
            </w:pPr>
            <w:r>
              <w:rPr>
                <w:rFonts w:ascii="Courier New"/>
                <w:b/>
                <w:sz w:val="16"/>
              </w:rPr>
              <w:t>1.85</w:t>
            </w:r>
          </w:p>
        </w:tc>
        <w:tc>
          <w:tcPr>
            <w:tcW w:w="819" w:type="dxa"/>
          </w:tcPr>
          <w:p>
            <w:pPr>
              <w:pStyle w:val="TableParagraph"/>
              <w:spacing w:line="160" w:lineRule="exact" w:before="0"/>
              <w:ind w:right="48"/>
              <w:rPr>
                <w:rFonts w:ascii="Courier New"/>
                <w:b/>
                <w:sz w:val="16"/>
              </w:rPr>
            </w:pPr>
            <w:r>
              <w:rPr>
                <w:rFonts w:ascii="Courier New"/>
                <w:b/>
                <w:sz w:val="16"/>
              </w:rPr>
              <w:t>0.175</w:t>
            </w:r>
          </w:p>
        </w:tc>
      </w:tr>
      <w:tr>
        <w:trPr>
          <w:trHeight w:val="182" w:hRule="atLeast"/>
        </w:trPr>
        <w:tc>
          <w:tcPr>
            <w:tcW w:w="2833" w:type="dxa"/>
            <w:gridSpan w:val="2"/>
          </w:tcPr>
          <w:p>
            <w:pPr>
              <w:pStyle w:val="TableParagraph"/>
              <w:spacing w:line="162" w:lineRule="exact" w:before="0"/>
              <w:ind w:left="241"/>
              <w:jc w:val="left"/>
              <w:rPr>
                <w:rFonts w:ascii="Courier New" w:hAnsi="Courier New"/>
                <w:b/>
                <w:sz w:val="16"/>
              </w:rPr>
            </w:pPr>
            <w:r>
              <w:rPr>
                <w:rFonts w:ascii="Courier New" w:hAnsi="Courier New"/>
                <w:b/>
                <w:sz w:val="16"/>
              </w:rPr>
              <w:t>Ln Número de Baños</w:t>
            </w:r>
          </w:p>
        </w:tc>
        <w:tc>
          <w:tcPr>
            <w:tcW w:w="576" w:type="dxa"/>
          </w:tcPr>
          <w:p>
            <w:pPr>
              <w:pStyle w:val="TableParagraph"/>
              <w:spacing w:line="162" w:lineRule="exact" w:before="0"/>
              <w:ind w:right="91"/>
              <w:rPr>
                <w:rFonts w:ascii="Courier New"/>
                <w:b/>
                <w:sz w:val="16"/>
              </w:rPr>
            </w:pPr>
            <w:r>
              <w:rPr>
                <w:rFonts w:ascii="Courier New"/>
                <w:b/>
                <w:sz w:val="16"/>
              </w:rPr>
              <w:t>1</w:t>
            </w:r>
          </w:p>
        </w:tc>
        <w:tc>
          <w:tcPr>
            <w:tcW w:w="864" w:type="dxa"/>
          </w:tcPr>
          <w:p>
            <w:pPr>
              <w:pStyle w:val="TableParagraph"/>
              <w:spacing w:line="162" w:lineRule="exact" w:before="0"/>
              <w:ind w:right="92"/>
              <w:rPr>
                <w:rFonts w:ascii="Courier New"/>
                <w:b/>
                <w:sz w:val="16"/>
              </w:rPr>
            </w:pPr>
            <w:r>
              <w:rPr>
                <w:rFonts w:ascii="Courier New"/>
                <w:b/>
                <w:sz w:val="16"/>
              </w:rPr>
              <w:t>26.9123</w:t>
            </w:r>
          </w:p>
        </w:tc>
        <w:tc>
          <w:tcPr>
            <w:tcW w:w="864" w:type="dxa"/>
          </w:tcPr>
          <w:p>
            <w:pPr>
              <w:pStyle w:val="TableParagraph"/>
              <w:spacing w:line="162" w:lineRule="exact" w:before="0"/>
              <w:ind w:right="92"/>
              <w:rPr>
                <w:rFonts w:ascii="Courier New"/>
                <w:b/>
                <w:sz w:val="16"/>
              </w:rPr>
            </w:pPr>
            <w:r>
              <w:rPr>
                <w:rFonts w:ascii="Courier New"/>
                <w:b/>
                <w:sz w:val="16"/>
              </w:rPr>
              <w:t>26.9123</w:t>
            </w:r>
          </w:p>
        </w:tc>
        <w:tc>
          <w:tcPr>
            <w:tcW w:w="864" w:type="dxa"/>
          </w:tcPr>
          <w:p>
            <w:pPr>
              <w:pStyle w:val="TableParagraph"/>
              <w:spacing w:line="162" w:lineRule="exact" w:before="0"/>
              <w:ind w:right="92"/>
              <w:rPr>
                <w:rFonts w:ascii="Courier New"/>
                <w:b/>
                <w:sz w:val="16"/>
              </w:rPr>
            </w:pPr>
            <w:r>
              <w:rPr>
                <w:rFonts w:ascii="Courier New"/>
                <w:b/>
                <w:sz w:val="16"/>
              </w:rPr>
              <w:t>174.77</w:t>
            </w:r>
          </w:p>
        </w:tc>
        <w:tc>
          <w:tcPr>
            <w:tcW w:w="819" w:type="dxa"/>
          </w:tcPr>
          <w:p>
            <w:pPr>
              <w:pStyle w:val="TableParagraph"/>
              <w:spacing w:line="162" w:lineRule="exact" w:before="0"/>
              <w:ind w:right="47"/>
              <w:rPr>
                <w:rFonts w:ascii="Courier New"/>
                <w:b/>
                <w:sz w:val="16"/>
              </w:rPr>
            </w:pPr>
            <w:r>
              <w:rPr>
                <w:rFonts w:ascii="Courier New"/>
                <w:b/>
                <w:sz w:val="16"/>
              </w:rPr>
              <w:t>0.000</w:t>
            </w:r>
          </w:p>
        </w:tc>
      </w:tr>
      <w:tr>
        <w:trPr>
          <w:trHeight w:val="181" w:hRule="atLeast"/>
        </w:trPr>
        <w:tc>
          <w:tcPr>
            <w:tcW w:w="2833" w:type="dxa"/>
            <w:gridSpan w:val="2"/>
          </w:tcPr>
          <w:p>
            <w:pPr>
              <w:pStyle w:val="TableParagraph"/>
              <w:spacing w:line="161" w:lineRule="exact" w:before="1"/>
              <w:ind w:left="241"/>
              <w:jc w:val="left"/>
              <w:rPr>
                <w:rFonts w:ascii="Courier New" w:hAnsi="Courier New"/>
                <w:b/>
                <w:sz w:val="16"/>
              </w:rPr>
            </w:pPr>
            <w:r>
              <w:rPr>
                <w:rFonts w:ascii="Courier New" w:hAnsi="Courier New"/>
                <w:b/>
                <w:sz w:val="16"/>
              </w:rPr>
              <w:t>Ln Número de Plantas</w:t>
            </w:r>
          </w:p>
        </w:tc>
        <w:tc>
          <w:tcPr>
            <w:tcW w:w="576" w:type="dxa"/>
          </w:tcPr>
          <w:p>
            <w:pPr>
              <w:pStyle w:val="TableParagraph"/>
              <w:spacing w:line="161" w:lineRule="exact" w:before="1"/>
              <w:ind w:right="93"/>
              <w:rPr>
                <w:rFonts w:ascii="Courier New"/>
                <w:b/>
                <w:sz w:val="16"/>
              </w:rPr>
            </w:pPr>
            <w:r>
              <w:rPr>
                <w:rFonts w:ascii="Courier New"/>
                <w:b/>
                <w:sz w:val="16"/>
              </w:rPr>
              <w:t>1</w:t>
            </w:r>
          </w:p>
        </w:tc>
        <w:tc>
          <w:tcPr>
            <w:tcW w:w="864" w:type="dxa"/>
          </w:tcPr>
          <w:p>
            <w:pPr>
              <w:pStyle w:val="TableParagraph"/>
              <w:spacing w:line="161" w:lineRule="exact" w:before="1"/>
              <w:ind w:right="93"/>
              <w:rPr>
                <w:rFonts w:ascii="Courier New"/>
                <w:b/>
                <w:sz w:val="16"/>
              </w:rPr>
            </w:pPr>
            <w:r>
              <w:rPr>
                <w:rFonts w:ascii="Courier New"/>
                <w:b/>
                <w:sz w:val="16"/>
              </w:rPr>
              <w:t>0.3276</w:t>
            </w:r>
          </w:p>
        </w:tc>
        <w:tc>
          <w:tcPr>
            <w:tcW w:w="864" w:type="dxa"/>
          </w:tcPr>
          <w:p>
            <w:pPr>
              <w:pStyle w:val="TableParagraph"/>
              <w:spacing w:line="161" w:lineRule="exact" w:before="1"/>
              <w:ind w:right="93"/>
              <w:rPr>
                <w:rFonts w:ascii="Courier New"/>
                <w:b/>
                <w:sz w:val="16"/>
              </w:rPr>
            </w:pPr>
            <w:r>
              <w:rPr>
                <w:rFonts w:ascii="Courier New"/>
                <w:b/>
                <w:sz w:val="16"/>
              </w:rPr>
              <w:t>0.3276</w:t>
            </w:r>
          </w:p>
        </w:tc>
        <w:tc>
          <w:tcPr>
            <w:tcW w:w="864" w:type="dxa"/>
          </w:tcPr>
          <w:p>
            <w:pPr>
              <w:pStyle w:val="TableParagraph"/>
              <w:spacing w:line="161" w:lineRule="exact" w:before="1"/>
              <w:ind w:right="93"/>
              <w:rPr>
                <w:rFonts w:ascii="Courier New"/>
                <w:b/>
                <w:sz w:val="16"/>
              </w:rPr>
            </w:pPr>
            <w:r>
              <w:rPr>
                <w:rFonts w:ascii="Courier New"/>
                <w:b/>
                <w:sz w:val="16"/>
              </w:rPr>
              <w:t>2.13</w:t>
            </w:r>
          </w:p>
        </w:tc>
        <w:tc>
          <w:tcPr>
            <w:tcW w:w="819" w:type="dxa"/>
          </w:tcPr>
          <w:p>
            <w:pPr>
              <w:pStyle w:val="TableParagraph"/>
              <w:spacing w:line="161" w:lineRule="exact" w:before="1"/>
              <w:ind w:right="48"/>
              <w:rPr>
                <w:rFonts w:ascii="Courier New"/>
                <w:b/>
                <w:sz w:val="16"/>
              </w:rPr>
            </w:pPr>
            <w:r>
              <w:rPr>
                <w:rFonts w:ascii="Courier New"/>
                <w:b/>
                <w:sz w:val="16"/>
              </w:rPr>
              <w:t>0.146</w:t>
            </w:r>
          </w:p>
        </w:tc>
      </w:tr>
      <w:tr>
        <w:trPr>
          <w:trHeight w:val="180" w:hRule="atLeast"/>
        </w:trPr>
        <w:tc>
          <w:tcPr>
            <w:tcW w:w="2833" w:type="dxa"/>
            <w:gridSpan w:val="2"/>
          </w:tcPr>
          <w:p>
            <w:pPr>
              <w:pStyle w:val="TableParagraph"/>
              <w:spacing w:line="160" w:lineRule="exact" w:before="0"/>
              <w:ind w:left="241"/>
              <w:jc w:val="left"/>
              <w:rPr>
                <w:rFonts w:ascii="Courier New"/>
                <w:b/>
                <w:sz w:val="16"/>
              </w:rPr>
            </w:pPr>
            <w:r>
              <w:rPr>
                <w:rFonts w:ascii="Courier New"/>
                <w:b/>
                <w:sz w:val="16"/>
              </w:rPr>
              <w:t>Ln Distancia SJ</w:t>
            </w:r>
          </w:p>
        </w:tc>
        <w:tc>
          <w:tcPr>
            <w:tcW w:w="576" w:type="dxa"/>
          </w:tcPr>
          <w:p>
            <w:pPr>
              <w:pStyle w:val="TableParagraph"/>
              <w:spacing w:line="160" w:lineRule="exact" w:before="0"/>
              <w:ind w:right="93"/>
              <w:rPr>
                <w:rFonts w:ascii="Courier New"/>
                <w:b/>
                <w:sz w:val="16"/>
              </w:rPr>
            </w:pPr>
            <w:r>
              <w:rPr>
                <w:rFonts w:ascii="Courier New"/>
                <w:b/>
                <w:sz w:val="16"/>
              </w:rPr>
              <w:t>1</w:t>
            </w:r>
          </w:p>
        </w:tc>
        <w:tc>
          <w:tcPr>
            <w:tcW w:w="864" w:type="dxa"/>
          </w:tcPr>
          <w:p>
            <w:pPr>
              <w:pStyle w:val="TableParagraph"/>
              <w:spacing w:line="160" w:lineRule="exact" w:before="0"/>
              <w:ind w:right="93"/>
              <w:rPr>
                <w:rFonts w:ascii="Courier New"/>
                <w:b/>
                <w:sz w:val="16"/>
              </w:rPr>
            </w:pPr>
            <w:r>
              <w:rPr>
                <w:rFonts w:ascii="Courier New"/>
                <w:b/>
                <w:sz w:val="16"/>
              </w:rPr>
              <w:t>0.8441</w:t>
            </w:r>
          </w:p>
        </w:tc>
        <w:tc>
          <w:tcPr>
            <w:tcW w:w="864" w:type="dxa"/>
          </w:tcPr>
          <w:p>
            <w:pPr>
              <w:pStyle w:val="TableParagraph"/>
              <w:spacing w:line="160" w:lineRule="exact" w:before="0"/>
              <w:ind w:right="93"/>
              <w:rPr>
                <w:rFonts w:ascii="Courier New"/>
                <w:b/>
                <w:sz w:val="16"/>
              </w:rPr>
            </w:pPr>
            <w:r>
              <w:rPr>
                <w:rFonts w:ascii="Courier New"/>
                <w:b/>
                <w:sz w:val="16"/>
              </w:rPr>
              <w:t>0.8441</w:t>
            </w:r>
          </w:p>
        </w:tc>
        <w:tc>
          <w:tcPr>
            <w:tcW w:w="864" w:type="dxa"/>
          </w:tcPr>
          <w:p>
            <w:pPr>
              <w:pStyle w:val="TableParagraph"/>
              <w:spacing w:line="160" w:lineRule="exact" w:before="0"/>
              <w:ind w:right="93"/>
              <w:rPr>
                <w:rFonts w:ascii="Courier New"/>
                <w:b/>
                <w:sz w:val="16"/>
              </w:rPr>
            </w:pPr>
            <w:r>
              <w:rPr>
                <w:rFonts w:ascii="Courier New"/>
                <w:b/>
                <w:sz w:val="16"/>
              </w:rPr>
              <w:t>5.48</w:t>
            </w:r>
          </w:p>
        </w:tc>
        <w:tc>
          <w:tcPr>
            <w:tcW w:w="819" w:type="dxa"/>
          </w:tcPr>
          <w:p>
            <w:pPr>
              <w:pStyle w:val="TableParagraph"/>
              <w:spacing w:line="160" w:lineRule="exact" w:before="0"/>
              <w:ind w:right="48"/>
              <w:rPr>
                <w:rFonts w:ascii="Courier New"/>
                <w:b/>
                <w:sz w:val="16"/>
              </w:rPr>
            </w:pPr>
            <w:r>
              <w:rPr>
                <w:rFonts w:ascii="Courier New"/>
                <w:b/>
                <w:sz w:val="16"/>
              </w:rPr>
              <w:t>0.020</w:t>
            </w:r>
          </w:p>
        </w:tc>
      </w:tr>
      <w:tr>
        <w:trPr>
          <w:trHeight w:val="182" w:hRule="atLeast"/>
        </w:trPr>
        <w:tc>
          <w:tcPr>
            <w:tcW w:w="2833" w:type="dxa"/>
            <w:gridSpan w:val="2"/>
          </w:tcPr>
          <w:p>
            <w:pPr>
              <w:pStyle w:val="TableParagraph"/>
              <w:spacing w:line="162" w:lineRule="exact" w:before="0"/>
              <w:ind w:left="241"/>
              <w:jc w:val="left"/>
              <w:rPr>
                <w:rFonts w:ascii="Courier New"/>
                <w:b/>
                <w:sz w:val="16"/>
              </w:rPr>
            </w:pPr>
            <w:r>
              <w:rPr>
                <w:rFonts w:ascii="Courier New"/>
                <w:b/>
                <w:sz w:val="16"/>
              </w:rPr>
              <w:t>Ln Distancia Pobreza</w:t>
            </w:r>
          </w:p>
        </w:tc>
        <w:tc>
          <w:tcPr>
            <w:tcW w:w="576" w:type="dxa"/>
          </w:tcPr>
          <w:p>
            <w:pPr>
              <w:pStyle w:val="TableParagraph"/>
              <w:spacing w:line="162" w:lineRule="exact" w:before="0"/>
              <w:ind w:right="93"/>
              <w:rPr>
                <w:rFonts w:ascii="Courier New"/>
                <w:b/>
                <w:sz w:val="16"/>
              </w:rPr>
            </w:pPr>
            <w:r>
              <w:rPr>
                <w:rFonts w:ascii="Courier New"/>
                <w:b/>
                <w:sz w:val="16"/>
              </w:rPr>
              <w:t>1</w:t>
            </w:r>
          </w:p>
        </w:tc>
        <w:tc>
          <w:tcPr>
            <w:tcW w:w="864" w:type="dxa"/>
          </w:tcPr>
          <w:p>
            <w:pPr>
              <w:pStyle w:val="TableParagraph"/>
              <w:spacing w:line="162" w:lineRule="exact" w:before="0"/>
              <w:ind w:right="93"/>
              <w:rPr>
                <w:rFonts w:ascii="Courier New"/>
                <w:b/>
                <w:sz w:val="16"/>
              </w:rPr>
            </w:pPr>
            <w:r>
              <w:rPr>
                <w:rFonts w:ascii="Courier New"/>
                <w:b/>
                <w:sz w:val="16"/>
              </w:rPr>
              <w:t>1.4150</w:t>
            </w:r>
          </w:p>
        </w:tc>
        <w:tc>
          <w:tcPr>
            <w:tcW w:w="864" w:type="dxa"/>
          </w:tcPr>
          <w:p>
            <w:pPr>
              <w:pStyle w:val="TableParagraph"/>
              <w:spacing w:line="162" w:lineRule="exact" w:before="0"/>
              <w:ind w:right="93"/>
              <w:rPr>
                <w:rFonts w:ascii="Courier New"/>
                <w:b/>
                <w:sz w:val="16"/>
              </w:rPr>
            </w:pPr>
            <w:r>
              <w:rPr>
                <w:rFonts w:ascii="Courier New"/>
                <w:b/>
                <w:sz w:val="16"/>
              </w:rPr>
              <w:t>1.4150</w:t>
            </w:r>
          </w:p>
        </w:tc>
        <w:tc>
          <w:tcPr>
            <w:tcW w:w="864" w:type="dxa"/>
          </w:tcPr>
          <w:p>
            <w:pPr>
              <w:pStyle w:val="TableParagraph"/>
              <w:spacing w:line="162" w:lineRule="exact" w:before="0"/>
              <w:ind w:right="93"/>
              <w:rPr>
                <w:rFonts w:ascii="Courier New"/>
                <w:b/>
                <w:sz w:val="16"/>
              </w:rPr>
            </w:pPr>
            <w:r>
              <w:rPr>
                <w:rFonts w:ascii="Courier New"/>
                <w:b/>
                <w:sz w:val="16"/>
              </w:rPr>
              <w:t>9.19</w:t>
            </w:r>
          </w:p>
        </w:tc>
        <w:tc>
          <w:tcPr>
            <w:tcW w:w="819" w:type="dxa"/>
          </w:tcPr>
          <w:p>
            <w:pPr>
              <w:pStyle w:val="TableParagraph"/>
              <w:spacing w:line="162" w:lineRule="exact" w:before="0"/>
              <w:ind w:right="46"/>
              <w:rPr>
                <w:rFonts w:ascii="Courier New"/>
                <w:b/>
                <w:sz w:val="16"/>
              </w:rPr>
            </w:pPr>
            <w:r>
              <w:rPr>
                <w:rFonts w:ascii="Courier New"/>
                <w:b/>
                <w:sz w:val="16"/>
              </w:rPr>
              <w:t>0.003</w:t>
            </w:r>
          </w:p>
        </w:tc>
      </w:tr>
      <w:tr>
        <w:trPr>
          <w:trHeight w:val="182" w:hRule="atLeast"/>
        </w:trPr>
        <w:tc>
          <w:tcPr>
            <w:tcW w:w="2833" w:type="dxa"/>
            <w:gridSpan w:val="2"/>
          </w:tcPr>
          <w:p>
            <w:pPr>
              <w:pStyle w:val="TableParagraph"/>
              <w:spacing w:line="161" w:lineRule="exact" w:before="1"/>
              <w:ind w:left="241"/>
              <w:jc w:val="left"/>
              <w:rPr>
                <w:rFonts w:ascii="Courier New"/>
                <w:b/>
                <w:sz w:val="16"/>
              </w:rPr>
            </w:pPr>
            <w:r>
              <w:rPr>
                <w:rFonts w:ascii="Courier New"/>
                <w:b/>
                <w:sz w:val="16"/>
              </w:rPr>
              <w:t>Tipo = 1 casa, 0 = Condo</w:t>
            </w:r>
          </w:p>
        </w:tc>
        <w:tc>
          <w:tcPr>
            <w:tcW w:w="576" w:type="dxa"/>
          </w:tcPr>
          <w:p>
            <w:pPr>
              <w:pStyle w:val="TableParagraph"/>
              <w:spacing w:line="161" w:lineRule="exact" w:before="1"/>
              <w:ind w:right="93"/>
              <w:rPr>
                <w:rFonts w:ascii="Courier New"/>
                <w:b/>
                <w:sz w:val="16"/>
              </w:rPr>
            </w:pPr>
            <w:r>
              <w:rPr>
                <w:rFonts w:ascii="Courier New"/>
                <w:b/>
                <w:sz w:val="16"/>
              </w:rPr>
              <w:t>1</w:t>
            </w:r>
          </w:p>
        </w:tc>
        <w:tc>
          <w:tcPr>
            <w:tcW w:w="864" w:type="dxa"/>
          </w:tcPr>
          <w:p>
            <w:pPr>
              <w:pStyle w:val="TableParagraph"/>
              <w:spacing w:line="161" w:lineRule="exact" w:before="1"/>
              <w:ind w:right="93"/>
              <w:rPr>
                <w:rFonts w:ascii="Courier New"/>
                <w:b/>
                <w:sz w:val="16"/>
              </w:rPr>
            </w:pPr>
            <w:r>
              <w:rPr>
                <w:rFonts w:ascii="Courier New"/>
                <w:b/>
                <w:sz w:val="16"/>
              </w:rPr>
              <w:t>1.4779</w:t>
            </w:r>
          </w:p>
        </w:tc>
        <w:tc>
          <w:tcPr>
            <w:tcW w:w="864" w:type="dxa"/>
          </w:tcPr>
          <w:p>
            <w:pPr>
              <w:pStyle w:val="TableParagraph"/>
              <w:spacing w:line="161" w:lineRule="exact" w:before="1"/>
              <w:ind w:right="93"/>
              <w:rPr>
                <w:rFonts w:ascii="Courier New"/>
                <w:b/>
                <w:sz w:val="16"/>
              </w:rPr>
            </w:pPr>
            <w:r>
              <w:rPr>
                <w:rFonts w:ascii="Courier New"/>
                <w:b/>
                <w:sz w:val="16"/>
              </w:rPr>
              <w:t>1.4779</w:t>
            </w:r>
          </w:p>
        </w:tc>
        <w:tc>
          <w:tcPr>
            <w:tcW w:w="864" w:type="dxa"/>
          </w:tcPr>
          <w:p>
            <w:pPr>
              <w:pStyle w:val="TableParagraph"/>
              <w:spacing w:line="161" w:lineRule="exact" w:before="1"/>
              <w:ind w:right="93"/>
              <w:rPr>
                <w:rFonts w:ascii="Courier New"/>
                <w:b/>
                <w:sz w:val="16"/>
              </w:rPr>
            </w:pPr>
            <w:r>
              <w:rPr>
                <w:rFonts w:ascii="Courier New"/>
                <w:b/>
                <w:sz w:val="16"/>
              </w:rPr>
              <w:t>9.60</w:t>
            </w:r>
          </w:p>
        </w:tc>
        <w:tc>
          <w:tcPr>
            <w:tcW w:w="819" w:type="dxa"/>
          </w:tcPr>
          <w:p>
            <w:pPr>
              <w:pStyle w:val="TableParagraph"/>
              <w:spacing w:line="161" w:lineRule="exact" w:before="1"/>
              <w:ind w:right="48"/>
              <w:rPr>
                <w:rFonts w:ascii="Courier New"/>
                <w:b/>
                <w:sz w:val="16"/>
              </w:rPr>
            </w:pPr>
            <w:r>
              <w:rPr>
                <w:rFonts w:ascii="Courier New"/>
                <w:b/>
                <w:sz w:val="16"/>
              </w:rPr>
              <w:t>0.002</w:t>
            </w:r>
          </w:p>
        </w:tc>
      </w:tr>
      <w:tr>
        <w:trPr>
          <w:trHeight w:val="180" w:hRule="atLeast"/>
        </w:trPr>
        <w:tc>
          <w:tcPr>
            <w:tcW w:w="2833" w:type="dxa"/>
            <w:gridSpan w:val="2"/>
          </w:tcPr>
          <w:p>
            <w:pPr>
              <w:pStyle w:val="TableParagraph"/>
              <w:spacing w:line="160" w:lineRule="exact" w:before="0"/>
              <w:ind w:left="241" w:right="-15"/>
              <w:jc w:val="left"/>
              <w:rPr>
                <w:rFonts w:ascii="Courier New"/>
                <w:b/>
                <w:sz w:val="16"/>
              </w:rPr>
            </w:pPr>
            <w:r>
              <w:rPr>
                <w:rFonts w:ascii="Courier New"/>
                <w:b/>
                <w:sz w:val="16"/>
              </w:rPr>
              <w:t>Zona de Riesgo de</w:t>
            </w:r>
            <w:r>
              <w:rPr>
                <w:rFonts w:ascii="Courier New"/>
                <w:b/>
                <w:spacing w:val="-21"/>
                <w:sz w:val="16"/>
              </w:rPr>
              <w:t> </w:t>
            </w:r>
            <w:r>
              <w:rPr>
                <w:rFonts w:ascii="Courier New"/>
                <w:b/>
                <w:sz w:val="16"/>
              </w:rPr>
              <w:t>desastre</w:t>
            </w:r>
          </w:p>
        </w:tc>
        <w:tc>
          <w:tcPr>
            <w:tcW w:w="576" w:type="dxa"/>
          </w:tcPr>
          <w:p>
            <w:pPr>
              <w:pStyle w:val="TableParagraph"/>
              <w:spacing w:line="160" w:lineRule="exact" w:before="0"/>
              <w:ind w:right="93"/>
              <w:rPr>
                <w:rFonts w:ascii="Courier New"/>
                <w:b/>
                <w:sz w:val="16"/>
              </w:rPr>
            </w:pPr>
            <w:r>
              <w:rPr>
                <w:rFonts w:ascii="Courier New"/>
                <w:b/>
                <w:sz w:val="16"/>
              </w:rPr>
              <w:t>1</w:t>
            </w:r>
          </w:p>
        </w:tc>
        <w:tc>
          <w:tcPr>
            <w:tcW w:w="864" w:type="dxa"/>
          </w:tcPr>
          <w:p>
            <w:pPr>
              <w:pStyle w:val="TableParagraph"/>
              <w:spacing w:line="160" w:lineRule="exact" w:before="0"/>
              <w:ind w:right="93"/>
              <w:rPr>
                <w:rFonts w:ascii="Courier New"/>
                <w:b/>
                <w:sz w:val="16"/>
              </w:rPr>
            </w:pPr>
            <w:r>
              <w:rPr>
                <w:rFonts w:ascii="Courier New"/>
                <w:b/>
                <w:sz w:val="16"/>
              </w:rPr>
              <w:t>0.2480</w:t>
            </w:r>
          </w:p>
        </w:tc>
        <w:tc>
          <w:tcPr>
            <w:tcW w:w="864" w:type="dxa"/>
          </w:tcPr>
          <w:p>
            <w:pPr>
              <w:pStyle w:val="TableParagraph"/>
              <w:spacing w:line="160" w:lineRule="exact" w:before="0"/>
              <w:ind w:right="93"/>
              <w:rPr>
                <w:rFonts w:ascii="Courier New"/>
                <w:b/>
                <w:sz w:val="16"/>
              </w:rPr>
            </w:pPr>
            <w:r>
              <w:rPr>
                <w:rFonts w:ascii="Courier New"/>
                <w:b/>
                <w:sz w:val="16"/>
              </w:rPr>
              <w:t>0.2480</w:t>
            </w:r>
          </w:p>
        </w:tc>
        <w:tc>
          <w:tcPr>
            <w:tcW w:w="864" w:type="dxa"/>
          </w:tcPr>
          <w:p>
            <w:pPr>
              <w:pStyle w:val="TableParagraph"/>
              <w:spacing w:line="160" w:lineRule="exact" w:before="0"/>
              <w:ind w:right="93"/>
              <w:rPr>
                <w:rFonts w:ascii="Courier New"/>
                <w:b/>
                <w:sz w:val="16"/>
              </w:rPr>
            </w:pPr>
            <w:r>
              <w:rPr>
                <w:rFonts w:ascii="Courier New"/>
                <w:b/>
                <w:sz w:val="16"/>
              </w:rPr>
              <w:t>1.61</w:t>
            </w:r>
          </w:p>
        </w:tc>
        <w:tc>
          <w:tcPr>
            <w:tcW w:w="819" w:type="dxa"/>
          </w:tcPr>
          <w:p>
            <w:pPr>
              <w:pStyle w:val="TableParagraph"/>
              <w:spacing w:line="160" w:lineRule="exact" w:before="0"/>
              <w:ind w:right="48"/>
              <w:rPr>
                <w:rFonts w:ascii="Courier New"/>
                <w:b/>
                <w:sz w:val="16"/>
              </w:rPr>
            </w:pPr>
            <w:r>
              <w:rPr>
                <w:rFonts w:ascii="Courier New"/>
                <w:b/>
                <w:sz w:val="16"/>
              </w:rPr>
              <w:t>0.205</w:t>
            </w:r>
          </w:p>
        </w:tc>
      </w:tr>
      <w:tr>
        <w:trPr>
          <w:trHeight w:val="182" w:hRule="atLeast"/>
        </w:trPr>
        <w:tc>
          <w:tcPr>
            <w:tcW w:w="2833" w:type="dxa"/>
            <w:gridSpan w:val="2"/>
          </w:tcPr>
          <w:p>
            <w:pPr>
              <w:pStyle w:val="TableParagraph"/>
              <w:spacing w:line="162" w:lineRule="exact" w:before="0"/>
              <w:ind w:left="241"/>
              <w:jc w:val="left"/>
              <w:rPr>
                <w:rFonts w:ascii="Courier New"/>
                <w:b/>
                <w:sz w:val="16"/>
              </w:rPr>
            </w:pPr>
            <w:r>
              <w:rPr>
                <w:rFonts w:ascii="Courier New"/>
                <w:b/>
                <w:sz w:val="16"/>
              </w:rPr>
              <w:t>Vista a la Carpintera</w:t>
            </w:r>
          </w:p>
        </w:tc>
        <w:tc>
          <w:tcPr>
            <w:tcW w:w="576" w:type="dxa"/>
          </w:tcPr>
          <w:p>
            <w:pPr>
              <w:pStyle w:val="TableParagraph"/>
              <w:spacing w:line="162" w:lineRule="exact" w:before="0"/>
              <w:ind w:right="93"/>
              <w:rPr>
                <w:rFonts w:ascii="Courier New"/>
                <w:b/>
                <w:sz w:val="16"/>
              </w:rPr>
            </w:pPr>
            <w:r>
              <w:rPr>
                <w:rFonts w:ascii="Courier New"/>
                <w:b/>
                <w:sz w:val="16"/>
              </w:rPr>
              <w:t>1</w:t>
            </w:r>
          </w:p>
        </w:tc>
        <w:tc>
          <w:tcPr>
            <w:tcW w:w="864" w:type="dxa"/>
          </w:tcPr>
          <w:p>
            <w:pPr>
              <w:pStyle w:val="TableParagraph"/>
              <w:spacing w:line="162" w:lineRule="exact" w:before="0"/>
              <w:ind w:right="93"/>
              <w:rPr>
                <w:rFonts w:ascii="Courier New"/>
                <w:b/>
                <w:sz w:val="16"/>
              </w:rPr>
            </w:pPr>
            <w:r>
              <w:rPr>
                <w:rFonts w:ascii="Courier New"/>
                <w:b/>
                <w:sz w:val="16"/>
              </w:rPr>
              <w:t>0.4510</w:t>
            </w:r>
          </w:p>
        </w:tc>
        <w:tc>
          <w:tcPr>
            <w:tcW w:w="864" w:type="dxa"/>
          </w:tcPr>
          <w:p>
            <w:pPr>
              <w:pStyle w:val="TableParagraph"/>
              <w:spacing w:line="162" w:lineRule="exact" w:before="0"/>
              <w:ind w:right="93"/>
              <w:rPr>
                <w:rFonts w:ascii="Courier New"/>
                <w:b/>
                <w:sz w:val="16"/>
              </w:rPr>
            </w:pPr>
            <w:r>
              <w:rPr>
                <w:rFonts w:ascii="Courier New"/>
                <w:b/>
                <w:sz w:val="16"/>
              </w:rPr>
              <w:t>0.4510</w:t>
            </w:r>
          </w:p>
        </w:tc>
        <w:tc>
          <w:tcPr>
            <w:tcW w:w="864" w:type="dxa"/>
          </w:tcPr>
          <w:p>
            <w:pPr>
              <w:pStyle w:val="TableParagraph"/>
              <w:spacing w:line="162" w:lineRule="exact" w:before="0"/>
              <w:ind w:right="93"/>
              <w:rPr>
                <w:rFonts w:ascii="Courier New"/>
                <w:b/>
                <w:sz w:val="16"/>
              </w:rPr>
            </w:pPr>
            <w:r>
              <w:rPr>
                <w:rFonts w:ascii="Courier New"/>
                <w:b/>
                <w:sz w:val="16"/>
              </w:rPr>
              <w:t>2.93</w:t>
            </w:r>
          </w:p>
        </w:tc>
        <w:tc>
          <w:tcPr>
            <w:tcW w:w="819" w:type="dxa"/>
          </w:tcPr>
          <w:p>
            <w:pPr>
              <w:pStyle w:val="TableParagraph"/>
              <w:spacing w:line="162" w:lineRule="exact" w:before="0"/>
              <w:ind w:right="48"/>
              <w:rPr>
                <w:rFonts w:ascii="Courier New"/>
                <w:b/>
                <w:sz w:val="16"/>
              </w:rPr>
            </w:pPr>
            <w:r>
              <w:rPr>
                <w:rFonts w:ascii="Courier New"/>
                <w:b/>
                <w:sz w:val="16"/>
              </w:rPr>
              <w:t>0.088</w:t>
            </w:r>
          </w:p>
        </w:tc>
      </w:tr>
      <w:tr>
        <w:trPr>
          <w:trHeight w:val="182" w:hRule="atLeast"/>
        </w:trPr>
        <w:tc>
          <w:tcPr>
            <w:tcW w:w="2833" w:type="dxa"/>
            <w:gridSpan w:val="2"/>
          </w:tcPr>
          <w:p>
            <w:pPr>
              <w:pStyle w:val="TableParagraph"/>
              <w:spacing w:line="161" w:lineRule="exact" w:before="1"/>
              <w:ind w:left="50"/>
              <w:jc w:val="left"/>
              <w:rPr>
                <w:rFonts w:ascii="Courier New"/>
                <w:b/>
                <w:sz w:val="16"/>
              </w:rPr>
            </w:pPr>
            <w:r>
              <w:rPr>
                <w:rFonts w:ascii="Courier New"/>
                <w:b/>
                <w:sz w:val="16"/>
              </w:rPr>
              <w:t>Error</w:t>
            </w:r>
          </w:p>
        </w:tc>
        <w:tc>
          <w:tcPr>
            <w:tcW w:w="576" w:type="dxa"/>
          </w:tcPr>
          <w:p>
            <w:pPr>
              <w:pStyle w:val="TableParagraph"/>
              <w:spacing w:line="161" w:lineRule="exact" w:before="1"/>
              <w:ind w:right="93"/>
              <w:rPr>
                <w:rFonts w:ascii="Courier New"/>
                <w:b/>
                <w:sz w:val="16"/>
              </w:rPr>
            </w:pPr>
            <w:r>
              <w:rPr>
                <w:rFonts w:ascii="Courier New"/>
                <w:b/>
                <w:sz w:val="16"/>
              </w:rPr>
              <w:t>291</w:t>
            </w:r>
          </w:p>
        </w:tc>
        <w:tc>
          <w:tcPr>
            <w:tcW w:w="864" w:type="dxa"/>
          </w:tcPr>
          <w:p>
            <w:pPr>
              <w:pStyle w:val="TableParagraph"/>
              <w:spacing w:line="161" w:lineRule="exact" w:before="1"/>
              <w:ind w:right="91"/>
              <w:rPr>
                <w:rFonts w:ascii="Courier New"/>
                <w:b/>
                <w:sz w:val="16"/>
              </w:rPr>
            </w:pPr>
            <w:r>
              <w:rPr>
                <w:rFonts w:ascii="Courier New"/>
                <w:b/>
                <w:sz w:val="16"/>
              </w:rPr>
              <w:t>44.8114</w:t>
            </w:r>
          </w:p>
        </w:tc>
        <w:tc>
          <w:tcPr>
            <w:tcW w:w="864" w:type="dxa"/>
          </w:tcPr>
          <w:p>
            <w:pPr>
              <w:pStyle w:val="TableParagraph"/>
              <w:spacing w:line="161" w:lineRule="exact" w:before="1"/>
              <w:ind w:right="91"/>
              <w:rPr>
                <w:rFonts w:ascii="Courier New"/>
                <w:b/>
                <w:sz w:val="16"/>
              </w:rPr>
            </w:pPr>
            <w:r>
              <w:rPr>
                <w:rFonts w:ascii="Courier New"/>
                <w:b/>
                <w:sz w:val="16"/>
              </w:rPr>
              <w:t>0.1540</w:t>
            </w:r>
          </w:p>
        </w:tc>
        <w:tc>
          <w:tcPr>
            <w:tcW w:w="864" w:type="dxa"/>
          </w:tcPr>
          <w:p>
            <w:pPr>
              <w:pStyle w:val="TableParagraph"/>
              <w:spacing w:line="240" w:lineRule="auto" w:before="0"/>
              <w:jc w:val="left"/>
              <w:rPr>
                <w:rFonts w:ascii="Times New Roman"/>
                <w:sz w:val="12"/>
              </w:rPr>
            </w:pPr>
          </w:p>
        </w:tc>
        <w:tc>
          <w:tcPr>
            <w:tcW w:w="819" w:type="dxa"/>
          </w:tcPr>
          <w:p>
            <w:pPr>
              <w:pStyle w:val="TableParagraph"/>
              <w:spacing w:line="240" w:lineRule="auto" w:before="0"/>
              <w:jc w:val="left"/>
              <w:rPr>
                <w:rFonts w:ascii="Times New Roman"/>
                <w:sz w:val="12"/>
              </w:rPr>
            </w:pPr>
          </w:p>
        </w:tc>
      </w:tr>
      <w:tr>
        <w:trPr>
          <w:trHeight w:val="180" w:hRule="atLeast"/>
        </w:trPr>
        <w:tc>
          <w:tcPr>
            <w:tcW w:w="2833" w:type="dxa"/>
            <w:gridSpan w:val="2"/>
          </w:tcPr>
          <w:p>
            <w:pPr>
              <w:pStyle w:val="TableParagraph"/>
              <w:spacing w:line="160" w:lineRule="exact" w:before="0"/>
              <w:ind w:left="241"/>
              <w:jc w:val="left"/>
              <w:rPr>
                <w:rFonts w:ascii="Courier New"/>
                <w:b/>
                <w:sz w:val="16"/>
              </w:rPr>
            </w:pPr>
            <w:r>
              <w:rPr>
                <w:rFonts w:ascii="Courier New"/>
                <w:b/>
                <w:sz w:val="16"/>
              </w:rPr>
              <w:t>Lack-of-Fit</w:t>
            </w:r>
          </w:p>
        </w:tc>
        <w:tc>
          <w:tcPr>
            <w:tcW w:w="576" w:type="dxa"/>
          </w:tcPr>
          <w:p>
            <w:pPr>
              <w:pStyle w:val="TableParagraph"/>
              <w:spacing w:line="160" w:lineRule="exact" w:before="0"/>
              <w:ind w:right="92"/>
              <w:rPr>
                <w:rFonts w:ascii="Courier New"/>
                <w:b/>
                <w:sz w:val="16"/>
              </w:rPr>
            </w:pPr>
            <w:r>
              <w:rPr>
                <w:rFonts w:ascii="Courier New"/>
                <w:b/>
                <w:sz w:val="16"/>
              </w:rPr>
              <w:t>290</w:t>
            </w:r>
          </w:p>
        </w:tc>
        <w:tc>
          <w:tcPr>
            <w:tcW w:w="864" w:type="dxa"/>
          </w:tcPr>
          <w:p>
            <w:pPr>
              <w:pStyle w:val="TableParagraph"/>
              <w:spacing w:line="160" w:lineRule="exact" w:before="0"/>
              <w:ind w:right="92"/>
              <w:rPr>
                <w:rFonts w:ascii="Courier New"/>
                <w:b/>
                <w:sz w:val="16"/>
              </w:rPr>
            </w:pPr>
            <w:r>
              <w:rPr>
                <w:rFonts w:ascii="Courier New"/>
                <w:b/>
                <w:sz w:val="16"/>
              </w:rPr>
              <w:t>44.8114</w:t>
            </w:r>
          </w:p>
        </w:tc>
        <w:tc>
          <w:tcPr>
            <w:tcW w:w="864" w:type="dxa"/>
          </w:tcPr>
          <w:p>
            <w:pPr>
              <w:pStyle w:val="TableParagraph"/>
              <w:spacing w:line="160" w:lineRule="exact" w:before="0"/>
              <w:ind w:right="92"/>
              <w:rPr>
                <w:rFonts w:ascii="Courier New"/>
                <w:b/>
                <w:sz w:val="16"/>
              </w:rPr>
            </w:pPr>
            <w:r>
              <w:rPr>
                <w:rFonts w:ascii="Courier New"/>
                <w:b/>
                <w:sz w:val="16"/>
              </w:rPr>
              <w:t>0.1545</w:t>
            </w:r>
          </w:p>
        </w:tc>
        <w:tc>
          <w:tcPr>
            <w:tcW w:w="864" w:type="dxa"/>
          </w:tcPr>
          <w:p>
            <w:pPr>
              <w:pStyle w:val="TableParagraph"/>
              <w:spacing w:line="160" w:lineRule="exact" w:before="0"/>
              <w:ind w:right="92"/>
              <w:rPr>
                <w:rFonts w:ascii="Courier New"/>
                <w:b/>
                <w:sz w:val="16"/>
              </w:rPr>
            </w:pPr>
            <w:r>
              <w:rPr>
                <w:rFonts w:ascii="Courier New"/>
                <w:b/>
                <w:sz w:val="16"/>
              </w:rPr>
              <w:t>*</w:t>
            </w:r>
          </w:p>
        </w:tc>
        <w:tc>
          <w:tcPr>
            <w:tcW w:w="819" w:type="dxa"/>
          </w:tcPr>
          <w:p>
            <w:pPr>
              <w:pStyle w:val="TableParagraph"/>
              <w:spacing w:line="160" w:lineRule="exact" w:before="0"/>
              <w:ind w:right="47"/>
              <w:rPr>
                <w:rFonts w:ascii="Courier New"/>
                <w:b/>
                <w:sz w:val="16"/>
              </w:rPr>
            </w:pPr>
            <w:r>
              <w:rPr>
                <w:rFonts w:ascii="Courier New"/>
                <w:b/>
                <w:sz w:val="16"/>
              </w:rPr>
              <w:t>*</w:t>
            </w:r>
          </w:p>
        </w:tc>
      </w:tr>
      <w:tr>
        <w:trPr>
          <w:trHeight w:val="181" w:hRule="atLeast"/>
        </w:trPr>
        <w:tc>
          <w:tcPr>
            <w:tcW w:w="2833" w:type="dxa"/>
            <w:gridSpan w:val="2"/>
          </w:tcPr>
          <w:p>
            <w:pPr>
              <w:pStyle w:val="TableParagraph"/>
              <w:spacing w:line="162" w:lineRule="exact" w:before="0"/>
              <w:ind w:left="241"/>
              <w:jc w:val="left"/>
              <w:rPr>
                <w:rFonts w:ascii="Courier New"/>
                <w:b/>
                <w:sz w:val="16"/>
              </w:rPr>
            </w:pPr>
            <w:r>
              <w:rPr>
                <w:rFonts w:ascii="Courier New"/>
                <w:b/>
                <w:sz w:val="16"/>
              </w:rPr>
              <w:t>Pure Error</w:t>
            </w:r>
          </w:p>
        </w:tc>
        <w:tc>
          <w:tcPr>
            <w:tcW w:w="576" w:type="dxa"/>
          </w:tcPr>
          <w:p>
            <w:pPr>
              <w:pStyle w:val="TableParagraph"/>
              <w:spacing w:line="162" w:lineRule="exact" w:before="0"/>
              <w:ind w:right="93"/>
              <w:rPr>
                <w:rFonts w:ascii="Courier New"/>
                <w:b/>
                <w:sz w:val="16"/>
              </w:rPr>
            </w:pPr>
            <w:r>
              <w:rPr>
                <w:rFonts w:ascii="Courier New"/>
                <w:b/>
                <w:sz w:val="16"/>
              </w:rPr>
              <w:t>1</w:t>
            </w:r>
          </w:p>
        </w:tc>
        <w:tc>
          <w:tcPr>
            <w:tcW w:w="864" w:type="dxa"/>
          </w:tcPr>
          <w:p>
            <w:pPr>
              <w:pStyle w:val="TableParagraph"/>
              <w:spacing w:line="162" w:lineRule="exact" w:before="0"/>
              <w:ind w:right="93"/>
              <w:rPr>
                <w:rFonts w:ascii="Courier New"/>
                <w:b/>
                <w:sz w:val="16"/>
              </w:rPr>
            </w:pPr>
            <w:r>
              <w:rPr>
                <w:rFonts w:ascii="Courier New"/>
                <w:b/>
                <w:sz w:val="16"/>
              </w:rPr>
              <w:t>0.0000</w:t>
            </w:r>
          </w:p>
        </w:tc>
        <w:tc>
          <w:tcPr>
            <w:tcW w:w="864" w:type="dxa"/>
          </w:tcPr>
          <w:p>
            <w:pPr>
              <w:pStyle w:val="TableParagraph"/>
              <w:spacing w:line="162" w:lineRule="exact" w:before="0"/>
              <w:ind w:right="93"/>
              <w:rPr>
                <w:rFonts w:ascii="Courier New"/>
                <w:b/>
                <w:sz w:val="16"/>
              </w:rPr>
            </w:pPr>
            <w:r>
              <w:rPr>
                <w:rFonts w:ascii="Courier New"/>
                <w:b/>
                <w:sz w:val="16"/>
              </w:rPr>
              <w:t>0.0000</w:t>
            </w:r>
          </w:p>
        </w:tc>
        <w:tc>
          <w:tcPr>
            <w:tcW w:w="864" w:type="dxa"/>
          </w:tcPr>
          <w:p>
            <w:pPr>
              <w:pStyle w:val="TableParagraph"/>
              <w:spacing w:line="240" w:lineRule="auto" w:before="0"/>
              <w:jc w:val="left"/>
              <w:rPr>
                <w:rFonts w:ascii="Times New Roman"/>
                <w:sz w:val="12"/>
              </w:rPr>
            </w:pPr>
          </w:p>
        </w:tc>
        <w:tc>
          <w:tcPr>
            <w:tcW w:w="819" w:type="dxa"/>
          </w:tcPr>
          <w:p>
            <w:pPr>
              <w:pStyle w:val="TableParagraph"/>
              <w:spacing w:line="240" w:lineRule="auto" w:before="0"/>
              <w:jc w:val="left"/>
              <w:rPr>
                <w:rFonts w:ascii="Times New Roman"/>
                <w:sz w:val="12"/>
              </w:rPr>
            </w:pPr>
          </w:p>
        </w:tc>
      </w:tr>
      <w:tr>
        <w:trPr>
          <w:trHeight w:val="272" w:hRule="atLeast"/>
        </w:trPr>
        <w:tc>
          <w:tcPr>
            <w:tcW w:w="2833" w:type="dxa"/>
            <w:gridSpan w:val="2"/>
          </w:tcPr>
          <w:p>
            <w:pPr>
              <w:pStyle w:val="TableParagraph"/>
              <w:spacing w:line="240" w:lineRule="auto" w:before="1"/>
              <w:ind w:left="50"/>
              <w:jc w:val="left"/>
              <w:rPr>
                <w:rFonts w:ascii="Courier New"/>
                <w:b/>
                <w:sz w:val="16"/>
              </w:rPr>
            </w:pPr>
            <w:r>
              <w:rPr>
                <w:rFonts w:ascii="Courier New"/>
                <w:b/>
                <w:sz w:val="16"/>
              </w:rPr>
              <w:t>Total</w:t>
            </w:r>
          </w:p>
        </w:tc>
        <w:tc>
          <w:tcPr>
            <w:tcW w:w="576" w:type="dxa"/>
          </w:tcPr>
          <w:p>
            <w:pPr>
              <w:pStyle w:val="TableParagraph"/>
              <w:spacing w:line="240" w:lineRule="auto" w:before="1"/>
              <w:ind w:right="93"/>
              <w:rPr>
                <w:rFonts w:ascii="Courier New"/>
                <w:b/>
                <w:sz w:val="16"/>
              </w:rPr>
            </w:pPr>
            <w:r>
              <w:rPr>
                <w:rFonts w:ascii="Courier New"/>
                <w:b/>
                <w:sz w:val="16"/>
              </w:rPr>
              <w:t>300</w:t>
            </w:r>
          </w:p>
        </w:tc>
        <w:tc>
          <w:tcPr>
            <w:tcW w:w="864" w:type="dxa"/>
          </w:tcPr>
          <w:p>
            <w:pPr>
              <w:pStyle w:val="TableParagraph"/>
              <w:spacing w:line="240" w:lineRule="auto" w:before="1"/>
              <w:ind w:right="93"/>
              <w:rPr>
                <w:rFonts w:ascii="Courier New"/>
                <w:b/>
                <w:sz w:val="16"/>
              </w:rPr>
            </w:pPr>
            <w:r>
              <w:rPr>
                <w:rFonts w:ascii="Courier New"/>
                <w:b/>
                <w:sz w:val="16"/>
              </w:rPr>
              <w:t>94.3895</w:t>
            </w:r>
          </w:p>
        </w:tc>
        <w:tc>
          <w:tcPr>
            <w:tcW w:w="864"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19" w:type="dxa"/>
          </w:tcPr>
          <w:p>
            <w:pPr>
              <w:pStyle w:val="TableParagraph"/>
              <w:spacing w:line="240" w:lineRule="auto" w:before="0"/>
              <w:jc w:val="left"/>
              <w:rPr>
                <w:rFonts w:ascii="Times New Roman"/>
                <w:sz w:val="16"/>
              </w:rPr>
            </w:pPr>
          </w:p>
        </w:tc>
      </w:tr>
      <w:tr>
        <w:trPr>
          <w:trHeight w:val="270" w:hRule="atLeast"/>
        </w:trPr>
        <w:tc>
          <w:tcPr>
            <w:tcW w:w="2833" w:type="dxa"/>
            <w:gridSpan w:val="2"/>
          </w:tcPr>
          <w:p>
            <w:pPr>
              <w:pStyle w:val="TableParagraph"/>
              <w:spacing w:line="161" w:lineRule="exact" w:before="89"/>
              <w:ind w:left="50"/>
              <w:jc w:val="left"/>
              <w:rPr>
                <w:rFonts w:ascii="Courier New"/>
                <w:b/>
                <w:sz w:val="16"/>
              </w:rPr>
            </w:pPr>
            <w:r>
              <w:rPr>
                <w:rFonts w:ascii="Courier New"/>
                <w:b/>
                <w:sz w:val="16"/>
              </w:rPr>
              <w:t>Model Summary</w:t>
            </w:r>
          </w:p>
        </w:tc>
        <w:tc>
          <w:tcPr>
            <w:tcW w:w="576"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19" w:type="dxa"/>
          </w:tcPr>
          <w:p>
            <w:pPr>
              <w:pStyle w:val="TableParagraph"/>
              <w:spacing w:line="240" w:lineRule="auto" w:before="0"/>
              <w:jc w:val="left"/>
              <w:rPr>
                <w:rFonts w:ascii="Times New Roman"/>
                <w:sz w:val="16"/>
              </w:rPr>
            </w:pPr>
          </w:p>
        </w:tc>
      </w:tr>
      <w:tr>
        <w:trPr>
          <w:trHeight w:val="363" w:hRule="atLeast"/>
        </w:trPr>
        <w:tc>
          <w:tcPr>
            <w:tcW w:w="1682" w:type="dxa"/>
          </w:tcPr>
          <w:p>
            <w:pPr>
              <w:pStyle w:val="TableParagraph"/>
              <w:spacing w:line="240" w:lineRule="auto" w:before="10"/>
              <w:jc w:val="left"/>
              <w:rPr>
                <w:b/>
                <w:sz w:val="15"/>
              </w:rPr>
            </w:pPr>
          </w:p>
          <w:p>
            <w:pPr>
              <w:pStyle w:val="TableParagraph"/>
              <w:tabs>
                <w:tab w:pos="479" w:val="left" w:leader="none"/>
              </w:tabs>
              <w:spacing w:line="161" w:lineRule="exact" w:before="0"/>
              <w:ind w:right="93"/>
              <w:rPr>
                <w:rFonts w:ascii="Courier New"/>
                <w:b/>
                <w:sz w:val="16"/>
              </w:rPr>
            </w:pPr>
            <w:r>
              <w:rPr>
                <w:rFonts w:ascii="Courier New"/>
                <w:b/>
                <w:sz w:val="16"/>
              </w:rPr>
              <w:t>S</w:t>
              <w:tab/>
            </w:r>
            <w:r>
              <w:rPr>
                <w:rFonts w:ascii="Courier New"/>
                <w:b/>
                <w:spacing w:val="-1"/>
                <w:sz w:val="16"/>
              </w:rPr>
              <w:t>R-sq</w:t>
            </w:r>
          </w:p>
        </w:tc>
        <w:tc>
          <w:tcPr>
            <w:tcW w:w="1151" w:type="dxa"/>
          </w:tcPr>
          <w:p>
            <w:pPr>
              <w:pStyle w:val="TableParagraph"/>
              <w:spacing w:line="240" w:lineRule="auto" w:before="10"/>
              <w:jc w:val="left"/>
              <w:rPr>
                <w:b/>
                <w:sz w:val="15"/>
              </w:rPr>
            </w:pPr>
          </w:p>
          <w:p>
            <w:pPr>
              <w:pStyle w:val="TableParagraph"/>
              <w:spacing w:line="161" w:lineRule="exact" w:before="0"/>
              <w:ind w:right="188"/>
              <w:rPr>
                <w:rFonts w:ascii="Courier New"/>
                <w:b/>
                <w:sz w:val="16"/>
              </w:rPr>
            </w:pPr>
            <w:r>
              <w:rPr>
                <w:rFonts w:ascii="Courier New"/>
                <w:b/>
                <w:sz w:val="16"/>
              </w:rPr>
              <w:t>R-sq(adj)</w:t>
            </w:r>
          </w:p>
        </w:tc>
        <w:tc>
          <w:tcPr>
            <w:tcW w:w="3987" w:type="dxa"/>
            <w:gridSpan w:val="5"/>
          </w:tcPr>
          <w:p>
            <w:pPr>
              <w:pStyle w:val="TableParagraph"/>
              <w:spacing w:line="240" w:lineRule="auto" w:before="10"/>
              <w:jc w:val="left"/>
              <w:rPr>
                <w:b/>
                <w:sz w:val="15"/>
              </w:rPr>
            </w:pPr>
          </w:p>
          <w:p>
            <w:pPr>
              <w:pStyle w:val="TableParagraph"/>
              <w:spacing w:line="161" w:lineRule="exact" w:before="0"/>
              <w:ind w:left="1"/>
              <w:jc w:val="left"/>
              <w:rPr>
                <w:rFonts w:ascii="Courier New"/>
                <w:b/>
                <w:sz w:val="16"/>
              </w:rPr>
            </w:pPr>
            <w:r>
              <w:rPr>
                <w:rFonts w:ascii="Courier New"/>
                <w:b/>
                <w:sz w:val="16"/>
              </w:rPr>
              <w:t>R-sq(pred)</w:t>
            </w:r>
          </w:p>
        </w:tc>
      </w:tr>
      <w:tr>
        <w:trPr>
          <w:trHeight w:val="180" w:hRule="atLeast"/>
        </w:trPr>
        <w:tc>
          <w:tcPr>
            <w:tcW w:w="1682" w:type="dxa"/>
          </w:tcPr>
          <w:p>
            <w:pPr>
              <w:pStyle w:val="TableParagraph"/>
              <w:spacing w:line="161" w:lineRule="exact" w:before="0"/>
              <w:ind w:right="94"/>
              <w:rPr>
                <w:rFonts w:ascii="Courier New"/>
                <w:b/>
                <w:sz w:val="16"/>
              </w:rPr>
            </w:pPr>
            <w:r>
              <w:rPr>
                <w:rFonts w:ascii="Courier New"/>
                <w:b/>
                <w:sz w:val="16"/>
              </w:rPr>
              <w:t>0.392417</w:t>
            </w:r>
            <w:r>
              <w:rPr>
                <w:rFonts w:ascii="Courier New"/>
                <w:b/>
                <w:spacing w:val="82"/>
                <w:sz w:val="16"/>
              </w:rPr>
              <w:t> </w:t>
            </w:r>
            <w:r>
              <w:rPr>
                <w:rFonts w:ascii="Courier New"/>
                <w:b/>
                <w:sz w:val="16"/>
              </w:rPr>
              <w:t>52.52%</w:t>
            </w:r>
          </w:p>
        </w:tc>
        <w:tc>
          <w:tcPr>
            <w:tcW w:w="1151" w:type="dxa"/>
          </w:tcPr>
          <w:p>
            <w:pPr>
              <w:pStyle w:val="TableParagraph"/>
              <w:spacing w:line="161" w:lineRule="exact" w:before="0"/>
              <w:ind w:right="188"/>
              <w:rPr>
                <w:rFonts w:ascii="Courier New"/>
                <w:b/>
                <w:sz w:val="16"/>
              </w:rPr>
            </w:pPr>
            <w:r>
              <w:rPr>
                <w:rFonts w:ascii="Courier New"/>
                <w:b/>
                <w:sz w:val="16"/>
              </w:rPr>
              <w:t>51.06%</w:t>
            </w:r>
          </w:p>
        </w:tc>
        <w:tc>
          <w:tcPr>
            <w:tcW w:w="3987" w:type="dxa"/>
            <w:gridSpan w:val="5"/>
          </w:tcPr>
          <w:p>
            <w:pPr>
              <w:pStyle w:val="TableParagraph"/>
              <w:spacing w:line="161" w:lineRule="exact" w:before="0"/>
              <w:ind w:left="385"/>
              <w:jc w:val="left"/>
              <w:rPr>
                <w:rFonts w:ascii="Courier New"/>
                <w:b/>
                <w:sz w:val="16"/>
              </w:rPr>
            </w:pPr>
            <w:r>
              <w:rPr>
                <w:rFonts w:ascii="Courier New"/>
                <w:b/>
                <w:sz w:val="16"/>
              </w:rPr>
              <w:t>48.89%</w:t>
            </w:r>
          </w:p>
        </w:tc>
      </w:tr>
    </w:tbl>
    <w:p>
      <w:pPr>
        <w:pStyle w:val="BodyText"/>
        <w:rPr>
          <w:b/>
          <w:sz w:val="20"/>
        </w:rPr>
      </w:pPr>
    </w:p>
    <w:p>
      <w:pPr>
        <w:pStyle w:val="BodyText"/>
        <w:spacing w:before="6"/>
        <w:rPr>
          <w:b/>
          <w:sz w:val="11"/>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38"/>
        <w:gridCol w:w="864"/>
        <w:gridCol w:w="864"/>
        <w:gridCol w:w="865"/>
        <w:gridCol w:w="863"/>
        <w:gridCol w:w="531"/>
      </w:tblGrid>
      <w:tr>
        <w:trPr>
          <w:trHeight w:val="272" w:hRule="atLeast"/>
        </w:trPr>
        <w:tc>
          <w:tcPr>
            <w:tcW w:w="2738" w:type="dxa"/>
          </w:tcPr>
          <w:p>
            <w:pPr>
              <w:pStyle w:val="TableParagraph"/>
              <w:spacing w:line="240" w:lineRule="auto" w:before="0"/>
              <w:ind w:left="50"/>
              <w:jc w:val="left"/>
              <w:rPr>
                <w:rFonts w:ascii="Courier New"/>
                <w:b/>
                <w:sz w:val="16"/>
              </w:rPr>
            </w:pPr>
            <w:r>
              <w:rPr>
                <w:rFonts w:ascii="Courier New"/>
                <w:b/>
                <w:sz w:val="16"/>
              </w:rPr>
              <w:t>Coefficients</w:t>
            </w:r>
          </w:p>
        </w:tc>
        <w:tc>
          <w:tcPr>
            <w:tcW w:w="3987" w:type="dxa"/>
            <w:gridSpan w:val="5"/>
          </w:tcPr>
          <w:p>
            <w:pPr>
              <w:pStyle w:val="TableParagraph"/>
              <w:spacing w:line="240" w:lineRule="auto" w:before="0"/>
              <w:jc w:val="left"/>
              <w:rPr>
                <w:rFonts w:ascii="Times New Roman"/>
                <w:sz w:val="16"/>
              </w:rPr>
            </w:pPr>
          </w:p>
        </w:tc>
      </w:tr>
      <w:tr>
        <w:trPr>
          <w:trHeight w:val="272" w:hRule="atLeast"/>
        </w:trPr>
        <w:tc>
          <w:tcPr>
            <w:tcW w:w="2738" w:type="dxa"/>
          </w:tcPr>
          <w:p>
            <w:pPr>
              <w:pStyle w:val="TableParagraph"/>
              <w:spacing w:line="161" w:lineRule="exact"/>
              <w:ind w:left="50"/>
              <w:jc w:val="left"/>
              <w:rPr>
                <w:rFonts w:ascii="Courier New"/>
                <w:b/>
                <w:sz w:val="16"/>
              </w:rPr>
            </w:pPr>
            <w:r>
              <w:rPr>
                <w:rFonts w:ascii="Courier New"/>
                <w:b/>
                <w:sz w:val="16"/>
              </w:rPr>
              <w:t>Term</w:t>
            </w:r>
          </w:p>
        </w:tc>
        <w:tc>
          <w:tcPr>
            <w:tcW w:w="864" w:type="dxa"/>
          </w:tcPr>
          <w:p>
            <w:pPr>
              <w:pStyle w:val="TableParagraph"/>
              <w:spacing w:line="161" w:lineRule="exact"/>
              <w:ind w:right="94"/>
              <w:rPr>
                <w:rFonts w:ascii="Courier New"/>
                <w:b/>
                <w:sz w:val="16"/>
              </w:rPr>
            </w:pPr>
            <w:r>
              <w:rPr>
                <w:rFonts w:ascii="Courier New"/>
                <w:b/>
                <w:sz w:val="16"/>
              </w:rPr>
              <w:t>Coef</w:t>
            </w:r>
          </w:p>
        </w:tc>
        <w:tc>
          <w:tcPr>
            <w:tcW w:w="864" w:type="dxa"/>
          </w:tcPr>
          <w:p>
            <w:pPr>
              <w:pStyle w:val="TableParagraph"/>
              <w:spacing w:line="161" w:lineRule="exact"/>
              <w:ind w:right="94"/>
              <w:rPr>
                <w:rFonts w:ascii="Courier New"/>
                <w:b/>
                <w:sz w:val="16"/>
              </w:rPr>
            </w:pPr>
            <w:r>
              <w:rPr>
                <w:rFonts w:ascii="Courier New"/>
                <w:b/>
                <w:sz w:val="16"/>
              </w:rPr>
              <w:t>SE Coef</w:t>
            </w:r>
          </w:p>
        </w:tc>
        <w:tc>
          <w:tcPr>
            <w:tcW w:w="865" w:type="dxa"/>
          </w:tcPr>
          <w:p>
            <w:pPr>
              <w:pStyle w:val="TableParagraph"/>
              <w:spacing w:line="161" w:lineRule="exact"/>
              <w:ind w:right="93"/>
              <w:rPr>
                <w:rFonts w:ascii="Courier New"/>
                <w:b/>
                <w:sz w:val="16"/>
              </w:rPr>
            </w:pPr>
            <w:r>
              <w:rPr>
                <w:rFonts w:ascii="Courier New"/>
                <w:b/>
                <w:sz w:val="16"/>
              </w:rPr>
              <w:t>T-Value</w:t>
            </w:r>
          </w:p>
        </w:tc>
        <w:tc>
          <w:tcPr>
            <w:tcW w:w="863" w:type="dxa"/>
          </w:tcPr>
          <w:p>
            <w:pPr>
              <w:pStyle w:val="TableParagraph"/>
              <w:spacing w:line="161" w:lineRule="exact"/>
              <w:ind w:right="92"/>
              <w:rPr>
                <w:rFonts w:ascii="Courier New"/>
                <w:b/>
                <w:sz w:val="16"/>
              </w:rPr>
            </w:pPr>
            <w:r>
              <w:rPr>
                <w:rFonts w:ascii="Courier New"/>
                <w:b/>
                <w:sz w:val="16"/>
              </w:rPr>
              <w:t>P-Value</w:t>
            </w:r>
          </w:p>
        </w:tc>
        <w:tc>
          <w:tcPr>
            <w:tcW w:w="531" w:type="dxa"/>
          </w:tcPr>
          <w:p>
            <w:pPr>
              <w:pStyle w:val="TableParagraph"/>
              <w:spacing w:line="161" w:lineRule="exact"/>
              <w:ind w:right="47"/>
              <w:rPr>
                <w:rFonts w:ascii="Courier New"/>
                <w:b/>
                <w:sz w:val="16"/>
              </w:rPr>
            </w:pPr>
            <w:r>
              <w:rPr>
                <w:rFonts w:ascii="Courier New"/>
                <w:b/>
                <w:sz w:val="16"/>
              </w:rPr>
              <w:t>VIF</w:t>
            </w:r>
          </w:p>
        </w:tc>
      </w:tr>
      <w:tr>
        <w:trPr>
          <w:trHeight w:val="180" w:hRule="atLeast"/>
        </w:trPr>
        <w:tc>
          <w:tcPr>
            <w:tcW w:w="2738" w:type="dxa"/>
          </w:tcPr>
          <w:p>
            <w:pPr>
              <w:pStyle w:val="TableParagraph"/>
              <w:spacing w:line="160" w:lineRule="exact" w:before="0"/>
              <w:ind w:left="50"/>
              <w:jc w:val="left"/>
              <w:rPr>
                <w:rFonts w:ascii="Courier New"/>
                <w:b/>
                <w:sz w:val="16"/>
              </w:rPr>
            </w:pPr>
            <w:r>
              <w:rPr>
                <w:rFonts w:ascii="Courier New"/>
                <w:b/>
                <w:sz w:val="16"/>
              </w:rPr>
              <w:t>Constant</w:t>
            </w:r>
          </w:p>
        </w:tc>
        <w:tc>
          <w:tcPr>
            <w:tcW w:w="864" w:type="dxa"/>
          </w:tcPr>
          <w:p>
            <w:pPr>
              <w:pStyle w:val="TableParagraph"/>
              <w:spacing w:line="160" w:lineRule="exact" w:before="0"/>
              <w:ind w:right="94"/>
              <w:rPr>
                <w:rFonts w:ascii="Courier New"/>
                <w:b/>
                <w:sz w:val="16"/>
              </w:rPr>
            </w:pPr>
            <w:r>
              <w:rPr>
                <w:rFonts w:ascii="Courier New"/>
                <w:b/>
                <w:sz w:val="16"/>
              </w:rPr>
              <w:t>96.2</w:t>
            </w:r>
          </w:p>
        </w:tc>
        <w:tc>
          <w:tcPr>
            <w:tcW w:w="864" w:type="dxa"/>
          </w:tcPr>
          <w:p>
            <w:pPr>
              <w:pStyle w:val="TableParagraph"/>
              <w:spacing w:line="160" w:lineRule="exact" w:before="0"/>
              <w:ind w:right="94"/>
              <w:rPr>
                <w:rFonts w:ascii="Courier New"/>
                <w:b/>
                <w:sz w:val="16"/>
              </w:rPr>
            </w:pPr>
            <w:r>
              <w:rPr>
                <w:rFonts w:ascii="Courier New"/>
                <w:b/>
                <w:sz w:val="16"/>
              </w:rPr>
              <w:t>62.3</w:t>
            </w:r>
          </w:p>
        </w:tc>
        <w:tc>
          <w:tcPr>
            <w:tcW w:w="865" w:type="dxa"/>
          </w:tcPr>
          <w:p>
            <w:pPr>
              <w:pStyle w:val="TableParagraph"/>
              <w:spacing w:line="160" w:lineRule="exact" w:before="0"/>
              <w:ind w:right="95"/>
              <w:rPr>
                <w:rFonts w:ascii="Courier New"/>
                <w:b/>
                <w:sz w:val="16"/>
              </w:rPr>
            </w:pPr>
            <w:r>
              <w:rPr>
                <w:rFonts w:ascii="Courier New"/>
                <w:b/>
                <w:sz w:val="16"/>
              </w:rPr>
              <w:t>1.54</w:t>
            </w:r>
          </w:p>
        </w:tc>
        <w:tc>
          <w:tcPr>
            <w:tcW w:w="863" w:type="dxa"/>
          </w:tcPr>
          <w:p>
            <w:pPr>
              <w:pStyle w:val="TableParagraph"/>
              <w:spacing w:line="160" w:lineRule="exact" w:before="0"/>
              <w:ind w:right="94"/>
              <w:rPr>
                <w:rFonts w:ascii="Courier New"/>
                <w:b/>
                <w:sz w:val="16"/>
              </w:rPr>
            </w:pPr>
            <w:r>
              <w:rPr>
                <w:rFonts w:ascii="Courier New"/>
                <w:b/>
                <w:sz w:val="16"/>
              </w:rPr>
              <w:t>0.124</w:t>
            </w:r>
          </w:p>
        </w:tc>
        <w:tc>
          <w:tcPr>
            <w:tcW w:w="531" w:type="dxa"/>
          </w:tcPr>
          <w:p>
            <w:pPr>
              <w:pStyle w:val="TableParagraph"/>
              <w:spacing w:line="240" w:lineRule="auto" w:before="0"/>
              <w:jc w:val="left"/>
              <w:rPr>
                <w:rFonts w:ascii="Times New Roman"/>
                <w:sz w:val="12"/>
              </w:rPr>
            </w:pPr>
          </w:p>
        </w:tc>
      </w:tr>
      <w:tr>
        <w:trPr>
          <w:trHeight w:val="181" w:hRule="atLeast"/>
        </w:trPr>
        <w:tc>
          <w:tcPr>
            <w:tcW w:w="2738" w:type="dxa"/>
          </w:tcPr>
          <w:p>
            <w:pPr>
              <w:pStyle w:val="TableParagraph"/>
              <w:spacing w:line="162" w:lineRule="exact" w:before="0"/>
              <w:ind w:left="50"/>
              <w:jc w:val="left"/>
              <w:rPr>
                <w:rFonts w:ascii="Courier New"/>
                <w:b/>
                <w:sz w:val="16"/>
              </w:rPr>
            </w:pPr>
            <w:r>
              <w:rPr>
                <w:rFonts w:ascii="Courier New"/>
                <w:b/>
                <w:sz w:val="16"/>
              </w:rPr>
              <w:t>Ln Area de Construccion</w:t>
            </w:r>
          </w:p>
        </w:tc>
        <w:tc>
          <w:tcPr>
            <w:tcW w:w="864" w:type="dxa"/>
          </w:tcPr>
          <w:p>
            <w:pPr>
              <w:pStyle w:val="TableParagraph"/>
              <w:spacing w:line="162" w:lineRule="exact" w:before="0"/>
              <w:ind w:right="94"/>
              <w:rPr>
                <w:rFonts w:ascii="Courier New"/>
                <w:b/>
                <w:sz w:val="16"/>
              </w:rPr>
            </w:pPr>
            <w:r>
              <w:rPr>
                <w:rFonts w:ascii="Courier New"/>
                <w:b/>
                <w:sz w:val="16"/>
              </w:rPr>
              <w:t>0.0428</w:t>
            </w:r>
          </w:p>
        </w:tc>
        <w:tc>
          <w:tcPr>
            <w:tcW w:w="864" w:type="dxa"/>
          </w:tcPr>
          <w:p>
            <w:pPr>
              <w:pStyle w:val="TableParagraph"/>
              <w:spacing w:line="162" w:lineRule="exact" w:before="0"/>
              <w:ind w:right="94"/>
              <w:rPr>
                <w:rFonts w:ascii="Courier New"/>
                <w:b/>
                <w:sz w:val="16"/>
              </w:rPr>
            </w:pPr>
            <w:r>
              <w:rPr>
                <w:rFonts w:ascii="Courier New"/>
                <w:b/>
                <w:sz w:val="16"/>
              </w:rPr>
              <w:t>0.0442</w:t>
            </w:r>
          </w:p>
        </w:tc>
        <w:tc>
          <w:tcPr>
            <w:tcW w:w="865" w:type="dxa"/>
          </w:tcPr>
          <w:p>
            <w:pPr>
              <w:pStyle w:val="TableParagraph"/>
              <w:spacing w:line="162" w:lineRule="exact" w:before="0"/>
              <w:ind w:right="95"/>
              <w:rPr>
                <w:rFonts w:ascii="Courier New"/>
                <w:b/>
                <w:sz w:val="16"/>
              </w:rPr>
            </w:pPr>
            <w:r>
              <w:rPr>
                <w:rFonts w:ascii="Courier New"/>
                <w:b/>
                <w:sz w:val="16"/>
              </w:rPr>
              <w:t>0.97</w:t>
            </w:r>
          </w:p>
        </w:tc>
        <w:tc>
          <w:tcPr>
            <w:tcW w:w="863" w:type="dxa"/>
          </w:tcPr>
          <w:p>
            <w:pPr>
              <w:pStyle w:val="TableParagraph"/>
              <w:spacing w:line="162" w:lineRule="exact" w:before="0"/>
              <w:ind w:right="94"/>
              <w:rPr>
                <w:rFonts w:ascii="Courier New"/>
                <w:b/>
                <w:sz w:val="16"/>
              </w:rPr>
            </w:pPr>
            <w:r>
              <w:rPr>
                <w:rFonts w:ascii="Courier New"/>
                <w:b/>
                <w:sz w:val="16"/>
              </w:rPr>
              <w:t>0.333</w:t>
            </w:r>
          </w:p>
        </w:tc>
        <w:tc>
          <w:tcPr>
            <w:tcW w:w="531" w:type="dxa"/>
          </w:tcPr>
          <w:p>
            <w:pPr>
              <w:pStyle w:val="TableParagraph"/>
              <w:spacing w:line="162" w:lineRule="exact" w:before="0"/>
              <w:ind w:right="49"/>
              <w:rPr>
                <w:rFonts w:ascii="Courier New"/>
                <w:b/>
                <w:sz w:val="16"/>
              </w:rPr>
            </w:pPr>
            <w:r>
              <w:rPr>
                <w:rFonts w:ascii="Courier New"/>
                <w:b/>
                <w:sz w:val="16"/>
              </w:rPr>
              <w:t>1.08</w:t>
            </w:r>
          </w:p>
        </w:tc>
      </w:tr>
      <w:tr>
        <w:trPr>
          <w:trHeight w:val="182" w:hRule="atLeast"/>
        </w:trPr>
        <w:tc>
          <w:tcPr>
            <w:tcW w:w="2738" w:type="dxa"/>
          </w:tcPr>
          <w:p>
            <w:pPr>
              <w:pStyle w:val="TableParagraph"/>
              <w:spacing w:line="161" w:lineRule="exact" w:before="1"/>
              <w:ind w:left="50"/>
              <w:jc w:val="left"/>
              <w:rPr>
                <w:rFonts w:ascii="Courier New" w:hAnsi="Courier New"/>
                <w:b/>
                <w:sz w:val="16"/>
              </w:rPr>
            </w:pPr>
            <w:r>
              <w:rPr>
                <w:rFonts w:ascii="Courier New" w:hAnsi="Courier New"/>
                <w:b/>
                <w:sz w:val="16"/>
              </w:rPr>
              <w:t>Ln Año Construccion</w:t>
            </w:r>
          </w:p>
        </w:tc>
        <w:tc>
          <w:tcPr>
            <w:tcW w:w="864" w:type="dxa"/>
          </w:tcPr>
          <w:p>
            <w:pPr>
              <w:pStyle w:val="TableParagraph"/>
              <w:spacing w:line="161" w:lineRule="exact" w:before="1"/>
              <w:ind w:right="92"/>
              <w:rPr>
                <w:rFonts w:ascii="Courier New"/>
                <w:b/>
                <w:sz w:val="16"/>
              </w:rPr>
            </w:pPr>
            <w:r>
              <w:rPr>
                <w:rFonts w:ascii="Courier New"/>
                <w:b/>
                <w:sz w:val="16"/>
              </w:rPr>
              <w:t>-11.15</w:t>
            </w:r>
          </w:p>
        </w:tc>
        <w:tc>
          <w:tcPr>
            <w:tcW w:w="864" w:type="dxa"/>
          </w:tcPr>
          <w:p>
            <w:pPr>
              <w:pStyle w:val="TableParagraph"/>
              <w:spacing w:line="161" w:lineRule="exact" w:before="1"/>
              <w:ind w:right="93"/>
              <w:rPr>
                <w:rFonts w:ascii="Courier New"/>
                <w:b/>
                <w:sz w:val="16"/>
              </w:rPr>
            </w:pPr>
            <w:r>
              <w:rPr>
                <w:rFonts w:ascii="Courier New"/>
                <w:b/>
                <w:sz w:val="16"/>
              </w:rPr>
              <w:t>8.19</w:t>
            </w:r>
          </w:p>
        </w:tc>
        <w:tc>
          <w:tcPr>
            <w:tcW w:w="865" w:type="dxa"/>
          </w:tcPr>
          <w:p>
            <w:pPr>
              <w:pStyle w:val="TableParagraph"/>
              <w:spacing w:line="161" w:lineRule="exact" w:before="1"/>
              <w:ind w:right="93"/>
              <w:rPr>
                <w:rFonts w:ascii="Courier New"/>
                <w:b/>
                <w:sz w:val="16"/>
              </w:rPr>
            </w:pPr>
            <w:r>
              <w:rPr>
                <w:rFonts w:ascii="Courier New"/>
                <w:b/>
                <w:sz w:val="16"/>
              </w:rPr>
              <w:t>-1.36</w:t>
            </w:r>
          </w:p>
        </w:tc>
        <w:tc>
          <w:tcPr>
            <w:tcW w:w="863" w:type="dxa"/>
          </w:tcPr>
          <w:p>
            <w:pPr>
              <w:pStyle w:val="TableParagraph"/>
              <w:spacing w:line="161" w:lineRule="exact" w:before="1"/>
              <w:ind w:right="92"/>
              <w:rPr>
                <w:rFonts w:ascii="Courier New"/>
                <w:b/>
                <w:sz w:val="16"/>
              </w:rPr>
            </w:pPr>
            <w:r>
              <w:rPr>
                <w:rFonts w:ascii="Courier New"/>
                <w:b/>
                <w:sz w:val="16"/>
              </w:rPr>
              <w:t>0.175</w:t>
            </w:r>
          </w:p>
        </w:tc>
        <w:tc>
          <w:tcPr>
            <w:tcW w:w="531" w:type="dxa"/>
          </w:tcPr>
          <w:p>
            <w:pPr>
              <w:pStyle w:val="TableParagraph"/>
              <w:spacing w:line="161" w:lineRule="exact" w:before="1"/>
              <w:ind w:right="47"/>
              <w:rPr>
                <w:rFonts w:ascii="Courier New"/>
                <w:b/>
                <w:sz w:val="16"/>
              </w:rPr>
            </w:pPr>
            <w:r>
              <w:rPr>
                <w:rFonts w:ascii="Courier New"/>
                <w:b/>
                <w:sz w:val="16"/>
              </w:rPr>
              <w:t>1.18</w:t>
            </w:r>
          </w:p>
        </w:tc>
      </w:tr>
      <w:tr>
        <w:trPr>
          <w:trHeight w:val="180" w:hRule="atLeast"/>
        </w:trPr>
        <w:tc>
          <w:tcPr>
            <w:tcW w:w="2738" w:type="dxa"/>
          </w:tcPr>
          <w:p>
            <w:pPr>
              <w:pStyle w:val="TableParagraph"/>
              <w:spacing w:line="160" w:lineRule="exact" w:before="0"/>
              <w:ind w:left="50"/>
              <w:jc w:val="left"/>
              <w:rPr>
                <w:rFonts w:ascii="Courier New" w:hAnsi="Courier New"/>
                <w:b/>
                <w:sz w:val="16"/>
              </w:rPr>
            </w:pPr>
            <w:r>
              <w:rPr>
                <w:rFonts w:ascii="Courier New" w:hAnsi="Courier New"/>
                <w:b/>
                <w:sz w:val="16"/>
              </w:rPr>
              <w:t>Ln Número de Baños</w:t>
            </w:r>
          </w:p>
        </w:tc>
        <w:tc>
          <w:tcPr>
            <w:tcW w:w="864" w:type="dxa"/>
          </w:tcPr>
          <w:p>
            <w:pPr>
              <w:pStyle w:val="TableParagraph"/>
              <w:spacing w:line="160" w:lineRule="exact" w:before="0"/>
              <w:ind w:right="94"/>
              <w:rPr>
                <w:rFonts w:ascii="Courier New"/>
                <w:b/>
                <w:sz w:val="16"/>
              </w:rPr>
            </w:pPr>
            <w:r>
              <w:rPr>
                <w:rFonts w:ascii="Courier New"/>
                <w:b/>
                <w:sz w:val="16"/>
              </w:rPr>
              <w:t>1.0362</w:t>
            </w:r>
          </w:p>
        </w:tc>
        <w:tc>
          <w:tcPr>
            <w:tcW w:w="864" w:type="dxa"/>
          </w:tcPr>
          <w:p>
            <w:pPr>
              <w:pStyle w:val="TableParagraph"/>
              <w:spacing w:line="160" w:lineRule="exact" w:before="0"/>
              <w:ind w:right="94"/>
              <w:rPr>
                <w:rFonts w:ascii="Courier New"/>
                <w:b/>
                <w:sz w:val="16"/>
              </w:rPr>
            </w:pPr>
            <w:r>
              <w:rPr>
                <w:rFonts w:ascii="Courier New"/>
                <w:b/>
                <w:sz w:val="16"/>
              </w:rPr>
              <w:t>0.0784</w:t>
            </w:r>
          </w:p>
        </w:tc>
        <w:tc>
          <w:tcPr>
            <w:tcW w:w="865" w:type="dxa"/>
          </w:tcPr>
          <w:p>
            <w:pPr>
              <w:pStyle w:val="TableParagraph"/>
              <w:spacing w:line="160" w:lineRule="exact" w:before="0"/>
              <w:ind w:right="95"/>
              <w:rPr>
                <w:rFonts w:ascii="Courier New"/>
                <w:b/>
                <w:sz w:val="16"/>
              </w:rPr>
            </w:pPr>
            <w:r>
              <w:rPr>
                <w:rFonts w:ascii="Courier New"/>
                <w:b/>
                <w:sz w:val="16"/>
              </w:rPr>
              <w:t>13.22</w:t>
            </w:r>
          </w:p>
        </w:tc>
        <w:tc>
          <w:tcPr>
            <w:tcW w:w="863" w:type="dxa"/>
          </w:tcPr>
          <w:p>
            <w:pPr>
              <w:pStyle w:val="TableParagraph"/>
              <w:spacing w:line="160" w:lineRule="exact" w:before="0"/>
              <w:ind w:right="94"/>
              <w:rPr>
                <w:rFonts w:ascii="Courier New"/>
                <w:b/>
                <w:sz w:val="16"/>
              </w:rPr>
            </w:pPr>
            <w:r>
              <w:rPr>
                <w:rFonts w:ascii="Courier New"/>
                <w:b/>
                <w:sz w:val="16"/>
              </w:rPr>
              <w:t>0.000</w:t>
            </w:r>
          </w:p>
        </w:tc>
        <w:tc>
          <w:tcPr>
            <w:tcW w:w="531" w:type="dxa"/>
          </w:tcPr>
          <w:p>
            <w:pPr>
              <w:pStyle w:val="TableParagraph"/>
              <w:spacing w:line="160" w:lineRule="exact" w:before="0"/>
              <w:ind w:right="49"/>
              <w:rPr>
                <w:rFonts w:ascii="Courier New"/>
                <w:b/>
                <w:sz w:val="16"/>
              </w:rPr>
            </w:pPr>
            <w:r>
              <w:rPr>
                <w:rFonts w:ascii="Courier New"/>
                <w:b/>
                <w:sz w:val="16"/>
              </w:rPr>
              <w:t>1.29</w:t>
            </w:r>
          </w:p>
        </w:tc>
      </w:tr>
      <w:tr>
        <w:trPr>
          <w:trHeight w:val="182" w:hRule="atLeast"/>
        </w:trPr>
        <w:tc>
          <w:tcPr>
            <w:tcW w:w="2738" w:type="dxa"/>
          </w:tcPr>
          <w:p>
            <w:pPr>
              <w:pStyle w:val="TableParagraph"/>
              <w:spacing w:line="162" w:lineRule="exact" w:before="0"/>
              <w:ind w:left="50"/>
              <w:jc w:val="left"/>
              <w:rPr>
                <w:rFonts w:ascii="Courier New" w:hAnsi="Courier New"/>
                <w:b/>
                <w:sz w:val="16"/>
              </w:rPr>
            </w:pPr>
            <w:r>
              <w:rPr>
                <w:rFonts w:ascii="Courier New" w:hAnsi="Courier New"/>
                <w:b/>
                <w:sz w:val="16"/>
              </w:rPr>
              <w:t>Ln Número de Plantas</w:t>
            </w:r>
          </w:p>
        </w:tc>
        <w:tc>
          <w:tcPr>
            <w:tcW w:w="864" w:type="dxa"/>
          </w:tcPr>
          <w:p>
            <w:pPr>
              <w:pStyle w:val="TableParagraph"/>
              <w:spacing w:line="162" w:lineRule="exact" w:before="0"/>
              <w:ind w:right="94"/>
              <w:rPr>
                <w:rFonts w:ascii="Courier New"/>
                <w:b/>
                <w:sz w:val="16"/>
              </w:rPr>
            </w:pPr>
            <w:r>
              <w:rPr>
                <w:rFonts w:ascii="Courier New"/>
                <w:b/>
                <w:sz w:val="16"/>
              </w:rPr>
              <w:t>-0.1232</w:t>
            </w:r>
          </w:p>
        </w:tc>
        <w:tc>
          <w:tcPr>
            <w:tcW w:w="864" w:type="dxa"/>
          </w:tcPr>
          <w:p>
            <w:pPr>
              <w:pStyle w:val="TableParagraph"/>
              <w:spacing w:line="162" w:lineRule="exact" w:before="0"/>
              <w:ind w:right="93"/>
              <w:rPr>
                <w:rFonts w:ascii="Courier New"/>
                <w:b/>
                <w:sz w:val="16"/>
              </w:rPr>
            </w:pPr>
            <w:r>
              <w:rPr>
                <w:rFonts w:ascii="Courier New"/>
                <w:b/>
                <w:sz w:val="16"/>
              </w:rPr>
              <w:t>0.0844</w:t>
            </w:r>
          </w:p>
        </w:tc>
        <w:tc>
          <w:tcPr>
            <w:tcW w:w="865" w:type="dxa"/>
          </w:tcPr>
          <w:p>
            <w:pPr>
              <w:pStyle w:val="TableParagraph"/>
              <w:spacing w:line="162" w:lineRule="exact" w:before="0"/>
              <w:ind w:right="93"/>
              <w:rPr>
                <w:rFonts w:ascii="Courier New"/>
                <w:b/>
                <w:sz w:val="16"/>
              </w:rPr>
            </w:pPr>
            <w:r>
              <w:rPr>
                <w:rFonts w:ascii="Courier New"/>
                <w:b/>
                <w:sz w:val="16"/>
              </w:rPr>
              <w:t>-1.46</w:t>
            </w:r>
          </w:p>
        </w:tc>
        <w:tc>
          <w:tcPr>
            <w:tcW w:w="863" w:type="dxa"/>
          </w:tcPr>
          <w:p>
            <w:pPr>
              <w:pStyle w:val="TableParagraph"/>
              <w:spacing w:line="162" w:lineRule="exact" w:before="0"/>
              <w:ind w:right="92"/>
              <w:rPr>
                <w:rFonts w:ascii="Courier New"/>
                <w:b/>
                <w:sz w:val="16"/>
              </w:rPr>
            </w:pPr>
            <w:r>
              <w:rPr>
                <w:rFonts w:ascii="Courier New"/>
                <w:b/>
                <w:sz w:val="16"/>
              </w:rPr>
              <w:t>0.146</w:t>
            </w:r>
          </w:p>
        </w:tc>
        <w:tc>
          <w:tcPr>
            <w:tcW w:w="531" w:type="dxa"/>
          </w:tcPr>
          <w:p>
            <w:pPr>
              <w:pStyle w:val="TableParagraph"/>
              <w:spacing w:line="162" w:lineRule="exact" w:before="0"/>
              <w:ind w:right="47"/>
              <w:rPr>
                <w:rFonts w:ascii="Courier New"/>
                <w:b/>
                <w:sz w:val="16"/>
              </w:rPr>
            </w:pPr>
            <w:r>
              <w:rPr>
                <w:rFonts w:ascii="Courier New"/>
                <w:b/>
                <w:sz w:val="16"/>
              </w:rPr>
              <w:t>1.21</w:t>
            </w:r>
          </w:p>
        </w:tc>
      </w:tr>
      <w:tr>
        <w:trPr>
          <w:trHeight w:val="181" w:hRule="atLeast"/>
        </w:trPr>
        <w:tc>
          <w:tcPr>
            <w:tcW w:w="2738" w:type="dxa"/>
          </w:tcPr>
          <w:p>
            <w:pPr>
              <w:pStyle w:val="TableParagraph"/>
              <w:spacing w:line="161" w:lineRule="exact" w:before="1"/>
              <w:ind w:left="50"/>
              <w:jc w:val="left"/>
              <w:rPr>
                <w:rFonts w:ascii="Courier New"/>
                <w:b/>
                <w:sz w:val="16"/>
              </w:rPr>
            </w:pPr>
            <w:r>
              <w:rPr>
                <w:rFonts w:ascii="Courier New"/>
                <w:b/>
                <w:sz w:val="16"/>
              </w:rPr>
              <w:t>Ln Distancia SJ</w:t>
            </w:r>
          </w:p>
        </w:tc>
        <w:tc>
          <w:tcPr>
            <w:tcW w:w="864" w:type="dxa"/>
          </w:tcPr>
          <w:p>
            <w:pPr>
              <w:pStyle w:val="TableParagraph"/>
              <w:spacing w:line="161" w:lineRule="exact" w:before="1"/>
              <w:ind w:right="92"/>
              <w:rPr>
                <w:rFonts w:ascii="Courier New"/>
                <w:b/>
                <w:sz w:val="16"/>
              </w:rPr>
            </w:pPr>
            <w:r>
              <w:rPr>
                <w:rFonts w:ascii="Courier New"/>
                <w:b/>
                <w:sz w:val="16"/>
              </w:rPr>
              <w:t>-0.245</w:t>
            </w:r>
          </w:p>
        </w:tc>
        <w:tc>
          <w:tcPr>
            <w:tcW w:w="864" w:type="dxa"/>
          </w:tcPr>
          <w:p>
            <w:pPr>
              <w:pStyle w:val="TableParagraph"/>
              <w:spacing w:line="161" w:lineRule="exact" w:before="1"/>
              <w:ind w:right="93"/>
              <w:rPr>
                <w:rFonts w:ascii="Courier New"/>
                <w:b/>
                <w:sz w:val="16"/>
              </w:rPr>
            </w:pPr>
            <w:r>
              <w:rPr>
                <w:rFonts w:ascii="Courier New"/>
                <w:b/>
                <w:sz w:val="16"/>
              </w:rPr>
              <w:t>0.105</w:t>
            </w:r>
          </w:p>
        </w:tc>
        <w:tc>
          <w:tcPr>
            <w:tcW w:w="865" w:type="dxa"/>
          </w:tcPr>
          <w:p>
            <w:pPr>
              <w:pStyle w:val="TableParagraph"/>
              <w:spacing w:line="161" w:lineRule="exact" w:before="1"/>
              <w:ind w:right="93"/>
              <w:rPr>
                <w:rFonts w:ascii="Courier New"/>
                <w:b/>
                <w:sz w:val="16"/>
              </w:rPr>
            </w:pPr>
            <w:r>
              <w:rPr>
                <w:rFonts w:ascii="Courier New"/>
                <w:b/>
                <w:sz w:val="16"/>
              </w:rPr>
              <w:t>-2.34</w:t>
            </w:r>
          </w:p>
        </w:tc>
        <w:tc>
          <w:tcPr>
            <w:tcW w:w="863" w:type="dxa"/>
          </w:tcPr>
          <w:p>
            <w:pPr>
              <w:pStyle w:val="TableParagraph"/>
              <w:spacing w:line="161" w:lineRule="exact" w:before="1"/>
              <w:ind w:right="92"/>
              <w:rPr>
                <w:rFonts w:ascii="Courier New"/>
                <w:b/>
                <w:sz w:val="16"/>
              </w:rPr>
            </w:pPr>
            <w:r>
              <w:rPr>
                <w:rFonts w:ascii="Courier New"/>
                <w:b/>
                <w:sz w:val="16"/>
              </w:rPr>
              <w:t>0.020</w:t>
            </w:r>
          </w:p>
        </w:tc>
        <w:tc>
          <w:tcPr>
            <w:tcW w:w="531" w:type="dxa"/>
          </w:tcPr>
          <w:p>
            <w:pPr>
              <w:pStyle w:val="TableParagraph"/>
              <w:spacing w:line="161" w:lineRule="exact" w:before="1"/>
              <w:ind w:right="47"/>
              <w:rPr>
                <w:rFonts w:ascii="Courier New"/>
                <w:b/>
                <w:sz w:val="16"/>
              </w:rPr>
            </w:pPr>
            <w:r>
              <w:rPr>
                <w:rFonts w:ascii="Courier New"/>
                <w:b/>
                <w:sz w:val="16"/>
              </w:rPr>
              <w:t>1.20</w:t>
            </w:r>
          </w:p>
        </w:tc>
      </w:tr>
      <w:tr>
        <w:trPr>
          <w:trHeight w:val="180" w:hRule="atLeast"/>
        </w:trPr>
        <w:tc>
          <w:tcPr>
            <w:tcW w:w="2738" w:type="dxa"/>
          </w:tcPr>
          <w:p>
            <w:pPr>
              <w:pStyle w:val="TableParagraph"/>
              <w:spacing w:line="160" w:lineRule="exact" w:before="0"/>
              <w:ind w:left="50"/>
              <w:jc w:val="left"/>
              <w:rPr>
                <w:rFonts w:ascii="Courier New"/>
                <w:b/>
                <w:sz w:val="16"/>
              </w:rPr>
            </w:pPr>
            <w:r>
              <w:rPr>
                <w:rFonts w:ascii="Courier New"/>
                <w:b/>
                <w:sz w:val="16"/>
              </w:rPr>
              <w:t>Ln Distancia Pobreza</w:t>
            </w:r>
          </w:p>
        </w:tc>
        <w:tc>
          <w:tcPr>
            <w:tcW w:w="864" w:type="dxa"/>
          </w:tcPr>
          <w:p>
            <w:pPr>
              <w:pStyle w:val="TableParagraph"/>
              <w:spacing w:line="160" w:lineRule="exact" w:before="0"/>
              <w:ind w:right="94"/>
              <w:rPr>
                <w:rFonts w:ascii="Courier New"/>
                <w:b/>
                <w:sz w:val="16"/>
              </w:rPr>
            </w:pPr>
            <w:r>
              <w:rPr>
                <w:rFonts w:ascii="Courier New"/>
                <w:b/>
                <w:sz w:val="16"/>
              </w:rPr>
              <w:t>0.2362</w:t>
            </w:r>
          </w:p>
        </w:tc>
        <w:tc>
          <w:tcPr>
            <w:tcW w:w="864" w:type="dxa"/>
          </w:tcPr>
          <w:p>
            <w:pPr>
              <w:pStyle w:val="TableParagraph"/>
              <w:spacing w:line="160" w:lineRule="exact" w:before="0"/>
              <w:ind w:right="94"/>
              <w:rPr>
                <w:rFonts w:ascii="Courier New"/>
                <w:b/>
                <w:sz w:val="16"/>
              </w:rPr>
            </w:pPr>
            <w:r>
              <w:rPr>
                <w:rFonts w:ascii="Courier New"/>
                <w:b/>
                <w:sz w:val="16"/>
              </w:rPr>
              <w:t>0.0779</w:t>
            </w:r>
          </w:p>
        </w:tc>
        <w:tc>
          <w:tcPr>
            <w:tcW w:w="865" w:type="dxa"/>
          </w:tcPr>
          <w:p>
            <w:pPr>
              <w:pStyle w:val="TableParagraph"/>
              <w:spacing w:line="160" w:lineRule="exact" w:before="0"/>
              <w:ind w:right="95"/>
              <w:rPr>
                <w:rFonts w:ascii="Courier New"/>
                <w:b/>
                <w:sz w:val="16"/>
              </w:rPr>
            </w:pPr>
            <w:r>
              <w:rPr>
                <w:rFonts w:ascii="Courier New"/>
                <w:b/>
                <w:sz w:val="16"/>
              </w:rPr>
              <w:t>3.03</w:t>
            </w:r>
          </w:p>
        </w:tc>
        <w:tc>
          <w:tcPr>
            <w:tcW w:w="863" w:type="dxa"/>
          </w:tcPr>
          <w:p>
            <w:pPr>
              <w:pStyle w:val="TableParagraph"/>
              <w:spacing w:line="160" w:lineRule="exact" w:before="0"/>
              <w:ind w:right="94"/>
              <w:rPr>
                <w:rFonts w:ascii="Courier New"/>
                <w:b/>
                <w:sz w:val="16"/>
              </w:rPr>
            </w:pPr>
            <w:r>
              <w:rPr>
                <w:rFonts w:ascii="Courier New"/>
                <w:b/>
                <w:sz w:val="16"/>
              </w:rPr>
              <w:t>0.003</w:t>
            </w:r>
          </w:p>
        </w:tc>
        <w:tc>
          <w:tcPr>
            <w:tcW w:w="531" w:type="dxa"/>
          </w:tcPr>
          <w:p>
            <w:pPr>
              <w:pStyle w:val="TableParagraph"/>
              <w:spacing w:line="160" w:lineRule="exact" w:before="0"/>
              <w:ind w:right="49"/>
              <w:rPr>
                <w:rFonts w:ascii="Courier New"/>
                <w:b/>
                <w:sz w:val="16"/>
              </w:rPr>
            </w:pPr>
            <w:r>
              <w:rPr>
                <w:rFonts w:ascii="Courier New"/>
                <w:b/>
                <w:sz w:val="16"/>
              </w:rPr>
              <w:t>1.20</w:t>
            </w:r>
          </w:p>
        </w:tc>
      </w:tr>
      <w:tr>
        <w:trPr>
          <w:trHeight w:val="180" w:hRule="atLeast"/>
        </w:trPr>
        <w:tc>
          <w:tcPr>
            <w:tcW w:w="2738" w:type="dxa"/>
          </w:tcPr>
          <w:p>
            <w:pPr>
              <w:pStyle w:val="TableParagraph"/>
              <w:spacing w:line="160" w:lineRule="exact" w:before="0"/>
              <w:ind w:left="50"/>
              <w:jc w:val="left"/>
              <w:rPr>
                <w:rFonts w:ascii="Courier New"/>
                <w:b/>
                <w:sz w:val="16"/>
              </w:rPr>
            </w:pPr>
            <w:r>
              <w:rPr>
                <w:rFonts w:ascii="Courier New"/>
                <w:b/>
                <w:sz w:val="16"/>
              </w:rPr>
              <w:t>Tipo = 1 casa, 0 = Condo</w:t>
            </w:r>
          </w:p>
        </w:tc>
        <w:tc>
          <w:tcPr>
            <w:tcW w:w="864" w:type="dxa"/>
          </w:tcPr>
          <w:p>
            <w:pPr>
              <w:pStyle w:val="TableParagraph"/>
              <w:spacing w:line="240" w:lineRule="auto" w:before="0"/>
              <w:jc w:val="left"/>
              <w:rPr>
                <w:rFonts w:ascii="Times New Roman"/>
                <w:sz w:val="12"/>
              </w:rPr>
            </w:pPr>
          </w:p>
        </w:tc>
        <w:tc>
          <w:tcPr>
            <w:tcW w:w="864" w:type="dxa"/>
          </w:tcPr>
          <w:p>
            <w:pPr>
              <w:pStyle w:val="TableParagraph"/>
              <w:spacing w:line="240" w:lineRule="auto" w:before="0"/>
              <w:jc w:val="left"/>
              <w:rPr>
                <w:rFonts w:ascii="Times New Roman"/>
                <w:sz w:val="12"/>
              </w:rPr>
            </w:pPr>
          </w:p>
        </w:tc>
        <w:tc>
          <w:tcPr>
            <w:tcW w:w="865" w:type="dxa"/>
          </w:tcPr>
          <w:p>
            <w:pPr>
              <w:pStyle w:val="TableParagraph"/>
              <w:spacing w:line="240" w:lineRule="auto" w:before="0"/>
              <w:jc w:val="left"/>
              <w:rPr>
                <w:rFonts w:ascii="Times New Roman"/>
                <w:sz w:val="12"/>
              </w:rPr>
            </w:pPr>
          </w:p>
        </w:tc>
        <w:tc>
          <w:tcPr>
            <w:tcW w:w="863" w:type="dxa"/>
          </w:tcPr>
          <w:p>
            <w:pPr>
              <w:pStyle w:val="TableParagraph"/>
              <w:spacing w:line="240" w:lineRule="auto" w:before="0"/>
              <w:jc w:val="left"/>
              <w:rPr>
                <w:rFonts w:ascii="Times New Roman"/>
                <w:sz w:val="12"/>
              </w:rPr>
            </w:pPr>
          </w:p>
        </w:tc>
        <w:tc>
          <w:tcPr>
            <w:tcW w:w="531" w:type="dxa"/>
          </w:tcPr>
          <w:p>
            <w:pPr>
              <w:pStyle w:val="TableParagraph"/>
              <w:spacing w:line="240" w:lineRule="auto" w:before="0"/>
              <w:jc w:val="left"/>
              <w:rPr>
                <w:rFonts w:ascii="Times New Roman"/>
                <w:sz w:val="12"/>
              </w:rPr>
            </w:pPr>
          </w:p>
        </w:tc>
      </w:tr>
      <w:tr>
        <w:trPr>
          <w:trHeight w:val="181" w:hRule="atLeast"/>
        </w:trPr>
        <w:tc>
          <w:tcPr>
            <w:tcW w:w="2738" w:type="dxa"/>
          </w:tcPr>
          <w:p>
            <w:pPr>
              <w:pStyle w:val="TableParagraph"/>
              <w:spacing w:line="162" w:lineRule="exact" w:before="0"/>
              <w:ind w:left="241"/>
              <w:jc w:val="left"/>
              <w:rPr>
                <w:rFonts w:ascii="Courier New"/>
                <w:b/>
                <w:sz w:val="16"/>
              </w:rPr>
            </w:pPr>
            <w:r>
              <w:rPr>
                <w:rFonts w:ascii="Courier New"/>
                <w:b/>
                <w:sz w:val="16"/>
              </w:rPr>
              <w:t>1</w:t>
            </w:r>
          </w:p>
        </w:tc>
        <w:tc>
          <w:tcPr>
            <w:tcW w:w="864" w:type="dxa"/>
          </w:tcPr>
          <w:p>
            <w:pPr>
              <w:pStyle w:val="TableParagraph"/>
              <w:spacing w:line="162" w:lineRule="exact" w:before="0"/>
              <w:ind w:right="94"/>
              <w:rPr>
                <w:rFonts w:ascii="Courier New"/>
                <w:b/>
                <w:sz w:val="16"/>
              </w:rPr>
            </w:pPr>
            <w:r>
              <w:rPr>
                <w:rFonts w:ascii="Courier New"/>
                <w:b/>
                <w:sz w:val="16"/>
              </w:rPr>
              <w:t>0.1544</w:t>
            </w:r>
          </w:p>
        </w:tc>
        <w:tc>
          <w:tcPr>
            <w:tcW w:w="864" w:type="dxa"/>
          </w:tcPr>
          <w:p>
            <w:pPr>
              <w:pStyle w:val="TableParagraph"/>
              <w:spacing w:line="162" w:lineRule="exact" w:before="0"/>
              <w:ind w:right="94"/>
              <w:rPr>
                <w:rFonts w:ascii="Courier New"/>
                <w:b/>
                <w:sz w:val="16"/>
              </w:rPr>
            </w:pPr>
            <w:r>
              <w:rPr>
                <w:rFonts w:ascii="Courier New"/>
                <w:b/>
                <w:sz w:val="16"/>
              </w:rPr>
              <w:t>0.0499</w:t>
            </w:r>
          </w:p>
        </w:tc>
        <w:tc>
          <w:tcPr>
            <w:tcW w:w="865" w:type="dxa"/>
          </w:tcPr>
          <w:p>
            <w:pPr>
              <w:pStyle w:val="TableParagraph"/>
              <w:spacing w:line="162" w:lineRule="exact" w:before="0"/>
              <w:ind w:right="95"/>
              <w:rPr>
                <w:rFonts w:ascii="Courier New"/>
                <w:b/>
                <w:sz w:val="16"/>
              </w:rPr>
            </w:pPr>
            <w:r>
              <w:rPr>
                <w:rFonts w:ascii="Courier New"/>
                <w:b/>
                <w:sz w:val="16"/>
              </w:rPr>
              <w:t>3.10</w:t>
            </w:r>
          </w:p>
        </w:tc>
        <w:tc>
          <w:tcPr>
            <w:tcW w:w="863" w:type="dxa"/>
          </w:tcPr>
          <w:p>
            <w:pPr>
              <w:pStyle w:val="TableParagraph"/>
              <w:spacing w:line="162" w:lineRule="exact" w:before="0"/>
              <w:ind w:right="94"/>
              <w:rPr>
                <w:rFonts w:ascii="Courier New"/>
                <w:b/>
                <w:sz w:val="16"/>
              </w:rPr>
            </w:pPr>
            <w:r>
              <w:rPr>
                <w:rFonts w:ascii="Courier New"/>
                <w:b/>
                <w:sz w:val="16"/>
              </w:rPr>
              <w:t>0.002</w:t>
            </w:r>
          </w:p>
        </w:tc>
        <w:tc>
          <w:tcPr>
            <w:tcW w:w="531" w:type="dxa"/>
          </w:tcPr>
          <w:p>
            <w:pPr>
              <w:pStyle w:val="TableParagraph"/>
              <w:spacing w:line="162" w:lineRule="exact" w:before="0"/>
              <w:ind w:right="49"/>
              <w:rPr>
                <w:rFonts w:ascii="Courier New"/>
                <w:b/>
                <w:sz w:val="16"/>
              </w:rPr>
            </w:pPr>
            <w:r>
              <w:rPr>
                <w:rFonts w:ascii="Courier New"/>
                <w:b/>
                <w:sz w:val="16"/>
              </w:rPr>
              <w:t>1.14</w:t>
            </w:r>
          </w:p>
        </w:tc>
      </w:tr>
      <w:tr>
        <w:trPr>
          <w:trHeight w:val="182" w:hRule="atLeast"/>
        </w:trPr>
        <w:tc>
          <w:tcPr>
            <w:tcW w:w="2738" w:type="dxa"/>
          </w:tcPr>
          <w:p>
            <w:pPr>
              <w:pStyle w:val="TableParagraph"/>
              <w:spacing w:line="161" w:lineRule="exact" w:before="1"/>
              <w:ind w:left="50"/>
              <w:jc w:val="left"/>
              <w:rPr>
                <w:rFonts w:ascii="Courier New"/>
                <w:b/>
                <w:sz w:val="16"/>
              </w:rPr>
            </w:pPr>
            <w:r>
              <w:rPr>
                <w:rFonts w:ascii="Courier New"/>
                <w:b/>
                <w:sz w:val="16"/>
              </w:rPr>
              <w:t>Zona de Riesgo de desastre</w:t>
            </w:r>
          </w:p>
        </w:tc>
        <w:tc>
          <w:tcPr>
            <w:tcW w:w="864" w:type="dxa"/>
          </w:tcPr>
          <w:p>
            <w:pPr>
              <w:pStyle w:val="TableParagraph"/>
              <w:spacing w:line="240" w:lineRule="auto" w:before="0"/>
              <w:jc w:val="left"/>
              <w:rPr>
                <w:rFonts w:ascii="Times New Roman"/>
                <w:sz w:val="12"/>
              </w:rPr>
            </w:pPr>
          </w:p>
        </w:tc>
        <w:tc>
          <w:tcPr>
            <w:tcW w:w="864" w:type="dxa"/>
          </w:tcPr>
          <w:p>
            <w:pPr>
              <w:pStyle w:val="TableParagraph"/>
              <w:spacing w:line="240" w:lineRule="auto" w:before="0"/>
              <w:jc w:val="left"/>
              <w:rPr>
                <w:rFonts w:ascii="Times New Roman"/>
                <w:sz w:val="12"/>
              </w:rPr>
            </w:pPr>
          </w:p>
        </w:tc>
        <w:tc>
          <w:tcPr>
            <w:tcW w:w="865" w:type="dxa"/>
          </w:tcPr>
          <w:p>
            <w:pPr>
              <w:pStyle w:val="TableParagraph"/>
              <w:spacing w:line="240" w:lineRule="auto" w:before="0"/>
              <w:jc w:val="left"/>
              <w:rPr>
                <w:rFonts w:ascii="Times New Roman"/>
                <w:sz w:val="12"/>
              </w:rPr>
            </w:pPr>
          </w:p>
        </w:tc>
        <w:tc>
          <w:tcPr>
            <w:tcW w:w="863" w:type="dxa"/>
          </w:tcPr>
          <w:p>
            <w:pPr>
              <w:pStyle w:val="TableParagraph"/>
              <w:spacing w:line="240" w:lineRule="auto" w:before="0"/>
              <w:jc w:val="left"/>
              <w:rPr>
                <w:rFonts w:ascii="Times New Roman"/>
                <w:sz w:val="12"/>
              </w:rPr>
            </w:pPr>
          </w:p>
        </w:tc>
        <w:tc>
          <w:tcPr>
            <w:tcW w:w="531" w:type="dxa"/>
          </w:tcPr>
          <w:p>
            <w:pPr>
              <w:pStyle w:val="TableParagraph"/>
              <w:spacing w:line="240" w:lineRule="auto" w:before="0"/>
              <w:jc w:val="left"/>
              <w:rPr>
                <w:rFonts w:ascii="Times New Roman"/>
                <w:sz w:val="12"/>
              </w:rPr>
            </w:pPr>
          </w:p>
        </w:tc>
      </w:tr>
      <w:tr>
        <w:trPr>
          <w:trHeight w:val="180" w:hRule="atLeast"/>
        </w:trPr>
        <w:tc>
          <w:tcPr>
            <w:tcW w:w="2738" w:type="dxa"/>
          </w:tcPr>
          <w:p>
            <w:pPr>
              <w:pStyle w:val="TableParagraph"/>
              <w:spacing w:line="160" w:lineRule="exact" w:before="0"/>
              <w:ind w:left="241"/>
              <w:jc w:val="left"/>
              <w:rPr>
                <w:rFonts w:ascii="Courier New"/>
                <w:b/>
                <w:sz w:val="16"/>
              </w:rPr>
            </w:pPr>
            <w:r>
              <w:rPr>
                <w:rFonts w:ascii="Courier New"/>
                <w:b/>
                <w:sz w:val="16"/>
              </w:rPr>
              <w:t>1</w:t>
            </w:r>
          </w:p>
        </w:tc>
        <w:tc>
          <w:tcPr>
            <w:tcW w:w="864" w:type="dxa"/>
          </w:tcPr>
          <w:p>
            <w:pPr>
              <w:pStyle w:val="TableParagraph"/>
              <w:spacing w:line="160" w:lineRule="exact" w:before="0"/>
              <w:ind w:right="94"/>
              <w:rPr>
                <w:rFonts w:ascii="Courier New"/>
                <w:b/>
                <w:sz w:val="16"/>
              </w:rPr>
            </w:pPr>
            <w:r>
              <w:rPr>
                <w:rFonts w:ascii="Courier New"/>
                <w:b/>
                <w:sz w:val="16"/>
              </w:rPr>
              <w:t>-0.0971</w:t>
            </w:r>
          </w:p>
        </w:tc>
        <w:tc>
          <w:tcPr>
            <w:tcW w:w="864" w:type="dxa"/>
          </w:tcPr>
          <w:p>
            <w:pPr>
              <w:pStyle w:val="TableParagraph"/>
              <w:spacing w:line="160" w:lineRule="exact" w:before="0"/>
              <w:ind w:right="93"/>
              <w:rPr>
                <w:rFonts w:ascii="Courier New"/>
                <w:b/>
                <w:sz w:val="16"/>
              </w:rPr>
            </w:pPr>
            <w:r>
              <w:rPr>
                <w:rFonts w:ascii="Courier New"/>
                <w:b/>
                <w:sz w:val="16"/>
              </w:rPr>
              <w:t>0.0766</w:t>
            </w:r>
          </w:p>
        </w:tc>
        <w:tc>
          <w:tcPr>
            <w:tcW w:w="865" w:type="dxa"/>
          </w:tcPr>
          <w:p>
            <w:pPr>
              <w:pStyle w:val="TableParagraph"/>
              <w:spacing w:line="160" w:lineRule="exact" w:before="0"/>
              <w:ind w:right="93"/>
              <w:rPr>
                <w:rFonts w:ascii="Courier New"/>
                <w:b/>
                <w:sz w:val="16"/>
              </w:rPr>
            </w:pPr>
            <w:r>
              <w:rPr>
                <w:rFonts w:ascii="Courier New"/>
                <w:b/>
                <w:sz w:val="16"/>
              </w:rPr>
              <w:t>-1.27</w:t>
            </w:r>
          </w:p>
        </w:tc>
        <w:tc>
          <w:tcPr>
            <w:tcW w:w="863" w:type="dxa"/>
          </w:tcPr>
          <w:p>
            <w:pPr>
              <w:pStyle w:val="TableParagraph"/>
              <w:spacing w:line="160" w:lineRule="exact" w:before="0"/>
              <w:ind w:right="92"/>
              <w:rPr>
                <w:rFonts w:ascii="Courier New"/>
                <w:b/>
                <w:sz w:val="16"/>
              </w:rPr>
            </w:pPr>
            <w:r>
              <w:rPr>
                <w:rFonts w:ascii="Courier New"/>
                <w:b/>
                <w:sz w:val="16"/>
              </w:rPr>
              <w:t>0.205</w:t>
            </w:r>
          </w:p>
        </w:tc>
        <w:tc>
          <w:tcPr>
            <w:tcW w:w="531" w:type="dxa"/>
          </w:tcPr>
          <w:p>
            <w:pPr>
              <w:pStyle w:val="TableParagraph"/>
              <w:spacing w:line="160" w:lineRule="exact" w:before="0"/>
              <w:ind w:right="47"/>
              <w:rPr>
                <w:rFonts w:ascii="Courier New"/>
                <w:b/>
                <w:sz w:val="16"/>
              </w:rPr>
            </w:pPr>
            <w:r>
              <w:rPr>
                <w:rFonts w:ascii="Courier New"/>
                <w:b/>
                <w:sz w:val="16"/>
              </w:rPr>
              <w:t>1.06</w:t>
            </w:r>
          </w:p>
        </w:tc>
      </w:tr>
      <w:tr>
        <w:trPr>
          <w:trHeight w:val="182" w:hRule="atLeast"/>
        </w:trPr>
        <w:tc>
          <w:tcPr>
            <w:tcW w:w="2738" w:type="dxa"/>
          </w:tcPr>
          <w:p>
            <w:pPr>
              <w:pStyle w:val="TableParagraph"/>
              <w:spacing w:line="162" w:lineRule="exact" w:before="0"/>
              <w:ind w:left="50"/>
              <w:jc w:val="left"/>
              <w:rPr>
                <w:rFonts w:ascii="Courier New"/>
                <w:b/>
                <w:sz w:val="16"/>
              </w:rPr>
            </w:pPr>
            <w:r>
              <w:rPr>
                <w:rFonts w:ascii="Courier New"/>
                <w:b/>
                <w:sz w:val="16"/>
              </w:rPr>
              <w:t>Vista a la Carpintera</w:t>
            </w:r>
          </w:p>
        </w:tc>
        <w:tc>
          <w:tcPr>
            <w:tcW w:w="864" w:type="dxa"/>
          </w:tcPr>
          <w:p>
            <w:pPr>
              <w:pStyle w:val="TableParagraph"/>
              <w:spacing w:line="240" w:lineRule="auto" w:before="0"/>
              <w:jc w:val="left"/>
              <w:rPr>
                <w:rFonts w:ascii="Times New Roman"/>
                <w:sz w:val="12"/>
              </w:rPr>
            </w:pPr>
          </w:p>
        </w:tc>
        <w:tc>
          <w:tcPr>
            <w:tcW w:w="864" w:type="dxa"/>
          </w:tcPr>
          <w:p>
            <w:pPr>
              <w:pStyle w:val="TableParagraph"/>
              <w:spacing w:line="240" w:lineRule="auto" w:before="0"/>
              <w:jc w:val="left"/>
              <w:rPr>
                <w:rFonts w:ascii="Times New Roman"/>
                <w:sz w:val="12"/>
              </w:rPr>
            </w:pPr>
          </w:p>
        </w:tc>
        <w:tc>
          <w:tcPr>
            <w:tcW w:w="865" w:type="dxa"/>
          </w:tcPr>
          <w:p>
            <w:pPr>
              <w:pStyle w:val="TableParagraph"/>
              <w:spacing w:line="240" w:lineRule="auto" w:before="0"/>
              <w:jc w:val="left"/>
              <w:rPr>
                <w:rFonts w:ascii="Times New Roman"/>
                <w:sz w:val="12"/>
              </w:rPr>
            </w:pPr>
          </w:p>
        </w:tc>
        <w:tc>
          <w:tcPr>
            <w:tcW w:w="863" w:type="dxa"/>
          </w:tcPr>
          <w:p>
            <w:pPr>
              <w:pStyle w:val="TableParagraph"/>
              <w:spacing w:line="240" w:lineRule="auto" w:before="0"/>
              <w:jc w:val="left"/>
              <w:rPr>
                <w:rFonts w:ascii="Times New Roman"/>
                <w:sz w:val="12"/>
              </w:rPr>
            </w:pPr>
          </w:p>
        </w:tc>
        <w:tc>
          <w:tcPr>
            <w:tcW w:w="531" w:type="dxa"/>
          </w:tcPr>
          <w:p>
            <w:pPr>
              <w:pStyle w:val="TableParagraph"/>
              <w:spacing w:line="240" w:lineRule="auto" w:before="0"/>
              <w:jc w:val="left"/>
              <w:rPr>
                <w:rFonts w:ascii="Times New Roman"/>
                <w:sz w:val="12"/>
              </w:rPr>
            </w:pPr>
          </w:p>
        </w:tc>
      </w:tr>
      <w:tr>
        <w:trPr>
          <w:trHeight w:val="182" w:hRule="atLeast"/>
        </w:trPr>
        <w:tc>
          <w:tcPr>
            <w:tcW w:w="2738" w:type="dxa"/>
          </w:tcPr>
          <w:p>
            <w:pPr>
              <w:pStyle w:val="TableParagraph"/>
              <w:spacing w:line="161" w:lineRule="exact" w:before="1"/>
              <w:ind w:left="241"/>
              <w:jc w:val="left"/>
              <w:rPr>
                <w:rFonts w:ascii="Courier New"/>
                <w:b/>
                <w:sz w:val="16"/>
              </w:rPr>
            </w:pPr>
            <w:r>
              <w:rPr>
                <w:rFonts w:ascii="Courier New"/>
                <w:b/>
                <w:sz w:val="16"/>
              </w:rPr>
              <w:t>1</w:t>
            </w:r>
          </w:p>
        </w:tc>
        <w:tc>
          <w:tcPr>
            <w:tcW w:w="864" w:type="dxa"/>
          </w:tcPr>
          <w:p>
            <w:pPr>
              <w:pStyle w:val="TableParagraph"/>
              <w:spacing w:line="161" w:lineRule="exact" w:before="1"/>
              <w:ind w:right="94"/>
              <w:rPr>
                <w:rFonts w:ascii="Courier New"/>
                <w:b/>
                <w:sz w:val="16"/>
              </w:rPr>
            </w:pPr>
            <w:r>
              <w:rPr>
                <w:rFonts w:ascii="Courier New"/>
                <w:b/>
                <w:sz w:val="16"/>
              </w:rPr>
              <w:t>0.0877</w:t>
            </w:r>
          </w:p>
        </w:tc>
        <w:tc>
          <w:tcPr>
            <w:tcW w:w="864" w:type="dxa"/>
          </w:tcPr>
          <w:p>
            <w:pPr>
              <w:pStyle w:val="TableParagraph"/>
              <w:spacing w:line="161" w:lineRule="exact" w:before="1"/>
              <w:ind w:right="94"/>
              <w:rPr>
                <w:rFonts w:ascii="Courier New"/>
                <w:b/>
                <w:sz w:val="16"/>
              </w:rPr>
            </w:pPr>
            <w:r>
              <w:rPr>
                <w:rFonts w:ascii="Courier New"/>
                <w:b/>
                <w:sz w:val="16"/>
              </w:rPr>
              <w:t>0.0513</w:t>
            </w:r>
          </w:p>
        </w:tc>
        <w:tc>
          <w:tcPr>
            <w:tcW w:w="865" w:type="dxa"/>
          </w:tcPr>
          <w:p>
            <w:pPr>
              <w:pStyle w:val="TableParagraph"/>
              <w:spacing w:line="161" w:lineRule="exact" w:before="1"/>
              <w:ind w:right="95"/>
              <w:rPr>
                <w:rFonts w:ascii="Courier New"/>
                <w:b/>
                <w:sz w:val="16"/>
              </w:rPr>
            </w:pPr>
            <w:r>
              <w:rPr>
                <w:rFonts w:ascii="Courier New"/>
                <w:b/>
                <w:sz w:val="16"/>
              </w:rPr>
              <w:t>1.71</w:t>
            </w:r>
          </w:p>
        </w:tc>
        <w:tc>
          <w:tcPr>
            <w:tcW w:w="863" w:type="dxa"/>
          </w:tcPr>
          <w:p>
            <w:pPr>
              <w:pStyle w:val="TableParagraph"/>
              <w:spacing w:line="161" w:lineRule="exact" w:before="1"/>
              <w:ind w:right="94"/>
              <w:rPr>
                <w:rFonts w:ascii="Courier New"/>
                <w:b/>
                <w:sz w:val="16"/>
              </w:rPr>
            </w:pPr>
            <w:r>
              <w:rPr>
                <w:rFonts w:ascii="Courier New"/>
                <w:b/>
                <w:sz w:val="16"/>
              </w:rPr>
              <w:t>0.088</w:t>
            </w:r>
          </w:p>
        </w:tc>
        <w:tc>
          <w:tcPr>
            <w:tcW w:w="531" w:type="dxa"/>
          </w:tcPr>
          <w:p>
            <w:pPr>
              <w:pStyle w:val="TableParagraph"/>
              <w:spacing w:line="161" w:lineRule="exact" w:before="1"/>
              <w:ind w:right="49"/>
              <w:rPr>
                <w:rFonts w:ascii="Courier New"/>
                <w:b/>
                <w:sz w:val="16"/>
              </w:rPr>
            </w:pPr>
            <w:r>
              <w:rPr>
                <w:rFonts w:ascii="Courier New"/>
                <w:b/>
                <w:sz w:val="16"/>
              </w:rPr>
              <w:t>1.06</w:t>
            </w:r>
          </w:p>
        </w:tc>
      </w:tr>
    </w:tbl>
    <w:p>
      <w:pPr>
        <w:pStyle w:val="BodyText"/>
        <w:spacing w:before="9"/>
        <w:rPr>
          <w:b/>
          <w:sz w:val="10"/>
        </w:rPr>
      </w:pPr>
    </w:p>
    <w:p>
      <w:pPr>
        <w:pStyle w:val="Heading1"/>
        <w:spacing w:before="92"/>
      </w:pPr>
      <w:r>
        <w:rPr/>
        <w:t>B- Heterocedasticidad</w:t>
      </w:r>
    </w:p>
    <w:p>
      <w:pPr>
        <w:pStyle w:val="BodyText"/>
        <w:rPr>
          <w:b/>
          <w:sz w:val="20"/>
        </w:rPr>
      </w:pPr>
    </w:p>
    <w:p>
      <w:pPr>
        <w:pStyle w:val="BodyText"/>
        <w:spacing w:before="1"/>
        <w:rPr>
          <w:b/>
          <w:sz w:val="22"/>
        </w:rPr>
      </w:pPr>
      <w:r>
        <w:rPr/>
        <w:drawing>
          <wp:anchor distT="0" distB="0" distL="0" distR="0" allowOverlap="1" layoutInCell="1" locked="0" behindDoc="0" simplePos="0" relativeHeight="103">
            <wp:simplePos x="0" y="0"/>
            <wp:positionH relativeFrom="page">
              <wp:posOffset>2508468</wp:posOffset>
            </wp:positionH>
            <wp:positionV relativeFrom="paragraph">
              <wp:posOffset>186391</wp:posOffset>
            </wp:positionV>
            <wp:extent cx="2809540" cy="2188464"/>
            <wp:effectExtent l="0" t="0" r="0" b="0"/>
            <wp:wrapTopAndBottom/>
            <wp:docPr id="125" name="image88.jpeg"/>
            <wp:cNvGraphicFramePr>
              <a:graphicFrameLocks noChangeAspect="1"/>
            </wp:cNvGraphicFramePr>
            <a:graphic>
              <a:graphicData uri="http://schemas.openxmlformats.org/drawingml/2006/picture">
                <pic:pic>
                  <pic:nvPicPr>
                    <pic:cNvPr id="126" name="image88.jpeg"/>
                    <pic:cNvPicPr/>
                  </pic:nvPicPr>
                  <pic:blipFill>
                    <a:blip r:embed="rId140" cstate="print"/>
                    <a:stretch>
                      <a:fillRect/>
                    </a:stretch>
                  </pic:blipFill>
                  <pic:spPr>
                    <a:xfrm>
                      <a:off x="0" y="0"/>
                      <a:ext cx="2809540" cy="2188464"/>
                    </a:xfrm>
                    <a:prstGeom prst="rect">
                      <a:avLst/>
                    </a:prstGeom>
                  </pic:spPr>
                </pic:pic>
              </a:graphicData>
            </a:graphic>
          </wp:anchor>
        </w:drawing>
      </w:r>
    </w:p>
    <w:p>
      <w:pPr>
        <w:spacing w:after="0"/>
        <w:rPr>
          <w:sz w:val="22"/>
        </w:rPr>
        <w:sectPr>
          <w:pgSz w:w="12240" w:h="15840"/>
          <w:pgMar w:header="0" w:footer="982" w:top="1440" w:bottom="1260" w:left="400" w:right="180"/>
        </w:sectPr>
      </w:pPr>
    </w:p>
    <w:p>
      <w:pPr>
        <w:pStyle w:val="BodyText"/>
        <w:spacing w:before="8"/>
        <w:rPr>
          <w:b/>
          <w:sz w:val="21"/>
        </w:rPr>
      </w:pPr>
    </w:p>
    <w:p>
      <w:pPr>
        <w:pStyle w:val="BodyText"/>
        <w:ind w:left="3182"/>
        <w:rPr>
          <w:sz w:val="20"/>
        </w:rPr>
      </w:pPr>
      <w:r>
        <w:rPr>
          <w:sz w:val="20"/>
        </w:rPr>
        <w:drawing>
          <wp:inline distT="0" distB="0" distL="0" distR="0">
            <wp:extent cx="3273844" cy="2606040"/>
            <wp:effectExtent l="0" t="0" r="0" b="0"/>
            <wp:docPr id="127" name="image89.jpeg"/>
            <wp:cNvGraphicFramePr>
              <a:graphicFrameLocks noChangeAspect="1"/>
            </wp:cNvGraphicFramePr>
            <a:graphic>
              <a:graphicData uri="http://schemas.openxmlformats.org/drawingml/2006/picture">
                <pic:pic>
                  <pic:nvPicPr>
                    <pic:cNvPr id="128" name="image89.jpeg"/>
                    <pic:cNvPicPr/>
                  </pic:nvPicPr>
                  <pic:blipFill>
                    <a:blip r:embed="rId141" cstate="print"/>
                    <a:stretch>
                      <a:fillRect/>
                    </a:stretch>
                  </pic:blipFill>
                  <pic:spPr>
                    <a:xfrm>
                      <a:off x="0" y="0"/>
                      <a:ext cx="3273844" cy="2606040"/>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rPr>
          <w:b/>
          <w:sz w:val="20"/>
        </w:rPr>
      </w:pPr>
    </w:p>
    <w:p>
      <w:pPr>
        <w:pStyle w:val="BodyText"/>
        <w:spacing w:before="10"/>
        <w:rPr>
          <w:b/>
          <w:sz w:val="20"/>
        </w:rPr>
      </w:pPr>
    </w:p>
    <w:p>
      <w:pPr>
        <w:spacing w:before="0" w:after="7"/>
        <w:ind w:left="732" w:right="2507" w:firstLine="0"/>
        <w:jc w:val="center"/>
        <w:rPr>
          <w:b/>
          <w:sz w:val="12"/>
        </w:rPr>
      </w:pPr>
      <w:r>
        <w:rPr>
          <w:b/>
          <w:sz w:val="18"/>
        </w:rPr>
        <w:t>ANOVA BREUSCH MODELO 7</w:t>
      </w:r>
      <w:r>
        <w:rPr>
          <w:b/>
          <w:position w:val="6"/>
          <w:sz w:val="12"/>
        </w:rPr>
        <w:t>a</w:t>
      </w:r>
    </w:p>
    <w:tbl>
      <w:tblPr>
        <w:tblW w:w="0" w:type="auto"/>
        <w:jc w:val="left"/>
        <w:tblInd w:w="10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4"/>
        <w:gridCol w:w="1483"/>
        <w:gridCol w:w="1489"/>
        <w:gridCol w:w="993"/>
        <w:gridCol w:w="1485"/>
        <w:gridCol w:w="993"/>
        <w:gridCol w:w="993"/>
      </w:tblGrid>
      <w:tr>
        <w:trPr>
          <w:trHeight w:val="643" w:hRule="atLeast"/>
        </w:trPr>
        <w:tc>
          <w:tcPr>
            <w:tcW w:w="1917" w:type="dxa"/>
            <w:gridSpan w:val="2"/>
          </w:tcPr>
          <w:p>
            <w:pPr>
              <w:pStyle w:val="TableParagraph"/>
              <w:spacing w:line="240" w:lineRule="auto" w:before="115"/>
              <w:ind w:left="25"/>
              <w:jc w:val="left"/>
              <w:rPr>
                <w:sz w:val="18"/>
              </w:rPr>
            </w:pPr>
            <w:r>
              <w:rPr>
                <w:sz w:val="18"/>
              </w:rPr>
              <w:t>Modelo</w:t>
            </w:r>
          </w:p>
        </w:tc>
        <w:tc>
          <w:tcPr>
            <w:tcW w:w="1489" w:type="dxa"/>
            <w:tcBorders>
              <w:right w:val="single" w:sz="8" w:space="0" w:color="000000"/>
            </w:tcBorders>
          </w:tcPr>
          <w:p>
            <w:pPr>
              <w:pStyle w:val="TableParagraph"/>
              <w:spacing w:line="320" w:lineRule="atLeast" w:before="2"/>
              <w:ind w:left="300" w:right="295" w:firstLine="56"/>
              <w:jc w:val="left"/>
              <w:rPr>
                <w:sz w:val="18"/>
              </w:rPr>
            </w:pPr>
            <w:r>
              <w:rPr>
                <w:sz w:val="18"/>
              </w:rPr>
              <w:t>Suma de cuadrados</w:t>
            </w:r>
          </w:p>
        </w:tc>
        <w:tc>
          <w:tcPr>
            <w:tcW w:w="993" w:type="dxa"/>
            <w:tcBorders>
              <w:left w:val="single" w:sz="8" w:space="0" w:color="000000"/>
              <w:right w:val="single" w:sz="8" w:space="0" w:color="000000"/>
            </w:tcBorders>
          </w:tcPr>
          <w:p>
            <w:pPr>
              <w:pStyle w:val="TableParagraph"/>
              <w:spacing w:line="240" w:lineRule="auto" w:before="115"/>
              <w:ind w:left="386" w:right="406"/>
              <w:jc w:val="center"/>
              <w:rPr>
                <w:sz w:val="18"/>
              </w:rPr>
            </w:pPr>
            <w:r>
              <w:rPr>
                <w:sz w:val="18"/>
              </w:rPr>
              <w:t>gl</w:t>
            </w:r>
          </w:p>
        </w:tc>
        <w:tc>
          <w:tcPr>
            <w:tcW w:w="1485" w:type="dxa"/>
            <w:tcBorders>
              <w:left w:val="single" w:sz="8" w:space="0" w:color="000000"/>
              <w:right w:val="single" w:sz="8" w:space="0" w:color="000000"/>
            </w:tcBorders>
          </w:tcPr>
          <w:p>
            <w:pPr>
              <w:pStyle w:val="TableParagraph"/>
              <w:spacing w:line="240" w:lineRule="auto" w:before="115"/>
              <w:ind w:right="51"/>
              <w:rPr>
                <w:sz w:val="18"/>
              </w:rPr>
            </w:pPr>
            <w:r>
              <w:rPr>
                <w:sz w:val="18"/>
              </w:rPr>
              <w:t>Media cuadrática</w:t>
            </w:r>
          </w:p>
        </w:tc>
        <w:tc>
          <w:tcPr>
            <w:tcW w:w="993" w:type="dxa"/>
            <w:tcBorders>
              <w:left w:val="single" w:sz="8" w:space="0" w:color="000000"/>
              <w:right w:val="single" w:sz="8" w:space="0" w:color="000000"/>
            </w:tcBorders>
          </w:tcPr>
          <w:p>
            <w:pPr>
              <w:pStyle w:val="TableParagraph"/>
              <w:spacing w:line="240" w:lineRule="auto" w:before="115"/>
              <w:ind w:right="12"/>
              <w:jc w:val="center"/>
              <w:rPr>
                <w:sz w:val="18"/>
              </w:rPr>
            </w:pPr>
            <w:r>
              <w:rPr>
                <w:w w:val="100"/>
                <w:sz w:val="18"/>
              </w:rPr>
              <w:t>F</w:t>
            </w:r>
          </w:p>
        </w:tc>
        <w:tc>
          <w:tcPr>
            <w:tcW w:w="993" w:type="dxa"/>
            <w:tcBorders>
              <w:left w:val="single" w:sz="8" w:space="0" w:color="000000"/>
            </w:tcBorders>
          </w:tcPr>
          <w:p>
            <w:pPr>
              <w:pStyle w:val="TableParagraph"/>
              <w:spacing w:line="240" w:lineRule="auto" w:before="115"/>
              <w:ind w:left="311"/>
              <w:jc w:val="left"/>
              <w:rPr>
                <w:sz w:val="18"/>
              </w:rPr>
            </w:pPr>
            <w:r>
              <w:rPr>
                <w:sz w:val="18"/>
              </w:rPr>
              <w:t>Sig.</w:t>
            </w:r>
          </w:p>
        </w:tc>
      </w:tr>
      <w:tr>
        <w:trPr>
          <w:trHeight w:val="376" w:hRule="atLeast"/>
        </w:trPr>
        <w:tc>
          <w:tcPr>
            <w:tcW w:w="434" w:type="dxa"/>
            <w:tcBorders>
              <w:bottom w:val="nil"/>
              <w:right w:val="nil"/>
            </w:tcBorders>
          </w:tcPr>
          <w:p>
            <w:pPr>
              <w:pStyle w:val="TableParagraph"/>
              <w:spacing w:line="240" w:lineRule="auto" w:before="0"/>
              <w:jc w:val="left"/>
              <w:rPr>
                <w:rFonts w:ascii="Times New Roman"/>
                <w:sz w:val="18"/>
              </w:rPr>
            </w:pPr>
          </w:p>
        </w:tc>
        <w:tc>
          <w:tcPr>
            <w:tcW w:w="1483" w:type="dxa"/>
            <w:tcBorders>
              <w:left w:val="nil"/>
              <w:bottom w:val="nil"/>
            </w:tcBorders>
          </w:tcPr>
          <w:p>
            <w:pPr>
              <w:pStyle w:val="TableParagraph"/>
              <w:spacing w:line="240" w:lineRule="auto" w:before="110"/>
              <w:ind w:left="329"/>
              <w:jc w:val="left"/>
              <w:rPr>
                <w:sz w:val="18"/>
              </w:rPr>
            </w:pPr>
            <w:r>
              <w:rPr>
                <w:sz w:val="18"/>
              </w:rPr>
              <w:t>Regresión</w:t>
            </w:r>
          </w:p>
        </w:tc>
        <w:tc>
          <w:tcPr>
            <w:tcW w:w="1489" w:type="dxa"/>
            <w:tcBorders>
              <w:bottom w:val="nil"/>
              <w:right w:val="single" w:sz="8" w:space="0" w:color="000000"/>
            </w:tcBorders>
          </w:tcPr>
          <w:p>
            <w:pPr>
              <w:pStyle w:val="TableParagraph"/>
              <w:spacing w:line="240" w:lineRule="auto" w:before="110"/>
              <w:ind w:right="36"/>
              <w:rPr>
                <w:sz w:val="18"/>
              </w:rPr>
            </w:pPr>
            <w:r>
              <w:rPr>
                <w:sz w:val="18"/>
              </w:rPr>
              <w:t>3.153</w:t>
            </w:r>
          </w:p>
        </w:tc>
        <w:tc>
          <w:tcPr>
            <w:tcW w:w="993" w:type="dxa"/>
            <w:tcBorders>
              <w:left w:val="single" w:sz="8" w:space="0" w:color="000000"/>
              <w:bottom w:val="nil"/>
              <w:right w:val="single" w:sz="8" w:space="0" w:color="000000"/>
            </w:tcBorders>
          </w:tcPr>
          <w:p>
            <w:pPr>
              <w:pStyle w:val="TableParagraph"/>
              <w:spacing w:line="240" w:lineRule="auto" w:before="110"/>
              <w:ind w:right="37"/>
              <w:rPr>
                <w:sz w:val="18"/>
              </w:rPr>
            </w:pPr>
            <w:r>
              <w:rPr>
                <w:w w:val="99"/>
                <w:sz w:val="18"/>
              </w:rPr>
              <w:t>9</w:t>
            </w:r>
          </w:p>
        </w:tc>
        <w:tc>
          <w:tcPr>
            <w:tcW w:w="1485" w:type="dxa"/>
            <w:tcBorders>
              <w:left w:val="single" w:sz="8" w:space="0" w:color="000000"/>
              <w:bottom w:val="nil"/>
              <w:right w:val="single" w:sz="8" w:space="0" w:color="000000"/>
            </w:tcBorders>
          </w:tcPr>
          <w:p>
            <w:pPr>
              <w:pStyle w:val="TableParagraph"/>
              <w:spacing w:line="240" w:lineRule="auto" w:before="110"/>
              <w:ind w:right="34"/>
              <w:rPr>
                <w:sz w:val="18"/>
              </w:rPr>
            </w:pPr>
            <w:r>
              <w:rPr>
                <w:sz w:val="18"/>
              </w:rPr>
              <w:t>.350</w:t>
            </w:r>
          </w:p>
        </w:tc>
        <w:tc>
          <w:tcPr>
            <w:tcW w:w="993" w:type="dxa"/>
            <w:vMerge w:val="restart"/>
            <w:tcBorders>
              <w:left w:val="single" w:sz="8" w:space="0" w:color="000000"/>
              <w:right w:val="single" w:sz="8" w:space="0" w:color="000000"/>
            </w:tcBorders>
          </w:tcPr>
          <w:p>
            <w:pPr>
              <w:pStyle w:val="TableParagraph"/>
              <w:spacing w:line="240" w:lineRule="auto" w:before="110"/>
              <w:ind w:left="483"/>
              <w:jc w:val="left"/>
              <w:rPr>
                <w:sz w:val="18"/>
              </w:rPr>
            </w:pPr>
            <w:r>
              <w:rPr>
                <w:sz w:val="18"/>
              </w:rPr>
              <w:t>3.703</w:t>
            </w:r>
          </w:p>
        </w:tc>
        <w:tc>
          <w:tcPr>
            <w:tcW w:w="993" w:type="dxa"/>
            <w:vMerge w:val="restart"/>
            <w:tcBorders>
              <w:left w:val="single" w:sz="8" w:space="0" w:color="000000"/>
            </w:tcBorders>
          </w:tcPr>
          <w:p>
            <w:pPr>
              <w:pStyle w:val="TableParagraph"/>
              <w:spacing w:line="240" w:lineRule="auto" w:before="110"/>
              <w:ind w:left="503"/>
              <w:jc w:val="left"/>
              <w:rPr>
                <w:sz w:val="12"/>
              </w:rPr>
            </w:pPr>
            <w:r>
              <w:rPr>
                <w:sz w:val="18"/>
              </w:rPr>
              <w:t>.000</w:t>
            </w:r>
            <w:r>
              <w:rPr>
                <w:position w:val="5"/>
                <w:sz w:val="12"/>
              </w:rPr>
              <w:t>b</w:t>
            </w:r>
          </w:p>
        </w:tc>
      </w:tr>
      <w:tr>
        <w:trPr>
          <w:trHeight w:val="319" w:hRule="atLeast"/>
        </w:trPr>
        <w:tc>
          <w:tcPr>
            <w:tcW w:w="434" w:type="dxa"/>
            <w:tcBorders>
              <w:top w:val="nil"/>
              <w:bottom w:val="nil"/>
              <w:right w:val="nil"/>
            </w:tcBorders>
          </w:tcPr>
          <w:p>
            <w:pPr>
              <w:pStyle w:val="TableParagraph"/>
              <w:spacing w:line="240" w:lineRule="auto" w:before="53"/>
              <w:ind w:left="25"/>
              <w:jc w:val="left"/>
              <w:rPr>
                <w:sz w:val="18"/>
              </w:rPr>
            </w:pPr>
            <w:r>
              <w:rPr>
                <w:w w:val="99"/>
                <w:sz w:val="18"/>
              </w:rPr>
              <w:t>7</w:t>
            </w:r>
          </w:p>
        </w:tc>
        <w:tc>
          <w:tcPr>
            <w:tcW w:w="1483" w:type="dxa"/>
            <w:tcBorders>
              <w:top w:val="nil"/>
              <w:left w:val="nil"/>
              <w:bottom w:val="nil"/>
            </w:tcBorders>
          </w:tcPr>
          <w:p>
            <w:pPr>
              <w:pStyle w:val="TableParagraph"/>
              <w:spacing w:line="240" w:lineRule="auto" w:before="53"/>
              <w:ind w:left="329"/>
              <w:jc w:val="left"/>
              <w:rPr>
                <w:sz w:val="18"/>
              </w:rPr>
            </w:pPr>
            <w:r>
              <w:rPr>
                <w:sz w:val="18"/>
              </w:rPr>
              <w:t>Residual</w:t>
            </w:r>
          </w:p>
        </w:tc>
        <w:tc>
          <w:tcPr>
            <w:tcW w:w="1489" w:type="dxa"/>
            <w:tcBorders>
              <w:top w:val="nil"/>
              <w:bottom w:val="nil"/>
              <w:right w:val="single" w:sz="8" w:space="0" w:color="000000"/>
            </w:tcBorders>
          </w:tcPr>
          <w:p>
            <w:pPr>
              <w:pStyle w:val="TableParagraph"/>
              <w:spacing w:line="240" w:lineRule="auto" w:before="53"/>
              <w:ind w:right="36"/>
              <w:rPr>
                <w:sz w:val="18"/>
              </w:rPr>
            </w:pPr>
            <w:r>
              <w:rPr>
                <w:sz w:val="18"/>
              </w:rPr>
              <w:t>27.528</w:t>
            </w:r>
          </w:p>
        </w:tc>
        <w:tc>
          <w:tcPr>
            <w:tcW w:w="993" w:type="dxa"/>
            <w:tcBorders>
              <w:top w:val="nil"/>
              <w:left w:val="single" w:sz="8" w:space="0" w:color="000000"/>
              <w:bottom w:val="nil"/>
              <w:right w:val="single" w:sz="8" w:space="0" w:color="000000"/>
            </w:tcBorders>
          </w:tcPr>
          <w:p>
            <w:pPr>
              <w:pStyle w:val="TableParagraph"/>
              <w:spacing w:line="240" w:lineRule="auto" w:before="53"/>
              <w:ind w:right="38"/>
              <w:rPr>
                <w:sz w:val="18"/>
              </w:rPr>
            </w:pPr>
            <w:r>
              <w:rPr>
                <w:w w:val="95"/>
                <w:sz w:val="18"/>
              </w:rPr>
              <w:t>291</w:t>
            </w:r>
          </w:p>
        </w:tc>
        <w:tc>
          <w:tcPr>
            <w:tcW w:w="1485" w:type="dxa"/>
            <w:tcBorders>
              <w:top w:val="nil"/>
              <w:left w:val="single" w:sz="8" w:space="0" w:color="000000"/>
              <w:bottom w:val="nil"/>
              <w:right w:val="single" w:sz="8" w:space="0" w:color="000000"/>
            </w:tcBorders>
          </w:tcPr>
          <w:p>
            <w:pPr>
              <w:pStyle w:val="TableParagraph"/>
              <w:spacing w:line="240" w:lineRule="auto" w:before="53"/>
              <w:ind w:right="34"/>
              <w:rPr>
                <w:sz w:val="18"/>
              </w:rPr>
            </w:pPr>
            <w:r>
              <w:rPr>
                <w:sz w:val="18"/>
              </w:rPr>
              <w:t>.095</w:t>
            </w:r>
          </w:p>
        </w:tc>
        <w:tc>
          <w:tcPr>
            <w:tcW w:w="993" w:type="dxa"/>
            <w:vMerge/>
            <w:tcBorders>
              <w:top w:val="nil"/>
              <w:left w:val="single" w:sz="8" w:space="0" w:color="000000"/>
              <w:right w:val="single" w:sz="8" w:space="0" w:color="000000"/>
            </w:tcBorders>
          </w:tcPr>
          <w:p>
            <w:pPr>
              <w:rPr>
                <w:sz w:val="2"/>
                <w:szCs w:val="2"/>
              </w:rPr>
            </w:pPr>
          </w:p>
        </w:tc>
        <w:tc>
          <w:tcPr>
            <w:tcW w:w="993" w:type="dxa"/>
            <w:vMerge/>
            <w:tcBorders>
              <w:top w:val="nil"/>
              <w:left w:val="single" w:sz="8" w:space="0" w:color="000000"/>
            </w:tcBorders>
          </w:tcPr>
          <w:p>
            <w:pPr>
              <w:rPr>
                <w:sz w:val="2"/>
                <w:szCs w:val="2"/>
              </w:rPr>
            </w:pPr>
          </w:p>
        </w:tc>
      </w:tr>
      <w:tr>
        <w:trPr>
          <w:trHeight w:val="265" w:hRule="atLeast"/>
        </w:trPr>
        <w:tc>
          <w:tcPr>
            <w:tcW w:w="434" w:type="dxa"/>
            <w:tcBorders>
              <w:top w:val="nil"/>
              <w:right w:val="nil"/>
            </w:tcBorders>
          </w:tcPr>
          <w:p>
            <w:pPr>
              <w:pStyle w:val="TableParagraph"/>
              <w:spacing w:line="240" w:lineRule="auto" w:before="0"/>
              <w:jc w:val="left"/>
              <w:rPr>
                <w:rFonts w:ascii="Times New Roman"/>
                <w:sz w:val="18"/>
              </w:rPr>
            </w:pPr>
          </w:p>
        </w:tc>
        <w:tc>
          <w:tcPr>
            <w:tcW w:w="1483" w:type="dxa"/>
            <w:tcBorders>
              <w:top w:val="nil"/>
              <w:left w:val="nil"/>
            </w:tcBorders>
          </w:tcPr>
          <w:p>
            <w:pPr>
              <w:pStyle w:val="TableParagraph"/>
              <w:spacing w:line="192" w:lineRule="exact" w:before="53"/>
              <w:ind w:left="329"/>
              <w:jc w:val="left"/>
              <w:rPr>
                <w:sz w:val="18"/>
              </w:rPr>
            </w:pPr>
            <w:r>
              <w:rPr>
                <w:sz w:val="18"/>
              </w:rPr>
              <w:t>Total</w:t>
            </w:r>
          </w:p>
        </w:tc>
        <w:tc>
          <w:tcPr>
            <w:tcW w:w="1489" w:type="dxa"/>
            <w:tcBorders>
              <w:top w:val="nil"/>
              <w:right w:val="single" w:sz="8" w:space="0" w:color="000000"/>
            </w:tcBorders>
          </w:tcPr>
          <w:p>
            <w:pPr>
              <w:pStyle w:val="TableParagraph"/>
              <w:spacing w:line="192" w:lineRule="exact" w:before="53"/>
              <w:ind w:right="36"/>
              <w:rPr>
                <w:sz w:val="18"/>
              </w:rPr>
            </w:pPr>
            <w:r>
              <w:rPr>
                <w:sz w:val="18"/>
              </w:rPr>
              <w:t>30.680</w:t>
            </w:r>
          </w:p>
        </w:tc>
        <w:tc>
          <w:tcPr>
            <w:tcW w:w="993" w:type="dxa"/>
            <w:tcBorders>
              <w:top w:val="nil"/>
              <w:left w:val="single" w:sz="8" w:space="0" w:color="000000"/>
              <w:right w:val="single" w:sz="8" w:space="0" w:color="000000"/>
            </w:tcBorders>
          </w:tcPr>
          <w:p>
            <w:pPr>
              <w:pStyle w:val="TableParagraph"/>
              <w:spacing w:line="192" w:lineRule="exact" w:before="53"/>
              <w:ind w:right="38"/>
              <w:rPr>
                <w:sz w:val="18"/>
              </w:rPr>
            </w:pPr>
            <w:r>
              <w:rPr>
                <w:w w:val="95"/>
                <w:sz w:val="18"/>
              </w:rPr>
              <w:t>300</w:t>
            </w:r>
          </w:p>
        </w:tc>
        <w:tc>
          <w:tcPr>
            <w:tcW w:w="1485" w:type="dxa"/>
            <w:tcBorders>
              <w:top w:val="nil"/>
              <w:left w:val="single" w:sz="8" w:space="0" w:color="000000"/>
              <w:right w:val="single" w:sz="8" w:space="0" w:color="000000"/>
            </w:tcBorders>
          </w:tcPr>
          <w:p>
            <w:pPr>
              <w:pStyle w:val="TableParagraph"/>
              <w:spacing w:line="240" w:lineRule="auto" w:before="0"/>
              <w:jc w:val="left"/>
              <w:rPr>
                <w:rFonts w:ascii="Times New Roman"/>
                <w:sz w:val="18"/>
              </w:rPr>
            </w:pPr>
          </w:p>
        </w:tc>
        <w:tc>
          <w:tcPr>
            <w:tcW w:w="993" w:type="dxa"/>
            <w:vMerge/>
            <w:tcBorders>
              <w:top w:val="nil"/>
              <w:left w:val="single" w:sz="8" w:space="0" w:color="000000"/>
              <w:right w:val="single" w:sz="8" w:space="0" w:color="000000"/>
            </w:tcBorders>
          </w:tcPr>
          <w:p>
            <w:pPr>
              <w:rPr>
                <w:sz w:val="2"/>
                <w:szCs w:val="2"/>
              </w:rPr>
            </w:pPr>
          </w:p>
        </w:tc>
        <w:tc>
          <w:tcPr>
            <w:tcW w:w="993"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256"/>
      </w:tblGrid>
      <w:tr>
        <w:trPr>
          <w:trHeight w:val="260" w:hRule="atLeast"/>
        </w:trPr>
        <w:tc>
          <w:tcPr>
            <w:tcW w:w="7256" w:type="dxa"/>
          </w:tcPr>
          <w:p>
            <w:pPr>
              <w:pStyle w:val="TableParagraph"/>
              <w:spacing w:line="201" w:lineRule="exact" w:before="0"/>
              <w:ind w:left="200"/>
              <w:jc w:val="left"/>
              <w:rPr>
                <w:sz w:val="18"/>
              </w:rPr>
            </w:pPr>
            <w:r>
              <w:rPr>
                <w:sz w:val="18"/>
              </w:rPr>
              <w:t>a. Variable dependiente: RES_72 BREUSCH MODELO 7</w:t>
            </w:r>
          </w:p>
        </w:tc>
      </w:tr>
      <w:tr>
        <w:trPr>
          <w:trHeight w:val="900" w:hRule="atLeast"/>
        </w:trPr>
        <w:tc>
          <w:tcPr>
            <w:tcW w:w="7256" w:type="dxa"/>
          </w:tcPr>
          <w:p>
            <w:pPr>
              <w:pStyle w:val="TableParagraph"/>
              <w:spacing w:line="240" w:lineRule="auto" w:before="53"/>
              <w:ind w:left="200"/>
              <w:jc w:val="left"/>
              <w:rPr>
                <w:sz w:val="18"/>
              </w:rPr>
            </w:pPr>
            <w:r>
              <w:rPr>
                <w:sz w:val="18"/>
              </w:rPr>
              <w:t>b. Variables predictoras: (Constante), VistaalaCarpintera, LnNúmeroHabitaciones,</w:t>
            </w:r>
          </w:p>
          <w:p>
            <w:pPr>
              <w:pStyle w:val="TableParagraph"/>
              <w:spacing w:line="320" w:lineRule="atLeast" w:before="0"/>
              <w:ind w:left="200" w:right="181"/>
              <w:jc w:val="left"/>
              <w:rPr>
                <w:sz w:val="18"/>
              </w:rPr>
            </w:pPr>
            <w:r>
              <w:rPr>
                <w:sz w:val="18"/>
              </w:rPr>
              <w:t>ZonadeRiesgodedesastre, LnAreadeConstruccion, LnDistanciaSJ, Tipo1casa0Condo, LnAñoConstruccion, LnNúmerodePlantas, LnDistanciaPobreza</w:t>
            </w:r>
          </w:p>
        </w:tc>
      </w:tr>
    </w:tbl>
    <w:p>
      <w:pPr>
        <w:pStyle w:val="BodyText"/>
        <w:rPr>
          <w:b/>
          <w:sz w:val="20"/>
        </w:rPr>
      </w:pPr>
    </w:p>
    <w:p>
      <w:pPr>
        <w:pStyle w:val="BodyText"/>
        <w:spacing w:before="10"/>
        <w:rPr>
          <w:b/>
          <w:sz w:val="23"/>
        </w:rPr>
      </w:pPr>
    </w:p>
    <w:p>
      <w:pPr>
        <w:spacing w:before="0" w:after="7"/>
        <w:ind w:left="727" w:right="2507" w:firstLine="0"/>
        <w:jc w:val="center"/>
        <w:rPr>
          <w:b/>
          <w:sz w:val="12"/>
        </w:rPr>
      </w:pPr>
      <w:r>
        <w:rPr>
          <w:b/>
          <w:sz w:val="18"/>
        </w:rPr>
        <w:t>ANOVA ABRIDGED WHITE MODELO 7</w:t>
      </w:r>
      <w:r>
        <w:rPr>
          <w:b/>
          <w:position w:val="6"/>
          <w:sz w:val="12"/>
        </w:rPr>
        <w:t>a</w:t>
      </w:r>
    </w:p>
    <w:tbl>
      <w:tblPr>
        <w:tblW w:w="0" w:type="auto"/>
        <w:jc w:val="left"/>
        <w:tblInd w:w="10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6"/>
        <w:gridCol w:w="1485"/>
        <w:gridCol w:w="1485"/>
        <w:gridCol w:w="989"/>
        <w:gridCol w:w="1489"/>
        <w:gridCol w:w="989"/>
        <w:gridCol w:w="993"/>
      </w:tblGrid>
      <w:tr>
        <w:trPr>
          <w:trHeight w:val="639" w:hRule="atLeast"/>
        </w:trPr>
        <w:tc>
          <w:tcPr>
            <w:tcW w:w="1921" w:type="dxa"/>
            <w:gridSpan w:val="2"/>
          </w:tcPr>
          <w:p>
            <w:pPr>
              <w:pStyle w:val="TableParagraph"/>
              <w:spacing w:line="240" w:lineRule="auto" w:before="110"/>
              <w:ind w:left="25"/>
              <w:jc w:val="left"/>
              <w:rPr>
                <w:sz w:val="18"/>
              </w:rPr>
            </w:pPr>
            <w:r>
              <w:rPr>
                <w:sz w:val="18"/>
              </w:rPr>
              <w:t>Modelo</w:t>
            </w:r>
          </w:p>
        </w:tc>
        <w:tc>
          <w:tcPr>
            <w:tcW w:w="1485" w:type="dxa"/>
            <w:tcBorders>
              <w:right w:val="single" w:sz="8" w:space="0" w:color="000000"/>
            </w:tcBorders>
          </w:tcPr>
          <w:p>
            <w:pPr>
              <w:pStyle w:val="TableParagraph"/>
              <w:spacing w:line="320" w:lineRule="exact" w:before="23"/>
              <w:ind w:left="296" w:right="295" w:firstLine="56"/>
              <w:jc w:val="left"/>
              <w:rPr>
                <w:sz w:val="18"/>
              </w:rPr>
            </w:pPr>
            <w:r>
              <w:rPr>
                <w:sz w:val="18"/>
              </w:rPr>
              <w:t>Suma de cuadrados</w:t>
            </w:r>
          </w:p>
        </w:tc>
        <w:tc>
          <w:tcPr>
            <w:tcW w:w="989" w:type="dxa"/>
            <w:tcBorders>
              <w:left w:val="single" w:sz="8" w:space="0" w:color="000000"/>
              <w:right w:val="single" w:sz="8" w:space="0" w:color="000000"/>
            </w:tcBorders>
          </w:tcPr>
          <w:p>
            <w:pPr>
              <w:pStyle w:val="TableParagraph"/>
              <w:spacing w:line="240" w:lineRule="auto" w:before="110"/>
              <w:ind w:left="386" w:right="402"/>
              <w:jc w:val="center"/>
              <w:rPr>
                <w:sz w:val="18"/>
              </w:rPr>
            </w:pPr>
            <w:r>
              <w:rPr>
                <w:sz w:val="18"/>
              </w:rPr>
              <w:t>gl</w:t>
            </w:r>
          </w:p>
        </w:tc>
        <w:tc>
          <w:tcPr>
            <w:tcW w:w="1489" w:type="dxa"/>
            <w:tcBorders>
              <w:left w:val="single" w:sz="8" w:space="0" w:color="000000"/>
              <w:right w:val="single" w:sz="8" w:space="0" w:color="000000"/>
            </w:tcBorders>
          </w:tcPr>
          <w:p>
            <w:pPr>
              <w:pStyle w:val="TableParagraph"/>
              <w:spacing w:line="240" w:lineRule="auto" w:before="110"/>
              <w:ind w:right="51"/>
              <w:rPr>
                <w:sz w:val="18"/>
              </w:rPr>
            </w:pPr>
            <w:r>
              <w:rPr>
                <w:sz w:val="18"/>
              </w:rPr>
              <w:t>Media cuadrática</w:t>
            </w:r>
          </w:p>
        </w:tc>
        <w:tc>
          <w:tcPr>
            <w:tcW w:w="989" w:type="dxa"/>
            <w:tcBorders>
              <w:left w:val="single" w:sz="8" w:space="0" w:color="000000"/>
              <w:right w:val="single" w:sz="8" w:space="0" w:color="000000"/>
            </w:tcBorders>
          </w:tcPr>
          <w:p>
            <w:pPr>
              <w:pStyle w:val="TableParagraph"/>
              <w:spacing w:line="240" w:lineRule="auto" w:before="110"/>
              <w:ind w:right="16"/>
              <w:jc w:val="center"/>
              <w:rPr>
                <w:sz w:val="18"/>
              </w:rPr>
            </w:pPr>
            <w:r>
              <w:rPr>
                <w:w w:val="100"/>
                <w:sz w:val="18"/>
              </w:rPr>
              <w:t>F</w:t>
            </w:r>
          </w:p>
        </w:tc>
        <w:tc>
          <w:tcPr>
            <w:tcW w:w="993" w:type="dxa"/>
            <w:tcBorders>
              <w:left w:val="single" w:sz="8" w:space="0" w:color="000000"/>
            </w:tcBorders>
          </w:tcPr>
          <w:p>
            <w:pPr>
              <w:pStyle w:val="TableParagraph"/>
              <w:spacing w:line="240" w:lineRule="auto" w:before="110"/>
              <w:ind w:left="311"/>
              <w:jc w:val="left"/>
              <w:rPr>
                <w:sz w:val="18"/>
              </w:rPr>
            </w:pPr>
            <w:r>
              <w:rPr>
                <w:sz w:val="18"/>
              </w:rPr>
              <w:t>Sig.</w:t>
            </w:r>
          </w:p>
        </w:tc>
      </w:tr>
      <w:tr>
        <w:trPr>
          <w:trHeight w:val="352" w:hRule="atLeast"/>
        </w:trPr>
        <w:tc>
          <w:tcPr>
            <w:tcW w:w="436" w:type="dxa"/>
            <w:tcBorders>
              <w:bottom w:val="nil"/>
              <w:right w:val="nil"/>
            </w:tcBorders>
          </w:tcPr>
          <w:p>
            <w:pPr>
              <w:pStyle w:val="TableParagraph"/>
              <w:spacing w:line="240" w:lineRule="auto" w:before="0"/>
              <w:jc w:val="left"/>
              <w:rPr>
                <w:rFonts w:ascii="Times New Roman"/>
                <w:sz w:val="18"/>
              </w:rPr>
            </w:pPr>
          </w:p>
        </w:tc>
        <w:tc>
          <w:tcPr>
            <w:tcW w:w="1485" w:type="dxa"/>
            <w:tcBorders>
              <w:left w:val="nil"/>
              <w:bottom w:val="nil"/>
            </w:tcBorders>
          </w:tcPr>
          <w:p>
            <w:pPr>
              <w:pStyle w:val="TableParagraph"/>
              <w:spacing w:line="240" w:lineRule="auto" w:before="87"/>
              <w:ind w:left="331"/>
              <w:jc w:val="left"/>
              <w:rPr>
                <w:sz w:val="18"/>
              </w:rPr>
            </w:pPr>
            <w:r>
              <w:rPr>
                <w:sz w:val="18"/>
              </w:rPr>
              <w:t>Regresión</w:t>
            </w:r>
          </w:p>
        </w:tc>
        <w:tc>
          <w:tcPr>
            <w:tcW w:w="1485" w:type="dxa"/>
            <w:tcBorders>
              <w:bottom w:val="nil"/>
              <w:right w:val="single" w:sz="8" w:space="0" w:color="000000"/>
            </w:tcBorders>
          </w:tcPr>
          <w:p>
            <w:pPr>
              <w:pStyle w:val="TableParagraph"/>
              <w:spacing w:line="240" w:lineRule="auto" w:before="87"/>
              <w:ind w:right="36"/>
              <w:rPr>
                <w:sz w:val="18"/>
              </w:rPr>
            </w:pPr>
            <w:r>
              <w:rPr>
                <w:sz w:val="18"/>
              </w:rPr>
              <w:t>3.184</w:t>
            </w:r>
          </w:p>
        </w:tc>
        <w:tc>
          <w:tcPr>
            <w:tcW w:w="989" w:type="dxa"/>
            <w:tcBorders>
              <w:left w:val="single" w:sz="8" w:space="0" w:color="000000"/>
              <w:bottom w:val="nil"/>
              <w:right w:val="single" w:sz="8" w:space="0" w:color="000000"/>
            </w:tcBorders>
          </w:tcPr>
          <w:p>
            <w:pPr>
              <w:pStyle w:val="TableParagraph"/>
              <w:spacing w:line="240" w:lineRule="auto" w:before="87"/>
              <w:ind w:right="33"/>
              <w:rPr>
                <w:sz w:val="18"/>
              </w:rPr>
            </w:pPr>
            <w:r>
              <w:rPr>
                <w:w w:val="99"/>
                <w:sz w:val="18"/>
              </w:rPr>
              <w:t>2</w:t>
            </w:r>
          </w:p>
        </w:tc>
        <w:tc>
          <w:tcPr>
            <w:tcW w:w="1489" w:type="dxa"/>
            <w:tcBorders>
              <w:left w:val="single" w:sz="8" w:space="0" w:color="000000"/>
              <w:bottom w:val="nil"/>
              <w:right w:val="single" w:sz="8" w:space="0" w:color="000000"/>
            </w:tcBorders>
          </w:tcPr>
          <w:p>
            <w:pPr>
              <w:pStyle w:val="TableParagraph"/>
              <w:spacing w:line="240" w:lineRule="auto" w:before="87"/>
              <w:ind w:right="38"/>
              <w:rPr>
                <w:sz w:val="18"/>
              </w:rPr>
            </w:pPr>
            <w:r>
              <w:rPr>
                <w:sz w:val="18"/>
              </w:rPr>
              <w:t>1.592</w:t>
            </w:r>
          </w:p>
        </w:tc>
        <w:tc>
          <w:tcPr>
            <w:tcW w:w="989" w:type="dxa"/>
            <w:vMerge w:val="restart"/>
            <w:tcBorders>
              <w:left w:val="single" w:sz="8" w:space="0" w:color="000000"/>
              <w:right w:val="single" w:sz="8" w:space="0" w:color="000000"/>
            </w:tcBorders>
          </w:tcPr>
          <w:p>
            <w:pPr>
              <w:pStyle w:val="TableParagraph"/>
              <w:spacing w:line="240" w:lineRule="auto" w:before="87"/>
              <w:ind w:left="379"/>
              <w:jc w:val="left"/>
              <w:rPr>
                <w:sz w:val="18"/>
              </w:rPr>
            </w:pPr>
            <w:r>
              <w:rPr>
                <w:sz w:val="18"/>
              </w:rPr>
              <w:t>17.255</w:t>
            </w:r>
          </w:p>
        </w:tc>
        <w:tc>
          <w:tcPr>
            <w:tcW w:w="993" w:type="dxa"/>
            <w:vMerge w:val="restart"/>
            <w:tcBorders>
              <w:left w:val="single" w:sz="8" w:space="0" w:color="000000"/>
            </w:tcBorders>
          </w:tcPr>
          <w:p>
            <w:pPr>
              <w:pStyle w:val="TableParagraph"/>
              <w:spacing w:line="240" w:lineRule="auto" w:before="87"/>
              <w:ind w:left="499"/>
              <w:jc w:val="left"/>
              <w:rPr>
                <w:sz w:val="12"/>
              </w:rPr>
            </w:pPr>
            <w:r>
              <w:rPr>
                <w:sz w:val="18"/>
              </w:rPr>
              <w:t>.000</w:t>
            </w:r>
            <w:r>
              <w:rPr>
                <w:position w:val="5"/>
                <w:sz w:val="12"/>
              </w:rPr>
              <w:t>b</w:t>
            </w:r>
          </w:p>
        </w:tc>
      </w:tr>
      <w:tr>
        <w:trPr>
          <w:trHeight w:val="320" w:hRule="atLeast"/>
        </w:trPr>
        <w:tc>
          <w:tcPr>
            <w:tcW w:w="436" w:type="dxa"/>
            <w:tcBorders>
              <w:top w:val="nil"/>
              <w:bottom w:val="nil"/>
              <w:right w:val="nil"/>
            </w:tcBorders>
          </w:tcPr>
          <w:p>
            <w:pPr>
              <w:pStyle w:val="TableParagraph"/>
              <w:spacing w:line="240" w:lineRule="auto" w:before="53"/>
              <w:ind w:left="25"/>
              <w:jc w:val="left"/>
              <w:rPr>
                <w:sz w:val="18"/>
              </w:rPr>
            </w:pPr>
            <w:r>
              <w:rPr>
                <w:w w:val="99"/>
                <w:sz w:val="18"/>
              </w:rPr>
              <w:t>7</w:t>
            </w:r>
          </w:p>
        </w:tc>
        <w:tc>
          <w:tcPr>
            <w:tcW w:w="1485" w:type="dxa"/>
            <w:tcBorders>
              <w:top w:val="nil"/>
              <w:left w:val="nil"/>
              <w:bottom w:val="nil"/>
            </w:tcBorders>
          </w:tcPr>
          <w:p>
            <w:pPr>
              <w:pStyle w:val="TableParagraph"/>
              <w:spacing w:line="240" w:lineRule="auto" w:before="53"/>
              <w:ind w:left="331"/>
              <w:jc w:val="left"/>
              <w:rPr>
                <w:sz w:val="18"/>
              </w:rPr>
            </w:pPr>
            <w:r>
              <w:rPr>
                <w:sz w:val="18"/>
              </w:rPr>
              <w:t>Residual</w:t>
            </w:r>
          </w:p>
        </w:tc>
        <w:tc>
          <w:tcPr>
            <w:tcW w:w="1485" w:type="dxa"/>
            <w:tcBorders>
              <w:top w:val="nil"/>
              <w:bottom w:val="nil"/>
              <w:right w:val="single" w:sz="8" w:space="0" w:color="000000"/>
            </w:tcBorders>
          </w:tcPr>
          <w:p>
            <w:pPr>
              <w:pStyle w:val="TableParagraph"/>
              <w:spacing w:line="240" w:lineRule="auto" w:before="53"/>
              <w:ind w:right="36"/>
              <w:rPr>
                <w:sz w:val="18"/>
              </w:rPr>
            </w:pPr>
            <w:r>
              <w:rPr>
                <w:sz w:val="18"/>
              </w:rPr>
              <w:t>27.496</w:t>
            </w:r>
          </w:p>
        </w:tc>
        <w:tc>
          <w:tcPr>
            <w:tcW w:w="989" w:type="dxa"/>
            <w:tcBorders>
              <w:top w:val="nil"/>
              <w:left w:val="single" w:sz="8" w:space="0" w:color="000000"/>
              <w:bottom w:val="nil"/>
              <w:right w:val="single" w:sz="8" w:space="0" w:color="000000"/>
            </w:tcBorders>
          </w:tcPr>
          <w:p>
            <w:pPr>
              <w:pStyle w:val="TableParagraph"/>
              <w:spacing w:line="240" w:lineRule="auto" w:before="53"/>
              <w:ind w:right="34"/>
              <w:rPr>
                <w:sz w:val="18"/>
              </w:rPr>
            </w:pPr>
            <w:r>
              <w:rPr>
                <w:w w:val="95"/>
                <w:sz w:val="18"/>
              </w:rPr>
              <w:t>298</w:t>
            </w:r>
          </w:p>
        </w:tc>
        <w:tc>
          <w:tcPr>
            <w:tcW w:w="1489" w:type="dxa"/>
            <w:tcBorders>
              <w:top w:val="nil"/>
              <w:left w:val="single" w:sz="8" w:space="0" w:color="000000"/>
              <w:bottom w:val="nil"/>
              <w:right w:val="single" w:sz="8" w:space="0" w:color="000000"/>
            </w:tcBorders>
          </w:tcPr>
          <w:p>
            <w:pPr>
              <w:pStyle w:val="TableParagraph"/>
              <w:spacing w:line="240" w:lineRule="auto" w:before="53"/>
              <w:ind w:right="38"/>
              <w:rPr>
                <w:sz w:val="18"/>
              </w:rPr>
            </w:pPr>
            <w:r>
              <w:rPr>
                <w:sz w:val="18"/>
              </w:rPr>
              <w:t>.092</w:t>
            </w:r>
          </w:p>
        </w:tc>
        <w:tc>
          <w:tcPr>
            <w:tcW w:w="989" w:type="dxa"/>
            <w:vMerge/>
            <w:tcBorders>
              <w:top w:val="nil"/>
              <w:left w:val="single" w:sz="8" w:space="0" w:color="000000"/>
              <w:right w:val="single" w:sz="8" w:space="0" w:color="000000"/>
            </w:tcBorders>
          </w:tcPr>
          <w:p>
            <w:pPr>
              <w:rPr>
                <w:sz w:val="2"/>
                <w:szCs w:val="2"/>
              </w:rPr>
            </w:pPr>
          </w:p>
        </w:tc>
        <w:tc>
          <w:tcPr>
            <w:tcW w:w="993" w:type="dxa"/>
            <w:vMerge/>
            <w:tcBorders>
              <w:top w:val="nil"/>
              <w:left w:val="single" w:sz="8" w:space="0" w:color="000000"/>
            </w:tcBorders>
          </w:tcPr>
          <w:p>
            <w:pPr>
              <w:rPr>
                <w:sz w:val="2"/>
                <w:szCs w:val="2"/>
              </w:rPr>
            </w:pPr>
          </w:p>
        </w:tc>
      </w:tr>
      <w:tr>
        <w:trPr>
          <w:trHeight w:val="263" w:hRule="atLeast"/>
        </w:trPr>
        <w:tc>
          <w:tcPr>
            <w:tcW w:w="436" w:type="dxa"/>
            <w:tcBorders>
              <w:top w:val="nil"/>
              <w:right w:val="nil"/>
            </w:tcBorders>
          </w:tcPr>
          <w:p>
            <w:pPr>
              <w:pStyle w:val="TableParagraph"/>
              <w:spacing w:line="240" w:lineRule="auto" w:before="0"/>
              <w:jc w:val="left"/>
              <w:rPr>
                <w:rFonts w:ascii="Times New Roman"/>
                <w:sz w:val="18"/>
              </w:rPr>
            </w:pPr>
          </w:p>
        </w:tc>
        <w:tc>
          <w:tcPr>
            <w:tcW w:w="1485" w:type="dxa"/>
            <w:tcBorders>
              <w:top w:val="nil"/>
              <w:left w:val="nil"/>
            </w:tcBorders>
          </w:tcPr>
          <w:p>
            <w:pPr>
              <w:pStyle w:val="TableParagraph"/>
              <w:spacing w:line="188" w:lineRule="exact" w:before="55"/>
              <w:ind w:left="331"/>
              <w:jc w:val="left"/>
              <w:rPr>
                <w:sz w:val="18"/>
              </w:rPr>
            </w:pPr>
            <w:r>
              <w:rPr>
                <w:sz w:val="18"/>
              </w:rPr>
              <w:t>Total</w:t>
            </w:r>
          </w:p>
        </w:tc>
        <w:tc>
          <w:tcPr>
            <w:tcW w:w="1485" w:type="dxa"/>
            <w:tcBorders>
              <w:top w:val="nil"/>
              <w:right w:val="single" w:sz="8" w:space="0" w:color="000000"/>
            </w:tcBorders>
          </w:tcPr>
          <w:p>
            <w:pPr>
              <w:pStyle w:val="TableParagraph"/>
              <w:spacing w:line="188" w:lineRule="exact" w:before="55"/>
              <w:ind w:right="36"/>
              <w:rPr>
                <w:sz w:val="18"/>
              </w:rPr>
            </w:pPr>
            <w:r>
              <w:rPr>
                <w:sz w:val="18"/>
              </w:rPr>
              <w:t>30.680</w:t>
            </w:r>
          </w:p>
        </w:tc>
        <w:tc>
          <w:tcPr>
            <w:tcW w:w="989" w:type="dxa"/>
            <w:tcBorders>
              <w:top w:val="nil"/>
              <w:left w:val="single" w:sz="8" w:space="0" w:color="000000"/>
              <w:right w:val="single" w:sz="8" w:space="0" w:color="000000"/>
            </w:tcBorders>
          </w:tcPr>
          <w:p>
            <w:pPr>
              <w:pStyle w:val="TableParagraph"/>
              <w:spacing w:line="188" w:lineRule="exact" w:before="55"/>
              <w:ind w:right="34"/>
              <w:rPr>
                <w:sz w:val="18"/>
              </w:rPr>
            </w:pPr>
            <w:r>
              <w:rPr>
                <w:w w:val="95"/>
                <w:sz w:val="18"/>
              </w:rPr>
              <w:t>300</w:t>
            </w:r>
          </w:p>
        </w:tc>
        <w:tc>
          <w:tcPr>
            <w:tcW w:w="1489" w:type="dxa"/>
            <w:tcBorders>
              <w:top w:val="nil"/>
              <w:left w:val="single" w:sz="8" w:space="0" w:color="000000"/>
              <w:right w:val="single" w:sz="8" w:space="0" w:color="000000"/>
            </w:tcBorders>
          </w:tcPr>
          <w:p>
            <w:pPr>
              <w:pStyle w:val="TableParagraph"/>
              <w:spacing w:line="240" w:lineRule="auto" w:before="0"/>
              <w:jc w:val="left"/>
              <w:rPr>
                <w:rFonts w:ascii="Times New Roman"/>
                <w:sz w:val="18"/>
              </w:rPr>
            </w:pPr>
          </w:p>
        </w:tc>
        <w:tc>
          <w:tcPr>
            <w:tcW w:w="989" w:type="dxa"/>
            <w:vMerge/>
            <w:tcBorders>
              <w:top w:val="nil"/>
              <w:left w:val="single" w:sz="8" w:space="0" w:color="000000"/>
              <w:right w:val="single" w:sz="8" w:space="0" w:color="000000"/>
            </w:tcBorders>
          </w:tcPr>
          <w:p>
            <w:pPr>
              <w:rPr>
                <w:sz w:val="2"/>
                <w:szCs w:val="2"/>
              </w:rPr>
            </w:pPr>
          </w:p>
        </w:tc>
        <w:tc>
          <w:tcPr>
            <w:tcW w:w="993"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86"/>
      </w:tblGrid>
      <w:tr>
        <w:trPr>
          <w:trHeight w:val="260" w:hRule="atLeast"/>
        </w:trPr>
        <w:tc>
          <w:tcPr>
            <w:tcW w:w="6786" w:type="dxa"/>
          </w:tcPr>
          <w:p>
            <w:pPr>
              <w:pStyle w:val="TableParagraph"/>
              <w:spacing w:line="201" w:lineRule="exact" w:before="0"/>
              <w:ind w:left="200"/>
              <w:jc w:val="left"/>
              <w:rPr>
                <w:sz w:val="18"/>
              </w:rPr>
            </w:pPr>
            <w:r>
              <w:rPr>
                <w:sz w:val="18"/>
              </w:rPr>
              <w:t>a. Variable dependiente: RES_72 ABRIDGED WHITE MODELO 7</w:t>
            </w:r>
          </w:p>
        </w:tc>
      </w:tr>
      <w:tr>
        <w:trPr>
          <w:trHeight w:val="260" w:hRule="atLeast"/>
        </w:trPr>
        <w:tc>
          <w:tcPr>
            <w:tcW w:w="6786" w:type="dxa"/>
          </w:tcPr>
          <w:p>
            <w:pPr>
              <w:pStyle w:val="TableParagraph"/>
              <w:spacing w:line="187" w:lineRule="exact" w:before="54"/>
              <w:ind w:left="200"/>
              <w:jc w:val="left"/>
              <w:rPr>
                <w:sz w:val="18"/>
              </w:rPr>
            </w:pPr>
            <w:r>
              <w:rPr>
                <w:sz w:val="18"/>
              </w:rPr>
              <w:t>b. Variables predictoras: (Constante), PRE_72, Unstandardized Predicted Value</w:t>
            </w:r>
          </w:p>
        </w:tc>
      </w:tr>
    </w:tbl>
    <w:p>
      <w:pPr>
        <w:spacing w:after="0" w:line="187" w:lineRule="exact"/>
        <w:jc w:val="left"/>
        <w:rPr>
          <w:sz w:val="18"/>
        </w:rPr>
        <w:sectPr>
          <w:pgSz w:w="12240" w:h="15840"/>
          <w:pgMar w:header="0" w:footer="982" w:top="1500" w:bottom="1260" w:left="400" w:right="180"/>
        </w:sectPr>
      </w:pPr>
    </w:p>
    <w:p>
      <w:pPr>
        <w:pStyle w:val="BodyText"/>
        <w:rPr>
          <w:b/>
          <w:sz w:val="14"/>
        </w:rPr>
      </w:pPr>
    </w:p>
    <w:p>
      <w:pPr>
        <w:pStyle w:val="Heading1"/>
        <w:spacing w:before="91"/>
      </w:pPr>
      <w:r>
        <w:rPr/>
        <w:t>C- Resultados Modelo Corregido</w:t>
      </w:r>
    </w:p>
    <w:p>
      <w:pPr>
        <w:pStyle w:val="BodyText"/>
        <w:spacing w:before="9"/>
        <w:rPr>
          <w:b/>
          <w:sz w:val="29"/>
        </w:rPr>
      </w:pPr>
    </w:p>
    <w:p>
      <w:pPr>
        <w:spacing w:line="249" w:lineRule="auto" w:before="102"/>
        <w:ind w:left="2795" w:right="6534" w:firstLine="0"/>
        <w:jc w:val="left"/>
        <w:rPr>
          <w:sz w:val="15"/>
        </w:rPr>
      </w:pPr>
      <w:r>
        <w:rPr>
          <w:spacing w:val="-3"/>
          <w:w w:val="105"/>
          <w:sz w:val="15"/>
        </w:rPr>
        <w:t>Dependent </w:t>
      </w:r>
      <w:r>
        <w:rPr>
          <w:spacing w:val="-4"/>
          <w:w w:val="105"/>
          <w:sz w:val="15"/>
        </w:rPr>
        <w:t>Variable: LN_PRECIO </w:t>
      </w:r>
      <w:r>
        <w:rPr>
          <w:spacing w:val="-5"/>
          <w:w w:val="105"/>
          <w:sz w:val="15"/>
        </w:rPr>
        <w:t>Method: </w:t>
      </w:r>
      <w:r>
        <w:rPr>
          <w:w w:val="105"/>
          <w:sz w:val="15"/>
        </w:rPr>
        <w:t>Least </w:t>
      </w:r>
      <w:r>
        <w:rPr>
          <w:spacing w:val="-3"/>
          <w:w w:val="105"/>
          <w:sz w:val="15"/>
        </w:rPr>
        <w:t>Squares</w:t>
      </w:r>
    </w:p>
    <w:p>
      <w:pPr>
        <w:spacing w:line="247" w:lineRule="auto" w:before="0"/>
        <w:ind w:left="2795" w:right="6534" w:firstLine="0"/>
        <w:jc w:val="left"/>
        <w:rPr>
          <w:sz w:val="15"/>
        </w:rPr>
      </w:pPr>
      <w:r>
        <w:rPr>
          <w:w w:val="105"/>
          <w:sz w:val="15"/>
        </w:rPr>
        <w:t>Date: 05/07/17 Time: 11:08 Sample (adjusted): 1 303</w:t>
      </w:r>
    </w:p>
    <w:p>
      <w:pPr>
        <w:spacing w:before="0"/>
        <w:ind w:left="2795" w:right="0" w:firstLine="0"/>
        <w:jc w:val="left"/>
        <w:rPr>
          <w:sz w:val="15"/>
        </w:rPr>
      </w:pPr>
      <w:r>
        <w:rPr>
          <w:w w:val="105"/>
          <w:sz w:val="15"/>
        </w:rPr>
        <w:t>Included observations: 301 after adjustments</w:t>
      </w:r>
    </w:p>
    <w:p>
      <w:pPr>
        <w:spacing w:before="6" w:after="52"/>
        <w:ind w:left="2795" w:right="0" w:firstLine="0"/>
        <w:jc w:val="left"/>
        <w:rPr>
          <w:sz w:val="15"/>
        </w:rPr>
      </w:pPr>
      <w:r>
        <w:rPr>
          <w:w w:val="105"/>
          <w:sz w:val="15"/>
        </w:rPr>
        <w:t>White heteroskedasticity-consistent standard errors &amp; covariance</w:t>
      </w:r>
    </w:p>
    <w:tbl>
      <w:tblPr>
        <w:tblW w:w="0" w:type="auto"/>
        <w:jc w:val="left"/>
        <w:tblInd w:w="27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69"/>
        <w:gridCol w:w="892"/>
        <w:gridCol w:w="941"/>
        <w:gridCol w:w="867"/>
        <w:gridCol w:w="708"/>
      </w:tblGrid>
      <w:tr>
        <w:trPr>
          <w:trHeight w:val="311" w:hRule="atLeast"/>
        </w:trPr>
        <w:tc>
          <w:tcPr>
            <w:tcW w:w="2469" w:type="dxa"/>
            <w:tcBorders>
              <w:top w:val="double" w:sz="2" w:space="0" w:color="000000"/>
              <w:bottom w:val="double" w:sz="2" w:space="0" w:color="000000"/>
            </w:tcBorders>
          </w:tcPr>
          <w:p>
            <w:pPr>
              <w:pStyle w:val="TableParagraph"/>
              <w:spacing w:line="240" w:lineRule="auto" w:before="109"/>
              <w:ind w:left="908" w:right="942"/>
              <w:jc w:val="center"/>
              <w:rPr>
                <w:sz w:val="15"/>
              </w:rPr>
            </w:pPr>
            <w:r>
              <w:rPr>
                <w:w w:val="105"/>
                <w:sz w:val="15"/>
              </w:rPr>
              <w:t>Variable</w:t>
            </w:r>
          </w:p>
        </w:tc>
        <w:tc>
          <w:tcPr>
            <w:tcW w:w="892" w:type="dxa"/>
            <w:tcBorders>
              <w:top w:val="double" w:sz="2" w:space="0" w:color="000000"/>
              <w:bottom w:val="double" w:sz="2" w:space="0" w:color="000000"/>
            </w:tcBorders>
          </w:tcPr>
          <w:p>
            <w:pPr>
              <w:pStyle w:val="TableParagraph"/>
              <w:spacing w:line="240" w:lineRule="auto" w:before="109"/>
              <w:ind w:right="103"/>
              <w:rPr>
                <w:sz w:val="15"/>
              </w:rPr>
            </w:pPr>
            <w:r>
              <w:rPr>
                <w:w w:val="105"/>
                <w:sz w:val="15"/>
              </w:rPr>
              <w:t>Coefficient</w:t>
            </w:r>
          </w:p>
        </w:tc>
        <w:tc>
          <w:tcPr>
            <w:tcW w:w="941" w:type="dxa"/>
            <w:tcBorders>
              <w:top w:val="double" w:sz="2" w:space="0" w:color="000000"/>
              <w:bottom w:val="double" w:sz="2" w:space="0" w:color="000000"/>
            </w:tcBorders>
          </w:tcPr>
          <w:p>
            <w:pPr>
              <w:pStyle w:val="TableParagraph"/>
              <w:spacing w:line="240" w:lineRule="auto" w:before="109"/>
              <w:ind w:left="121" w:right="86"/>
              <w:jc w:val="center"/>
              <w:rPr>
                <w:sz w:val="15"/>
              </w:rPr>
            </w:pPr>
            <w:r>
              <w:rPr>
                <w:w w:val="105"/>
                <w:sz w:val="15"/>
              </w:rPr>
              <w:t>Std. Error</w:t>
            </w:r>
          </w:p>
        </w:tc>
        <w:tc>
          <w:tcPr>
            <w:tcW w:w="867" w:type="dxa"/>
            <w:tcBorders>
              <w:top w:val="double" w:sz="2" w:space="0" w:color="000000"/>
              <w:bottom w:val="double" w:sz="2" w:space="0" w:color="000000"/>
            </w:tcBorders>
          </w:tcPr>
          <w:p>
            <w:pPr>
              <w:pStyle w:val="TableParagraph"/>
              <w:spacing w:line="240" w:lineRule="auto" w:before="109"/>
              <w:ind w:right="66"/>
              <w:rPr>
                <w:sz w:val="15"/>
              </w:rPr>
            </w:pPr>
            <w:r>
              <w:rPr>
                <w:w w:val="105"/>
                <w:sz w:val="15"/>
              </w:rPr>
              <w:t>t-Statistic</w:t>
            </w:r>
          </w:p>
        </w:tc>
        <w:tc>
          <w:tcPr>
            <w:tcW w:w="708" w:type="dxa"/>
            <w:tcBorders>
              <w:top w:val="double" w:sz="2" w:space="0" w:color="000000"/>
              <w:bottom w:val="double" w:sz="2" w:space="0" w:color="000000"/>
            </w:tcBorders>
          </w:tcPr>
          <w:p>
            <w:pPr>
              <w:pStyle w:val="TableParagraph"/>
              <w:spacing w:line="240" w:lineRule="auto" w:before="109"/>
              <w:ind w:left="242"/>
              <w:jc w:val="left"/>
              <w:rPr>
                <w:sz w:val="15"/>
              </w:rPr>
            </w:pPr>
            <w:r>
              <w:rPr>
                <w:w w:val="105"/>
                <w:sz w:val="15"/>
              </w:rPr>
              <w:t>Prob.</w:t>
            </w:r>
          </w:p>
        </w:tc>
      </w:tr>
      <w:tr>
        <w:trPr>
          <w:trHeight w:val="284" w:hRule="atLeast"/>
        </w:trPr>
        <w:tc>
          <w:tcPr>
            <w:tcW w:w="2469" w:type="dxa"/>
            <w:tcBorders>
              <w:top w:val="double" w:sz="2" w:space="0" w:color="000000"/>
            </w:tcBorders>
          </w:tcPr>
          <w:p>
            <w:pPr>
              <w:pStyle w:val="TableParagraph"/>
              <w:spacing w:line="155" w:lineRule="exact" w:before="109"/>
              <w:ind w:left="741"/>
              <w:jc w:val="left"/>
              <w:rPr>
                <w:sz w:val="15"/>
              </w:rPr>
            </w:pPr>
            <w:r>
              <w:rPr>
                <w:w w:val="105"/>
                <w:sz w:val="15"/>
              </w:rPr>
              <w:t>CONSTANTE</w:t>
            </w:r>
          </w:p>
        </w:tc>
        <w:tc>
          <w:tcPr>
            <w:tcW w:w="892" w:type="dxa"/>
            <w:tcBorders>
              <w:top w:val="double" w:sz="2" w:space="0" w:color="000000"/>
            </w:tcBorders>
          </w:tcPr>
          <w:p>
            <w:pPr>
              <w:pStyle w:val="TableParagraph"/>
              <w:spacing w:line="155" w:lineRule="exact" w:before="109"/>
              <w:ind w:right="100"/>
              <w:rPr>
                <w:sz w:val="15"/>
              </w:rPr>
            </w:pPr>
            <w:r>
              <w:rPr>
                <w:w w:val="105"/>
                <w:sz w:val="15"/>
              </w:rPr>
              <w:t>96.15173</w:t>
            </w:r>
          </w:p>
        </w:tc>
        <w:tc>
          <w:tcPr>
            <w:tcW w:w="941" w:type="dxa"/>
            <w:tcBorders>
              <w:top w:val="double" w:sz="2" w:space="0" w:color="000000"/>
            </w:tcBorders>
          </w:tcPr>
          <w:p>
            <w:pPr>
              <w:pStyle w:val="TableParagraph"/>
              <w:spacing w:line="155" w:lineRule="exact" w:before="109"/>
              <w:ind w:left="131" w:right="60"/>
              <w:jc w:val="center"/>
              <w:rPr>
                <w:sz w:val="15"/>
              </w:rPr>
            </w:pPr>
            <w:r>
              <w:rPr>
                <w:w w:val="105"/>
                <w:sz w:val="15"/>
              </w:rPr>
              <w:t>68.92836</w:t>
            </w:r>
          </w:p>
        </w:tc>
        <w:tc>
          <w:tcPr>
            <w:tcW w:w="867" w:type="dxa"/>
            <w:tcBorders>
              <w:top w:val="double" w:sz="2" w:space="0" w:color="000000"/>
            </w:tcBorders>
          </w:tcPr>
          <w:p>
            <w:pPr>
              <w:pStyle w:val="TableParagraph"/>
              <w:spacing w:line="155" w:lineRule="exact" w:before="109"/>
              <w:ind w:right="57"/>
              <w:rPr>
                <w:sz w:val="15"/>
              </w:rPr>
            </w:pPr>
            <w:r>
              <w:rPr>
                <w:w w:val="105"/>
                <w:sz w:val="15"/>
              </w:rPr>
              <w:t>1.394952</w:t>
            </w:r>
          </w:p>
        </w:tc>
        <w:tc>
          <w:tcPr>
            <w:tcW w:w="708" w:type="dxa"/>
            <w:tcBorders>
              <w:top w:val="double" w:sz="2" w:space="0" w:color="000000"/>
            </w:tcBorders>
          </w:tcPr>
          <w:p>
            <w:pPr>
              <w:pStyle w:val="TableParagraph"/>
              <w:spacing w:line="155" w:lineRule="exact" w:before="109"/>
              <w:ind w:right="7"/>
              <w:rPr>
                <w:sz w:val="15"/>
              </w:rPr>
            </w:pPr>
            <w:r>
              <w:rPr>
                <w:w w:val="105"/>
                <w:sz w:val="15"/>
              </w:rPr>
              <w:t>0.1641</w:t>
            </w:r>
          </w:p>
        </w:tc>
      </w:tr>
      <w:tr>
        <w:trPr>
          <w:trHeight w:val="178" w:hRule="atLeast"/>
        </w:trPr>
        <w:tc>
          <w:tcPr>
            <w:tcW w:w="2469" w:type="dxa"/>
          </w:tcPr>
          <w:p>
            <w:pPr>
              <w:pStyle w:val="TableParagraph"/>
              <w:tabs>
                <w:tab w:pos="687" w:val="left" w:leader="none"/>
                <w:tab w:pos="1769" w:val="left" w:leader="none"/>
              </w:tabs>
              <w:spacing w:line="155" w:lineRule="exact" w:before="3"/>
              <w:ind w:left="78"/>
              <w:jc w:val="left"/>
              <w:rPr>
                <w:sz w:val="15"/>
              </w:rPr>
            </w:pPr>
            <w:r>
              <w:rPr>
                <w:spacing w:val="-4"/>
                <w:w w:val="105"/>
                <w:sz w:val="15"/>
              </w:rPr>
              <w:t>TIPO</w:t>
            </w:r>
            <w:r>
              <w:rPr>
                <w:spacing w:val="-4"/>
                <w:w w:val="105"/>
                <w:sz w:val="15"/>
                <w:u w:val="single"/>
              </w:rPr>
              <w:t> </w:t>
              <w:tab/>
            </w:r>
            <w:r>
              <w:rPr>
                <w:spacing w:val="-5"/>
                <w:w w:val="105"/>
                <w:sz w:val="15"/>
              </w:rPr>
              <w:t>1_CASA</w:t>
            </w:r>
            <w:r>
              <w:rPr>
                <w:spacing w:val="-5"/>
                <w:w w:val="105"/>
                <w:sz w:val="15"/>
                <w:u w:val="single"/>
              </w:rPr>
              <w:t>   </w:t>
            </w:r>
            <w:r>
              <w:rPr>
                <w:spacing w:val="9"/>
                <w:w w:val="105"/>
                <w:sz w:val="15"/>
                <w:u w:val="single"/>
              </w:rPr>
              <w:t> </w:t>
            </w:r>
            <w:r>
              <w:rPr>
                <w:spacing w:val="-4"/>
                <w:w w:val="105"/>
                <w:sz w:val="15"/>
              </w:rPr>
              <w:t>0</w:t>
            </w:r>
            <w:r>
              <w:rPr>
                <w:spacing w:val="-4"/>
                <w:w w:val="105"/>
                <w:sz w:val="15"/>
                <w:u w:val="single"/>
              </w:rPr>
              <w:t> </w:t>
              <w:tab/>
            </w:r>
            <w:r>
              <w:rPr>
                <w:w w:val="105"/>
                <w:sz w:val="15"/>
              </w:rPr>
              <w:t>CONDO</w:t>
            </w:r>
          </w:p>
        </w:tc>
        <w:tc>
          <w:tcPr>
            <w:tcW w:w="892" w:type="dxa"/>
          </w:tcPr>
          <w:p>
            <w:pPr>
              <w:pStyle w:val="TableParagraph"/>
              <w:spacing w:line="155" w:lineRule="exact" w:before="3"/>
              <w:ind w:right="100"/>
              <w:rPr>
                <w:sz w:val="15"/>
              </w:rPr>
            </w:pPr>
            <w:r>
              <w:rPr>
                <w:w w:val="105"/>
                <w:sz w:val="15"/>
              </w:rPr>
              <w:t>0.154437</w:t>
            </w:r>
          </w:p>
        </w:tc>
        <w:tc>
          <w:tcPr>
            <w:tcW w:w="941" w:type="dxa"/>
          </w:tcPr>
          <w:p>
            <w:pPr>
              <w:pStyle w:val="TableParagraph"/>
              <w:spacing w:line="155" w:lineRule="exact" w:before="3"/>
              <w:ind w:left="131" w:right="60"/>
              <w:jc w:val="center"/>
              <w:rPr>
                <w:sz w:val="15"/>
              </w:rPr>
            </w:pPr>
            <w:r>
              <w:rPr>
                <w:w w:val="105"/>
                <w:sz w:val="15"/>
              </w:rPr>
              <w:t>0.050730</w:t>
            </w:r>
          </w:p>
        </w:tc>
        <w:tc>
          <w:tcPr>
            <w:tcW w:w="867" w:type="dxa"/>
          </w:tcPr>
          <w:p>
            <w:pPr>
              <w:pStyle w:val="TableParagraph"/>
              <w:spacing w:line="155" w:lineRule="exact" w:before="3"/>
              <w:ind w:right="57"/>
              <w:rPr>
                <w:sz w:val="15"/>
              </w:rPr>
            </w:pPr>
            <w:r>
              <w:rPr>
                <w:w w:val="105"/>
                <w:sz w:val="15"/>
              </w:rPr>
              <w:t>3.044288</w:t>
            </w:r>
          </w:p>
        </w:tc>
        <w:tc>
          <w:tcPr>
            <w:tcW w:w="708" w:type="dxa"/>
          </w:tcPr>
          <w:p>
            <w:pPr>
              <w:pStyle w:val="TableParagraph"/>
              <w:spacing w:line="155" w:lineRule="exact" w:before="3"/>
              <w:ind w:right="7"/>
              <w:rPr>
                <w:sz w:val="15"/>
              </w:rPr>
            </w:pPr>
            <w:r>
              <w:rPr>
                <w:w w:val="105"/>
                <w:sz w:val="15"/>
              </w:rPr>
              <w:t>0.0025</w:t>
            </w:r>
          </w:p>
        </w:tc>
      </w:tr>
      <w:tr>
        <w:trPr>
          <w:trHeight w:val="178" w:hRule="atLeast"/>
        </w:trPr>
        <w:tc>
          <w:tcPr>
            <w:tcW w:w="2469" w:type="dxa"/>
          </w:tcPr>
          <w:p>
            <w:pPr>
              <w:pStyle w:val="TableParagraph"/>
              <w:spacing w:line="155" w:lineRule="exact" w:before="3"/>
              <w:ind w:left="47"/>
              <w:jc w:val="left"/>
              <w:rPr>
                <w:sz w:val="15"/>
              </w:rPr>
            </w:pPr>
            <w:r>
              <w:rPr>
                <w:w w:val="105"/>
                <w:sz w:val="15"/>
              </w:rPr>
              <w:t>LN_AREA_DE_CONSTRUCCION</w:t>
            </w:r>
          </w:p>
        </w:tc>
        <w:tc>
          <w:tcPr>
            <w:tcW w:w="892" w:type="dxa"/>
          </w:tcPr>
          <w:p>
            <w:pPr>
              <w:pStyle w:val="TableParagraph"/>
              <w:spacing w:line="155" w:lineRule="exact" w:before="3"/>
              <w:ind w:right="100"/>
              <w:rPr>
                <w:sz w:val="15"/>
              </w:rPr>
            </w:pPr>
            <w:r>
              <w:rPr>
                <w:w w:val="105"/>
                <w:sz w:val="15"/>
              </w:rPr>
              <w:t>0.042833</w:t>
            </w:r>
          </w:p>
        </w:tc>
        <w:tc>
          <w:tcPr>
            <w:tcW w:w="941" w:type="dxa"/>
          </w:tcPr>
          <w:p>
            <w:pPr>
              <w:pStyle w:val="TableParagraph"/>
              <w:spacing w:line="155" w:lineRule="exact" w:before="3"/>
              <w:ind w:left="131" w:right="60"/>
              <w:jc w:val="center"/>
              <w:rPr>
                <w:sz w:val="15"/>
              </w:rPr>
            </w:pPr>
            <w:r>
              <w:rPr>
                <w:w w:val="105"/>
                <w:sz w:val="15"/>
              </w:rPr>
              <w:t>0.042323</w:t>
            </w:r>
          </w:p>
        </w:tc>
        <w:tc>
          <w:tcPr>
            <w:tcW w:w="867" w:type="dxa"/>
          </w:tcPr>
          <w:p>
            <w:pPr>
              <w:pStyle w:val="TableParagraph"/>
              <w:spacing w:line="155" w:lineRule="exact" w:before="3"/>
              <w:ind w:right="57"/>
              <w:rPr>
                <w:sz w:val="15"/>
              </w:rPr>
            </w:pPr>
            <w:r>
              <w:rPr>
                <w:w w:val="105"/>
                <w:sz w:val="15"/>
              </w:rPr>
              <w:t>1.012048</w:t>
            </w:r>
          </w:p>
        </w:tc>
        <w:tc>
          <w:tcPr>
            <w:tcW w:w="708" w:type="dxa"/>
          </w:tcPr>
          <w:p>
            <w:pPr>
              <w:pStyle w:val="TableParagraph"/>
              <w:spacing w:line="155" w:lineRule="exact" w:before="3"/>
              <w:ind w:right="7"/>
              <w:rPr>
                <w:sz w:val="15"/>
              </w:rPr>
            </w:pPr>
            <w:r>
              <w:rPr>
                <w:w w:val="105"/>
                <w:sz w:val="15"/>
              </w:rPr>
              <w:t>0.3124</w:t>
            </w:r>
          </w:p>
        </w:tc>
      </w:tr>
      <w:tr>
        <w:trPr>
          <w:trHeight w:val="178" w:hRule="atLeast"/>
        </w:trPr>
        <w:tc>
          <w:tcPr>
            <w:tcW w:w="2469" w:type="dxa"/>
          </w:tcPr>
          <w:p>
            <w:pPr>
              <w:pStyle w:val="TableParagraph"/>
              <w:spacing w:line="155" w:lineRule="exact" w:before="3"/>
              <w:ind w:left="247"/>
              <w:jc w:val="left"/>
              <w:rPr>
                <w:sz w:val="15"/>
              </w:rPr>
            </w:pPr>
            <w:r>
              <w:rPr>
                <w:w w:val="105"/>
                <w:sz w:val="15"/>
              </w:rPr>
              <w:t>LN_ANO_CONSTRUCCION</w:t>
            </w:r>
          </w:p>
        </w:tc>
        <w:tc>
          <w:tcPr>
            <w:tcW w:w="892" w:type="dxa"/>
          </w:tcPr>
          <w:p>
            <w:pPr>
              <w:pStyle w:val="TableParagraph"/>
              <w:spacing w:line="155" w:lineRule="exact" w:before="3"/>
              <w:ind w:right="100"/>
              <w:rPr>
                <w:sz w:val="15"/>
              </w:rPr>
            </w:pPr>
            <w:r>
              <w:rPr>
                <w:w w:val="105"/>
                <w:sz w:val="15"/>
              </w:rPr>
              <w:t>-11.14699</w:t>
            </w:r>
          </w:p>
        </w:tc>
        <w:tc>
          <w:tcPr>
            <w:tcW w:w="941" w:type="dxa"/>
          </w:tcPr>
          <w:p>
            <w:pPr>
              <w:pStyle w:val="TableParagraph"/>
              <w:spacing w:line="155" w:lineRule="exact" w:before="3"/>
              <w:ind w:left="131" w:right="60"/>
              <w:jc w:val="center"/>
              <w:rPr>
                <w:sz w:val="15"/>
              </w:rPr>
            </w:pPr>
            <w:r>
              <w:rPr>
                <w:w w:val="105"/>
                <w:sz w:val="15"/>
              </w:rPr>
              <w:t>9.067684</w:t>
            </w:r>
          </w:p>
        </w:tc>
        <w:tc>
          <w:tcPr>
            <w:tcW w:w="867" w:type="dxa"/>
          </w:tcPr>
          <w:p>
            <w:pPr>
              <w:pStyle w:val="TableParagraph"/>
              <w:spacing w:line="155" w:lineRule="exact" w:before="3"/>
              <w:ind w:right="57"/>
              <w:rPr>
                <w:sz w:val="15"/>
              </w:rPr>
            </w:pPr>
            <w:r>
              <w:rPr>
                <w:w w:val="105"/>
                <w:sz w:val="15"/>
              </w:rPr>
              <w:t>-1.229309</w:t>
            </w:r>
          </w:p>
        </w:tc>
        <w:tc>
          <w:tcPr>
            <w:tcW w:w="708" w:type="dxa"/>
          </w:tcPr>
          <w:p>
            <w:pPr>
              <w:pStyle w:val="TableParagraph"/>
              <w:spacing w:line="155" w:lineRule="exact" w:before="3"/>
              <w:ind w:right="7"/>
              <w:rPr>
                <w:sz w:val="15"/>
              </w:rPr>
            </w:pPr>
            <w:r>
              <w:rPr>
                <w:w w:val="105"/>
                <w:sz w:val="15"/>
              </w:rPr>
              <w:t>0.2199</w:t>
            </w:r>
          </w:p>
        </w:tc>
      </w:tr>
      <w:tr>
        <w:trPr>
          <w:trHeight w:val="178" w:hRule="atLeast"/>
        </w:trPr>
        <w:tc>
          <w:tcPr>
            <w:tcW w:w="2469" w:type="dxa"/>
          </w:tcPr>
          <w:p>
            <w:pPr>
              <w:pStyle w:val="TableParagraph"/>
              <w:spacing w:line="155" w:lineRule="exact" w:before="3"/>
              <w:ind w:left="278"/>
              <w:jc w:val="left"/>
              <w:rPr>
                <w:sz w:val="15"/>
              </w:rPr>
            </w:pPr>
            <w:r>
              <w:rPr>
                <w:w w:val="105"/>
                <w:sz w:val="15"/>
              </w:rPr>
              <w:t>LN_NUMERO_DE_BANOS</w:t>
            </w:r>
          </w:p>
        </w:tc>
        <w:tc>
          <w:tcPr>
            <w:tcW w:w="892" w:type="dxa"/>
          </w:tcPr>
          <w:p>
            <w:pPr>
              <w:pStyle w:val="TableParagraph"/>
              <w:spacing w:line="155" w:lineRule="exact" w:before="3"/>
              <w:ind w:right="100"/>
              <w:rPr>
                <w:sz w:val="15"/>
              </w:rPr>
            </w:pPr>
            <w:r>
              <w:rPr>
                <w:w w:val="105"/>
                <w:sz w:val="15"/>
              </w:rPr>
              <w:t>1.036157</w:t>
            </w:r>
          </w:p>
        </w:tc>
        <w:tc>
          <w:tcPr>
            <w:tcW w:w="941" w:type="dxa"/>
          </w:tcPr>
          <w:p>
            <w:pPr>
              <w:pStyle w:val="TableParagraph"/>
              <w:spacing w:line="155" w:lineRule="exact" w:before="3"/>
              <w:ind w:left="131" w:right="60"/>
              <w:jc w:val="center"/>
              <w:rPr>
                <w:sz w:val="15"/>
              </w:rPr>
            </w:pPr>
            <w:r>
              <w:rPr>
                <w:w w:val="105"/>
                <w:sz w:val="15"/>
              </w:rPr>
              <w:t>0.087750</w:t>
            </w:r>
          </w:p>
        </w:tc>
        <w:tc>
          <w:tcPr>
            <w:tcW w:w="867" w:type="dxa"/>
          </w:tcPr>
          <w:p>
            <w:pPr>
              <w:pStyle w:val="TableParagraph"/>
              <w:spacing w:line="155" w:lineRule="exact" w:before="3"/>
              <w:ind w:right="57"/>
              <w:rPr>
                <w:sz w:val="15"/>
              </w:rPr>
            </w:pPr>
            <w:r>
              <w:rPr>
                <w:w w:val="105"/>
                <w:sz w:val="15"/>
              </w:rPr>
              <w:t>11.80810</w:t>
            </w:r>
          </w:p>
        </w:tc>
        <w:tc>
          <w:tcPr>
            <w:tcW w:w="708" w:type="dxa"/>
          </w:tcPr>
          <w:p>
            <w:pPr>
              <w:pStyle w:val="TableParagraph"/>
              <w:spacing w:line="155" w:lineRule="exact" w:before="3"/>
              <w:ind w:right="7"/>
              <w:rPr>
                <w:sz w:val="15"/>
              </w:rPr>
            </w:pPr>
            <w:r>
              <w:rPr>
                <w:w w:val="105"/>
                <w:sz w:val="15"/>
              </w:rPr>
              <w:t>0.0000</w:t>
            </w:r>
          </w:p>
        </w:tc>
      </w:tr>
      <w:tr>
        <w:trPr>
          <w:trHeight w:val="178" w:hRule="atLeast"/>
        </w:trPr>
        <w:tc>
          <w:tcPr>
            <w:tcW w:w="2469" w:type="dxa"/>
          </w:tcPr>
          <w:p>
            <w:pPr>
              <w:pStyle w:val="TableParagraph"/>
              <w:spacing w:line="155" w:lineRule="exact" w:before="3"/>
              <w:ind w:left="205"/>
              <w:jc w:val="left"/>
              <w:rPr>
                <w:sz w:val="15"/>
              </w:rPr>
            </w:pPr>
            <w:r>
              <w:rPr>
                <w:w w:val="105"/>
                <w:sz w:val="15"/>
              </w:rPr>
              <w:t>LN_NUMERO_DE_PLANTAS</w:t>
            </w:r>
          </w:p>
        </w:tc>
        <w:tc>
          <w:tcPr>
            <w:tcW w:w="892" w:type="dxa"/>
          </w:tcPr>
          <w:p>
            <w:pPr>
              <w:pStyle w:val="TableParagraph"/>
              <w:spacing w:line="155" w:lineRule="exact" w:before="3"/>
              <w:ind w:right="100"/>
              <w:rPr>
                <w:sz w:val="15"/>
              </w:rPr>
            </w:pPr>
            <w:r>
              <w:rPr>
                <w:w w:val="105"/>
                <w:sz w:val="15"/>
              </w:rPr>
              <w:t>-0.123167</w:t>
            </w:r>
          </w:p>
        </w:tc>
        <w:tc>
          <w:tcPr>
            <w:tcW w:w="941" w:type="dxa"/>
          </w:tcPr>
          <w:p>
            <w:pPr>
              <w:pStyle w:val="TableParagraph"/>
              <w:spacing w:line="155" w:lineRule="exact" w:before="3"/>
              <w:ind w:left="131" w:right="60"/>
              <w:jc w:val="center"/>
              <w:rPr>
                <w:sz w:val="15"/>
              </w:rPr>
            </w:pPr>
            <w:r>
              <w:rPr>
                <w:w w:val="105"/>
                <w:sz w:val="15"/>
              </w:rPr>
              <w:t>0.092969</w:t>
            </w:r>
          </w:p>
        </w:tc>
        <w:tc>
          <w:tcPr>
            <w:tcW w:w="867" w:type="dxa"/>
          </w:tcPr>
          <w:p>
            <w:pPr>
              <w:pStyle w:val="TableParagraph"/>
              <w:spacing w:line="155" w:lineRule="exact" w:before="3"/>
              <w:ind w:right="57"/>
              <w:rPr>
                <w:sz w:val="15"/>
              </w:rPr>
            </w:pPr>
            <w:r>
              <w:rPr>
                <w:w w:val="105"/>
                <w:sz w:val="15"/>
              </w:rPr>
              <w:t>-1.324818</w:t>
            </w:r>
          </w:p>
        </w:tc>
        <w:tc>
          <w:tcPr>
            <w:tcW w:w="708" w:type="dxa"/>
          </w:tcPr>
          <w:p>
            <w:pPr>
              <w:pStyle w:val="TableParagraph"/>
              <w:spacing w:line="155" w:lineRule="exact" w:before="3"/>
              <w:ind w:right="7"/>
              <w:rPr>
                <w:sz w:val="15"/>
              </w:rPr>
            </w:pPr>
            <w:r>
              <w:rPr>
                <w:w w:val="105"/>
                <w:sz w:val="15"/>
              </w:rPr>
              <w:t>0.1863</w:t>
            </w:r>
          </w:p>
        </w:tc>
      </w:tr>
      <w:tr>
        <w:trPr>
          <w:trHeight w:val="178" w:hRule="atLeast"/>
        </w:trPr>
        <w:tc>
          <w:tcPr>
            <w:tcW w:w="2469" w:type="dxa"/>
          </w:tcPr>
          <w:p>
            <w:pPr>
              <w:pStyle w:val="TableParagraph"/>
              <w:spacing w:line="155" w:lineRule="exact" w:before="3"/>
              <w:ind w:left="552"/>
              <w:jc w:val="left"/>
              <w:rPr>
                <w:sz w:val="15"/>
              </w:rPr>
            </w:pPr>
            <w:r>
              <w:rPr>
                <w:w w:val="105"/>
                <w:sz w:val="15"/>
              </w:rPr>
              <w:t>LN_DISTANCIA_SJ</w:t>
            </w:r>
          </w:p>
        </w:tc>
        <w:tc>
          <w:tcPr>
            <w:tcW w:w="892" w:type="dxa"/>
          </w:tcPr>
          <w:p>
            <w:pPr>
              <w:pStyle w:val="TableParagraph"/>
              <w:spacing w:line="155" w:lineRule="exact" w:before="3"/>
              <w:ind w:right="100"/>
              <w:rPr>
                <w:sz w:val="15"/>
              </w:rPr>
            </w:pPr>
            <w:r>
              <w:rPr>
                <w:w w:val="105"/>
                <w:sz w:val="15"/>
              </w:rPr>
              <w:t>-0.245271</w:t>
            </w:r>
          </w:p>
        </w:tc>
        <w:tc>
          <w:tcPr>
            <w:tcW w:w="941" w:type="dxa"/>
          </w:tcPr>
          <w:p>
            <w:pPr>
              <w:pStyle w:val="TableParagraph"/>
              <w:spacing w:line="155" w:lineRule="exact" w:before="3"/>
              <w:ind w:left="131" w:right="60"/>
              <w:jc w:val="center"/>
              <w:rPr>
                <w:sz w:val="15"/>
              </w:rPr>
            </w:pPr>
            <w:r>
              <w:rPr>
                <w:w w:val="105"/>
                <w:sz w:val="15"/>
              </w:rPr>
              <w:t>0.113832</w:t>
            </w:r>
          </w:p>
        </w:tc>
        <w:tc>
          <w:tcPr>
            <w:tcW w:w="867" w:type="dxa"/>
          </w:tcPr>
          <w:p>
            <w:pPr>
              <w:pStyle w:val="TableParagraph"/>
              <w:spacing w:line="155" w:lineRule="exact" w:before="3"/>
              <w:ind w:right="57"/>
              <w:rPr>
                <w:sz w:val="15"/>
              </w:rPr>
            </w:pPr>
            <w:r>
              <w:rPr>
                <w:w w:val="105"/>
                <w:sz w:val="15"/>
              </w:rPr>
              <w:t>-2.154677</w:t>
            </w:r>
          </w:p>
        </w:tc>
        <w:tc>
          <w:tcPr>
            <w:tcW w:w="708" w:type="dxa"/>
          </w:tcPr>
          <w:p>
            <w:pPr>
              <w:pStyle w:val="TableParagraph"/>
              <w:spacing w:line="155" w:lineRule="exact" w:before="3"/>
              <w:ind w:right="7"/>
              <w:rPr>
                <w:sz w:val="15"/>
              </w:rPr>
            </w:pPr>
            <w:r>
              <w:rPr>
                <w:w w:val="105"/>
                <w:sz w:val="15"/>
              </w:rPr>
              <w:t>0.0320</w:t>
            </w:r>
          </w:p>
        </w:tc>
      </w:tr>
      <w:tr>
        <w:trPr>
          <w:trHeight w:val="178" w:hRule="atLeast"/>
        </w:trPr>
        <w:tc>
          <w:tcPr>
            <w:tcW w:w="2469" w:type="dxa"/>
          </w:tcPr>
          <w:p>
            <w:pPr>
              <w:pStyle w:val="TableParagraph"/>
              <w:spacing w:line="155" w:lineRule="exact" w:before="3"/>
              <w:ind w:left="278"/>
              <w:jc w:val="left"/>
              <w:rPr>
                <w:sz w:val="15"/>
              </w:rPr>
            </w:pPr>
            <w:r>
              <w:rPr>
                <w:w w:val="105"/>
                <w:sz w:val="15"/>
              </w:rPr>
              <w:t>LN_DISTANCIA_POBREZA</w:t>
            </w:r>
          </w:p>
        </w:tc>
        <w:tc>
          <w:tcPr>
            <w:tcW w:w="892" w:type="dxa"/>
          </w:tcPr>
          <w:p>
            <w:pPr>
              <w:pStyle w:val="TableParagraph"/>
              <w:spacing w:line="155" w:lineRule="exact" w:before="3"/>
              <w:ind w:right="100"/>
              <w:rPr>
                <w:sz w:val="15"/>
              </w:rPr>
            </w:pPr>
            <w:r>
              <w:rPr>
                <w:w w:val="105"/>
                <w:sz w:val="15"/>
              </w:rPr>
              <w:t>0.236229</w:t>
            </w:r>
          </w:p>
        </w:tc>
        <w:tc>
          <w:tcPr>
            <w:tcW w:w="941" w:type="dxa"/>
          </w:tcPr>
          <w:p>
            <w:pPr>
              <w:pStyle w:val="TableParagraph"/>
              <w:spacing w:line="155" w:lineRule="exact" w:before="3"/>
              <w:ind w:left="131" w:right="60"/>
              <w:jc w:val="center"/>
              <w:rPr>
                <w:sz w:val="15"/>
              </w:rPr>
            </w:pPr>
            <w:r>
              <w:rPr>
                <w:w w:val="105"/>
                <w:sz w:val="15"/>
              </w:rPr>
              <w:t>0.083863</w:t>
            </w:r>
          </w:p>
        </w:tc>
        <w:tc>
          <w:tcPr>
            <w:tcW w:w="867" w:type="dxa"/>
          </w:tcPr>
          <w:p>
            <w:pPr>
              <w:pStyle w:val="TableParagraph"/>
              <w:spacing w:line="155" w:lineRule="exact" w:before="3"/>
              <w:ind w:right="57"/>
              <w:rPr>
                <w:sz w:val="15"/>
              </w:rPr>
            </w:pPr>
            <w:r>
              <w:rPr>
                <w:w w:val="105"/>
                <w:sz w:val="15"/>
              </w:rPr>
              <w:t>2.816846</w:t>
            </w:r>
          </w:p>
        </w:tc>
        <w:tc>
          <w:tcPr>
            <w:tcW w:w="708" w:type="dxa"/>
          </w:tcPr>
          <w:p>
            <w:pPr>
              <w:pStyle w:val="TableParagraph"/>
              <w:spacing w:line="155" w:lineRule="exact" w:before="3"/>
              <w:ind w:right="7"/>
              <w:rPr>
                <w:sz w:val="15"/>
              </w:rPr>
            </w:pPr>
            <w:r>
              <w:rPr>
                <w:w w:val="105"/>
                <w:sz w:val="15"/>
              </w:rPr>
              <w:t>0.0052</w:t>
            </w:r>
          </w:p>
        </w:tc>
      </w:tr>
      <w:tr>
        <w:trPr>
          <w:trHeight w:val="178" w:hRule="atLeast"/>
        </w:trPr>
        <w:tc>
          <w:tcPr>
            <w:tcW w:w="2469" w:type="dxa"/>
          </w:tcPr>
          <w:p>
            <w:pPr>
              <w:pStyle w:val="TableParagraph"/>
              <w:spacing w:line="155" w:lineRule="exact" w:before="3"/>
              <w:ind w:left="15"/>
              <w:jc w:val="left"/>
              <w:rPr>
                <w:sz w:val="15"/>
              </w:rPr>
            </w:pPr>
            <w:r>
              <w:rPr>
                <w:w w:val="105"/>
                <w:sz w:val="15"/>
              </w:rPr>
              <w:t>ZONA_DE</w:t>
            </w:r>
            <w:r>
              <w:rPr>
                <w:w w:val="105"/>
                <w:sz w:val="15"/>
                <w:u w:val="single"/>
              </w:rPr>
              <w:t> </w:t>
            </w:r>
            <w:r>
              <w:rPr>
                <w:w w:val="105"/>
                <w:sz w:val="15"/>
              </w:rPr>
              <w:t>RIESGO_DE_DESAS</w:t>
            </w:r>
          </w:p>
        </w:tc>
        <w:tc>
          <w:tcPr>
            <w:tcW w:w="892" w:type="dxa"/>
          </w:tcPr>
          <w:p>
            <w:pPr>
              <w:pStyle w:val="TableParagraph"/>
              <w:spacing w:line="155" w:lineRule="exact" w:before="3"/>
              <w:ind w:right="100"/>
              <w:rPr>
                <w:sz w:val="15"/>
              </w:rPr>
            </w:pPr>
            <w:r>
              <w:rPr>
                <w:w w:val="105"/>
                <w:sz w:val="15"/>
              </w:rPr>
              <w:t>-0.097149</w:t>
            </w:r>
          </w:p>
        </w:tc>
        <w:tc>
          <w:tcPr>
            <w:tcW w:w="941" w:type="dxa"/>
          </w:tcPr>
          <w:p>
            <w:pPr>
              <w:pStyle w:val="TableParagraph"/>
              <w:spacing w:line="155" w:lineRule="exact" w:before="3"/>
              <w:ind w:left="131" w:right="60"/>
              <w:jc w:val="center"/>
              <w:rPr>
                <w:sz w:val="15"/>
              </w:rPr>
            </w:pPr>
            <w:r>
              <w:rPr>
                <w:w w:val="105"/>
                <w:sz w:val="15"/>
              </w:rPr>
              <w:t>0.078781</w:t>
            </w:r>
          </w:p>
        </w:tc>
        <w:tc>
          <w:tcPr>
            <w:tcW w:w="867" w:type="dxa"/>
          </w:tcPr>
          <w:p>
            <w:pPr>
              <w:pStyle w:val="TableParagraph"/>
              <w:spacing w:line="155" w:lineRule="exact" w:before="3"/>
              <w:ind w:right="57"/>
              <w:rPr>
                <w:sz w:val="15"/>
              </w:rPr>
            </w:pPr>
            <w:r>
              <w:rPr>
                <w:w w:val="105"/>
                <w:sz w:val="15"/>
              </w:rPr>
              <w:t>-1.233146</w:t>
            </w:r>
          </w:p>
        </w:tc>
        <w:tc>
          <w:tcPr>
            <w:tcW w:w="708" w:type="dxa"/>
          </w:tcPr>
          <w:p>
            <w:pPr>
              <w:pStyle w:val="TableParagraph"/>
              <w:spacing w:line="155" w:lineRule="exact" w:before="3"/>
              <w:ind w:right="7"/>
              <w:rPr>
                <w:sz w:val="15"/>
              </w:rPr>
            </w:pPr>
            <w:r>
              <w:rPr>
                <w:w w:val="105"/>
                <w:sz w:val="15"/>
              </w:rPr>
              <w:t>0.2185</w:t>
            </w:r>
          </w:p>
        </w:tc>
      </w:tr>
      <w:tr>
        <w:trPr>
          <w:trHeight w:val="205" w:hRule="atLeast"/>
        </w:trPr>
        <w:tc>
          <w:tcPr>
            <w:tcW w:w="2469" w:type="dxa"/>
            <w:tcBorders>
              <w:bottom w:val="double" w:sz="2" w:space="0" w:color="000000"/>
            </w:tcBorders>
          </w:tcPr>
          <w:p>
            <w:pPr>
              <w:pStyle w:val="TableParagraph"/>
              <w:spacing w:line="240" w:lineRule="auto" w:before="3"/>
              <w:ind w:left="257"/>
              <w:jc w:val="left"/>
              <w:rPr>
                <w:sz w:val="15"/>
              </w:rPr>
            </w:pPr>
            <w:r>
              <w:rPr>
                <w:w w:val="105"/>
                <w:sz w:val="15"/>
              </w:rPr>
              <w:t>VISTA_A_LA_CARPINTERA</w:t>
            </w:r>
          </w:p>
        </w:tc>
        <w:tc>
          <w:tcPr>
            <w:tcW w:w="892" w:type="dxa"/>
            <w:tcBorders>
              <w:bottom w:val="double" w:sz="2" w:space="0" w:color="000000"/>
            </w:tcBorders>
          </w:tcPr>
          <w:p>
            <w:pPr>
              <w:pStyle w:val="TableParagraph"/>
              <w:spacing w:line="240" w:lineRule="auto" w:before="3"/>
              <w:ind w:right="100"/>
              <w:rPr>
                <w:sz w:val="15"/>
              </w:rPr>
            </w:pPr>
            <w:r>
              <w:rPr>
                <w:w w:val="105"/>
                <w:sz w:val="15"/>
              </w:rPr>
              <w:t>0.087718</w:t>
            </w:r>
          </w:p>
        </w:tc>
        <w:tc>
          <w:tcPr>
            <w:tcW w:w="941" w:type="dxa"/>
            <w:tcBorders>
              <w:bottom w:val="double" w:sz="2" w:space="0" w:color="000000"/>
            </w:tcBorders>
          </w:tcPr>
          <w:p>
            <w:pPr>
              <w:pStyle w:val="TableParagraph"/>
              <w:spacing w:line="240" w:lineRule="auto" w:before="3"/>
              <w:ind w:left="131" w:right="60"/>
              <w:jc w:val="center"/>
              <w:rPr>
                <w:sz w:val="15"/>
              </w:rPr>
            </w:pPr>
            <w:r>
              <w:rPr>
                <w:w w:val="105"/>
                <w:sz w:val="15"/>
              </w:rPr>
              <w:t>0.050204</w:t>
            </w:r>
          </w:p>
        </w:tc>
        <w:tc>
          <w:tcPr>
            <w:tcW w:w="867" w:type="dxa"/>
            <w:tcBorders>
              <w:bottom w:val="double" w:sz="2" w:space="0" w:color="000000"/>
            </w:tcBorders>
          </w:tcPr>
          <w:p>
            <w:pPr>
              <w:pStyle w:val="TableParagraph"/>
              <w:spacing w:line="240" w:lineRule="auto" w:before="3"/>
              <w:ind w:right="57"/>
              <w:rPr>
                <w:sz w:val="15"/>
              </w:rPr>
            </w:pPr>
            <w:r>
              <w:rPr>
                <w:w w:val="105"/>
                <w:sz w:val="15"/>
              </w:rPr>
              <w:t>1.747250</w:t>
            </w:r>
          </w:p>
        </w:tc>
        <w:tc>
          <w:tcPr>
            <w:tcW w:w="708" w:type="dxa"/>
            <w:tcBorders>
              <w:bottom w:val="double" w:sz="2" w:space="0" w:color="000000"/>
            </w:tcBorders>
          </w:tcPr>
          <w:p>
            <w:pPr>
              <w:pStyle w:val="TableParagraph"/>
              <w:spacing w:line="240" w:lineRule="auto" w:before="3"/>
              <w:ind w:right="7"/>
              <w:rPr>
                <w:sz w:val="15"/>
              </w:rPr>
            </w:pPr>
            <w:r>
              <w:rPr>
                <w:w w:val="105"/>
                <w:sz w:val="15"/>
              </w:rPr>
              <w:t>0.0816</w:t>
            </w:r>
          </w:p>
        </w:tc>
      </w:tr>
      <w:tr>
        <w:trPr>
          <w:trHeight w:val="284" w:hRule="atLeast"/>
        </w:trPr>
        <w:tc>
          <w:tcPr>
            <w:tcW w:w="2469" w:type="dxa"/>
          </w:tcPr>
          <w:p>
            <w:pPr>
              <w:pStyle w:val="TableParagraph"/>
              <w:spacing w:line="155" w:lineRule="exact" w:before="109"/>
              <w:ind w:left="15"/>
              <w:jc w:val="left"/>
              <w:rPr>
                <w:sz w:val="15"/>
              </w:rPr>
            </w:pPr>
            <w:r>
              <w:rPr>
                <w:w w:val="105"/>
                <w:sz w:val="15"/>
              </w:rPr>
              <w:t>R-squared</w:t>
            </w:r>
          </w:p>
        </w:tc>
        <w:tc>
          <w:tcPr>
            <w:tcW w:w="892" w:type="dxa"/>
          </w:tcPr>
          <w:p>
            <w:pPr>
              <w:pStyle w:val="TableParagraph"/>
              <w:spacing w:line="155" w:lineRule="exact" w:before="109"/>
              <w:ind w:right="100"/>
              <w:rPr>
                <w:sz w:val="15"/>
              </w:rPr>
            </w:pPr>
            <w:r>
              <w:rPr>
                <w:w w:val="105"/>
                <w:sz w:val="15"/>
              </w:rPr>
              <w:t>0.525250</w:t>
            </w:r>
          </w:p>
        </w:tc>
        <w:tc>
          <w:tcPr>
            <w:tcW w:w="1808" w:type="dxa"/>
            <w:gridSpan w:val="2"/>
          </w:tcPr>
          <w:p>
            <w:pPr>
              <w:pStyle w:val="TableParagraph"/>
              <w:spacing w:line="155" w:lineRule="exact" w:before="109"/>
              <w:ind w:left="104"/>
              <w:jc w:val="left"/>
              <w:rPr>
                <w:sz w:val="15"/>
              </w:rPr>
            </w:pPr>
            <w:r>
              <w:rPr>
                <w:w w:val="105"/>
                <w:sz w:val="15"/>
              </w:rPr>
              <w:t>Mean dependent var</w:t>
            </w:r>
          </w:p>
        </w:tc>
        <w:tc>
          <w:tcPr>
            <w:tcW w:w="708" w:type="dxa"/>
          </w:tcPr>
          <w:p>
            <w:pPr>
              <w:pStyle w:val="TableParagraph"/>
              <w:spacing w:line="155" w:lineRule="exact" w:before="109"/>
              <w:ind w:right="7"/>
              <w:rPr>
                <w:sz w:val="15"/>
              </w:rPr>
            </w:pPr>
            <w:r>
              <w:rPr>
                <w:w w:val="105"/>
                <w:sz w:val="15"/>
              </w:rPr>
              <w:t>12.60831</w:t>
            </w:r>
          </w:p>
        </w:tc>
      </w:tr>
      <w:tr>
        <w:trPr>
          <w:trHeight w:val="178" w:hRule="atLeast"/>
        </w:trPr>
        <w:tc>
          <w:tcPr>
            <w:tcW w:w="2469" w:type="dxa"/>
          </w:tcPr>
          <w:p>
            <w:pPr>
              <w:pStyle w:val="TableParagraph"/>
              <w:spacing w:line="155" w:lineRule="exact" w:before="3"/>
              <w:ind w:left="15"/>
              <w:jc w:val="left"/>
              <w:rPr>
                <w:sz w:val="15"/>
              </w:rPr>
            </w:pPr>
            <w:r>
              <w:rPr>
                <w:w w:val="105"/>
                <w:sz w:val="15"/>
              </w:rPr>
              <w:t>Adjusted R-squared</w:t>
            </w:r>
          </w:p>
        </w:tc>
        <w:tc>
          <w:tcPr>
            <w:tcW w:w="892" w:type="dxa"/>
          </w:tcPr>
          <w:p>
            <w:pPr>
              <w:pStyle w:val="TableParagraph"/>
              <w:spacing w:line="155" w:lineRule="exact" w:before="3"/>
              <w:ind w:right="100"/>
              <w:rPr>
                <w:sz w:val="15"/>
              </w:rPr>
            </w:pPr>
            <w:r>
              <w:rPr>
                <w:w w:val="105"/>
                <w:sz w:val="15"/>
              </w:rPr>
              <w:t>0.510567</w:t>
            </w:r>
          </w:p>
        </w:tc>
        <w:tc>
          <w:tcPr>
            <w:tcW w:w="1808" w:type="dxa"/>
            <w:gridSpan w:val="2"/>
          </w:tcPr>
          <w:p>
            <w:pPr>
              <w:pStyle w:val="TableParagraph"/>
              <w:spacing w:line="155" w:lineRule="exact" w:before="3"/>
              <w:ind w:left="104"/>
              <w:jc w:val="left"/>
              <w:rPr>
                <w:sz w:val="15"/>
              </w:rPr>
            </w:pPr>
            <w:r>
              <w:rPr>
                <w:w w:val="105"/>
                <w:sz w:val="15"/>
              </w:rPr>
              <w:t>S.D. dependent var</w:t>
            </w:r>
          </w:p>
        </w:tc>
        <w:tc>
          <w:tcPr>
            <w:tcW w:w="708" w:type="dxa"/>
          </w:tcPr>
          <w:p>
            <w:pPr>
              <w:pStyle w:val="TableParagraph"/>
              <w:spacing w:line="155" w:lineRule="exact" w:before="3"/>
              <w:ind w:right="7"/>
              <w:rPr>
                <w:sz w:val="15"/>
              </w:rPr>
            </w:pPr>
            <w:r>
              <w:rPr>
                <w:w w:val="105"/>
                <w:sz w:val="15"/>
              </w:rPr>
              <w:t>0.560920</w:t>
            </w:r>
          </w:p>
        </w:tc>
      </w:tr>
      <w:tr>
        <w:trPr>
          <w:trHeight w:val="178" w:hRule="atLeast"/>
        </w:trPr>
        <w:tc>
          <w:tcPr>
            <w:tcW w:w="2469" w:type="dxa"/>
          </w:tcPr>
          <w:p>
            <w:pPr>
              <w:pStyle w:val="TableParagraph"/>
              <w:spacing w:line="155" w:lineRule="exact" w:before="3"/>
              <w:ind w:left="15"/>
              <w:jc w:val="left"/>
              <w:rPr>
                <w:sz w:val="15"/>
              </w:rPr>
            </w:pPr>
            <w:r>
              <w:rPr>
                <w:w w:val="105"/>
                <w:sz w:val="15"/>
              </w:rPr>
              <w:t>S.E. of regression</w:t>
            </w:r>
          </w:p>
        </w:tc>
        <w:tc>
          <w:tcPr>
            <w:tcW w:w="892" w:type="dxa"/>
          </w:tcPr>
          <w:p>
            <w:pPr>
              <w:pStyle w:val="TableParagraph"/>
              <w:spacing w:line="155" w:lineRule="exact" w:before="3"/>
              <w:ind w:right="100"/>
              <w:rPr>
                <w:sz w:val="15"/>
              </w:rPr>
            </w:pPr>
            <w:r>
              <w:rPr>
                <w:w w:val="105"/>
                <w:sz w:val="15"/>
              </w:rPr>
              <w:t>0.392417</w:t>
            </w:r>
          </w:p>
        </w:tc>
        <w:tc>
          <w:tcPr>
            <w:tcW w:w="1808" w:type="dxa"/>
            <w:gridSpan w:val="2"/>
          </w:tcPr>
          <w:p>
            <w:pPr>
              <w:pStyle w:val="TableParagraph"/>
              <w:spacing w:line="155" w:lineRule="exact" w:before="3"/>
              <w:ind w:left="104"/>
              <w:jc w:val="left"/>
              <w:rPr>
                <w:sz w:val="15"/>
              </w:rPr>
            </w:pPr>
            <w:r>
              <w:rPr>
                <w:w w:val="105"/>
                <w:sz w:val="15"/>
              </w:rPr>
              <w:t>Akaike info criterion</w:t>
            </w:r>
          </w:p>
        </w:tc>
        <w:tc>
          <w:tcPr>
            <w:tcW w:w="708" w:type="dxa"/>
          </w:tcPr>
          <w:p>
            <w:pPr>
              <w:pStyle w:val="TableParagraph"/>
              <w:spacing w:line="155" w:lineRule="exact" w:before="3"/>
              <w:ind w:right="7"/>
              <w:rPr>
                <w:sz w:val="15"/>
              </w:rPr>
            </w:pPr>
            <w:r>
              <w:rPr>
                <w:w w:val="105"/>
                <w:sz w:val="15"/>
              </w:rPr>
              <w:t>0.999675</w:t>
            </w:r>
          </w:p>
        </w:tc>
      </w:tr>
      <w:tr>
        <w:trPr>
          <w:trHeight w:val="178" w:hRule="atLeast"/>
        </w:trPr>
        <w:tc>
          <w:tcPr>
            <w:tcW w:w="2469" w:type="dxa"/>
          </w:tcPr>
          <w:p>
            <w:pPr>
              <w:pStyle w:val="TableParagraph"/>
              <w:spacing w:line="155" w:lineRule="exact" w:before="3"/>
              <w:ind w:left="15"/>
              <w:jc w:val="left"/>
              <w:rPr>
                <w:sz w:val="15"/>
              </w:rPr>
            </w:pPr>
            <w:r>
              <w:rPr>
                <w:w w:val="105"/>
                <w:sz w:val="15"/>
              </w:rPr>
              <w:t>Sum squared resid</w:t>
            </w:r>
          </w:p>
        </w:tc>
        <w:tc>
          <w:tcPr>
            <w:tcW w:w="892" w:type="dxa"/>
          </w:tcPr>
          <w:p>
            <w:pPr>
              <w:pStyle w:val="TableParagraph"/>
              <w:spacing w:line="155" w:lineRule="exact" w:before="3"/>
              <w:ind w:right="100"/>
              <w:rPr>
                <w:sz w:val="15"/>
              </w:rPr>
            </w:pPr>
            <w:r>
              <w:rPr>
                <w:w w:val="105"/>
                <w:sz w:val="15"/>
              </w:rPr>
              <w:t>44.81144</w:t>
            </w:r>
          </w:p>
        </w:tc>
        <w:tc>
          <w:tcPr>
            <w:tcW w:w="1808" w:type="dxa"/>
            <w:gridSpan w:val="2"/>
          </w:tcPr>
          <w:p>
            <w:pPr>
              <w:pStyle w:val="TableParagraph"/>
              <w:spacing w:line="155" w:lineRule="exact" w:before="3"/>
              <w:ind w:left="104"/>
              <w:jc w:val="left"/>
              <w:rPr>
                <w:sz w:val="15"/>
              </w:rPr>
            </w:pPr>
            <w:r>
              <w:rPr>
                <w:w w:val="105"/>
                <w:sz w:val="15"/>
              </w:rPr>
              <w:t>Schwarz criterion</w:t>
            </w:r>
          </w:p>
        </w:tc>
        <w:tc>
          <w:tcPr>
            <w:tcW w:w="708" w:type="dxa"/>
          </w:tcPr>
          <w:p>
            <w:pPr>
              <w:pStyle w:val="TableParagraph"/>
              <w:spacing w:line="155" w:lineRule="exact" w:before="3"/>
              <w:ind w:right="7"/>
              <w:rPr>
                <w:sz w:val="15"/>
              </w:rPr>
            </w:pPr>
            <w:r>
              <w:rPr>
                <w:w w:val="105"/>
                <w:sz w:val="15"/>
              </w:rPr>
              <w:t>1.122835</w:t>
            </w:r>
          </w:p>
        </w:tc>
      </w:tr>
      <w:tr>
        <w:trPr>
          <w:trHeight w:val="178" w:hRule="atLeast"/>
        </w:trPr>
        <w:tc>
          <w:tcPr>
            <w:tcW w:w="2469" w:type="dxa"/>
          </w:tcPr>
          <w:p>
            <w:pPr>
              <w:pStyle w:val="TableParagraph"/>
              <w:spacing w:line="155" w:lineRule="exact" w:before="3"/>
              <w:ind w:left="15"/>
              <w:jc w:val="left"/>
              <w:rPr>
                <w:sz w:val="15"/>
              </w:rPr>
            </w:pPr>
            <w:r>
              <w:rPr>
                <w:w w:val="105"/>
                <w:sz w:val="15"/>
              </w:rPr>
              <w:t>Log likelihood</w:t>
            </w:r>
          </w:p>
        </w:tc>
        <w:tc>
          <w:tcPr>
            <w:tcW w:w="892" w:type="dxa"/>
          </w:tcPr>
          <w:p>
            <w:pPr>
              <w:pStyle w:val="TableParagraph"/>
              <w:spacing w:line="155" w:lineRule="exact" w:before="3"/>
              <w:ind w:right="100"/>
              <w:rPr>
                <w:sz w:val="15"/>
              </w:rPr>
            </w:pPr>
            <w:r>
              <w:rPr>
                <w:w w:val="105"/>
                <w:sz w:val="15"/>
              </w:rPr>
              <w:t>-140.4511</w:t>
            </w:r>
          </w:p>
        </w:tc>
        <w:tc>
          <w:tcPr>
            <w:tcW w:w="1808" w:type="dxa"/>
            <w:gridSpan w:val="2"/>
          </w:tcPr>
          <w:p>
            <w:pPr>
              <w:pStyle w:val="TableParagraph"/>
              <w:spacing w:line="155" w:lineRule="exact" w:before="3"/>
              <w:ind w:left="104"/>
              <w:jc w:val="left"/>
              <w:rPr>
                <w:sz w:val="15"/>
              </w:rPr>
            </w:pPr>
            <w:r>
              <w:rPr>
                <w:w w:val="105"/>
                <w:sz w:val="15"/>
              </w:rPr>
              <w:t>Hannan-Quinn criter.</w:t>
            </w:r>
          </w:p>
        </w:tc>
        <w:tc>
          <w:tcPr>
            <w:tcW w:w="708" w:type="dxa"/>
          </w:tcPr>
          <w:p>
            <w:pPr>
              <w:pStyle w:val="TableParagraph"/>
              <w:spacing w:line="155" w:lineRule="exact" w:before="3"/>
              <w:ind w:right="7"/>
              <w:rPr>
                <w:sz w:val="15"/>
              </w:rPr>
            </w:pPr>
            <w:r>
              <w:rPr>
                <w:w w:val="105"/>
                <w:sz w:val="15"/>
              </w:rPr>
              <w:t>1.048959</w:t>
            </w:r>
          </w:p>
        </w:tc>
      </w:tr>
      <w:tr>
        <w:trPr>
          <w:trHeight w:val="205" w:hRule="atLeast"/>
        </w:trPr>
        <w:tc>
          <w:tcPr>
            <w:tcW w:w="2469" w:type="dxa"/>
            <w:tcBorders>
              <w:bottom w:val="double" w:sz="2" w:space="0" w:color="000000"/>
            </w:tcBorders>
          </w:tcPr>
          <w:p>
            <w:pPr>
              <w:pStyle w:val="TableParagraph"/>
              <w:spacing w:line="240" w:lineRule="auto" w:before="3"/>
              <w:ind w:left="15"/>
              <w:jc w:val="left"/>
              <w:rPr>
                <w:sz w:val="15"/>
              </w:rPr>
            </w:pPr>
            <w:r>
              <w:rPr>
                <w:w w:val="105"/>
                <w:sz w:val="15"/>
              </w:rPr>
              <w:t>Durbin-Watson stat</w:t>
            </w:r>
          </w:p>
        </w:tc>
        <w:tc>
          <w:tcPr>
            <w:tcW w:w="892" w:type="dxa"/>
            <w:tcBorders>
              <w:bottom w:val="double" w:sz="2" w:space="0" w:color="000000"/>
            </w:tcBorders>
          </w:tcPr>
          <w:p>
            <w:pPr>
              <w:pStyle w:val="TableParagraph"/>
              <w:spacing w:line="240" w:lineRule="auto" w:before="3"/>
              <w:ind w:right="100"/>
              <w:rPr>
                <w:sz w:val="15"/>
              </w:rPr>
            </w:pPr>
            <w:r>
              <w:rPr>
                <w:w w:val="105"/>
                <w:sz w:val="15"/>
              </w:rPr>
              <w:t>1.791235</w:t>
            </w:r>
          </w:p>
        </w:tc>
        <w:tc>
          <w:tcPr>
            <w:tcW w:w="1808" w:type="dxa"/>
            <w:gridSpan w:val="2"/>
            <w:tcBorders>
              <w:bottom w:val="double" w:sz="2" w:space="0" w:color="000000"/>
            </w:tcBorders>
          </w:tcPr>
          <w:p>
            <w:pPr>
              <w:pStyle w:val="TableParagraph"/>
              <w:spacing w:line="240" w:lineRule="auto" w:before="0"/>
              <w:jc w:val="left"/>
              <w:rPr>
                <w:rFonts w:ascii="Times New Roman"/>
                <w:sz w:val="14"/>
              </w:rPr>
            </w:pPr>
          </w:p>
        </w:tc>
        <w:tc>
          <w:tcPr>
            <w:tcW w:w="708" w:type="dxa"/>
            <w:tcBorders>
              <w:bottom w:val="double" w:sz="2" w:space="0" w:color="000000"/>
            </w:tcBorders>
          </w:tcPr>
          <w:p>
            <w:pPr>
              <w:pStyle w:val="TableParagraph"/>
              <w:spacing w:line="240" w:lineRule="auto" w:before="0"/>
              <w:jc w:val="left"/>
              <w:rPr>
                <w:rFonts w:ascii="Times New Roman"/>
                <w:sz w:val="14"/>
              </w:rPr>
            </w:pPr>
          </w:p>
        </w:tc>
      </w:tr>
    </w:tbl>
    <w:p>
      <w:pPr>
        <w:pStyle w:val="BodyText"/>
        <w:rPr>
          <w:sz w:val="20"/>
        </w:rPr>
      </w:pPr>
    </w:p>
    <w:p>
      <w:pPr>
        <w:pStyle w:val="BodyText"/>
        <w:spacing w:before="4"/>
        <w:rPr>
          <w:sz w:val="14"/>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274"/>
        <w:gridCol w:w="865"/>
        <w:gridCol w:w="864"/>
        <w:gridCol w:w="818"/>
      </w:tblGrid>
      <w:tr>
        <w:trPr>
          <w:trHeight w:val="1040" w:hRule="atLeast"/>
        </w:trPr>
        <w:tc>
          <w:tcPr>
            <w:tcW w:w="4274" w:type="dxa"/>
          </w:tcPr>
          <w:p>
            <w:pPr>
              <w:pStyle w:val="TableParagraph"/>
              <w:spacing w:line="290" w:lineRule="exact" w:before="0"/>
              <w:ind w:left="50"/>
              <w:jc w:val="left"/>
              <w:rPr>
                <w:b/>
                <w:sz w:val="26"/>
              </w:rPr>
            </w:pPr>
            <w:r>
              <w:rPr>
                <w:b/>
                <w:sz w:val="26"/>
              </w:rPr>
              <w:t>VIII- Modelo Número</w:t>
            </w:r>
            <w:r>
              <w:rPr>
                <w:b/>
                <w:spacing w:val="-6"/>
                <w:sz w:val="26"/>
              </w:rPr>
              <w:t> </w:t>
            </w:r>
            <w:r>
              <w:rPr>
                <w:b/>
                <w:sz w:val="26"/>
              </w:rPr>
              <w:t>8</w:t>
            </w:r>
          </w:p>
          <w:p>
            <w:pPr>
              <w:pStyle w:val="TableParagraph"/>
              <w:spacing w:line="240" w:lineRule="auto" w:before="9"/>
              <w:jc w:val="left"/>
              <w:rPr>
                <w:sz w:val="25"/>
              </w:rPr>
            </w:pPr>
          </w:p>
          <w:p>
            <w:pPr>
              <w:pStyle w:val="TableParagraph"/>
              <w:spacing w:line="240" w:lineRule="auto" w:before="0"/>
              <w:ind w:left="50"/>
              <w:jc w:val="left"/>
              <w:rPr>
                <w:b/>
                <w:sz w:val="26"/>
              </w:rPr>
            </w:pPr>
            <w:r>
              <w:rPr>
                <w:b/>
                <w:sz w:val="26"/>
              </w:rPr>
              <w:t>A-</w:t>
            </w:r>
            <w:r>
              <w:rPr>
                <w:b/>
                <w:spacing w:val="-11"/>
                <w:sz w:val="26"/>
              </w:rPr>
              <w:t> </w:t>
            </w:r>
            <w:r>
              <w:rPr>
                <w:b/>
                <w:sz w:val="26"/>
              </w:rPr>
              <w:t>Regresión/ACR/VIF</w:t>
            </w:r>
          </w:p>
        </w:tc>
        <w:tc>
          <w:tcPr>
            <w:tcW w:w="2547" w:type="dxa"/>
            <w:gridSpan w:val="3"/>
            <w:vMerge w:val="restart"/>
          </w:tcPr>
          <w:p>
            <w:pPr>
              <w:pStyle w:val="TableParagraph"/>
              <w:spacing w:line="240" w:lineRule="auto" w:before="0"/>
              <w:jc w:val="left"/>
              <w:rPr>
                <w:rFonts w:ascii="Times New Roman"/>
                <w:sz w:val="16"/>
              </w:rPr>
            </w:pPr>
          </w:p>
        </w:tc>
      </w:tr>
      <w:tr>
        <w:trPr>
          <w:trHeight w:val="426" w:hRule="atLeast"/>
        </w:trPr>
        <w:tc>
          <w:tcPr>
            <w:tcW w:w="4274" w:type="dxa"/>
          </w:tcPr>
          <w:p>
            <w:pPr>
              <w:pStyle w:val="TableParagraph"/>
              <w:spacing w:line="240" w:lineRule="auto" w:before="154"/>
              <w:ind w:left="50"/>
              <w:jc w:val="left"/>
              <w:rPr>
                <w:rFonts w:ascii="Courier New"/>
                <w:b/>
                <w:sz w:val="16"/>
              </w:rPr>
            </w:pPr>
            <w:r>
              <w:rPr>
                <w:rFonts w:ascii="Courier New"/>
                <w:b/>
                <w:sz w:val="16"/>
              </w:rPr>
              <w:t>Analysis of Variance</w:t>
            </w:r>
          </w:p>
        </w:tc>
        <w:tc>
          <w:tcPr>
            <w:tcW w:w="2547" w:type="dxa"/>
            <w:gridSpan w:val="3"/>
            <w:vMerge/>
            <w:tcBorders>
              <w:top w:val="nil"/>
            </w:tcBorders>
          </w:tcPr>
          <w:p>
            <w:pPr>
              <w:rPr>
                <w:sz w:val="2"/>
                <w:szCs w:val="2"/>
              </w:rPr>
            </w:pPr>
          </w:p>
        </w:tc>
      </w:tr>
      <w:tr>
        <w:trPr>
          <w:trHeight w:val="272" w:hRule="atLeast"/>
        </w:trPr>
        <w:tc>
          <w:tcPr>
            <w:tcW w:w="4274" w:type="dxa"/>
          </w:tcPr>
          <w:p>
            <w:pPr>
              <w:pStyle w:val="TableParagraph"/>
              <w:tabs>
                <w:tab w:pos="3123" w:val="left" w:leader="none"/>
                <w:tab w:pos="3602" w:val="left" w:leader="none"/>
              </w:tabs>
              <w:spacing w:line="161" w:lineRule="exact"/>
              <w:ind w:left="50"/>
              <w:jc w:val="left"/>
              <w:rPr>
                <w:rFonts w:ascii="Courier New"/>
                <w:b/>
                <w:sz w:val="16"/>
              </w:rPr>
            </w:pPr>
            <w:r>
              <w:rPr>
                <w:rFonts w:ascii="Courier New"/>
                <w:b/>
                <w:sz w:val="16"/>
              </w:rPr>
              <w:t>Source</w:t>
              <w:tab/>
              <w:t>DF</w:t>
              <w:tab/>
              <w:t>Adj</w:t>
            </w:r>
            <w:r>
              <w:rPr>
                <w:rFonts w:ascii="Courier New"/>
                <w:b/>
                <w:spacing w:val="-3"/>
                <w:sz w:val="16"/>
              </w:rPr>
              <w:t> </w:t>
            </w:r>
            <w:r>
              <w:rPr>
                <w:rFonts w:ascii="Courier New"/>
                <w:b/>
                <w:sz w:val="16"/>
              </w:rPr>
              <w:t>SS</w:t>
            </w:r>
          </w:p>
        </w:tc>
        <w:tc>
          <w:tcPr>
            <w:tcW w:w="865" w:type="dxa"/>
          </w:tcPr>
          <w:p>
            <w:pPr>
              <w:pStyle w:val="TableParagraph"/>
              <w:spacing w:line="161" w:lineRule="exact"/>
              <w:ind w:right="94"/>
              <w:rPr>
                <w:rFonts w:ascii="Courier New"/>
                <w:b/>
                <w:sz w:val="16"/>
              </w:rPr>
            </w:pPr>
            <w:r>
              <w:rPr>
                <w:rFonts w:ascii="Courier New"/>
                <w:b/>
                <w:sz w:val="16"/>
              </w:rPr>
              <w:t>Adj MS</w:t>
            </w:r>
          </w:p>
        </w:tc>
        <w:tc>
          <w:tcPr>
            <w:tcW w:w="864" w:type="dxa"/>
          </w:tcPr>
          <w:p>
            <w:pPr>
              <w:pStyle w:val="TableParagraph"/>
              <w:spacing w:line="161" w:lineRule="exact"/>
              <w:ind w:right="93"/>
              <w:rPr>
                <w:rFonts w:ascii="Courier New"/>
                <w:b/>
                <w:sz w:val="16"/>
              </w:rPr>
            </w:pPr>
            <w:r>
              <w:rPr>
                <w:rFonts w:ascii="Courier New"/>
                <w:b/>
                <w:sz w:val="16"/>
              </w:rPr>
              <w:t>F-Value</w:t>
            </w:r>
          </w:p>
        </w:tc>
        <w:tc>
          <w:tcPr>
            <w:tcW w:w="818" w:type="dxa"/>
          </w:tcPr>
          <w:p>
            <w:pPr>
              <w:pStyle w:val="TableParagraph"/>
              <w:spacing w:line="161" w:lineRule="exact"/>
              <w:ind w:right="46"/>
              <w:rPr>
                <w:rFonts w:ascii="Courier New"/>
                <w:b/>
                <w:sz w:val="16"/>
              </w:rPr>
            </w:pPr>
            <w:r>
              <w:rPr>
                <w:rFonts w:ascii="Courier New"/>
                <w:b/>
                <w:sz w:val="16"/>
              </w:rPr>
              <w:t>P-Value</w:t>
            </w:r>
          </w:p>
        </w:tc>
      </w:tr>
      <w:tr>
        <w:trPr>
          <w:trHeight w:val="180" w:hRule="atLeast"/>
        </w:trPr>
        <w:tc>
          <w:tcPr>
            <w:tcW w:w="4274" w:type="dxa"/>
          </w:tcPr>
          <w:p>
            <w:pPr>
              <w:pStyle w:val="TableParagraph"/>
              <w:tabs>
                <w:tab w:pos="3217" w:val="left" w:leader="none"/>
              </w:tabs>
              <w:spacing w:line="160" w:lineRule="exact" w:before="0"/>
              <w:ind w:left="50"/>
              <w:jc w:val="left"/>
              <w:rPr>
                <w:rFonts w:ascii="Courier New"/>
                <w:b/>
                <w:sz w:val="16"/>
              </w:rPr>
            </w:pPr>
            <w:r>
              <w:rPr>
                <w:rFonts w:ascii="Courier New"/>
                <w:b/>
                <w:sz w:val="16"/>
              </w:rPr>
              <w:t>Regression</w:t>
              <w:tab/>
              <w:t>9</w:t>
            </w:r>
            <w:r>
              <w:rPr>
                <w:rFonts w:ascii="Courier New"/>
                <w:b/>
                <w:spacing w:val="90"/>
                <w:sz w:val="16"/>
              </w:rPr>
              <w:t> </w:t>
            </w:r>
            <w:r>
              <w:rPr>
                <w:rFonts w:ascii="Courier New"/>
                <w:b/>
                <w:sz w:val="16"/>
              </w:rPr>
              <w:t>38.9127</w:t>
            </w:r>
          </w:p>
        </w:tc>
        <w:tc>
          <w:tcPr>
            <w:tcW w:w="865" w:type="dxa"/>
          </w:tcPr>
          <w:p>
            <w:pPr>
              <w:pStyle w:val="TableParagraph"/>
              <w:spacing w:line="160" w:lineRule="exact" w:before="0"/>
              <w:ind w:right="95"/>
              <w:rPr>
                <w:rFonts w:ascii="Courier New"/>
                <w:b/>
                <w:sz w:val="16"/>
              </w:rPr>
            </w:pPr>
            <w:r>
              <w:rPr>
                <w:rFonts w:ascii="Courier New"/>
                <w:b/>
                <w:sz w:val="16"/>
              </w:rPr>
              <w:t>4.3236</w:t>
            </w:r>
          </w:p>
        </w:tc>
        <w:tc>
          <w:tcPr>
            <w:tcW w:w="864" w:type="dxa"/>
          </w:tcPr>
          <w:p>
            <w:pPr>
              <w:pStyle w:val="TableParagraph"/>
              <w:spacing w:line="160" w:lineRule="exact" w:before="0"/>
              <w:ind w:right="95"/>
              <w:rPr>
                <w:rFonts w:ascii="Courier New"/>
                <w:b/>
                <w:sz w:val="16"/>
              </w:rPr>
            </w:pPr>
            <w:r>
              <w:rPr>
                <w:rFonts w:ascii="Courier New"/>
                <w:b/>
                <w:sz w:val="16"/>
              </w:rPr>
              <w:t>22.68</w:t>
            </w:r>
          </w:p>
        </w:tc>
        <w:tc>
          <w:tcPr>
            <w:tcW w:w="818" w:type="dxa"/>
          </w:tcPr>
          <w:p>
            <w:pPr>
              <w:pStyle w:val="TableParagraph"/>
              <w:spacing w:line="160" w:lineRule="exact" w:before="0"/>
              <w:ind w:right="49"/>
              <w:rPr>
                <w:rFonts w:ascii="Courier New"/>
                <w:b/>
                <w:sz w:val="16"/>
              </w:rPr>
            </w:pPr>
            <w:r>
              <w:rPr>
                <w:rFonts w:ascii="Courier New"/>
                <w:b/>
                <w:sz w:val="16"/>
              </w:rPr>
              <w:t>0.000</w:t>
            </w:r>
          </w:p>
        </w:tc>
      </w:tr>
      <w:tr>
        <w:trPr>
          <w:trHeight w:val="181" w:hRule="atLeast"/>
        </w:trPr>
        <w:tc>
          <w:tcPr>
            <w:tcW w:w="4274" w:type="dxa"/>
          </w:tcPr>
          <w:p>
            <w:pPr>
              <w:pStyle w:val="TableParagraph"/>
              <w:tabs>
                <w:tab w:pos="2975" w:val="left" w:leader="none"/>
                <w:tab w:pos="3359" w:val="left" w:leader="none"/>
              </w:tabs>
              <w:spacing w:line="162" w:lineRule="exact" w:before="0"/>
              <w:ind w:right="94"/>
              <w:rPr>
                <w:rFonts w:ascii="Courier New"/>
                <w:b/>
                <w:sz w:val="16"/>
              </w:rPr>
            </w:pPr>
            <w:r>
              <w:rPr>
                <w:rFonts w:ascii="Courier New"/>
                <w:b/>
                <w:sz w:val="16"/>
              </w:rPr>
              <w:t>Ln Area</w:t>
            </w:r>
            <w:r>
              <w:rPr>
                <w:rFonts w:ascii="Courier New"/>
                <w:b/>
                <w:spacing w:val="-11"/>
                <w:sz w:val="16"/>
              </w:rPr>
              <w:t> </w:t>
            </w:r>
            <w:r>
              <w:rPr>
                <w:rFonts w:ascii="Courier New"/>
                <w:b/>
                <w:sz w:val="16"/>
              </w:rPr>
              <w:t>de</w:t>
            </w:r>
            <w:r>
              <w:rPr>
                <w:rFonts w:ascii="Courier New"/>
                <w:b/>
                <w:spacing w:val="-5"/>
                <w:sz w:val="16"/>
              </w:rPr>
              <w:t> </w:t>
            </w:r>
            <w:r>
              <w:rPr>
                <w:rFonts w:ascii="Courier New"/>
                <w:b/>
                <w:sz w:val="16"/>
              </w:rPr>
              <w:t>Construccion</w:t>
              <w:tab/>
              <w:t>1</w:t>
              <w:tab/>
            </w:r>
            <w:r>
              <w:rPr>
                <w:rFonts w:ascii="Courier New"/>
                <w:b/>
                <w:spacing w:val="-1"/>
                <w:sz w:val="16"/>
              </w:rPr>
              <w:t>0.4348</w:t>
            </w:r>
          </w:p>
        </w:tc>
        <w:tc>
          <w:tcPr>
            <w:tcW w:w="865" w:type="dxa"/>
          </w:tcPr>
          <w:p>
            <w:pPr>
              <w:pStyle w:val="TableParagraph"/>
              <w:spacing w:line="162" w:lineRule="exact" w:before="0"/>
              <w:ind w:right="95"/>
              <w:rPr>
                <w:rFonts w:ascii="Courier New"/>
                <w:b/>
                <w:sz w:val="16"/>
              </w:rPr>
            </w:pPr>
            <w:r>
              <w:rPr>
                <w:rFonts w:ascii="Courier New"/>
                <w:b/>
                <w:sz w:val="16"/>
              </w:rPr>
              <w:t>0.4348</w:t>
            </w:r>
          </w:p>
        </w:tc>
        <w:tc>
          <w:tcPr>
            <w:tcW w:w="864" w:type="dxa"/>
          </w:tcPr>
          <w:p>
            <w:pPr>
              <w:pStyle w:val="TableParagraph"/>
              <w:spacing w:line="162" w:lineRule="exact" w:before="0"/>
              <w:ind w:right="95"/>
              <w:rPr>
                <w:rFonts w:ascii="Courier New"/>
                <w:b/>
                <w:sz w:val="16"/>
              </w:rPr>
            </w:pPr>
            <w:r>
              <w:rPr>
                <w:rFonts w:ascii="Courier New"/>
                <w:b/>
                <w:sz w:val="16"/>
              </w:rPr>
              <w:t>2.28</w:t>
            </w:r>
          </w:p>
        </w:tc>
        <w:tc>
          <w:tcPr>
            <w:tcW w:w="818" w:type="dxa"/>
          </w:tcPr>
          <w:p>
            <w:pPr>
              <w:pStyle w:val="TableParagraph"/>
              <w:spacing w:line="162" w:lineRule="exact" w:before="0"/>
              <w:ind w:right="49"/>
              <w:rPr>
                <w:rFonts w:ascii="Courier New"/>
                <w:b/>
                <w:sz w:val="16"/>
              </w:rPr>
            </w:pPr>
            <w:r>
              <w:rPr>
                <w:rFonts w:ascii="Courier New"/>
                <w:b/>
                <w:sz w:val="16"/>
              </w:rPr>
              <w:t>0.132</w:t>
            </w:r>
          </w:p>
        </w:tc>
      </w:tr>
      <w:tr>
        <w:trPr>
          <w:trHeight w:val="182" w:hRule="atLeast"/>
        </w:trPr>
        <w:tc>
          <w:tcPr>
            <w:tcW w:w="4274" w:type="dxa"/>
          </w:tcPr>
          <w:p>
            <w:pPr>
              <w:pStyle w:val="TableParagraph"/>
              <w:tabs>
                <w:tab w:pos="2975" w:val="left" w:leader="none"/>
                <w:tab w:pos="3359" w:val="left" w:leader="none"/>
              </w:tabs>
              <w:spacing w:line="161" w:lineRule="exact" w:before="1"/>
              <w:ind w:right="94"/>
              <w:rPr>
                <w:rFonts w:ascii="Courier New" w:hAnsi="Courier New"/>
                <w:b/>
                <w:sz w:val="16"/>
              </w:rPr>
            </w:pPr>
            <w:r>
              <w:rPr>
                <w:rFonts w:ascii="Courier New" w:hAnsi="Courier New"/>
                <w:b/>
                <w:sz w:val="16"/>
              </w:rPr>
              <w:t>Ln</w:t>
            </w:r>
            <w:r>
              <w:rPr>
                <w:rFonts w:ascii="Courier New" w:hAnsi="Courier New"/>
                <w:b/>
                <w:spacing w:val="-6"/>
                <w:sz w:val="16"/>
              </w:rPr>
              <w:t> </w:t>
            </w:r>
            <w:r>
              <w:rPr>
                <w:rFonts w:ascii="Courier New" w:hAnsi="Courier New"/>
                <w:b/>
                <w:sz w:val="16"/>
              </w:rPr>
              <w:t>Año</w:t>
            </w:r>
            <w:r>
              <w:rPr>
                <w:rFonts w:ascii="Courier New" w:hAnsi="Courier New"/>
                <w:b/>
                <w:spacing w:val="-6"/>
                <w:sz w:val="16"/>
              </w:rPr>
              <w:t> </w:t>
            </w:r>
            <w:r>
              <w:rPr>
                <w:rFonts w:ascii="Courier New" w:hAnsi="Courier New"/>
                <w:b/>
                <w:sz w:val="16"/>
              </w:rPr>
              <w:t>Construccion</w:t>
              <w:tab/>
              <w:t>1</w:t>
              <w:tab/>
            </w:r>
            <w:r>
              <w:rPr>
                <w:rFonts w:ascii="Courier New" w:hAnsi="Courier New"/>
                <w:b/>
                <w:spacing w:val="-1"/>
                <w:sz w:val="16"/>
              </w:rPr>
              <w:t>0.7948</w:t>
            </w:r>
          </w:p>
        </w:tc>
        <w:tc>
          <w:tcPr>
            <w:tcW w:w="865" w:type="dxa"/>
          </w:tcPr>
          <w:p>
            <w:pPr>
              <w:pStyle w:val="TableParagraph"/>
              <w:spacing w:line="161" w:lineRule="exact" w:before="1"/>
              <w:ind w:right="95"/>
              <w:rPr>
                <w:rFonts w:ascii="Courier New"/>
                <w:b/>
                <w:sz w:val="16"/>
              </w:rPr>
            </w:pPr>
            <w:r>
              <w:rPr>
                <w:rFonts w:ascii="Courier New"/>
                <w:b/>
                <w:sz w:val="16"/>
              </w:rPr>
              <w:t>0.7948</w:t>
            </w:r>
          </w:p>
        </w:tc>
        <w:tc>
          <w:tcPr>
            <w:tcW w:w="864" w:type="dxa"/>
          </w:tcPr>
          <w:p>
            <w:pPr>
              <w:pStyle w:val="TableParagraph"/>
              <w:spacing w:line="161" w:lineRule="exact" w:before="1"/>
              <w:ind w:right="95"/>
              <w:rPr>
                <w:rFonts w:ascii="Courier New"/>
                <w:b/>
                <w:sz w:val="16"/>
              </w:rPr>
            </w:pPr>
            <w:r>
              <w:rPr>
                <w:rFonts w:ascii="Courier New"/>
                <w:b/>
                <w:sz w:val="16"/>
              </w:rPr>
              <w:t>4.17</w:t>
            </w:r>
          </w:p>
        </w:tc>
        <w:tc>
          <w:tcPr>
            <w:tcW w:w="818" w:type="dxa"/>
          </w:tcPr>
          <w:p>
            <w:pPr>
              <w:pStyle w:val="TableParagraph"/>
              <w:spacing w:line="161" w:lineRule="exact" w:before="1"/>
              <w:ind w:right="49"/>
              <w:rPr>
                <w:rFonts w:ascii="Courier New"/>
                <w:b/>
                <w:sz w:val="16"/>
              </w:rPr>
            </w:pPr>
            <w:r>
              <w:rPr>
                <w:rFonts w:ascii="Courier New"/>
                <w:b/>
                <w:sz w:val="16"/>
              </w:rPr>
              <w:t>0.042</w:t>
            </w:r>
          </w:p>
        </w:tc>
      </w:tr>
      <w:tr>
        <w:trPr>
          <w:trHeight w:val="180" w:hRule="atLeast"/>
        </w:trPr>
        <w:tc>
          <w:tcPr>
            <w:tcW w:w="4274" w:type="dxa"/>
          </w:tcPr>
          <w:p>
            <w:pPr>
              <w:pStyle w:val="TableParagraph"/>
              <w:tabs>
                <w:tab w:pos="2975" w:val="left" w:leader="none"/>
              </w:tabs>
              <w:spacing w:line="160" w:lineRule="exact" w:before="0"/>
              <w:ind w:right="94"/>
              <w:rPr>
                <w:rFonts w:ascii="Courier New" w:hAnsi="Courier New"/>
                <w:b/>
                <w:sz w:val="16"/>
              </w:rPr>
            </w:pPr>
            <w:r>
              <w:rPr>
                <w:rFonts w:ascii="Courier New" w:hAnsi="Courier New"/>
                <w:b/>
                <w:sz w:val="16"/>
              </w:rPr>
              <w:t>Ln</w:t>
            </w:r>
            <w:r>
              <w:rPr>
                <w:rFonts w:ascii="Courier New" w:hAnsi="Courier New"/>
                <w:b/>
                <w:spacing w:val="-7"/>
                <w:sz w:val="16"/>
              </w:rPr>
              <w:t> </w:t>
            </w:r>
            <w:r>
              <w:rPr>
                <w:rFonts w:ascii="Courier New" w:hAnsi="Courier New"/>
                <w:b/>
                <w:sz w:val="16"/>
              </w:rPr>
              <w:t>Número</w:t>
            </w:r>
            <w:r>
              <w:rPr>
                <w:rFonts w:ascii="Courier New" w:hAnsi="Courier New"/>
                <w:b/>
                <w:spacing w:val="-7"/>
                <w:sz w:val="16"/>
              </w:rPr>
              <w:t> </w:t>
            </w:r>
            <w:r>
              <w:rPr>
                <w:rFonts w:ascii="Courier New" w:hAnsi="Courier New"/>
                <w:b/>
                <w:sz w:val="16"/>
              </w:rPr>
              <w:t>Habitaciones</w:t>
              <w:tab/>
              <w:t>1</w:t>
            </w:r>
            <w:r>
              <w:rPr>
                <w:rFonts w:ascii="Courier New" w:hAnsi="Courier New"/>
                <w:b/>
                <w:spacing w:val="88"/>
                <w:sz w:val="16"/>
              </w:rPr>
              <w:t> </w:t>
            </w:r>
            <w:r>
              <w:rPr>
                <w:rFonts w:ascii="Courier New" w:hAnsi="Courier New"/>
                <w:b/>
                <w:sz w:val="16"/>
              </w:rPr>
              <w:t>16.2469</w:t>
            </w:r>
          </w:p>
        </w:tc>
        <w:tc>
          <w:tcPr>
            <w:tcW w:w="865" w:type="dxa"/>
          </w:tcPr>
          <w:p>
            <w:pPr>
              <w:pStyle w:val="TableParagraph"/>
              <w:spacing w:line="160" w:lineRule="exact" w:before="0"/>
              <w:ind w:right="95"/>
              <w:rPr>
                <w:rFonts w:ascii="Courier New"/>
                <w:b/>
                <w:sz w:val="16"/>
              </w:rPr>
            </w:pPr>
            <w:r>
              <w:rPr>
                <w:rFonts w:ascii="Courier New"/>
                <w:b/>
                <w:sz w:val="16"/>
              </w:rPr>
              <w:t>16.2469</w:t>
            </w:r>
          </w:p>
        </w:tc>
        <w:tc>
          <w:tcPr>
            <w:tcW w:w="864" w:type="dxa"/>
          </w:tcPr>
          <w:p>
            <w:pPr>
              <w:pStyle w:val="TableParagraph"/>
              <w:spacing w:line="160" w:lineRule="exact" w:before="0"/>
              <w:ind w:right="95"/>
              <w:rPr>
                <w:rFonts w:ascii="Courier New"/>
                <w:b/>
                <w:sz w:val="16"/>
              </w:rPr>
            </w:pPr>
            <w:r>
              <w:rPr>
                <w:rFonts w:ascii="Courier New"/>
                <w:b/>
                <w:sz w:val="16"/>
              </w:rPr>
              <w:t>85.22</w:t>
            </w:r>
          </w:p>
        </w:tc>
        <w:tc>
          <w:tcPr>
            <w:tcW w:w="818" w:type="dxa"/>
          </w:tcPr>
          <w:p>
            <w:pPr>
              <w:pStyle w:val="TableParagraph"/>
              <w:spacing w:line="160" w:lineRule="exact" w:before="0"/>
              <w:ind w:right="49"/>
              <w:rPr>
                <w:rFonts w:ascii="Courier New"/>
                <w:b/>
                <w:sz w:val="16"/>
              </w:rPr>
            </w:pPr>
            <w:r>
              <w:rPr>
                <w:rFonts w:ascii="Courier New"/>
                <w:b/>
                <w:sz w:val="16"/>
              </w:rPr>
              <w:t>0.000</w:t>
            </w:r>
          </w:p>
        </w:tc>
      </w:tr>
      <w:tr>
        <w:trPr>
          <w:trHeight w:val="182" w:hRule="atLeast"/>
        </w:trPr>
        <w:tc>
          <w:tcPr>
            <w:tcW w:w="4274" w:type="dxa"/>
          </w:tcPr>
          <w:p>
            <w:pPr>
              <w:pStyle w:val="TableParagraph"/>
              <w:tabs>
                <w:tab w:pos="2975" w:val="left" w:leader="none"/>
                <w:tab w:pos="3359" w:val="left" w:leader="none"/>
              </w:tabs>
              <w:spacing w:line="162" w:lineRule="exact" w:before="0"/>
              <w:ind w:right="94"/>
              <w:rPr>
                <w:rFonts w:ascii="Courier New" w:hAnsi="Courier New"/>
                <w:b/>
                <w:sz w:val="16"/>
              </w:rPr>
            </w:pPr>
            <w:r>
              <w:rPr>
                <w:rFonts w:ascii="Courier New" w:hAnsi="Courier New"/>
                <w:b/>
                <w:sz w:val="16"/>
              </w:rPr>
              <w:t>Ln Número</w:t>
            </w:r>
            <w:r>
              <w:rPr>
                <w:rFonts w:ascii="Courier New" w:hAnsi="Courier New"/>
                <w:b/>
                <w:spacing w:val="-9"/>
                <w:sz w:val="16"/>
              </w:rPr>
              <w:t> </w:t>
            </w:r>
            <w:r>
              <w:rPr>
                <w:rFonts w:ascii="Courier New" w:hAnsi="Courier New"/>
                <w:b/>
                <w:sz w:val="16"/>
              </w:rPr>
              <w:t>de</w:t>
            </w:r>
            <w:r>
              <w:rPr>
                <w:rFonts w:ascii="Courier New" w:hAnsi="Courier New"/>
                <w:b/>
                <w:spacing w:val="-4"/>
                <w:sz w:val="16"/>
              </w:rPr>
              <w:t> </w:t>
            </w:r>
            <w:r>
              <w:rPr>
                <w:rFonts w:ascii="Courier New" w:hAnsi="Courier New"/>
                <w:b/>
                <w:sz w:val="16"/>
              </w:rPr>
              <w:t>Plantas</w:t>
              <w:tab/>
              <w:t>1</w:t>
              <w:tab/>
            </w:r>
            <w:r>
              <w:rPr>
                <w:rFonts w:ascii="Courier New" w:hAnsi="Courier New"/>
                <w:b/>
                <w:spacing w:val="-1"/>
                <w:sz w:val="16"/>
              </w:rPr>
              <w:t>0.0003</w:t>
            </w:r>
          </w:p>
        </w:tc>
        <w:tc>
          <w:tcPr>
            <w:tcW w:w="865" w:type="dxa"/>
          </w:tcPr>
          <w:p>
            <w:pPr>
              <w:pStyle w:val="TableParagraph"/>
              <w:spacing w:line="162" w:lineRule="exact" w:before="0"/>
              <w:ind w:right="95"/>
              <w:rPr>
                <w:rFonts w:ascii="Courier New"/>
                <w:b/>
                <w:sz w:val="16"/>
              </w:rPr>
            </w:pPr>
            <w:r>
              <w:rPr>
                <w:rFonts w:ascii="Courier New"/>
                <w:b/>
                <w:sz w:val="16"/>
              </w:rPr>
              <w:t>0.0003</w:t>
            </w:r>
          </w:p>
        </w:tc>
        <w:tc>
          <w:tcPr>
            <w:tcW w:w="864" w:type="dxa"/>
          </w:tcPr>
          <w:p>
            <w:pPr>
              <w:pStyle w:val="TableParagraph"/>
              <w:spacing w:line="162" w:lineRule="exact" w:before="0"/>
              <w:ind w:right="95"/>
              <w:rPr>
                <w:rFonts w:ascii="Courier New"/>
                <w:b/>
                <w:sz w:val="16"/>
              </w:rPr>
            </w:pPr>
            <w:r>
              <w:rPr>
                <w:rFonts w:ascii="Courier New"/>
                <w:b/>
                <w:sz w:val="16"/>
              </w:rPr>
              <w:t>0.00</w:t>
            </w:r>
          </w:p>
        </w:tc>
        <w:tc>
          <w:tcPr>
            <w:tcW w:w="818" w:type="dxa"/>
          </w:tcPr>
          <w:p>
            <w:pPr>
              <w:pStyle w:val="TableParagraph"/>
              <w:spacing w:line="162" w:lineRule="exact" w:before="0"/>
              <w:ind w:right="49"/>
              <w:rPr>
                <w:rFonts w:ascii="Courier New"/>
                <w:b/>
                <w:sz w:val="16"/>
              </w:rPr>
            </w:pPr>
            <w:r>
              <w:rPr>
                <w:rFonts w:ascii="Courier New"/>
                <w:b/>
                <w:sz w:val="16"/>
              </w:rPr>
              <w:t>0.970</w:t>
            </w:r>
          </w:p>
        </w:tc>
      </w:tr>
      <w:tr>
        <w:trPr>
          <w:trHeight w:val="182" w:hRule="atLeast"/>
        </w:trPr>
        <w:tc>
          <w:tcPr>
            <w:tcW w:w="4274" w:type="dxa"/>
          </w:tcPr>
          <w:p>
            <w:pPr>
              <w:pStyle w:val="TableParagraph"/>
              <w:tabs>
                <w:tab w:pos="2975" w:val="left" w:leader="none"/>
                <w:tab w:pos="3359" w:val="left" w:leader="none"/>
              </w:tabs>
              <w:spacing w:line="161" w:lineRule="exact" w:before="1"/>
              <w:ind w:right="94"/>
              <w:rPr>
                <w:rFonts w:ascii="Courier New"/>
                <w:b/>
                <w:sz w:val="16"/>
              </w:rPr>
            </w:pPr>
            <w:r>
              <w:rPr>
                <w:rFonts w:ascii="Courier New"/>
                <w:b/>
                <w:sz w:val="16"/>
              </w:rPr>
              <w:t>Ln</w:t>
            </w:r>
            <w:r>
              <w:rPr>
                <w:rFonts w:ascii="Courier New"/>
                <w:b/>
                <w:spacing w:val="-5"/>
                <w:sz w:val="16"/>
              </w:rPr>
              <w:t> </w:t>
            </w:r>
            <w:r>
              <w:rPr>
                <w:rFonts w:ascii="Courier New"/>
                <w:b/>
                <w:sz w:val="16"/>
              </w:rPr>
              <w:t>Distancia</w:t>
            </w:r>
            <w:r>
              <w:rPr>
                <w:rFonts w:ascii="Courier New"/>
                <w:b/>
                <w:spacing w:val="-4"/>
                <w:sz w:val="16"/>
              </w:rPr>
              <w:t> </w:t>
            </w:r>
            <w:r>
              <w:rPr>
                <w:rFonts w:ascii="Courier New"/>
                <w:b/>
                <w:sz w:val="16"/>
              </w:rPr>
              <w:t>SJ</w:t>
              <w:tab/>
              <w:t>1</w:t>
              <w:tab/>
            </w:r>
            <w:r>
              <w:rPr>
                <w:rFonts w:ascii="Courier New"/>
                <w:b/>
                <w:spacing w:val="-1"/>
                <w:sz w:val="16"/>
              </w:rPr>
              <w:t>1.4345</w:t>
            </w:r>
          </w:p>
        </w:tc>
        <w:tc>
          <w:tcPr>
            <w:tcW w:w="865" w:type="dxa"/>
          </w:tcPr>
          <w:p>
            <w:pPr>
              <w:pStyle w:val="TableParagraph"/>
              <w:spacing w:line="161" w:lineRule="exact" w:before="1"/>
              <w:ind w:right="95"/>
              <w:rPr>
                <w:rFonts w:ascii="Courier New"/>
                <w:b/>
                <w:sz w:val="16"/>
              </w:rPr>
            </w:pPr>
            <w:r>
              <w:rPr>
                <w:rFonts w:ascii="Courier New"/>
                <w:b/>
                <w:sz w:val="16"/>
              </w:rPr>
              <w:t>1.4345</w:t>
            </w:r>
          </w:p>
        </w:tc>
        <w:tc>
          <w:tcPr>
            <w:tcW w:w="864" w:type="dxa"/>
          </w:tcPr>
          <w:p>
            <w:pPr>
              <w:pStyle w:val="TableParagraph"/>
              <w:spacing w:line="161" w:lineRule="exact" w:before="1"/>
              <w:ind w:right="95"/>
              <w:rPr>
                <w:rFonts w:ascii="Courier New"/>
                <w:b/>
                <w:sz w:val="16"/>
              </w:rPr>
            </w:pPr>
            <w:r>
              <w:rPr>
                <w:rFonts w:ascii="Courier New"/>
                <w:b/>
                <w:sz w:val="16"/>
              </w:rPr>
              <w:t>7.52</w:t>
            </w:r>
          </w:p>
        </w:tc>
        <w:tc>
          <w:tcPr>
            <w:tcW w:w="818" w:type="dxa"/>
          </w:tcPr>
          <w:p>
            <w:pPr>
              <w:pStyle w:val="TableParagraph"/>
              <w:spacing w:line="161" w:lineRule="exact" w:before="1"/>
              <w:ind w:right="49"/>
              <w:rPr>
                <w:rFonts w:ascii="Courier New"/>
                <w:b/>
                <w:sz w:val="16"/>
              </w:rPr>
            </w:pPr>
            <w:r>
              <w:rPr>
                <w:rFonts w:ascii="Courier New"/>
                <w:b/>
                <w:sz w:val="16"/>
              </w:rPr>
              <w:t>0.006</w:t>
            </w:r>
          </w:p>
        </w:tc>
      </w:tr>
      <w:tr>
        <w:trPr>
          <w:trHeight w:val="180" w:hRule="atLeast"/>
        </w:trPr>
        <w:tc>
          <w:tcPr>
            <w:tcW w:w="4274" w:type="dxa"/>
          </w:tcPr>
          <w:p>
            <w:pPr>
              <w:pStyle w:val="TableParagraph"/>
              <w:tabs>
                <w:tab w:pos="2975" w:val="left" w:leader="none"/>
                <w:tab w:pos="3359" w:val="left" w:leader="none"/>
              </w:tabs>
              <w:spacing w:line="160" w:lineRule="exact" w:before="0"/>
              <w:ind w:right="94"/>
              <w:rPr>
                <w:rFonts w:ascii="Courier New"/>
                <w:b/>
                <w:sz w:val="16"/>
              </w:rPr>
            </w:pPr>
            <w:r>
              <w:rPr>
                <w:rFonts w:ascii="Courier New"/>
                <w:b/>
                <w:sz w:val="16"/>
              </w:rPr>
              <w:t>Ln</w:t>
            </w:r>
            <w:r>
              <w:rPr>
                <w:rFonts w:ascii="Courier New"/>
                <w:b/>
                <w:spacing w:val="-7"/>
                <w:sz w:val="16"/>
              </w:rPr>
              <w:t> </w:t>
            </w:r>
            <w:r>
              <w:rPr>
                <w:rFonts w:ascii="Courier New"/>
                <w:b/>
                <w:sz w:val="16"/>
              </w:rPr>
              <w:t>Distancia</w:t>
            </w:r>
            <w:r>
              <w:rPr>
                <w:rFonts w:ascii="Courier New"/>
                <w:b/>
                <w:spacing w:val="-6"/>
                <w:sz w:val="16"/>
              </w:rPr>
              <w:t> </w:t>
            </w:r>
            <w:r>
              <w:rPr>
                <w:rFonts w:ascii="Courier New"/>
                <w:b/>
                <w:sz w:val="16"/>
              </w:rPr>
              <w:t>Pobreza</w:t>
              <w:tab/>
              <w:t>1</w:t>
              <w:tab/>
            </w:r>
            <w:r>
              <w:rPr>
                <w:rFonts w:ascii="Courier New"/>
                <w:b/>
                <w:spacing w:val="-1"/>
                <w:sz w:val="16"/>
              </w:rPr>
              <w:t>1.6526</w:t>
            </w:r>
          </w:p>
        </w:tc>
        <w:tc>
          <w:tcPr>
            <w:tcW w:w="865" w:type="dxa"/>
          </w:tcPr>
          <w:p>
            <w:pPr>
              <w:pStyle w:val="TableParagraph"/>
              <w:spacing w:line="160" w:lineRule="exact" w:before="0"/>
              <w:ind w:right="93"/>
              <w:rPr>
                <w:rFonts w:ascii="Courier New"/>
                <w:b/>
                <w:sz w:val="16"/>
              </w:rPr>
            </w:pPr>
            <w:r>
              <w:rPr>
                <w:rFonts w:ascii="Courier New"/>
                <w:b/>
                <w:sz w:val="16"/>
              </w:rPr>
              <w:t>1.6526</w:t>
            </w:r>
          </w:p>
        </w:tc>
        <w:tc>
          <w:tcPr>
            <w:tcW w:w="864" w:type="dxa"/>
          </w:tcPr>
          <w:p>
            <w:pPr>
              <w:pStyle w:val="TableParagraph"/>
              <w:spacing w:line="160" w:lineRule="exact" w:before="0"/>
              <w:ind w:right="93"/>
              <w:rPr>
                <w:rFonts w:ascii="Courier New"/>
                <w:b/>
                <w:sz w:val="16"/>
              </w:rPr>
            </w:pPr>
            <w:r>
              <w:rPr>
                <w:rFonts w:ascii="Courier New"/>
                <w:b/>
                <w:sz w:val="16"/>
              </w:rPr>
              <w:t>8.67</w:t>
            </w:r>
          </w:p>
        </w:tc>
        <w:tc>
          <w:tcPr>
            <w:tcW w:w="818" w:type="dxa"/>
          </w:tcPr>
          <w:p>
            <w:pPr>
              <w:pStyle w:val="TableParagraph"/>
              <w:spacing w:line="160" w:lineRule="exact" w:before="0"/>
              <w:ind w:right="47"/>
              <w:rPr>
                <w:rFonts w:ascii="Courier New"/>
                <w:b/>
                <w:sz w:val="16"/>
              </w:rPr>
            </w:pPr>
            <w:r>
              <w:rPr>
                <w:rFonts w:ascii="Courier New"/>
                <w:b/>
                <w:sz w:val="16"/>
              </w:rPr>
              <w:t>0.003</w:t>
            </w:r>
          </w:p>
        </w:tc>
      </w:tr>
      <w:tr>
        <w:trPr>
          <w:trHeight w:val="181" w:hRule="atLeast"/>
        </w:trPr>
        <w:tc>
          <w:tcPr>
            <w:tcW w:w="4274" w:type="dxa"/>
          </w:tcPr>
          <w:p>
            <w:pPr>
              <w:pStyle w:val="TableParagraph"/>
              <w:tabs>
                <w:tab w:pos="2975" w:val="left" w:leader="none"/>
                <w:tab w:pos="3359" w:val="left" w:leader="none"/>
              </w:tabs>
              <w:spacing w:line="162" w:lineRule="exact" w:before="0"/>
              <w:ind w:right="94"/>
              <w:rPr>
                <w:rFonts w:ascii="Courier New"/>
                <w:b/>
                <w:sz w:val="16"/>
              </w:rPr>
            </w:pPr>
            <w:r>
              <w:rPr>
                <w:rFonts w:ascii="Courier New"/>
                <w:b/>
                <w:sz w:val="16"/>
              </w:rPr>
              <w:t>Tipo = 1 casa, 0</w:t>
            </w:r>
            <w:r>
              <w:rPr>
                <w:rFonts w:ascii="Courier New"/>
                <w:b/>
                <w:spacing w:val="-13"/>
                <w:sz w:val="16"/>
              </w:rPr>
              <w:t> </w:t>
            </w:r>
            <w:r>
              <w:rPr>
                <w:rFonts w:ascii="Courier New"/>
                <w:b/>
                <w:sz w:val="16"/>
              </w:rPr>
              <w:t>=</w:t>
            </w:r>
            <w:r>
              <w:rPr>
                <w:rFonts w:ascii="Courier New"/>
                <w:b/>
                <w:spacing w:val="-3"/>
                <w:sz w:val="16"/>
              </w:rPr>
              <w:t> </w:t>
            </w:r>
            <w:r>
              <w:rPr>
                <w:rFonts w:ascii="Courier New"/>
                <w:b/>
                <w:sz w:val="16"/>
              </w:rPr>
              <w:t>Condo</w:t>
              <w:tab/>
              <w:t>1</w:t>
              <w:tab/>
            </w:r>
            <w:r>
              <w:rPr>
                <w:rFonts w:ascii="Courier New"/>
                <w:b/>
                <w:spacing w:val="-1"/>
                <w:sz w:val="16"/>
              </w:rPr>
              <w:t>0.5701</w:t>
            </w:r>
          </w:p>
        </w:tc>
        <w:tc>
          <w:tcPr>
            <w:tcW w:w="865" w:type="dxa"/>
          </w:tcPr>
          <w:p>
            <w:pPr>
              <w:pStyle w:val="TableParagraph"/>
              <w:spacing w:line="162" w:lineRule="exact" w:before="0"/>
              <w:ind w:right="95"/>
              <w:rPr>
                <w:rFonts w:ascii="Courier New"/>
                <w:b/>
                <w:sz w:val="16"/>
              </w:rPr>
            </w:pPr>
            <w:r>
              <w:rPr>
                <w:rFonts w:ascii="Courier New"/>
                <w:b/>
                <w:sz w:val="16"/>
              </w:rPr>
              <w:t>0.5701</w:t>
            </w:r>
          </w:p>
        </w:tc>
        <w:tc>
          <w:tcPr>
            <w:tcW w:w="864" w:type="dxa"/>
          </w:tcPr>
          <w:p>
            <w:pPr>
              <w:pStyle w:val="TableParagraph"/>
              <w:spacing w:line="162" w:lineRule="exact" w:before="0"/>
              <w:ind w:right="95"/>
              <w:rPr>
                <w:rFonts w:ascii="Courier New"/>
                <w:b/>
                <w:sz w:val="16"/>
              </w:rPr>
            </w:pPr>
            <w:r>
              <w:rPr>
                <w:rFonts w:ascii="Courier New"/>
                <w:b/>
                <w:sz w:val="16"/>
              </w:rPr>
              <w:t>2.99</w:t>
            </w:r>
          </w:p>
        </w:tc>
        <w:tc>
          <w:tcPr>
            <w:tcW w:w="818" w:type="dxa"/>
          </w:tcPr>
          <w:p>
            <w:pPr>
              <w:pStyle w:val="TableParagraph"/>
              <w:spacing w:line="162" w:lineRule="exact" w:before="0"/>
              <w:ind w:right="49"/>
              <w:rPr>
                <w:rFonts w:ascii="Courier New"/>
                <w:b/>
                <w:sz w:val="16"/>
              </w:rPr>
            </w:pPr>
            <w:r>
              <w:rPr>
                <w:rFonts w:ascii="Courier New"/>
                <w:b/>
                <w:sz w:val="16"/>
              </w:rPr>
              <w:t>0.085</w:t>
            </w:r>
          </w:p>
        </w:tc>
      </w:tr>
      <w:tr>
        <w:trPr>
          <w:trHeight w:val="181" w:hRule="atLeast"/>
        </w:trPr>
        <w:tc>
          <w:tcPr>
            <w:tcW w:w="4274" w:type="dxa"/>
          </w:tcPr>
          <w:p>
            <w:pPr>
              <w:pStyle w:val="TableParagraph"/>
              <w:tabs>
                <w:tab w:pos="2975" w:val="left" w:leader="none"/>
                <w:tab w:pos="3359" w:val="left" w:leader="none"/>
              </w:tabs>
              <w:spacing w:line="161" w:lineRule="exact" w:before="1"/>
              <w:ind w:right="94"/>
              <w:rPr>
                <w:rFonts w:ascii="Courier New"/>
                <w:b/>
                <w:sz w:val="16"/>
              </w:rPr>
            </w:pPr>
            <w:r>
              <w:rPr>
                <w:rFonts w:ascii="Courier New"/>
                <w:b/>
                <w:sz w:val="16"/>
              </w:rPr>
              <w:t>Zona de  Riesgo</w:t>
            </w:r>
            <w:r>
              <w:rPr>
                <w:rFonts w:ascii="Courier New"/>
                <w:b/>
                <w:spacing w:val="-15"/>
                <w:sz w:val="16"/>
              </w:rPr>
              <w:t> </w:t>
            </w:r>
            <w:r>
              <w:rPr>
                <w:rFonts w:ascii="Courier New"/>
                <w:b/>
                <w:sz w:val="16"/>
              </w:rPr>
              <w:t>de</w:t>
            </w:r>
            <w:r>
              <w:rPr>
                <w:rFonts w:ascii="Courier New"/>
                <w:b/>
                <w:spacing w:val="-4"/>
                <w:sz w:val="16"/>
              </w:rPr>
              <w:t> </w:t>
            </w:r>
            <w:r>
              <w:rPr>
                <w:rFonts w:ascii="Courier New"/>
                <w:b/>
                <w:sz w:val="16"/>
              </w:rPr>
              <w:t>desastre</w:t>
              <w:tab/>
              <w:t>1</w:t>
              <w:tab/>
            </w:r>
            <w:r>
              <w:rPr>
                <w:rFonts w:ascii="Courier New"/>
                <w:b/>
                <w:spacing w:val="-1"/>
                <w:sz w:val="16"/>
              </w:rPr>
              <w:t>0.0869</w:t>
            </w:r>
          </w:p>
        </w:tc>
        <w:tc>
          <w:tcPr>
            <w:tcW w:w="865" w:type="dxa"/>
          </w:tcPr>
          <w:p>
            <w:pPr>
              <w:pStyle w:val="TableParagraph"/>
              <w:spacing w:line="161" w:lineRule="exact" w:before="1"/>
              <w:ind w:right="95"/>
              <w:rPr>
                <w:rFonts w:ascii="Courier New"/>
                <w:b/>
                <w:sz w:val="16"/>
              </w:rPr>
            </w:pPr>
            <w:r>
              <w:rPr>
                <w:rFonts w:ascii="Courier New"/>
                <w:b/>
                <w:sz w:val="16"/>
              </w:rPr>
              <w:t>0.0869</w:t>
            </w:r>
          </w:p>
        </w:tc>
        <w:tc>
          <w:tcPr>
            <w:tcW w:w="864" w:type="dxa"/>
          </w:tcPr>
          <w:p>
            <w:pPr>
              <w:pStyle w:val="TableParagraph"/>
              <w:spacing w:line="161" w:lineRule="exact" w:before="1"/>
              <w:ind w:right="95"/>
              <w:rPr>
                <w:rFonts w:ascii="Courier New"/>
                <w:b/>
                <w:sz w:val="16"/>
              </w:rPr>
            </w:pPr>
            <w:r>
              <w:rPr>
                <w:rFonts w:ascii="Courier New"/>
                <w:b/>
                <w:sz w:val="16"/>
              </w:rPr>
              <w:t>0.46</w:t>
            </w:r>
          </w:p>
        </w:tc>
        <w:tc>
          <w:tcPr>
            <w:tcW w:w="818" w:type="dxa"/>
          </w:tcPr>
          <w:p>
            <w:pPr>
              <w:pStyle w:val="TableParagraph"/>
              <w:spacing w:line="161" w:lineRule="exact" w:before="1"/>
              <w:ind w:right="49"/>
              <w:rPr>
                <w:rFonts w:ascii="Courier New"/>
                <w:b/>
                <w:sz w:val="16"/>
              </w:rPr>
            </w:pPr>
            <w:r>
              <w:rPr>
                <w:rFonts w:ascii="Courier New"/>
                <w:b/>
                <w:sz w:val="16"/>
              </w:rPr>
              <w:t>0.500</w:t>
            </w:r>
          </w:p>
        </w:tc>
      </w:tr>
      <w:tr>
        <w:trPr>
          <w:trHeight w:val="180" w:hRule="atLeast"/>
        </w:trPr>
        <w:tc>
          <w:tcPr>
            <w:tcW w:w="4274" w:type="dxa"/>
          </w:tcPr>
          <w:p>
            <w:pPr>
              <w:pStyle w:val="TableParagraph"/>
              <w:tabs>
                <w:tab w:pos="2975" w:val="left" w:leader="none"/>
                <w:tab w:pos="3359" w:val="left" w:leader="none"/>
              </w:tabs>
              <w:spacing w:line="160" w:lineRule="exact" w:before="0"/>
              <w:ind w:right="94"/>
              <w:rPr>
                <w:rFonts w:ascii="Courier New"/>
                <w:b/>
                <w:sz w:val="16"/>
              </w:rPr>
            </w:pPr>
            <w:r>
              <w:rPr>
                <w:rFonts w:ascii="Courier New"/>
                <w:b/>
                <w:sz w:val="16"/>
              </w:rPr>
              <w:t>Vista a</w:t>
            </w:r>
            <w:r>
              <w:rPr>
                <w:rFonts w:ascii="Courier New"/>
                <w:b/>
                <w:spacing w:val="-10"/>
                <w:sz w:val="16"/>
              </w:rPr>
              <w:t> </w:t>
            </w:r>
            <w:r>
              <w:rPr>
                <w:rFonts w:ascii="Courier New"/>
                <w:b/>
                <w:sz w:val="16"/>
              </w:rPr>
              <w:t>la</w:t>
            </w:r>
            <w:r>
              <w:rPr>
                <w:rFonts w:ascii="Courier New"/>
                <w:b/>
                <w:spacing w:val="-4"/>
                <w:sz w:val="16"/>
              </w:rPr>
              <w:t> </w:t>
            </w:r>
            <w:r>
              <w:rPr>
                <w:rFonts w:ascii="Courier New"/>
                <w:b/>
                <w:sz w:val="16"/>
              </w:rPr>
              <w:t>Carpintera</w:t>
              <w:tab/>
              <w:t>1</w:t>
              <w:tab/>
            </w:r>
            <w:r>
              <w:rPr>
                <w:rFonts w:ascii="Courier New"/>
                <w:b/>
                <w:spacing w:val="-1"/>
                <w:sz w:val="16"/>
              </w:rPr>
              <w:t>1.2664</w:t>
            </w:r>
          </w:p>
        </w:tc>
        <w:tc>
          <w:tcPr>
            <w:tcW w:w="865" w:type="dxa"/>
          </w:tcPr>
          <w:p>
            <w:pPr>
              <w:pStyle w:val="TableParagraph"/>
              <w:spacing w:line="160" w:lineRule="exact" w:before="0"/>
              <w:ind w:right="95"/>
              <w:rPr>
                <w:rFonts w:ascii="Courier New"/>
                <w:b/>
                <w:sz w:val="16"/>
              </w:rPr>
            </w:pPr>
            <w:r>
              <w:rPr>
                <w:rFonts w:ascii="Courier New"/>
                <w:b/>
                <w:sz w:val="16"/>
              </w:rPr>
              <w:t>1.2664</w:t>
            </w:r>
          </w:p>
        </w:tc>
        <w:tc>
          <w:tcPr>
            <w:tcW w:w="864" w:type="dxa"/>
          </w:tcPr>
          <w:p>
            <w:pPr>
              <w:pStyle w:val="TableParagraph"/>
              <w:spacing w:line="160" w:lineRule="exact" w:before="0"/>
              <w:ind w:right="95"/>
              <w:rPr>
                <w:rFonts w:ascii="Courier New"/>
                <w:b/>
                <w:sz w:val="16"/>
              </w:rPr>
            </w:pPr>
            <w:r>
              <w:rPr>
                <w:rFonts w:ascii="Courier New"/>
                <w:b/>
                <w:sz w:val="16"/>
              </w:rPr>
              <w:t>6.64</w:t>
            </w:r>
          </w:p>
        </w:tc>
        <w:tc>
          <w:tcPr>
            <w:tcW w:w="818" w:type="dxa"/>
          </w:tcPr>
          <w:p>
            <w:pPr>
              <w:pStyle w:val="TableParagraph"/>
              <w:spacing w:line="160" w:lineRule="exact" w:before="0"/>
              <w:ind w:right="49"/>
              <w:rPr>
                <w:rFonts w:ascii="Courier New"/>
                <w:b/>
                <w:sz w:val="16"/>
              </w:rPr>
            </w:pPr>
            <w:r>
              <w:rPr>
                <w:rFonts w:ascii="Courier New"/>
                <w:b/>
                <w:sz w:val="16"/>
              </w:rPr>
              <w:t>0.010</w:t>
            </w:r>
          </w:p>
        </w:tc>
      </w:tr>
      <w:tr>
        <w:trPr>
          <w:trHeight w:val="182" w:hRule="atLeast"/>
        </w:trPr>
        <w:tc>
          <w:tcPr>
            <w:tcW w:w="4274" w:type="dxa"/>
          </w:tcPr>
          <w:p>
            <w:pPr>
              <w:pStyle w:val="TableParagraph"/>
              <w:tabs>
                <w:tab w:pos="3027" w:val="left" w:leader="none"/>
              </w:tabs>
              <w:spacing w:line="162" w:lineRule="exact" w:before="0"/>
              <w:ind w:left="50"/>
              <w:jc w:val="left"/>
              <w:rPr>
                <w:rFonts w:ascii="Courier New"/>
                <w:b/>
                <w:sz w:val="16"/>
              </w:rPr>
            </w:pPr>
            <w:r>
              <w:rPr>
                <w:rFonts w:ascii="Courier New"/>
                <w:b/>
                <w:sz w:val="16"/>
              </w:rPr>
              <w:t>Error</w:t>
              <w:tab/>
              <w:t>291</w:t>
            </w:r>
            <w:r>
              <w:rPr>
                <w:rFonts w:ascii="Courier New"/>
                <w:b/>
                <w:spacing w:val="89"/>
                <w:sz w:val="16"/>
              </w:rPr>
              <w:t> </w:t>
            </w:r>
            <w:r>
              <w:rPr>
                <w:rFonts w:ascii="Courier New"/>
                <w:b/>
                <w:sz w:val="16"/>
              </w:rPr>
              <w:t>55.4769</w:t>
            </w:r>
          </w:p>
        </w:tc>
        <w:tc>
          <w:tcPr>
            <w:tcW w:w="865" w:type="dxa"/>
          </w:tcPr>
          <w:p>
            <w:pPr>
              <w:pStyle w:val="TableParagraph"/>
              <w:spacing w:line="162" w:lineRule="exact" w:before="0"/>
              <w:ind w:right="94"/>
              <w:rPr>
                <w:rFonts w:ascii="Courier New"/>
                <w:b/>
                <w:sz w:val="16"/>
              </w:rPr>
            </w:pPr>
            <w:r>
              <w:rPr>
                <w:rFonts w:ascii="Courier New"/>
                <w:b/>
                <w:sz w:val="16"/>
              </w:rPr>
              <w:t>0.1906</w:t>
            </w:r>
          </w:p>
        </w:tc>
        <w:tc>
          <w:tcPr>
            <w:tcW w:w="864" w:type="dxa"/>
          </w:tcPr>
          <w:p>
            <w:pPr>
              <w:pStyle w:val="TableParagraph"/>
              <w:spacing w:line="240" w:lineRule="auto" w:before="0"/>
              <w:jc w:val="left"/>
              <w:rPr>
                <w:rFonts w:ascii="Times New Roman"/>
                <w:sz w:val="12"/>
              </w:rPr>
            </w:pPr>
          </w:p>
        </w:tc>
        <w:tc>
          <w:tcPr>
            <w:tcW w:w="818" w:type="dxa"/>
          </w:tcPr>
          <w:p>
            <w:pPr>
              <w:pStyle w:val="TableParagraph"/>
              <w:spacing w:line="240" w:lineRule="auto" w:before="0"/>
              <w:jc w:val="left"/>
              <w:rPr>
                <w:rFonts w:ascii="Times New Roman"/>
                <w:sz w:val="12"/>
              </w:rPr>
            </w:pPr>
          </w:p>
        </w:tc>
      </w:tr>
      <w:tr>
        <w:trPr>
          <w:trHeight w:val="182" w:hRule="atLeast"/>
        </w:trPr>
        <w:tc>
          <w:tcPr>
            <w:tcW w:w="4274" w:type="dxa"/>
          </w:tcPr>
          <w:p>
            <w:pPr>
              <w:pStyle w:val="TableParagraph"/>
              <w:tabs>
                <w:tab w:pos="2784" w:val="left" w:leader="none"/>
              </w:tabs>
              <w:spacing w:line="161" w:lineRule="exact" w:before="1"/>
              <w:ind w:right="93"/>
              <w:rPr>
                <w:rFonts w:ascii="Courier New"/>
                <w:b/>
                <w:sz w:val="16"/>
              </w:rPr>
            </w:pPr>
            <w:r>
              <w:rPr>
                <w:rFonts w:ascii="Courier New"/>
                <w:b/>
                <w:sz w:val="16"/>
              </w:rPr>
              <w:t>Lack-of-Fit</w:t>
              <w:tab/>
              <w:t>289</w:t>
            </w:r>
            <w:r>
              <w:rPr>
                <w:rFonts w:ascii="Courier New"/>
                <w:b/>
                <w:spacing w:val="86"/>
                <w:sz w:val="16"/>
              </w:rPr>
              <w:t> </w:t>
            </w:r>
            <w:r>
              <w:rPr>
                <w:rFonts w:ascii="Courier New"/>
                <w:b/>
                <w:sz w:val="16"/>
              </w:rPr>
              <w:t>54.8734</w:t>
            </w:r>
          </w:p>
        </w:tc>
        <w:tc>
          <w:tcPr>
            <w:tcW w:w="865" w:type="dxa"/>
          </w:tcPr>
          <w:p>
            <w:pPr>
              <w:pStyle w:val="TableParagraph"/>
              <w:spacing w:line="161" w:lineRule="exact" w:before="1"/>
              <w:ind w:right="94"/>
              <w:rPr>
                <w:rFonts w:ascii="Courier New"/>
                <w:b/>
                <w:sz w:val="16"/>
              </w:rPr>
            </w:pPr>
            <w:r>
              <w:rPr>
                <w:rFonts w:ascii="Courier New"/>
                <w:b/>
                <w:sz w:val="16"/>
              </w:rPr>
              <w:t>0.1899</w:t>
            </w:r>
          </w:p>
        </w:tc>
        <w:tc>
          <w:tcPr>
            <w:tcW w:w="864" w:type="dxa"/>
          </w:tcPr>
          <w:p>
            <w:pPr>
              <w:pStyle w:val="TableParagraph"/>
              <w:spacing w:line="161" w:lineRule="exact" w:before="1"/>
              <w:ind w:right="94"/>
              <w:rPr>
                <w:rFonts w:ascii="Courier New"/>
                <w:b/>
                <w:sz w:val="16"/>
              </w:rPr>
            </w:pPr>
            <w:r>
              <w:rPr>
                <w:rFonts w:ascii="Courier New"/>
                <w:b/>
                <w:sz w:val="16"/>
              </w:rPr>
              <w:t>0.63</w:t>
            </w:r>
          </w:p>
        </w:tc>
        <w:tc>
          <w:tcPr>
            <w:tcW w:w="818" w:type="dxa"/>
          </w:tcPr>
          <w:p>
            <w:pPr>
              <w:pStyle w:val="TableParagraph"/>
              <w:spacing w:line="161" w:lineRule="exact" w:before="1"/>
              <w:ind w:right="48"/>
              <w:rPr>
                <w:rFonts w:ascii="Courier New"/>
                <w:b/>
                <w:sz w:val="16"/>
              </w:rPr>
            </w:pPr>
            <w:r>
              <w:rPr>
                <w:rFonts w:ascii="Courier New"/>
                <w:b/>
                <w:sz w:val="16"/>
              </w:rPr>
              <w:t>0.794</w:t>
            </w:r>
          </w:p>
        </w:tc>
      </w:tr>
      <w:tr>
        <w:trPr>
          <w:trHeight w:val="542" w:hRule="atLeast"/>
        </w:trPr>
        <w:tc>
          <w:tcPr>
            <w:tcW w:w="4274" w:type="dxa"/>
          </w:tcPr>
          <w:p>
            <w:pPr>
              <w:pStyle w:val="TableParagraph"/>
              <w:tabs>
                <w:tab w:pos="2975" w:val="left" w:leader="none"/>
                <w:tab w:pos="3359" w:val="left" w:leader="none"/>
              </w:tabs>
              <w:spacing w:line="180" w:lineRule="exact" w:before="0"/>
              <w:ind w:right="94"/>
              <w:rPr>
                <w:rFonts w:ascii="Courier New"/>
                <w:b/>
                <w:sz w:val="16"/>
              </w:rPr>
            </w:pPr>
            <w:r>
              <w:rPr>
                <w:rFonts w:ascii="Courier New"/>
                <w:b/>
                <w:sz w:val="16"/>
              </w:rPr>
              <w:t>Pure</w:t>
            </w:r>
            <w:r>
              <w:rPr>
                <w:rFonts w:ascii="Courier New"/>
                <w:b/>
                <w:spacing w:val="-5"/>
                <w:sz w:val="16"/>
              </w:rPr>
              <w:t> </w:t>
            </w:r>
            <w:r>
              <w:rPr>
                <w:rFonts w:ascii="Courier New"/>
                <w:b/>
                <w:sz w:val="16"/>
              </w:rPr>
              <w:t>Error</w:t>
              <w:tab/>
              <w:t>2</w:t>
              <w:tab/>
            </w:r>
            <w:r>
              <w:rPr>
                <w:rFonts w:ascii="Courier New"/>
                <w:b/>
                <w:spacing w:val="-1"/>
                <w:sz w:val="16"/>
              </w:rPr>
              <w:t>0.6035</w:t>
            </w:r>
          </w:p>
          <w:p>
            <w:pPr>
              <w:pStyle w:val="TableParagraph"/>
              <w:tabs>
                <w:tab w:pos="2975" w:val="left" w:leader="none"/>
              </w:tabs>
              <w:spacing w:line="181" w:lineRule="exact" w:before="0"/>
              <w:ind w:right="94"/>
              <w:rPr>
                <w:rFonts w:ascii="Courier New"/>
                <w:b/>
                <w:sz w:val="16"/>
              </w:rPr>
            </w:pPr>
            <w:r>
              <w:rPr>
                <w:rFonts w:ascii="Courier New"/>
                <w:b/>
                <w:sz w:val="16"/>
              </w:rPr>
              <w:t>Total</w:t>
              <w:tab/>
              <w:t>300</w:t>
            </w:r>
            <w:r>
              <w:rPr>
                <w:rFonts w:ascii="Courier New"/>
                <w:b/>
                <w:spacing w:val="86"/>
                <w:sz w:val="16"/>
              </w:rPr>
              <w:t> </w:t>
            </w:r>
            <w:r>
              <w:rPr>
                <w:rFonts w:ascii="Courier New"/>
                <w:b/>
                <w:sz w:val="16"/>
              </w:rPr>
              <w:t>94.3895</w:t>
            </w:r>
          </w:p>
        </w:tc>
        <w:tc>
          <w:tcPr>
            <w:tcW w:w="865" w:type="dxa"/>
          </w:tcPr>
          <w:p>
            <w:pPr>
              <w:pStyle w:val="TableParagraph"/>
              <w:spacing w:line="181" w:lineRule="exact" w:before="0"/>
              <w:ind w:right="95"/>
              <w:rPr>
                <w:rFonts w:ascii="Courier New"/>
                <w:b/>
                <w:sz w:val="16"/>
              </w:rPr>
            </w:pPr>
            <w:r>
              <w:rPr>
                <w:rFonts w:ascii="Courier New"/>
                <w:b/>
                <w:sz w:val="16"/>
              </w:rPr>
              <w:t>0.3017</w:t>
            </w:r>
          </w:p>
        </w:tc>
        <w:tc>
          <w:tcPr>
            <w:tcW w:w="864" w:type="dxa"/>
          </w:tcPr>
          <w:p>
            <w:pPr>
              <w:pStyle w:val="TableParagraph"/>
              <w:spacing w:line="240" w:lineRule="auto" w:before="0"/>
              <w:jc w:val="left"/>
              <w:rPr>
                <w:rFonts w:ascii="Times New Roman"/>
                <w:sz w:val="16"/>
              </w:rPr>
            </w:pPr>
          </w:p>
        </w:tc>
        <w:tc>
          <w:tcPr>
            <w:tcW w:w="818" w:type="dxa"/>
          </w:tcPr>
          <w:p>
            <w:pPr>
              <w:pStyle w:val="TableParagraph"/>
              <w:spacing w:line="240" w:lineRule="auto" w:before="0"/>
              <w:jc w:val="left"/>
              <w:rPr>
                <w:rFonts w:ascii="Times New Roman"/>
                <w:sz w:val="16"/>
              </w:rPr>
            </w:pPr>
          </w:p>
        </w:tc>
      </w:tr>
      <w:tr>
        <w:trPr>
          <w:trHeight w:val="454" w:hRule="atLeast"/>
        </w:trPr>
        <w:tc>
          <w:tcPr>
            <w:tcW w:w="4274" w:type="dxa"/>
          </w:tcPr>
          <w:p>
            <w:pPr>
              <w:pStyle w:val="TableParagraph"/>
              <w:spacing w:line="240" w:lineRule="auto" w:before="8"/>
              <w:jc w:val="left"/>
              <w:rPr>
                <w:sz w:val="15"/>
              </w:rPr>
            </w:pPr>
          </w:p>
          <w:p>
            <w:pPr>
              <w:pStyle w:val="TableParagraph"/>
              <w:spacing w:line="240" w:lineRule="auto" w:before="1"/>
              <w:ind w:left="50"/>
              <w:jc w:val="left"/>
              <w:rPr>
                <w:rFonts w:ascii="Courier New"/>
                <w:b/>
                <w:sz w:val="16"/>
              </w:rPr>
            </w:pPr>
            <w:r>
              <w:rPr>
                <w:rFonts w:ascii="Courier New"/>
                <w:b/>
                <w:sz w:val="16"/>
              </w:rPr>
              <w:t>Model Summary</w:t>
            </w:r>
          </w:p>
        </w:tc>
        <w:tc>
          <w:tcPr>
            <w:tcW w:w="865"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18" w:type="dxa"/>
          </w:tcPr>
          <w:p>
            <w:pPr>
              <w:pStyle w:val="TableParagraph"/>
              <w:spacing w:line="240" w:lineRule="auto" w:before="0"/>
              <w:jc w:val="left"/>
              <w:rPr>
                <w:rFonts w:ascii="Times New Roman"/>
                <w:sz w:val="16"/>
              </w:rPr>
            </w:pPr>
          </w:p>
        </w:tc>
      </w:tr>
      <w:tr>
        <w:trPr>
          <w:trHeight w:val="272" w:hRule="atLeast"/>
        </w:trPr>
        <w:tc>
          <w:tcPr>
            <w:tcW w:w="4274" w:type="dxa"/>
          </w:tcPr>
          <w:p>
            <w:pPr>
              <w:pStyle w:val="TableParagraph"/>
              <w:tabs>
                <w:tab w:pos="1201" w:val="left" w:leader="none"/>
              </w:tabs>
              <w:spacing w:line="161" w:lineRule="exact"/>
              <w:ind w:left="721"/>
              <w:jc w:val="left"/>
              <w:rPr>
                <w:rFonts w:ascii="Courier New"/>
                <w:b/>
                <w:sz w:val="16"/>
              </w:rPr>
            </w:pPr>
            <w:r>
              <w:rPr>
                <w:rFonts w:ascii="Courier New"/>
                <w:b/>
                <w:sz w:val="16"/>
              </w:rPr>
              <w:t>S</w:t>
              <w:tab/>
              <w:t>R-sq R-sq(adj)</w:t>
            </w:r>
            <w:r>
              <w:rPr>
                <w:rFonts w:ascii="Courier New"/>
                <w:b/>
                <w:spacing w:val="86"/>
                <w:sz w:val="16"/>
              </w:rPr>
              <w:t> </w:t>
            </w:r>
            <w:r>
              <w:rPr>
                <w:rFonts w:ascii="Courier New"/>
                <w:b/>
                <w:sz w:val="16"/>
              </w:rPr>
              <w:t>R-sq(pred)</w:t>
            </w:r>
          </w:p>
        </w:tc>
        <w:tc>
          <w:tcPr>
            <w:tcW w:w="865"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18" w:type="dxa"/>
          </w:tcPr>
          <w:p>
            <w:pPr>
              <w:pStyle w:val="TableParagraph"/>
              <w:spacing w:line="240" w:lineRule="auto" w:before="0"/>
              <w:jc w:val="left"/>
              <w:rPr>
                <w:rFonts w:ascii="Times New Roman"/>
                <w:sz w:val="16"/>
              </w:rPr>
            </w:pPr>
          </w:p>
        </w:tc>
      </w:tr>
    </w:tbl>
    <w:p>
      <w:pPr>
        <w:tabs>
          <w:tab w:pos="3056" w:val="left" w:leader="none"/>
          <w:tab w:pos="4208" w:val="left" w:leader="none"/>
        </w:tabs>
        <w:spacing w:before="0"/>
        <w:ind w:left="1040" w:right="0" w:firstLine="0"/>
        <w:jc w:val="left"/>
        <w:rPr>
          <w:rFonts w:ascii="Courier New"/>
          <w:b/>
          <w:sz w:val="16"/>
        </w:rPr>
      </w:pPr>
      <w:r>
        <w:rPr>
          <w:rFonts w:ascii="Courier New"/>
          <w:b/>
          <w:sz w:val="16"/>
        </w:rPr>
        <w:t>0.436626</w:t>
      </w:r>
      <w:r>
        <w:rPr>
          <w:rFonts w:ascii="Courier New"/>
          <w:b/>
          <w:spacing w:val="86"/>
          <w:sz w:val="16"/>
        </w:rPr>
        <w:t> </w:t>
      </w:r>
      <w:r>
        <w:rPr>
          <w:rFonts w:ascii="Courier New"/>
          <w:b/>
          <w:sz w:val="16"/>
        </w:rPr>
        <w:t>41.23%</w:t>
        <w:tab/>
        <w:t>39.41%</w:t>
        <w:tab/>
        <w:t>36.40%</w:t>
      </w:r>
    </w:p>
    <w:p>
      <w:pPr>
        <w:spacing w:after="0"/>
        <w:jc w:val="left"/>
        <w:rPr>
          <w:rFonts w:ascii="Courier New"/>
          <w:sz w:val="16"/>
        </w:rPr>
        <w:sectPr>
          <w:pgSz w:w="12240" w:h="15840"/>
          <w:pgMar w:header="0" w:footer="982" w:top="1500" w:bottom="1260" w:left="400" w:right="180"/>
        </w:sect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642"/>
        <w:gridCol w:w="961"/>
        <w:gridCol w:w="864"/>
        <w:gridCol w:w="865"/>
        <w:gridCol w:w="863"/>
        <w:gridCol w:w="531"/>
      </w:tblGrid>
      <w:tr>
        <w:trPr>
          <w:trHeight w:val="272" w:hRule="atLeast"/>
        </w:trPr>
        <w:tc>
          <w:tcPr>
            <w:tcW w:w="2642" w:type="dxa"/>
          </w:tcPr>
          <w:p>
            <w:pPr>
              <w:pStyle w:val="TableParagraph"/>
              <w:spacing w:line="240" w:lineRule="auto" w:before="0"/>
              <w:ind w:left="50"/>
              <w:jc w:val="left"/>
              <w:rPr>
                <w:rFonts w:ascii="Courier New"/>
                <w:b/>
                <w:sz w:val="16"/>
              </w:rPr>
            </w:pPr>
            <w:r>
              <w:rPr>
                <w:rFonts w:ascii="Courier New"/>
                <w:b/>
                <w:sz w:val="16"/>
              </w:rPr>
              <w:t>Coefficients</w:t>
            </w:r>
          </w:p>
        </w:tc>
        <w:tc>
          <w:tcPr>
            <w:tcW w:w="4084" w:type="dxa"/>
            <w:gridSpan w:val="5"/>
          </w:tcPr>
          <w:p>
            <w:pPr>
              <w:pStyle w:val="TableParagraph"/>
              <w:spacing w:line="240" w:lineRule="auto" w:before="0"/>
              <w:jc w:val="left"/>
              <w:rPr>
                <w:rFonts w:ascii="Times New Roman"/>
                <w:sz w:val="16"/>
              </w:rPr>
            </w:pPr>
          </w:p>
        </w:tc>
      </w:tr>
      <w:tr>
        <w:trPr>
          <w:trHeight w:val="272" w:hRule="atLeast"/>
        </w:trPr>
        <w:tc>
          <w:tcPr>
            <w:tcW w:w="2642" w:type="dxa"/>
          </w:tcPr>
          <w:p>
            <w:pPr>
              <w:pStyle w:val="TableParagraph"/>
              <w:spacing w:line="161" w:lineRule="exact"/>
              <w:ind w:left="50"/>
              <w:jc w:val="left"/>
              <w:rPr>
                <w:rFonts w:ascii="Courier New"/>
                <w:b/>
                <w:sz w:val="16"/>
              </w:rPr>
            </w:pPr>
            <w:r>
              <w:rPr>
                <w:rFonts w:ascii="Courier New"/>
                <w:b/>
                <w:sz w:val="16"/>
              </w:rPr>
              <w:t>Term</w:t>
            </w:r>
          </w:p>
        </w:tc>
        <w:tc>
          <w:tcPr>
            <w:tcW w:w="961" w:type="dxa"/>
          </w:tcPr>
          <w:p>
            <w:pPr>
              <w:pStyle w:val="TableParagraph"/>
              <w:spacing w:line="161" w:lineRule="exact"/>
              <w:ind w:right="95"/>
              <w:rPr>
                <w:rFonts w:ascii="Courier New"/>
                <w:b/>
                <w:sz w:val="16"/>
              </w:rPr>
            </w:pPr>
            <w:r>
              <w:rPr>
                <w:rFonts w:ascii="Courier New"/>
                <w:b/>
                <w:sz w:val="16"/>
              </w:rPr>
              <w:t>Coef</w:t>
            </w:r>
          </w:p>
        </w:tc>
        <w:tc>
          <w:tcPr>
            <w:tcW w:w="864" w:type="dxa"/>
          </w:tcPr>
          <w:p>
            <w:pPr>
              <w:pStyle w:val="TableParagraph"/>
              <w:spacing w:line="161" w:lineRule="exact"/>
              <w:ind w:right="95"/>
              <w:rPr>
                <w:rFonts w:ascii="Courier New"/>
                <w:b/>
                <w:sz w:val="16"/>
              </w:rPr>
            </w:pPr>
            <w:r>
              <w:rPr>
                <w:rFonts w:ascii="Courier New"/>
                <w:b/>
                <w:sz w:val="16"/>
              </w:rPr>
              <w:t>SE Coef</w:t>
            </w:r>
          </w:p>
        </w:tc>
        <w:tc>
          <w:tcPr>
            <w:tcW w:w="865" w:type="dxa"/>
          </w:tcPr>
          <w:p>
            <w:pPr>
              <w:pStyle w:val="TableParagraph"/>
              <w:spacing w:line="161" w:lineRule="exact"/>
              <w:ind w:right="94"/>
              <w:rPr>
                <w:rFonts w:ascii="Courier New"/>
                <w:b/>
                <w:sz w:val="16"/>
              </w:rPr>
            </w:pPr>
            <w:r>
              <w:rPr>
                <w:rFonts w:ascii="Courier New"/>
                <w:b/>
                <w:sz w:val="16"/>
              </w:rPr>
              <w:t>T-Value</w:t>
            </w:r>
          </w:p>
        </w:tc>
        <w:tc>
          <w:tcPr>
            <w:tcW w:w="863" w:type="dxa"/>
          </w:tcPr>
          <w:p>
            <w:pPr>
              <w:pStyle w:val="TableParagraph"/>
              <w:spacing w:line="161" w:lineRule="exact"/>
              <w:ind w:right="93"/>
              <w:rPr>
                <w:rFonts w:ascii="Courier New"/>
                <w:b/>
                <w:sz w:val="16"/>
              </w:rPr>
            </w:pPr>
            <w:r>
              <w:rPr>
                <w:rFonts w:ascii="Courier New"/>
                <w:b/>
                <w:sz w:val="16"/>
              </w:rPr>
              <w:t>P-Value</w:t>
            </w:r>
          </w:p>
        </w:tc>
        <w:tc>
          <w:tcPr>
            <w:tcW w:w="531" w:type="dxa"/>
          </w:tcPr>
          <w:p>
            <w:pPr>
              <w:pStyle w:val="TableParagraph"/>
              <w:spacing w:line="161" w:lineRule="exact"/>
              <w:ind w:right="48"/>
              <w:rPr>
                <w:rFonts w:ascii="Courier New"/>
                <w:b/>
                <w:sz w:val="16"/>
              </w:rPr>
            </w:pPr>
            <w:r>
              <w:rPr>
                <w:rFonts w:ascii="Courier New"/>
                <w:b/>
                <w:sz w:val="16"/>
              </w:rPr>
              <w:t>VIF</w:t>
            </w:r>
          </w:p>
        </w:tc>
      </w:tr>
      <w:tr>
        <w:trPr>
          <w:trHeight w:val="180" w:hRule="atLeast"/>
        </w:trPr>
        <w:tc>
          <w:tcPr>
            <w:tcW w:w="2642" w:type="dxa"/>
          </w:tcPr>
          <w:p>
            <w:pPr>
              <w:pStyle w:val="TableParagraph"/>
              <w:spacing w:line="160" w:lineRule="exact" w:before="0"/>
              <w:ind w:left="50"/>
              <w:jc w:val="left"/>
              <w:rPr>
                <w:rFonts w:ascii="Courier New"/>
                <w:b/>
                <w:sz w:val="16"/>
              </w:rPr>
            </w:pPr>
            <w:r>
              <w:rPr>
                <w:rFonts w:ascii="Courier New"/>
                <w:b/>
                <w:sz w:val="16"/>
              </w:rPr>
              <w:t>Constant</w:t>
            </w:r>
          </w:p>
        </w:tc>
        <w:tc>
          <w:tcPr>
            <w:tcW w:w="961" w:type="dxa"/>
          </w:tcPr>
          <w:p>
            <w:pPr>
              <w:pStyle w:val="TableParagraph"/>
              <w:spacing w:line="160" w:lineRule="exact" w:before="0"/>
              <w:ind w:right="95"/>
              <w:rPr>
                <w:rFonts w:ascii="Courier New"/>
                <w:b/>
                <w:sz w:val="16"/>
              </w:rPr>
            </w:pPr>
            <w:r>
              <w:rPr>
                <w:rFonts w:ascii="Courier New"/>
                <w:b/>
                <w:sz w:val="16"/>
              </w:rPr>
              <w:t>151.8</w:t>
            </w:r>
          </w:p>
        </w:tc>
        <w:tc>
          <w:tcPr>
            <w:tcW w:w="864" w:type="dxa"/>
          </w:tcPr>
          <w:p>
            <w:pPr>
              <w:pStyle w:val="TableParagraph"/>
              <w:spacing w:line="160" w:lineRule="exact" w:before="0"/>
              <w:ind w:right="95"/>
              <w:rPr>
                <w:rFonts w:ascii="Courier New"/>
                <w:b/>
                <w:sz w:val="16"/>
              </w:rPr>
            </w:pPr>
            <w:r>
              <w:rPr>
                <w:rFonts w:ascii="Courier New"/>
                <w:b/>
                <w:sz w:val="16"/>
              </w:rPr>
              <w:t>68.9</w:t>
            </w:r>
          </w:p>
        </w:tc>
        <w:tc>
          <w:tcPr>
            <w:tcW w:w="865" w:type="dxa"/>
          </w:tcPr>
          <w:p>
            <w:pPr>
              <w:pStyle w:val="TableParagraph"/>
              <w:spacing w:line="160" w:lineRule="exact" w:before="0"/>
              <w:ind w:right="96"/>
              <w:rPr>
                <w:rFonts w:ascii="Courier New"/>
                <w:b/>
                <w:sz w:val="16"/>
              </w:rPr>
            </w:pPr>
            <w:r>
              <w:rPr>
                <w:rFonts w:ascii="Courier New"/>
                <w:b/>
                <w:sz w:val="16"/>
              </w:rPr>
              <w:t>2.20</w:t>
            </w:r>
          </w:p>
        </w:tc>
        <w:tc>
          <w:tcPr>
            <w:tcW w:w="863" w:type="dxa"/>
          </w:tcPr>
          <w:p>
            <w:pPr>
              <w:pStyle w:val="TableParagraph"/>
              <w:spacing w:line="160" w:lineRule="exact" w:before="0"/>
              <w:ind w:right="95"/>
              <w:rPr>
                <w:rFonts w:ascii="Courier New"/>
                <w:b/>
                <w:sz w:val="16"/>
              </w:rPr>
            </w:pPr>
            <w:r>
              <w:rPr>
                <w:rFonts w:ascii="Courier New"/>
                <w:b/>
                <w:sz w:val="16"/>
              </w:rPr>
              <w:t>0.028</w:t>
            </w:r>
          </w:p>
        </w:tc>
        <w:tc>
          <w:tcPr>
            <w:tcW w:w="531" w:type="dxa"/>
          </w:tcPr>
          <w:p>
            <w:pPr>
              <w:pStyle w:val="TableParagraph"/>
              <w:spacing w:line="240" w:lineRule="auto" w:before="0"/>
              <w:jc w:val="left"/>
              <w:rPr>
                <w:rFonts w:ascii="Times New Roman"/>
                <w:sz w:val="12"/>
              </w:rPr>
            </w:pPr>
          </w:p>
        </w:tc>
      </w:tr>
      <w:tr>
        <w:trPr>
          <w:trHeight w:val="182" w:hRule="atLeast"/>
        </w:trPr>
        <w:tc>
          <w:tcPr>
            <w:tcW w:w="2642" w:type="dxa"/>
          </w:tcPr>
          <w:p>
            <w:pPr>
              <w:pStyle w:val="TableParagraph"/>
              <w:spacing w:line="162" w:lineRule="exact" w:before="0"/>
              <w:ind w:left="50"/>
              <w:jc w:val="left"/>
              <w:rPr>
                <w:rFonts w:ascii="Courier New"/>
                <w:b/>
                <w:sz w:val="16"/>
              </w:rPr>
            </w:pPr>
            <w:r>
              <w:rPr>
                <w:rFonts w:ascii="Courier New"/>
                <w:b/>
                <w:sz w:val="16"/>
              </w:rPr>
              <w:t>Ln Area de Construccion</w:t>
            </w:r>
          </w:p>
        </w:tc>
        <w:tc>
          <w:tcPr>
            <w:tcW w:w="961" w:type="dxa"/>
          </w:tcPr>
          <w:p>
            <w:pPr>
              <w:pStyle w:val="TableParagraph"/>
              <w:spacing w:line="162" w:lineRule="exact" w:before="0"/>
              <w:ind w:right="95"/>
              <w:rPr>
                <w:rFonts w:ascii="Courier New"/>
                <w:b/>
                <w:sz w:val="16"/>
              </w:rPr>
            </w:pPr>
            <w:r>
              <w:rPr>
                <w:rFonts w:ascii="Courier New"/>
                <w:b/>
                <w:sz w:val="16"/>
              </w:rPr>
              <w:t>0.0740</w:t>
            </w:r>
          </w:p>
        </w:tc>
        <w:tc>
          <w:tcPr>
            <w:tcW w:w="864" w:type="dxa"/>
          </w:tcPr>
          <w:p>
            <w:pPr>
              <w:pStyle w:val="TableParagraph"/>
              <w:spacing w:line="162" w:lineRule="exact" w:before="0"/>
              <w:ind w:right="95"/>
              <w:rPr>
                <w:rFonts w:ascii="Courier New"/>
                <w:b/>
                <w:sz w:val="16"/>
              </w:rPr>
            </w:pPr>
            <w:r>
              <w:rPr>
                <w:rFonts w:ascii="Courier New"/>
                <w:b/>
                <w:sz w:val="16"/>
              </w:rPr>
              <w:t>0.0490</w:t>
            </w:r>
          </w:p>
        </w:tc>
        <w:tc>
          <w:tcPr>
            <w:tcW w:w="865" w:type="dxa"/>
          </w:tcPr>
          <w:p>
            <w:pPr>
              <w:pStyle w:val="TableParagraph"/>
              <w:spacing w:line="162" w:lineRule="exact" w:before="0"/>
              <w:ind w:right="96"/>
              <w:rPr>
                <w:rFonts w:ascii="Courier New"/>
                <w:b/>
                <w:sz w:val="16"/>
              </w:rPr>
            </w:pPr>
            <w:r>
              <w:rPr>
                <w:rFonts w:ascii="Courier New"/>
                <w:b/>
                <w:sz w:val="16"/>
              </w:rPr>
              <w:t>1.51</w:t>
            </w:r>
          </w:p>
        </w:tc>
        <w:tc>
          <w:tcPr>
            <w:tcW w:w="863" w:type="dxa"/>
          </w:tcPr>
          <w:p>
            <w:pPr>
              <w:pStyle w:val="TableParagraph"/>
              <w:spacing w:line="162" w:lineRule="exact" w:before="0"/>
              <w:ind w:right="93"/>
              <w:rPr>
                <w:rFonts w:ascii="Courier New"/>
                <w:b/>
                <w:sz w:val="16"/>
              </w:rPr>
            </w:pPr>
            <w:r>
              <w:rPr>
                <w:rFonts w:ascii="Courier New"/>
                <w:b/>
                <w:sz w:val="16"/>
              </w:rPr>
              <w:t>0.132</w:t>
            </w:r>
          </w:p>
        </w:tc>
        <w:tc>
          <w:tcPr>
            <w:tcW w:w="531" w:type="dxa"/>
          </w:tcPr>
          <w:p>
            <w:pPr>
              <w:pStyle w:val="TableParagraph"/>
              <w:spacing w:line="162" w:lineRule="exact" w:before="0"/>
              <w:ind w:right="48"/>
              <w:rPr>
                <w:rFonts w:ascii="Courier New"/>
                <w:b/>
                <w:sz w:val="16"/>
              </w:rPr>
            </w:pPr>
            <w:r>
              <w:rPr>
                <w:rFonts w:ascii="Courier New"/>
                <w:b/>
                <w:sz w:val="16"/>
              </w:rPr>
              <w:t>1.07</w:t>
            </w:r>
          </w:p>
        </w:tc>
      </w:tr>
      <w:tr>
        <w:trPr>
          <w:trHeight w:val="181" w:hRule="atLeast"/>
        </w:trPr>
        <w:tc>
          <w:tcPr>
            <w:tcW w:w="2642" w:type="dxa"/>
          </w:tcPr>
          <w:p>
            <w:pPr>
              <w:pStyle w:val="TableParagraph"/>
              <w:spacing w:line="161" w:lineRule="exact" w:before="1"/>
              <w:ind w:left="50"/>
              <w:jc w:val="left"/>
              <w:rPr>
                <w:rFonts w:ascii="Courier New" w:hAnsi="Courier New"/>
                <w:b/>
                <w:sz w:val="16"/>
              </w:rPr>
            </w:pPr>
            <w:r>
              <w:rPr>
                <w:rFonts w:ascii="Courier New" w:hAnsi="Courier New"/>
                <w:b/>
                <w:sz w:val="16"/>
              </w:rPr>
              <w:t>Ln Año Construccion</w:t>
            </w:r>
          </w:p>
        </w:tc>
        <w:tc>
          <w:tcPr>
            <w:tcW w:w="961" w:type="dxa"/>
          </w:tcPr>
          <w:p>
            <w:pPr>
              <w:pStyle w:val="TableParagraph"/>
              <w:spacing w:line="161" w:lineRule="exact" w:before="1"/>
              <w:ind w:right="93"/>
              <w:rPr>
                <w:rFonts w:ascii="Courier New"/>
                <w:b/>
                <w:sz w:val="16"/>
              </w:rPr>
            </w:pPr>
            <w:r>
              <w:rPr>
                <w:rFonts w:ascii="Courier New"/>
                <w:b/>
                <w:sz w:val="16"/>
              </w:rPr>
              <w:t>-18.51</w:t>
            </w:r>
          </w:p>
        </w:tc>
        <w:tc>
          <w:tcPr>
            <w:tcW w:w="864" w:type="dxa"/>
          </w:tcPr>
          <w:p>
            <w:pPr>
              <w:pStyle w:val="TableParagraph"/>
              <w:spacing w:line="161" w:lineRule="exact" w:before="1"/>
              <w:ind w:right="94"/>
              <w:rPr>
                <w:rFonts w:ascii="Courier New"/>
                <w:b/>
                <w:sz w:val="16"/>
              </w:rPr>
            </w:pPr>
            <w:r>
              <w:rPr>
                <w:rFonts w:ascii="Courier New"/>
                <w:b/>
                <w:sz w:val="16"/>
              </w:rPr>
              <w:t>9.06</w:t>
            </w:r>
          </w:p>
        </w:tc>
        <w:tc>
          <w:tcPr>
            <w:tcW w:w="865" w:type="dxa"/>
          </w:tcPr>
          <w:p>
            <w:pPr>
              <w:pStyle w:val="TableParagraph"/>
              <w:spacing w:line="161" w:lineRule="exact" w:before="1"/>
              <w:ind w:right="94"/>
              <w:rPr>
                <w:rFonts w:ascii="Courier New"/>
                <w:b/>
                <w:sz w:val="16"/>
              </w:rPr>
            </w:pPr>
            <w:r>
              <w:rPr>
                <w:rFonts w:ascii="Courier New"/>
                <w:b/>
                <w:sz w:val="16"/>
              </w:rPr>
              <w:t>-2.04</w:t>
            </w:r>
          </w:p>
        </w:tc>
        <w:tc>
          <w:tcPr>
            <w:tcW w:w="863" w:type="dxa"/>
          </w:tcPr>
          <w:p>
            <w:pPr>
              <w:pStyle w:val="TableParagraph"/>
              <w:spacing w:line="161" w:lineRule="exact" w:before="1"/>
              <w:ind w:right="93"/>
              <w:rPr>
                <w:rFonts w:ascii="Courier New"/>
                <w:b/>
                <w:sz w:val="16"/>
              </w:rPr>
            </w:pPr>
            <w:r>
              <w:rPr>
                <w:rFonts w:ascii="Courier New"/>
                <w:b/>
                <w:sz w:val="16"/>
              </w:rPr>
              <w:t>0.042</w:t>
            </w:r>
          </w:p>
        </w:tc>
        <w:tc>
          <w:tcPr>
            <w:tcW w:w="531" w:type="dxa"/>
          </w:tcPr>
          <w:p>
            <w:pPr>
              <w:pStyle w:val="TableParagraph"/>
              <w:spacing w:line="161" w:lineRule="exact" w:before="1"/>
              <w:ind w:right="48"/>
              <w:rPr>
                <w:rFonts w:ascii="Courier New"/>
                <w:b/>
                <w:sz w:val="16"/>
              </w:rPr>
            </w:pPr>
            <w:r>
              <w:rPr>
                <w:rFonts w:ascii="Courier New"/>
                <w:b/>
                <w:sz w:val="16"/>
              </w:rPr>
              <w:t>1.17</w:t>
            </w:r>
          </w:p>
        </w:tc>
      </w:tr>
      <w:tr>
        <w:trPr>
          <w:trHeight w:val="180" w:hRule="atLeast"/>
        </w:trPr>
        <w:tc>
          <w:tcPr>
            <w:tcW w:w="2642" w:type="dxa"/>
          </w:tcPr>
          <w:p>
            <w:pPr>
              <w:pStyle w:val="TableParagraph"/>
              <w:spacing w:line="160" w:lineRule="exact" w:before="0"/>
              <w:ind w:left="50"/>
              <w:jc w:val="left"/>
              <w:rPr>
                <w:rFonts w:ascii="Courier New" w:hAnsi="Courier New"/>
                <w:b/>
                <w:sz w:val="16"/>
              </w:rPr>
            </w:pPr>
            <w:r>
              <w:rPr>
                <w:rFonts w:ascii="Courier New" w:hAnsi="Courier New"/>
                <w:b/>
                <w:sz w:val="16"/>
              </w:rPr>
              <w:t>Ln Número Habitaciones</w:t>
            </w:r>
          </w:p>
        </w:tc>
        <w:tc>
          <w:tcPr>
            <w:tcW w:w="961" w:type="dxa"/>
          </w:tcPr>
          <w:p>
            <w:pPr>
              <w:pStyle w:val="TableParagraph"/>
              <w:spacing w:line="160" w:lineRule="exact" w:before="0"/>
              <w:ind w:right="95"/>
              <w:rPr>
                <w:rFonts w:ascii="Courier New"/>
                <w:b/>
                <w:sz w:val="16"/>
              </w:rPr>
            </w:pPr>
            <w:r>
              <w:rPr>
                <w:rFonts w:ascii="Courier New"/>
                <w:b/>
                <w:sz w:val="16"/>
              </w:rPr>
              <w:t>1.018</w:t>
            </w:r>
          </w:p>
        </w:tc>
        <w:tc>
          <w:tcPr>
            <w:tcW w:w="864" w:type="dxa"/>
          </w:tcPr>
          <w:p>
            <w:pPr>
              <w:pStyle w:val="TableParagraph"/>
              <w:spacing w:line="160" w:lineRule="exact" w:before="0"/>
              <w:ind w:right="95"/>
              <w:rPr>
                <w:rFonts w:ascii="Courier New"/>
                <w:b/>
                <w:sz w:val="16"/>
              </w:rPr>
            </w:pPr>
            <w:r>
              <w:rPr>
                <w:rFonts w:ascii="Courier New"/>
                <w:b/>
                <w:sz w:val="16"/>
              </w:rPr>
              <w:t>0.110</w:t>
            </w:r>
          </w:p>
        </w:tc>
        <w:tc>
          <w:tcPr>
            <w:tcW w:w="865" w:type="dxa"/>
          </w:tcPr>
          <w:p>
            <w:pPr>
              <w:pStyle w:val="TableParagraph"/>
              <w:spacing w:line="160" w:lineRule="exact" w:before="0"/>
              <w:ind w:right="96"/>
              <w:rPr>
                <w:rFonts w:ascii="Courier New"/>
                <w:b/>
                <w:sz w:val="16"/>
              </w:rPr>
            </w:pPr>
            <w:r>
              <w:rPr>
                <w:rFonts w:ascii="Courier New"/>
                <w:b/>
                <w:sz w:val="16"/>
              </w:rPr>
              <w:t>9.23</w:t>
            </w:r>
          </w:p>
        </w:tc>
        <w:tc>
          <w:tcPr>
            <w:tcW w:w="863" w:type="dxa"/>
          </w:tcPr>
          <w:p>
            <w:pPr>
              <w:pStyle w:val="TableParagraph"/>
              <w:spacing w:line="160" w:lineRule="exact" w:before="0"/>
              <w:ind w:right="95"/>
              <w:rPr>
                <w:rFonts w:ascii="Courier New"/>
                <w:b/>
                <w:sz w:val="16"/>
              </w:rPr>
            </w:pPr>
            <w:r>
              <w:rPr>
                <w:rFonts w:ascii="Courier New"/>
                <w:b/>
                <w:sz w:val="16"/>
              </w:rPr>
              <w:t>0.000</w:t>
            </w:r>
          </w:p>
        </w:tc>
        <w:tc>
          <w:tcPr>
            <w:tcW w:w="531" w:type="dxa"/>
          </w:tcPr>
          <w:p>
            <w:pPr>
              <w:pStyle w:val="TableParagraph"/>
              <w:spacing w:line="160" w:lineRule="exact" w:before="0"/>
              <w:ind w:right="50"/>
              <w:rPr>
                <w:rFonts w:ascii="Courier New"/>
                <w:b/>
                <w:sz w:val="16"/>
              </w:rPr>
            </w:pPr>
            <w:r>
              <w:rPr>
                <w:rFonts w:ascii="Courier New"/>
                <w:b/>
                <w:sz w:val="16"/>
              </w:rPr>
              <w:t>1.28</w:t>
            </w:r>
          </w:p>
        </w:tc>
      </w:tr>
      <w:tr>
        <w:trPr>
          <w:trHeight w:val="181" w:hRule="atLeast"/>
        </w:trPr>
        <w:tc>
          <w:tcPr>
            <w:tcW w:w="2642" w:type="dxa"/>
          </w:tcPr>
          <w:p>
            <w:pPr>
              <w:pStyle w:val="TableParagraph"/>
              <w:spacing w:line="162" w:lineRule="exact" w:before="0"/>
              <w:ind w:left="50"/>
              <w:jc w:val="left"/>
              <w:rPr>
                <w:rFonts w:ascii="Courier New" w:hAnsi="Courier New"/>
                <w:b/>
                <w:sz w:val="16"/>
              </w:rPr>
            </w:pPr>
            <w:r>
              <w:rPr>
                <w:rFonts w:ascii="Courier New" w:hAnsi="Courier New"/>
                <w:b/>
                <w:sz w:val="16"/>
              </w:rPr>
              <w:t>Ln Número de Plantas</w:t>
            </w:r>
          </w:p>
        </w:tc>
        <w:tc>
          <w:tcPr>
            <w:tcW w:w="961" w:type="dxa"/>
          </w:tcPr>
          <w:p>
            <w:pPr>
              <w:pStyle w:val="TableParagraph"/>
              <w:spacing w:line="162" w:lineRule="exact" w:before="0"/>
              <w:ind w:right="95"/>
              <w:rPr>
                <w:rFonts w:ascii="Courier New"/>
                <w:b/>
                <w:sz w:val="16"/>
              </w:rPr>
            </w:pPr>
            <w:r>
              <w:rPr>
                <w:rFonts w:ascii="Courier New"/>
                <w:b/>
                <w:sz w:val="16"/>
              </w:rPr>
              <w:t>0.0035</w:t>
            </w:r>
          </w:p>
        </w:tc>
        <w:tc>
          <w:tcPr>
            <w:tcW w:w="864" w:type="dxa"/>
          </w:tcPr>
          <w:p>
            <w:pPr>
              <w:pStyle w:val="TableParagraph"/>
              <w:spacing w:line="162" w:lineRule="exact" w:before="0"/>
              <w:ind w:right="95"/>
              <w:rPr>
                <w:rFonts w:ascii="Courier New"/>
                <w:b/>
                <w:sz w:val="16"/>
              </w:rPr>
            </w:pPr>
            <w:r>
              <w:rPr>
                <w:rFonts w:ascii="Courier New"/>
                <w:b/>
                <w:sz w:val="16"/>
              </w:rPr>
              <w:t>0.0926</w:t>
            </w:r>
          </w:p>
        </w:tc>
        <w:tc>
          <w:tcPr>
            <w:tcW w:w="865" w:type="dxa"/>
          </w:tcPr>
          <w:p>
            <w:pPr>
              <w:pStyle w:val="TableParagraph"/>
              <w:spacing w:line="162" w:lineRule="exact" w:before="0"/>
              <w:ind w:right="96"/>
              <w:rPr>
                <w:rFonts w:ascii="Courier New"/>
                <w:b/>
                <w:sz w:val="16"/>
              </w:rPr>
            </w:pPr>
            <w:r>
              <w:rPr>
                <w:rFonts w:ascii="Courier New"/>
                <w:b/>
                <w:sz w:val="16"/>
              </w:rPr>
              <w:t>0.04</w:t>
            </w:r>
          </w:p>
        </w:tc>
        <w:tc>
          <w:tcPr>
            <w:tcW w:w="863" w:type="dxa"/>
          </w:tcPr>
          <w:p>
            <w:pPr>
              <w:pStyle w:val="TableParagraph"/>
              <w:spacing w:line="162" w:lineRule="exact" w:before="0"/>
              <w:ind w:right="95"/>
              <w:rPr>
                <w:rFonts w:ascii="Courier New"/>
                <w:b/>
                <w:sz w:val="16"/>
              </w:rPr>
            </w:pPr>
            <w:r>
              <w:rPr>
                <w:rFonts w:ascii="Courier New"/>
                <w:b/>
                <w:sz w:val="16"/>
              </w:rPr>
              <w:t>0.970</w:t>
            </w:r>
          </w:p>
        </w:tc>
        <w:tc>
          <w:tcPr>
            <w:tcW w:w="531" w:type="dxa"/>
          </w:tcPr>
          <w:p>
            <w:pPr>
              <w:pStyle w:val="TableParagraph"/>
              <w:spacing w:line="162" w:lineRule="exact" w:before="0"/>
              <w:ind w:right="50"/>
              <w:rPr>
                <w:rFonts w:ascii="Courier New"/>
                <w:b/>
                <w:sz w:val="16"/>
              </w:rPr>
            </w:pPr>
            <w:r>
              <w:rPr>
                <w:rFonts w:ascii="Courier New"/>
                <w:b/>
                <w:sz w:val="16"/>
              </w:rPr>
              <w:t>1.17</w:t>
            </w:r>
          </w:p>
        </w:tc>
      </w:tr>
      <w:tr>
        <w:trPr>
          <w:trHeight w:val="182" w:hRule="atLeast"/>
        </w:trPr>
        <w:tc>
          <w:tcPr>
            <w:tcW w:w="2642" w:type="dxa"/>
          </w:tcPr>
          <w:p>
            <w:pPr>
              <w:pStyle w:val="TableParagraph"/>
              <w:spacing w:line="161" w:lineRule="exact" w:before="1"/>
              <w:ind w:left="50"/>
              <w:jc w:val="left"/>
              <w:rPr>
                <w:rFonts w:ascii="Courier New"/>
                <w:b/>
                <w:sz w:val="16"/>
              </w:rPr>
            </w:pPr>
            <w:r>
              <w:rPr>
                <w:rFonts w:ascii="Courier New"/>
                <w:b/>
                <w:sz w:val="16"/>
              </w:rPr>
              <w:t>Ln Distancia SJ</w:t>
            </w:r>
          </w:p>
        </w:tc>
        <w:tc>
          <w:tcPr>
            <w:tcW w:w="961" w:type="dxa"/>
          </w:tcPr>
          <w:p>
            <w:pPr>
              <w:pStyle w:val="TableParagraph"/>
              <w:spacing w:line="161" w:lineRule="exact" w:before="1"/>
              <w:ind w:right="93"/>
              <w:rPr>
                <w:rFonts w:ascii="Courier New"/>
                <w:b/>
                <w:sz w:val="16"/>
              </w:rPr>
            </w:pPr>
            <w:r>
              <w:rPr>
                <w:rFonts w:ascii="Courier New"/>
                <w:b/>
                <w:sz w:val="16"/>
              </w:rPr>
              <w:t>-0.319</w:t>
            </w:r>
          </w:p>
        </w:tc>
        <w:tc>
          <w:tcPr>
            <w:tcW w:w="864" w:type="dxa"/>
          </w:tcPr>
          <w:p>
            <w:pPr>
              <w:pStyle w:val="TableParagraph"/>
              <w:spacing w:line="161" w:lineRule="exact" w:before="1"/>
              <w:ind w:right="94"/>
              <w:rPr>
                <w:rFonts w:ascii="Courier New"/>
                <w:b/>
                <w:sz w:val="16"/>
              </w:rPr>
            </w:pPr>
            <w:r>
              <w:rPr>
                <w:rFonts w:ascii="Courier New"/>
                <w:b/>
                <w:sz w:val="16"/>
              </w:rPr>
              <w:t>0.116</w:t>
            </w:r>
          </w:p>
        </w:tc>
        <w:tc>
          <w:tcPr>
            <w:tcW w:w="865" w:type="dxa"/>
          </w:tcPr>
          <w:p>
            <w:pPr>
              <w:pStyle w:val="TableParagraph"/>
              <w:spacing w:line="161" w:lineRule="exact" w:before="1"/>
              <w:ind w:right="94"/>
              <w:rPr>
                <w:rFonts w:ascii="Courier New"/>
                <w:b/>
                <w:sz w:val="16"/>
              </w:rPr>
            </w:pPr>
            <w:r>
              <w:rPr>
                <w:rFonts w:ascii="Courier New"/>
                <w:b/>
                <w:sz w:val="16"/>
              </w:rPr>
              <w:t>-2.74</w:t>
            </w:r>
          </w:p>
        </w:tc>
        <w:tc>
          <w:tcPr>
            <w:tcW w:w="863" w:type="dxa"/>
          </w:tcPr>
          <w:p>
            <w:pPr>
              <w:pStyle w:val="TableParagraph"/>
              <w:spacing w:line="161" w:lineRule="exact" w:before="1"/>
              <w:ind w:right="93"/>
              <w:rPr>
                <w:rFonts w:ascii="Courier New"/>
                <w:b/>
                <w:sz w:val="16"/>
              </w:rPr>
            </w:pPr>
            <w:r>
              <w:rPr>
                <w:rFonts w:ascii="Courier New"/>
                <w:b/>
                <w:sz w:val="16"/>
              </w:rPr>
              <w:t>0.006</w:t>
            </w:r>
          </w:p>
        </w:tc>
        <w:tc>
          <w:tcPr>
            <w:tcW w:w="531" w:type="dxa"/>
          </w:tcPr>
          <w:p>
            <w:pPr>
              <w:pStyle w:val="TableParagraph"/>
              <w:spacing w:line="161" w:lineRule="exact" w:before="1"/>
              <w:ind w:right="48"/>
              <w:rPr>
                <w:rFonts w:ascii="Courier New"/>
                <w:b/>
                <w:sz w:val="16"/>
              </w:rPr>
            </w:pPr>
            <w:r>
              <w:rPr>
                <w:rFonts w:ascii="Courier New"/>
                <w:b/>
                <w:sz w:val="16"/>
              </w:rPr>
              <w:t>1.20</w:t>
            </w:r>
          </w:p>
        </w:tc>
      </w:tr>
      <w:tr>
        <w:trPr>
          <w:trHeight w:val="180" w:hRule="atLeast"/>
        </w:trPr>
        <w:tc>
          <w:tcPr>
            <w:tcW w:w="2642" w:type="dxa"/>
          </w:tcPr>
          <w:p>
            <w:pPr>
              <w:pStyle w:val="TableParagraph"/>
              <w:spacing w:line="160" w:lineRule="exact" w:before="0"/>
              <w:ind w:left="50"/>
              <w:jc w:val="left"/>
              <w:rPr>
                <w:rFonts w:ascii="Courier New"/>
                <w:b/>
                <w:sz w:val="16"/>
              </w:rPr>
            </w:pPr>
            <w:r>
              <w:rPr>
                <w:rFonts w:ascii="Courier New"/>
                <w:b/>
                <w:sz w:val="16"/>
              </w:rPr>
              <w:t>Ln Distancia Pobreza</w:t>
            </w:r>
          </w:p>
        </w:tc>
        <w:tc>
          <w:tcPr>
            <w:tcW w:w="961" w:type="dxa"/>
          </w:tcPr>
          <w:p>
            <w:pPr>
              <w:pStyle w:val="TableParagraph"/>
              <w:spacing w:line="160" w:lineRule="exact" w:before="0"/>
              <w:ind w:right="95"/>
              <w:rPr>
                <w:rFonts w:ascii="Courier New"/>
                <w:b/>
                <w:sz w:val="16"/>
              </w:rPr>
            </w:pPr>
            <w:r>
              <w:rPr>
                <w:rFonts w:ascii="Courier New"/>
                <w:b/>
                <w:sz w:val="16"/>
              </w:rPr>
              <w:t>0.2552</w:t>
            </w:r>
          </w:p>
        </w:tc>
        <w:tc>
          <w:tcPr>
            <w:tcW w:w="864" w:type="dxa"/>
          </w:tcPr>
          <w:p>
            <w:pPr>
              <w:pStyle w:val="TableParagraph"/>
              <w:spacing w:line="160" w:lineRule="exact" w:before="0"/>
              <w:ind w:right="95"/>
              <w:rPr>
                <w:rFonts w:ascii="Courier New"/>
                <w:b/>
                <w:sz w:val="16"/>
              </w:rPr>
            </w:pPr>
            <w:r>
              <w:rPr>
                <w:rFonts w:ascii="Courier New"/>
                <w:b/>
                <w:sz w:val="16"/>
              </w:rPr>
              <w:t>0.0867</w:t>
            </w:r>
          </w:p>
        </w:tc>
        <w:tc>
          <w:tcPr>
            <w:tcW w:w="865" w:type="dxa"/>
          </w:tcPr>
          <w:p>
            <w:pPr>
              <w:pStyle w:val="TableParagraph"/>
              <w:spacing w:line="160" w:lineRule="exact" w:before="0"/>
              <w:ind w:right="96"/>
              <w:rPr>
                <w:rFonts w:ascii="Courier New"/>
                <w:b/>
                <w:sz w:val="16"/>
              </w:rPr>
            </w:pPr>
            <w:r>
              <w:rPr>
                <w:rFonts w:ascii="Courier New"/>
                <w:b/>
                <w:sz w:val="16"/>
              </w:rPr>
              <w:t>2.94</w:t>
            </w:r>
          </w:p>
        </w:tc>
        <w:tc>
          <w:tcPr>
            <w:tcW w:w="863" w:type="dxa"/>
          </w:tcPr>
          <w:p>
            <w:pPr>
              <w:pStyle w:val="TableParagraph"/>
              <w:spacing w:line="160" w:lineRule="exact" w:before="0"/>
              <w:ind w:right="95"/>
              <w:rPr>
                <w:rFonts w:ascii="Courier New"/>
                <w:b/>
                <w:sz w:val="16"/>
              </w:rPr>
            </w:pPr>
            <w:r>
              <w:rPr>
                <w:rFonts w:ascii="Courier New"/>
                <w:b/>
                <w:sz w:val="16"/>
              </w:rPr>
              <w:t>0.003</w:t>
            </w:r>
          </w:p>
        </w:tc>
        <w:tc>
          <w:tcPr>
            <w:tcW w:w="531" w:type="dxa"/>
          </w:tcPr>
          <w:p>
            <w:pPr>
              <w:pStyle w:val="TableParagraph"/>
              <w:spacing w:line="160" w:lineRule="exact" w:before="0"/>
              <w:ind w:right="50"/>
              <w:rPr>
                <w:rFonts w:ascii="Courier New"/>
                <w:b/>
                <w:sz w:val="16"/>
              </w:rPr>
            </w:pPr>
            <w:r>
              <w:rPr>
                <w:rFonts w:ascii="Courier New"/>
                <w:b/>
                <w:sz w:val="16"/>
              </w:rPr>
              <w:t>1.19</w:t>
            </w:r>
          </w:p>
        </w:tc>
      </w:tr>
      <w:tr>
        <w:trPr>
          <w:trHeight w:val="180" w:hRule="atLeast"/>
        </w:trPr>
        <w:tc>
          <w:tcPr>
            <w:tcW w:w="2642" w:type="dxa"/>
          </w:tcPr>
          <w:p>
            <w:pPr>
              <w:pStyle w:val="TableParagraph"/>
              <w:spacing w:line="160" w:lineRule="exact" w:before="0"/>
              <w:ind w:left="50"/>
              <w:jc w:val="left"/>
              <w:rPr>
                <w:rFonts w:ascii="Courier New"/>
                <w:b/>
                <w:sz w:val="16"/>
              </w:rPr>
            </w:pPr>
            <w:r>
              <w:rPr>
                <w:rFonts w:ascii="Courier New"/>
                <w:b/>
                <w:sz w:val="16"/>
              </w:rPr>
              <w:t>Tipo = 1 casa, 0 = Condo</w:t>
            </w:r>
          </w:p>
        </w:tc>
        <w:tc>
          <w:tcPr>
            <w:tcW w:w="961" w:type="dxa"/>
          </w:tcPr>
          <w:p>
            <w:pPr>
              <w:pStyle w:val="TableParagraph"/>
              <w:spacing w:line="240" w:lineRule="auto" w:before="0"/>
              <w:jc w:val="left"/>
              <w:rPr>
                <w:rFonts w:ascii="Times New Roman"/>
                <w:sz w:val="12"/>
              </w:rPr>
            </w:pPr>
          </w:p>
        </w:tc>
        <w:tc>
          <w:tcPr>
            <w:tcW w:w="864" w:type="dxa"/>
          </w:tcPr>
          <w:p>
            <w:pPr>
              <w:pStyle w:val="TableParagraph"/>
              <w:spacing w:line="240" w:lineRule="auto" w:before="0"/>
              <w:jc w:val="left"/>
              <w:rPr>
                <w:rFonts w:ascii="Times New Roman"/>
                <w:sz w:val="12"/>
              </w:rPr>
            </w:pPr>
          </w:p>
        </w:tc>
        <w:tc>
          <w:tcPr>
            <w:tcW w:w="865" w:type="dxa"/>
          </w:tcPr>
          <w:p>
            <w:pPr>
              <w:pStyle w:val="TableParagraph"/>
              <w:spacing w:line="240" w:lineRule="auto" w:before="0"/>
              <w:jc w:val="left"/>
              <w:rPr>
                <w:rFonts w:ascii="Times New Roman"/>
                <w:sz w:val="12"/>
              </w:rPr>
            </w:pPr>
          </w:p>
        </w:tc>
        <w:tc>
          <w:tcPr>
            <w:tcW w:w="863" w:type="dxa"/>
          </w:tcPr>
          <w:p>
            <w:pPr>
              <w:pStyle w:val="TableParagraph"/>
              <w:spacing w:line="240" w:lineRule="auto" w:before="0"/>
              <w:jc w:val="left"/>
              <w:rPr>
                <w:rFonts w:ascii="Times New Roman"/>
                <w:sz w:val="12"/>
              </w:rPr>
            </w:pPr>
          </w:p>
        </w:tc>
        <w:tc>
          <w:tcPr>
            <w:tcW w:w="531" w:type="dxa"/>
          </w:tcPr>
          <w:p>
            <w:pPr>
              <w:pStyle w:val="TableParagraph"/>
              <w:spacing w:line="240" w:lineRule="auto" w:before="0"/>
              <w:jc w:val="left"/>
              <w:rPr>
                <w:rFonts w:ascii="Times New Roman"/>
                <w:sz w:val="12"/>
              </w:rPr>
            </w:pPr>
          </w:p>
        </w:tc>
      </w:tr>
      <w:tr>
        <w:trPr>
          <w:trHeight w:val="180" w:hRule="atLeast"/>
        </w:trPr>
        <w:tc>
          <w:tcPr>
            <w:tcW w:w="2642" w:type="dxa"/>
          </w:tcPr>
          <w:p>
            <w:pPr>
              <w:pStyle w:val="TableParagraph"/>
              <w:spacing w:line="161" w:lineRule="exact" w:before="0"/>
              <w:ind w:left="241"/>
              <w:jc w:val="left"/>
              <w:rPr>
                <w:rFonts w:ascii="Courier New"/>
                <w:b/>
                <w:sz w:val="16"/>
              </w:rPr>
            </w:pPr>
            <w:r>
              <w:rPr>
                <w:rFonts w:ascii="Courier New"/>
                <w:b/>
                <w:sz w:val="16"/>
              </w:rPr>
              <w:t>1</w:t>
            </w:r>
          </w:p>
        </w:tc>
        <w:tc>
          <w:tcPr>
            <w:tcW w:w="961" w:type="dxa"/>
          </w:tcPr>
          <w:p>
            <w:pPr>
              <w:pStyle w:val="TableParagraph"/>
              <w:spacing w:line="161" w:lineRule="exact" w:before="0"/>
              <w:ind w:right="95"/>
              <w:rPr>
                <w:rFonts w:ascii="Courier New"/>
                <w:b/>
                <w:sz w:val="16"/>
              </w:rPr>
            </w:pPr>
            <w:r>
              <w:rPr>
                <w:rFonts w:ascii="Courier New"/>
                <w:b/>
                <w:sz w:val="16"/>
              </w:rPr>
              <w:t>0.0992</w:t>
            </w:r>
          </w:p>
        </w:tc>
        <w:tc>
          <w:tcPr>
            <w:tcW w:w="864" w:type="dxa"/>
          </w:tcPr>
          <w:p>
            <w:pPr>
              <w:pStyle w:val="TableParagraph"/>
              <w:spacing w:line="161" w:lineRule="exact" w:before="0"/>
              <w:ind w:right="95"/>
              <w:rPr>
                <w:rFonts w:ascii="Courier New"/>
                <w:b/>
                <w:sz w:val="16"/>
              </w:rPr>
            </w:pPr>
            <w:r>
              <w:rPr>
                <w:rFonts w:ascii="Courier New"/>
                <w:b/>
                <w:sz w:val="16"/>
              </w:rPr>
              <w:t>0.0574</w:t>
            </w:r>
          </w:p>
        </w:tc>
        <w:tc>
          <w:tcPr>
            <w:tcW w:w="865" w:type="dxa"/>
          </w:tcPr>
          <w:p>
            <w:pPr>
              <w:pStyle w:val="TableParagraph"/>
              <w:spacing w:line="161" w:lineRule="exact" w:before="0"/>
              <w:ind w:right="96"/>
              <w:rPr>
                <w:rFonts w:ascii="Courier New"/>
                <w:b/>
                <w:sz w:val="16"/>
              </w:rPr>
            </w:pPr>
            <w:r>
              <w:rPr>
                <w:rFonts w:ascii="Courier New"/>
                <w:b/>
                <w:sz w:val="16"/>
              </w:rPr>
              <w:t>1.73</w:t>
            </w:r>
          </w:p>
        </w:tc>
        <w:tc>
          <w:tcPr>
            <w:tcW w:w="863" w:type="dxa"/>
          </w:tcPr>
          <w:p>
            <w:pPr>
              <w:pStyle w:val="TableParagraph"/>
              <w:spacing w:line="161" w:lineRule="exact" w:before="0"/>
              <w:ind w:right="95"/>
              <w:rPr>
                <w:rFonts w:ascii="Courier New"/>
                <w:b/>
                <w:sz w:val="16"/>
              </w:rPr>
            </w:pPr>
            <w:r>
              <w:rPr>
                <w:rFonts w:ascii="Courier New"/>
                <w:b/>
                <w:sz w:val="16"/>
              </w:rPr>
              <w:t>0.085</w:t>
            </w:r>
          </w:p>
        </w:tc>
        <w:tc>
          <w:tcPr>
            <w:tcW w:w="531" w:type="dxa"/>
          </w:tcPr>
          <w:p>
            <w:pPr>
              <w:pStyle w:val="TableParagraph"/>
              <w:spacing w:line="161" w:lineRule="exact" w:before="0"/>
              <w:ind w:right="50"/>
              <w:rPr>
                <w:rFonts w:ascii="Courier New"/>
                <w:b/>
                <w:sz w:val="16"/>
              </w:rPr>
            </w:pPr>
            <w:r>
              <w:rPr>
                <w:rFonts w:ascii="Courier New"/>
                <w:b/>
                <w:sz w:val="16"/>
              </w:rPr>
              <w:t>1.22</w:t>
            </w:r>
          </w:p>
        </w:tc>
      </w:tr>
    </w:tbl>
    <w:p>
      <w:pPr>
        <w:spacing w:line="181" w:lineRule="exact" w:before="2"/>
        <w:ind w:left="1040" w:right="0" w:firstLine="0"/>
        <w:jc w:val="left"/>
        <w:rPr>
          <w:rFonts w:ascii="Courier New"/>
          <w:b/>
          <w:sz w:val="16"/>
        </w:rPr>
      </w:pPr>
      <w:r>
        <w:rPr>
          <w:rFonts w:ascii="Courier New"/>
          <w:b/>
          <w:sz w:val="16"/>
        </w:rPr>
        <w:t>Zona de Riesgo de desastre</w:t>
      </w:r>
    </w:p>
    <w:p>
      <w:pPr>
        <w:tabs>
          <w:tab w:pos="3825" w:val="left" w:leader="none"/>
          <w:tab w:pos="4785" w:val="left" w:leader="none"/>
          <w:tab w:pos="5745" w:val="left" w:leader="none"/>
          <w:tab w:pos="6609" w:val="left" w:leader="none"/>
        </w:tabs>
        <w:spacing w:line="180" w:lineRule="exact" w:before="0"/>
        <w:ind w:left="1232" w:right="0" w:firstLine="0"/>
        <w:jc w:val="left"/>
        <w:rPr>
          <w:rFonts w:ascii="Courier New"/>
          <w:b/>
          <w:sz w:val="16"/>
        </w:rPr>
      </w:pPr>
      <w:r>
        <w:rPr>
          <w:rFonts w:ascii="Courier New"/>
          <w:b/>
          <w:sz w:val="16"/>
        </w:rPr>
        <w:t>1</w:t>
        <w:tab/>
        <w:t>-0.0574</w:t>
        <w:tab/>
        <w:t>0.0851</w:t>
        <w:tab/>
        <w:t>-0.68</w:t>
        <w:tab/>
        <w:t>0.500</w:t>
      </w:r>
      <w:r>
        <w:rPr>
          <w:rFonts w:ascii="Courier New"/>
          <w:b/>
          <w:spacing w:val="94"/>
          <w:sz w:val="16"/>
        </w:rPr>
        <w:t> </w:t>
      </w:r>
      <w:r>
        <w:rPr>
          <w:rFonts w:ascii="Courier New"/>
          <w:b/>
          <w:sz w:val="16"/>
        </w:rPr>
        <w:t>1.06</w:t>
      </w:r>
    </w:p>
    <w:p>
      <w:pPr>
        <w:spacing w:line="181" w:lineRule="exact" w:before="0"/>
        <w:ind w:left="1040" w:right="0" w:firstLine="0"/>
        <w:jc w:val="left"/>
        <w:rPr>
          <w:rFonts w:ascii="Courier New"/>
          <w:b/>
          <w:sz w:val="16"/>
        </w:rPr>
      </w:pPr>
      <w:r>
        <w:rPr>
          <w:rFonts w:ascii="Courier New"/>
          <w:b/>
          <w:sz w:val="16"/>
        </w:rPr>
        <w:t>Vista a la Carpintera</w:t>
      </w:r>
    </w:p>
    <w:p>
      <w:pPr>
        <w:tabs>
          <w:tab w:pos="3920" w:val="left" w:leader="none"/>
          <w:tab w:pos="4784" w:val="left" w:leader="none"/>
          <w:tab w:pos="5840" w:val="left" w:leader="none"/>
          <w:tab w:pos="6608" w:val="left" w:leader="none"/>
        </w:tabs>
        <w:spacing w:before="2"/>
        <w:ind w:left="1232" w:right="0" w:firstLine="0"/>
        <w:jc w:val="left"/>
        <w:rPr>
          <w:rFonts w:ascii="Courier New"/>
          <w:b/>
          <w:sz w:val="16"/>
        </w:rPr>
      </w:pPr>
      <w:r>
        <w:rPr>
          <w:rFonts w:ascii="Courier New"/>
          <w:b/>
          <w:sz w:val="16"/>
        </w:rPr>
        <w:t>1</w:t>
        <w:tab/>
        <w:t>0.1467</w:t>
        <w:tab/>
        <w:t>0.0569</w:t>
        <w:tab/>
        <w:t>2.58</w:t>
        <w:tab/>
        <w:t>0.010</w:t>
      </w:r>
      <w:r>
        <w:rPr>
          <w:rFonts w:ascii="Courier New"/>
          <w:b/>
          <w:spacing w:val="94"/>
          <w:sz w:val="16"/>
        </w:rPr>
        <w:t> </w:t>
      </w:r>
      <w:r>
        <w:rPr>
          <w:rFonts w:ascii="Courier New"/>
          <w:b/>
          <w:sz w:val="16"/>
        </w:rPr>
        <w:t>1.05</w:t>
      </w:r>
    </w:p>
    <w:p>
      <w:pPr>
        <w:pStyle w:val="BodyText"/>
        <w:spacing w:before="5"/>
        <w:rPr>
          <w:rFonts w:ascii="Courier New"/>
          <w:b/>
          <w:sz w:val="25"/>
        </w:rPr>
      </w:pPr>
    </w:p>
    <w:p>
      <w:pPr>
        <w:pStyle w:val="Heading1"/>
      </w:pPr>
      <w:r>
        <w:rPr/>
        <w:t>B- Heterocedasticidad</w:t>
      </w:r>
    </w:p>
    <w:p>
      <w:pPr>
        <w:pStyle w:val="BodyText"/>
        <w:spacing w:before="9"/>
        <w:rPr>
          <w:b/>
          <w:sz w:val="9"/>
        </w:rPr>
      </w:pPr>
      <w:r>
        <w:rPr/>
        <w:drawing>
          <wp:anchor distT="0" distB="0" distL="0" distR="0" allowOverlap="1" layoutInCell="1" locked="0" behindDoc="0" simplePos="0" relativeHeight="104">
            <wp:simplePos x="0" y="0"/>
            <wp:positionH relativeFrom="page">
              <wp:posOffset>2222587</wp:posOffset>
            </wp:positionH>
            <wp:positionV relativeFrom="paragraph">
              <wp:posOffset>96224</wp:posOffset>
            </wp:positionV>
            <wp:extent cx="3396145" cy="2646902"/>
            <wp:effectExtent l="0" t="0" r="0" b="0"/>
            <wp:wrapTopAndBottom/>
            <wp:docPr id="129" name="image90.jpeg"/>
            <wp:cNvGraphicFramePr>
              <a:graphicFrameLocks noChangeAspect="1"/>
            </wp:cNvGraphicFramePr>
            <a:graphic>
              <a:graphicData uri="http://schemas.openxmlformats.org/drawingml/2006/picture">
                <pic:pic>
                  <pic:nvPicPr>
                    <pic:cNvPr id="130" name="image90.jpeg"/>
                    <pic:cNvPicPr/>
                  </pic:nvPicPr>
                  <pic:blipFill>
                    <a:blip r:embed="rId142" cstate="print"/>
                    <a:stretch>
                      <a:fillRect/>
                    </a:stretch>
                  </pic:blipFill>
                  <pic:spPr>
                    <a:xfrm>
                      <a:off x="0" y="0"/>
                      <a:ext cx="3396145" cy="2646902"/>
                    </a:xfrm>
                    <a:prstGeom prst="rect">
                      <a:avLst/>
                    </a:prstGeom>
                  </pic:spPr>
                </pic:pic>
              </a:graphicData>
            </a:graphic>
          </wp:anchor>
        </w:drawing>
      </w:r>
    </w:p>
    <w:p>
      <w:pPr>
        <w:pStyle w:val="BodyText"/>
        <w:rPr>
          <w:b/>
          <w:sz w:val="20"/>
        </w:rPr>
      </w:pPr>
    </w:p>
    <w:p>
      <w:pPr>
        <w:pStyle w:val="BodyText"/>
        <w:rPr>
          <w:b/>
          <w:sz w:val="20"/>
        </w:rPr>
      </w:pPr>
    </w:p>
    <w:p>
      <w:pPr>
        <w:pStyle w:val="BodyText"/>
        <w:spacing w:before="2"/>
        <w:rPr>
          <w:b/>
          <w:sz w:val="25"/>
        </w:rPr>
      </w:pPr>
      <w:r>
        <w:rPr/>
        <w:drawing>
          <wp:anchor distT="0" distB="0" distL="0" distR="0" allowOverlap="1" layoutInCell="1" locked="0" behindDoc="0" simplePos="0" relativeHeight="105">
            <wp:simplePos x="0" y="0"/>
            <wp:positionH relativeFrom="page">
              <wp:posOffset>2310795</wp:posOffset>
            </wp:positionH>
            <wp:positionV relativeFrom="paragraph">
              <wp:posOffset>208960</wp:posOffset>
            </wp:positionV>
            <wp:extent cx="3161146" cy="2514600"/>
            <wp:effectExtent l="0" t="0" r="0" b="0"/>
            <wp:wrapTopAndBottom/>
            <wp:docPr id="131" name="image91.jpeg"/>
            <wp:cNvGraphicFramePr>
              <a:graphicFrameLocks noChangeAspect="1"/>
            </wp:cNvGraphicFramePr>
            <a:graphic>
              <a:graphicData uri="http://schemas.openxmlformats.org/drawingml/2006/picture">
                <pic:pic>
                  <pic:nvPicPr>
                    <pic:cNvPr id="132" name="image91.jpeg"/>
                    <pic:cNvPicPr/>
                  </pic:nvPicPr>
                  <pic:blipFill>
                    <a:blip r:embed="rId143" cstate="print"/>
                    <a:stretch>
                      <a:fillRect/>
                    </a:stretch>
                  </pic:blipFill>
                  <pic:spPr>
                    <a:xfrm>
                      <a:off x="0" y="0"/>
                      <a:ext cx="3161146" cy="2514600"/>
                    </a:xfrm>
                    <a:prstGeom prst="rect">
                      <a:avLst/>
                    </a:prstGeom>
                  </pic:spPr>
                </pic:pic>
              </a:graphicData>
            </a:graphic>
          </wp:anchor>
        </w:drawing>
      </w:r>
    </w:p>
    <w:p>
      <w:pPr>
        <w:spacing w:after="0"/>
        <w:rPr>
          <w:sz w:val="25"/>
        </w:rPr>
        <w:sectPr>
          <w:pgSz w:w="12240" w:h="15840"/>
          <w:pgMar w:header="0" w:footer="982" w:top="1440" w:bottom="1260" w:left="400" w:right="180"/>
        </w:sectPr>
      </w:pPr>
    </w:p>
    <w:p>
      <w:pPr>
        <w:spacing w:before="84" w:after="6"/>
        <w:ind w:left="780" w:right="2507" w:firstLine="0"/>
        <w:jc w:val="center"/>
        <w:rPr>
          <w:b/>
          <w:sz w:val="12"/>
        </w:rPr>
      </w:pPr>
      <w:r>
        <w:rPr>
          <w:b/>
          <w:sz w:val="18"/>
        </w:rPr>
        <w:t>ANOVA BREUSCH MODELO 8</w:t>
      </w:r>
      <w:r>
        <w:rPr>
          <w:b/>
          <w:position w:val="6"/>
          <w:sz w:val="12"/>
        </w:rPr>
        <w:t>a</w:t>
      </w:r>
    </w:p>
    <w:tbl>
      <w:tblPr>
        <w:tblW w:w="0" w:type="auto"/>
        <w:jc w:val="left"/>
        <w:tblInd w:w="10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4"/>
        <w:gridCol w:w="1487"/>
        <w:gridCol w:w="1485"/>
        <w:gridCol w:w="1009"/>
        <w:gridCol w:w="1485"/>
        <w:gridCol w:w="1008"/>
        <w:gridCol w:w="1004"/>
      </w:tblGrid>
      <w:tr>
        <w:trPr>
          <w:trHeight w:val="638" w:hRule="atLeast"/>
        </w:trPr>
        <w:tc>
          <w:tcPr>
            <w:tcW w:w="1921" w:type="dxa"/>
            <w:gridSpan w:val="2"/>
          </w:tcPr>
          <w:p>
            <w:pPr>
              <w:pStyle w:val="TableParagraph"/>
              <w:spacing w:line="240" w:lineRule="auto" w:before="110"/>
              <w:ind w:left="25"/>
              <w:jc w:val="left"/>
              <w:rPr>
                <w:sz w:val="18"/>
              </w:rPr>
            </w:pPr>
            <w:r>
              <w:rPr>
                <w:sz w:val="18"/>
              </w:rPr>
              <w:t>Modelo</w:t>
            </w:r>
          </w:p>
        </w:tc>
        <w:tc>
          <w:tcPr>
            <w:tcW w:w="1485" w:type="dxa"/>
            <w:tcBorders>
              <w:right w:val="single" w:sz="8" w:space="0" w:color="000000"/>
            </w:tcBorders>
          </w:tcPr>
          <w:p>
            <w:pPr>
              <w:pStyle w:val="TableParagraph"/>
              <w:spacing w:line="320" w:lineRule="exact" w:before="23"/>
              <w:ind w:left="296" w:right="295" w:firstLine="56"/>
              <w:jc w:val="left"/>
              <w:rPr>
                <w:sz w:val="18"/>
              </w:rPr>
            </w:pPr>
            <w:r>
              <w:rPr>
                <w:sz w:val="18"/>
              </w:rPr>
              <w:t>Suma de cuadrados</w:t>
            </w:r>
          </w:p>
        </w:tc>
        <w:tc>
          <w:tcPr>
            <w:tcW w:w="1009" w:type="dxa"/>
            <w:tcBorders>
              <w:left w:val="single" w:sz="8" w:space="0" w:color="000000"/>
              <w:right w:val="single" w:sz="8" w:space="0" w:color="000000"/>
            </w:tcBorders>
          </w:tcPr>
          <w:p>
            <w:pPr>
              <w:pStyle w:val="TableParagraph"/>
              <w:spacing w:line="240" w:lineRule="auto" w:before="110"/>
              <w:ind w:left="393" w:right="414"/>
              <w:jc w:val="center"/>
              <w:rPr>
                <w:sz w:val="18"/>
              </w:rPr>
            </w:pPr>
            <w:r>
              <w:rPr>
                <w:sz w:val="18"/>
              </w:rPr>
              <w:t>gl</w:t>
            </w:r>
          </w:p>
        </w:tc>
        <w:tc>
          <w:tcPr>
            <w:tcW w:w="1485" w:type="dxa"/>
            <w:tcBorders>
              <w:left w:val="single" w:sz="8" w:space="0" w:color="000000"/>
              <w:right w:val="single" w:sz="8" w:space="0" w:color="000000"/>
            </w:tcBorders>
          </w:tcPr>
          <w:p>
            <w:pPr>
              <w:pStyle w:val="TableParagraph"/>
              <w:spacing w:line="240" w:lineRule="auto" w:before="110"/>
              <w:ind w:right="51"/>
              <w:rPr>
                <w:sz w:val="18"/>
              </w:rPr>
            </w:pPr>
            <w:r>
              <w:rPr>
                <w:sz w:val="18"/>
              </w:rPr>
              <w:t>Media cuadrática</w:t>
            </w:r>
          </w:p>
        </w:tc>
        <w:tc>
          <w:tcPr>
            <w:tcW w:w="1008" w:type="dxa"/>
            <w:tcBorders>
              <w:left w:val="single" w:sz="8" w:space="0" w:color="000000"/>
              <w:right w:val="single" w:sz="8" w:space="0" w:color="000000"/>
            </w:tcBorders>
          </w:tcPr>
          <w:p>
            <w:pPr>
              <w:pStyle w:val="TableParagraph"/>
              <w:spacing w:line="240" w:lineRule="auto" w:before="110"/>
              <w:ind w:right="11"/>
              <w:jc w:val="center"/>
              <w:rPr>
                <w:sz w:val="18"/>
              </w:rPr>
            </w:pPr>
            <w:r>
              <w:rPr>
                <w:w w:val="100"/>
                <w:sz w:val="18"/>
              </w:rPr>
              <w:t>F</w:t>
            </w:r>
          </w:p>
        </w:tc>
        <w:tc>
          <w:tcPr>
            <w:tcW w:w="1004" w:type="dxa"/>
            <w:tcBorders>
              <w:left w:val="single" w:sz="8" w:space="0" w:color="000000"/>
            </w:tcBorders>
          </w:tcPr>
          <w:p>
            <w:pPr>
              <w:pStyle w:val="TableParagraph"/>
              <w:spacing w:line="240" w:lineRule="auto" w:before="110"/>
              <w:ind w:left="320"/>
              <w:jc w:val="left"/>
              <w:rPr>
                <w:sz w:val="18"/>
              </w:rPr>
            </w:pPr>
            <w:r>
              <w:rPr>
                <w:sz w:val="18"/>
              </w:rPr>
              <w:t>Sig.</w:t>
            </w:r>
          </w:p>
        </w:tc>
      </w:tr>
      <w:tr>
        <w:trPr>
          <w:trHeight w:val="356" w:hRule="atLeast"/>
        </w:trPr>
        <w:tc>
          <w:tcPr>
            <w:tcW w:w="434" w:type="dxa"/>
            <w:tcBorders>
              <w:bottom w:val="nil"/>
              <w:right w:val="nil"/>
            </w:tcBorders>
          </w:tcPr>
          <w:p>
            <w:pPr>
              <w:pStyle w:val="TableParagraph"/>
              <w:spacing w:line="240" w:lineRule="auto" w:before="0"/>
              <w:jc w:val="left"/>
              <w:rPr>
                <w:rFonts w:ascii="Times New Roman"/>
                <w:sz w:val="16"/>
              </w:rPr>
            </w:pPr>
          </w:p>
        </w:tc>
        <w:tc>
          <w:tcPr>
            <w:tcW w:w="1487" w:type="dxa"/>
            <w:tcBorders>
              <w:left w:val="nil"/>
              <w:bottom w:val="nil"/>
            </w:tcBorders>
          </w:tcPr>
          <w:p>
            <w:pPr>
              <w:pStyle w:val="TableParagraph"/>
              <w:spacing w:line="240" w:lineRule="auto" w:before="90"/>
              <w:ind w:left="329"/>
              <w:jc w:val="left"/>
              <w:rPr>
                <w:sz w:val="18"/>
              </w:rPr>
            </w:pPr>
            <w:r>
              <w:rPr>
                <w:sz w:val="18"/>
              </w:rPr>
              <w:t>Regresión</w:t>
            </w:r>
          </w:p>
        </w:tc>
        <w:tc>
          <w:tcPr>
            <w:tcW w:w="1485" w:type="dxa"/>
            <w:tcBorders>
              <w:bottom w:val="nil"/>
              <w:right w:val="single" w:sz="8" w:space="0" w:color="000000"/>
            </w:tcBorders>
          </w:tcPr>
          <w:p>
            <w:pPr>
              <w:pStyle w:val="TableParagraph"/>
              <w:spacing w:line="240" w:lineRule="auto" w:before="90"/>
              <w:ind w:right="36"/>
              <w:rPr>
                <w:sz w:val="18"/>
              </w:rPr>
            </w:pPr>
            <w:r>
              <w:rPr>
                <w:sz w:val="18"/>
              </w:rPr>
              <w:t>3.153</w:t>
            </w:r>
          </w:p>
        </w:tc>
        <w:tc>
          <w:tcPr>
            <w:tcW w:w="1009" w:type="dxa"/>
            <w:tcBorders>
              <w:left w:val="single" w:sz="8" w:space="0" w:color="000000"/>
              <w:bottom w:val="nil"/>
              <w:right w:val="single" w:sz="8" w:space="0" w:color="000000"/>
            </w:tcBorders>
          </w:tcPr>
          <w:p>
            <w:pPr>
              <w:pStyle w:val="TableParagraph"/>
              <w:spacing w:line="240" w:lineRule="auto" w:before="90"/>
              <w:ind w:right="37"/>
              <w:rPr>
                <w:sz w:val="18"/>
              </w:rPr>
            </w:pPr>
            <w:r>
              <w:rPr>
                <w:w w:val="99"/>
                <w:sz w:val="18"/>
              </w:rPr>
              <w:t>9</w:t>
            </w:r>
          </w:p>
        </w:tc>
        <w:tc>
          <w:tcPr>
            <w:tcW w:w="1485" w:type="dxa"/>
            <w:tcBorders>
              <w:left w:val="single" w:sz="8" w:space="0" w:color="000000"/>
              <w:bottom w:val="nil"/>
              <w:right w:val="single" w:sz="8" w:space="0" w:color="000000"/>
            </w:tcBorders>
          </w:tcPr>
          <w:p>
            <w:pPr>
              <w:pStyle w:val="TableParagraph"/>
              <w:spacing w:line="240" w:lineRule="auto" w:before="90"/>
              <w:ind w:right="34"/>
              <w:rPr>
                <w:sz w:val="18"/>
              </w:rPr>
            </w:pPr>
            <w:r>
              <w:rPr>
                <w:sz w:val="18"/>
              </w:rPr>
              <w:t>.350</w:t>
            </w:r>
          </w:p>
        </w:tc>
        <w:tc>
          <w:tcPr>
            <w:tcW w:w="1008" w:type="dxa"/>
            <w:vMerge w:val="restart"/>
            <w:tcBorders>
              <w:left w:val="single" w:sz="8" w:space="0" w:color="000000"/>
              <w:right w:val="single" w:sz="8" w:space="0" w:color="000000"/>
            </w:tcBorders>
          </w:tcPr>
          <w:p>
            <w:pPr>
              <w:pStyle w:val="TableParagraph"/>
              <w:spacing w:line="240" w:lineRule="auto" w:before="90"/>
              <w:ind w:left="500"/>
              <w:jc w:val="left"/>
              <w:rPr>
                <w:sz w:val="18"/>
              </w:rPr>
            </w:pPr>
            <w:r>
              <w:rPr>
                <w:sz w:val="18"/>
              </w:rPr>
              <w:t>3.703</w:t>
            </w:r>
          </w:p>
        </w:tc>
        <w:tc>
          <w:tcPr>
            <w:tcW w:w="1004" w:type="dxa"/>
            <w:vMerge w:val="restart"/>
            <w:tcBorders>
              <w:left w:val="single" w:sz="8" w:space="0" w:color="000000"/>
            </w:tcBorders>
          </w:tcPr>
          <w:p>
            <w:pPr>
              <w:pStyle w:val="TableParagraph"/>
              <w:spacing w:line="240" w:lineRule="auto" w:before="90"/>
              <w:ind w:left="516"/>
              <w:jc w:val="left"/>
              <w:rPr>
                <w:sz w:val="12"/>
              </w:rPr>
            </w:pPr>
            <w:r>
              <w:rPr>
                <w:sz w:val="18"/>
              </w:rPr>
              <w:t>.000</w:t>
            </w:r>
            <w:r>
              <w:rPr>
                <w:position w:val="5"/>
                <w:sz w:val="12"/>
              </w:rPr>
              <w:t>b</w:t>
            </w:r>
          </w:p>
        </w:tc>
      </w:tr>
      <w:tr>
        <w:trPr>
          <w:trHeight w:val="319" w:hRule="atLeast"/>
        </w:trPr>
        <w:tc>
          <w:tcPr>
            <w:tcW w:w="434" w:type="dxa"/>
            <w:tcBorders>
              <w:top w:val="nil"/>
              <w:bottom w:val="nil"/>
              <w:right w:val="nil"/>
            </w:tcBorders>
          </w:tcPr>
          <w:p>
            <w:pPr>
              <w:pStyle w:val="TableParagraph"/>
              <w:spacing w:line="240" w:lineRule="auto" w:before="53"/>
              <w:ind w:left="25"/>
              <w:jc w:val="left"/>
              <w:rPr>
                <w:sz w:val="18"/>
              </w:rPr>
            </w:pPr>
            <w:r>
              <w:rPr>
                <w:w w:val="99"/>
                <w:sz w:val="18"/>
              </w:rPr>
              <w:t>8</w:t>
            </w:r>
          </w:p>
        </w:tc>
        <w:tc>
          <w:tcPr>
            <w:tcW w:w="1487" w:type="dxa"/>
            <w:tcBorders>
              <w:top w:val="nil"/>
              <w:left w:val="nil"/>
              <w:bottom w:val="nil"/>
            </w:tcBorders>
          </w:tcPr>
          <w:p>
            <w:pPr>
              <w:pStyle w:val="TableParagraph"/>
              <w:spacing w:line="240" w:lineRule="auto" w:before="53"/>
              <w:ind w:left="329"/>
              <w:jc w:val="left"/>
              <w:rPr>
                <w:sz w:val="18"/>
              </w:rPr>
            </w:pPr>
            <w:r>
              <w:rPr>
                <w:sz w:val="18"/>
              </w:rPr>
              <w:t>Residual</w:t>
            </w:r>
          </w:p>
        </w:tc>
        <w:tc>
          <w:tcPr>
            <w:tcW w:w="1485" w:type="dxa"/>
            <w:tcBorders>
              <w:top w:val="nil"/>
              <w:bottom w:val="nil"/>
              <w:right w:val="single" w:sz="8" w:space="0" w:color="000000"/>
            </w:tcBorders>
          </w:tcPr>
          <w:p>
            <w:pPr>
              <w:pStyle w:val="TableParagraph"/>
              <w:spacing w:line="240" w:lineRule="auto" w:before="53"/>
              <w:ind w:right="36"/>
              <w:rPr>
                <w:sz w:val="18"/>
              </w:rPr>
            </w:pPr>
            <w:r>
              <w:rPr>
                <w:sz w:val="18"/>
              </w:rPr>
              <w:t>27.528</w:t>
            </w:r>
          </w:p>
        </w:tc>
        <w:tc>
          <w:tcPr>
            <w:tcW w:w="1009" w:type="dxa"/>
            <w:tcBorders>
              <w:top w:val="nil"/>
              <w:left w:val="single" w:sz="8" w:space="0" w:color="000000"/>
              <w:bottom w:val="nil"/>
              <w:right w:val="single" w:sz="8" w:space="0" w:color="000000"/>
            </w:tcBorders>
          </w:tcPr>
          <w:p>
            <w:pPr>
              <w:pStyle w:val="TableParagraph"/>
              <w:spacing w:line="240" w:lineRule="auto" w:before="53"/>
              <w:ind w:right="37"/>
              <w:rPr>
                <w:sz w:val="18"/>
              </w:rPr>
            </w:pPr>
            <w:r>
              <w:rPr>
                <w:w w:val="95"/>
                <w:sz w:val="18"/>
              </w:rPr>
              <w:t>291</w:t>
            </w:r>
          </w:p>
        </w:tc>
        <w:tc>
          <w:tcPr>
            <w:tcW w:w="1485" w:type="dxa"/>
            <w:tcBorders>
              <w:top w:val="nil"/>
              <w:left w:val="single" w:sz="8" w:space="0" w:color="000000"/>
              <w:bottom w:val="nil"/>
              <w:right w:val="single" w:sz="8" w:space="0" w:color="000000"/>
            </w:tcBorders>
          </w:tcPr>
          <w:p>
            <w:pPr>
              <w:pStyle w:val="TableParagraph"/>
              <w:spacing w:line="240" w:lineRule="auto" w:before="53"/>
              <w:ind w:right="34"/>
              <w:rPr>
                <w:sz w:val="18"/>
              </w:rPr>
            </w:pPr>
            <w:r>
              <w:rPr>
                <w:sz w:val="18"/>
              </w:rPr>
              <w:t>.095</w:t>
            </w:r>
          </w:p>
        </w:tc>
        <w:tc>
          <w:tcPr>
            <w:tcW w:w="1008" w:type="dxa"/>
            <w:vMerge/>
            <w:tcBorders>
              <w:top w:val="nil"/>
              <w:left w:val="single" w:sz="8" w:space="0" w:color="000000"/>
              <w:right w:val="single" w:sz="8" w:space="0" w:color="000000"/>
            </w:tcBorders>
          </w:tcPr>
          <w:p>
            <w:pPr>
              <w:rPr>
                <w:sz w:val="2"/>
                <w:szCs w:val="2"/>
              </w:rPr>
            </w:pPr>
          </w:p>
        </w:tc>
        <w:tc>
          <w:tcPr>
            <w:tcW w:w="1004" w:type="dxa"/>
            <w:vMerge/>
            <w:tcBorders>
              <w:top w:val="nil"/>
              <w:left w:val="single" w:sz="8" w:space="0" w:color="000000"/>
            </w:tcBorders>
          </w:tcPr>
          <w:p>
            <w:pPr>
              <w:rPr>
                <w:sz w:val="2"/>
                <w:szCs w:val="2"/>
              </w:rPr>
            </w:pPr>
          </w:p>
        </w:tc>
      </w:tr>
      <w:tr>
        <w:trPr>
          <w:trHeight w:val="261" w:hRule="atLeast"/>
        </w:trPr>
        <w:tc>
          <w:tcPr>
            <w:tcW w:w="434" w:type="dxa"/>
            <w:tcBorders>
              <w:top w:val="nil"/>
              <w:right w:val="nil"/>
            </w:tcBorders>
          </w:tcPr>
          <w:p>
            <w:pPr>
              <w:pStyle w:val="TableParagraph"/>
              <w:spacing w:line="240" w:lineRule="auto" w:before="0"/>
              <w:jc w:val="left"/>
              <w:rPr>
                <w:rFonts w:ascii="Times New Roman"/>
                <w:sz w:val="16"/>
              </w:rPr>
            </w:pPr>
          </w:p>
        </w:tc>
        <w:tc>
          <w:tcPr>
            <w:tcW w:w="1487" w:type="dxa"/>
            <w:tcBorders>
              <w:top w:val="nil"/>
              <w:left w:val="nil"/>
            </w:tcBorders>
          </w:tcPr>
          <w:p>
            <w:pPr>
              <w:pStyle w:val="TableParagraph"/>
              <w:spacing w:line="188" w:lineRule="exact" w:before="53"/>
              <w:ind w:left="329"/>
              <w:jc w:val="left"/>
              <w:rPr>
                <w:sz w:val="18"/>
              </w:rPr>
            </w:pPr>
            <w:r>
              <w:rPr>
                <w:sz w:val="18"/>
              </w:rPr>
              <w:t>Total</w:t>
            </w:r>
          </w:p>
        </w:tc>
        <w:tc>
          <w:tcPr>
            <w:tcW w:w="1485" w:type="dxa"/>
            <w:tcBorders>
              <w:top w:val="nil"/>
              <w:right w:val="single" w:sz="8" w:space="0" w:color="000000"/>
            </w:tcBorders>
          </w:tcPr>
          <w:p>
            <w:pPr>
              <w:pStyle w:val="TableParagraph"/>
              <w:spacing w:line="188" w:lineRule="exact" w:before="53"/>
              <w:ind w:right="36"/>
              <w:rPr>
                <w:sz w:val="18"/>
              </w:rPr>
            </w:pPr>
            <w:r>
              <w:rPr>
                <w:sz w:val="18"/>
              </w:rPr>
              <w:t>30.680</w:t>
            </w:r>
          </w:p>
        </w:tc>
        <w:tc>
          <w:tcPr>
            <w:tcW w:w="1009" w:type="dxa"/>
            <w:tcBorders>
              <w:top w:val="nil"/>
              <w:left w:val="single" w:sz="8" w:space="0" w:color="000000"/>
              <w:right w:val="single" w:sz="8" w:space="0" w:color="000000"/>
            </w:tcBorders>
          </w:tcPr>
          <w:p>
            <w:pPr>
              <w:pStyle w:val="TableParagraph"/>
              <w:spacing w:line="188" w:lineRule="exact" w:before="53"/>
              <w:ind w:right="37"/>
              <w:rPr>
                <w:sz w:val="18"/>
              </w:rPr>
            </w:pPr>
            <w:r>
              <w:rPr>
                <w:w w:val="95"/>
                <w:sz w:val="18"/>
              </w:rPr>
              <w:t>300</w:t>
            </w:r>
          </w:p>
        </w:tc>
        <w:tc>
          <w:tcPr>
            <w:tcW w:w="1485" w:type="dxa"/>
            <w:tcBorders>
              <w:top w:val="nil"/>
              <w:left w:val="single" w:sz="8" w:space="0" w:color="000000"/>
              <w:right w:val="single" w:sz="8" w:space="0" w:color="000000"/>
            </w:tcBorders>
          </w:tcPr>
          <w:p>
            <w:pPr>
              <w:pStyle w:val="TableParagraph"/>
              <w:spacing w:line="240" w:lineRule="auto" w:before="0"/>
              <w:jc w:val="left"/>
              <w:rPr>
                <w:rFonts w:ascii="Times New Roman"/>
                <w:sz w:val="16"/>
              </w:rPr>
            </w:pPr>
          </w:p>
        </w:tc>
        <w:tc>
          <w:tcPr>
            <w:tcW w:w="1008" w:type="dxa"/>
            <w:vMerge/>
            <w:tcBorders>
              <w:top w:val="nil"/>
              <w:left w:val="single" w:sz="8" w:space="0" w:color="000000"/>
              <w:right w:val="single" w:sz="8" w:space="0" w:color="000000"/>
            </w:tcBorders>
          </w:tcPr>
          <w:p>
            <w:pPr>
              <w:rPr>
                <w:sz w:val="2"/>
                <w:szCs w:val="2"/>
              </w:rPr>
            </w:pPr>
          </w:p>
        </w:tc>
        <w:tc>
          <w:tcPr>
            <w:tcW w:w="1004"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255"/>
      </w:tblGrid>
      <w:tr>
        <w:trPr>
          <w:trHeight w:val="260" w:hRule="atLeast"/>
        </w:trPr>
        <w:tc>
          <w:tcPr>
            <w:tcW w:w="7255" w:type="dxa"/>
          </w:tcPr>
          <w:p>
            <w:pPr>
              <w:pStyle w:val="TableParagraph"/>
              <w:spacing w:line="201" w:lineRule="exact" w:before="0"/>
              <w:ind w:left="200"/>
              <w:jc w:val="left"/>
              <w:rPr>
                <w:sz w:val="18"/>
              </w:rPr>
            </w:pPr>
            <w:r>
              <w:rPr>
                <w:sz w:val="18"/>
              </w:rPr>
              <w:t>a. Variable dependiente: RES_82</w:t>
            </w:r>
          </w:p>
        </w:tc>
      </w:tr>
      <w:tr>
        <w:trPr>
          <w:trHeight w:val="900" w:hRule="atLeast"/>
        </w:trPr>
        <w:tc>
          <w:tcPr>
            <w:tcW w:w="7255" w:type="dxa"/>
          </w:tcPr>
          <w:p>
            <w:pPr>
              <w:pStyle w:val="TableParagraph"/>
              <w:spacing w:line="372" w:lineRule="auto" w:before="53"/>
              <w:ind w:left="200" w:right="180"/>
              <w:jc w:val="left"/>
              <w:rPr>
                <w:sz w:val="18"/>
              </w:rPr>
            </w:pPr>
            <w:r>
              <w:rPr>
                <w:sz w:val="18"/>
              </w:rPr>
              <w:t>b. Variables predictoras: (Constante), VistaalaCarpintera, LnNúmeroHabitaciones, ZonadeRiesgodedesastre, LnAreadeConstruccion, LnDistanciaSJ, Tipo1casa0Condo,</w:t>
            </w:r>
          </w:p>
          <w:p>
            <w:pPr>
              <w:pStyle w:val="TableParagraph"/>
              <w:spacing w:line="185" w:lineRule="exact" w:before="0"/>
              <w:ind w:left="200"/>
              <w:jc w:val="left"/>
              <w:rPr>
                <w:sz w:val="18"/>
              </w:rPr>
            </w:pPr>
            <w:r>
              <w:rPr>
                <w:sz w:val="18"/>
              </w:rPr>
              <w:t>LnAñoConstruccion, LnNúmerodePlantas, LnDistanciaPobreza</w:t>
            </w:r>
          </w:p>
        </w:tc>
      </w:tr>
    </w:tbl>
    <w:p>
      <w:pPr>
        <w:pStyle w:val="BodyText"/>
        <w:rPr>
          <w:b/>
          <w:sz w:val="20"/>
        </w:rPr>
      </w:pPr>
    </w:p>
    <w:p>
      <w:pPr>
        <w:pStyle w:val="BodyText"/>
        <w:spacing w:before="11"/>
        <w:rPr>
          <w:b/>
          <w:sz w:val="23"/>
        </w:rPr>
      </w:pPr>
    </w:p>
    <w:p>
      <w:pPr>
        <w:spacing w:before="0" w:after="6"/>
        <w:ind w:left="727" w:right="2507" w:firstLine="0"/>
        <w:jc w:val="center"/>
        <w:rPr>
          <w:b/>
          <w:sz w:val="12"/>
        </w:rPr>
      </w:pPr>
      <w:r>
        <w:rPr>
          <w:b/>
          <w:sz w:val="18"/>
        </w:rPr>
        <w:t>ANOVA ABRIDGED WHITE MODELO 8</w:t>
      </w:r>
      <w:r>
        <w:rPr>
          <w:b/>
          <w:position w:val="6"/>
          <w:sz w:val="12"/>
        </w:rPr>
        <w:t>a</w:t>
      </w:r>
    </w:p>
    <w:tbl>
      <w:tblPr>
        <w:tblW w:w="0" w:type="auto"/>
        <w:jc w:val="left"/>
        <w:tblInd w:w="10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6"/>
        <w:gridCol w:w="1485"/>
        <w:gridCol w:w="1485"/>
        <w:gridCol w:w="989"/>
        <w:gridCol w:w="1489"/>
        <w:gridCol w:w="989"/>
        <w:gridCol w:w="993"/>
      </w:tblGrid>
      <w:tr>
        <w:trPr>
          <w:trHeight w:val="639" w:hRule="atLeast"/>
        </w:trPr>
        <w:tc>
          <w:tcPr>
            <w:tcW w:w="1921" w:type="dxa"/>
            <w:gridSpan w:val="2"/>
          </w:tcPr>
          <w:p>
            <w:pPr>
              <w:pStyle w:val="TableParagraph"/>
              <w:spacing w:line="240" w:lineRule="auto" w:before="110"/>
              <w:ind w:left="25"/>
              <w:jc w:val="left"/>
              <w:rPr>
                <w:sz w:val="18"/>
              </w:rPr>
            </w:pPr>
            <w:r>
              <w:rPr>
                <w:sz w:val="18"/>
              </w:rPr>
              <w:t>Modelo</w:t>
            </w:r>
          </w:p>
        </w:tc>
        <w:tc>
          <w:tcPr>
            <w:tcW w:w="1485" w:type="dxa"/>
            <w:tcBorders>
              <w:right w:val="single" w:sz="8" w:space="0" w:color="000000"/>
            </w:tcBorders>
          </w:tcPr>
          <w:p>
            <w:pPr>
              <w:pStyle w:val="TableParagraph"/>
              <w:spacing w:line="320" w:lineRule="exact" w:before="23"/>
              <w:ind w:left="296" w:right="295" w:firstLine="56"/>
              <w:jc w:val="left"/>
              <w:rPr>
                <w:sz w:val="18"/>
              </w:rPr>
            </w:pPr>
            <w:r>
              <w:rPr>
                <w:sz w:val="18"/>
              </w:rPr>
              <w:t>Suma de cuadrados</w:t>
            </w:r>
          </w:p>
        </w:tc>
        <w:tc>
          <w:tcPr>
            <w:tcW w:w="989" w:type="dxa"/>
            <w:tcBorders>
              <w:left w:val="single" w:sz="8" w:space="0" w:color="000000"/>
              <w:right w:val="single" w:sz="8" w:space="0" w:color="000000"/>
            </w:tcBorders>
          </w:tcPr>
          <w:p>
            <w:pPr>
              <w:pStyle w:val="TableParagraph"/>
              <w:spacing w:line="240" w:lineRule="auto" w:before="110"/>
              <w:ind w:left="386" w:right="402"/>
              <w:jc w:val="center"/>
              <w:rPr>
                <w:sz w:val="18"/>
              </w:rPr>
            </w:pPr>
            <w:r>
              <w:rPr>
                <w:sz w:val="18"/>
              </w:rPr>
              <w:t>gl</w:t>
            </w:r>
          </w:p>
        </w:tc>
        <w:tc>
          <w:tcPr>
            <w:tcW w:w="1489" w:type="dxa"/>
            <w:tcBorders>
              <w:left w:val="single" w:sz="8" w:space="0" w:color="000000"/>
              <w:right w:val="single" w:sz="8" w:space="0" w:color="000000"/>
            </w:tcBorders>
          </w:tcPr>
          <w:p>
            <w:pPr>
              <w:pStyle w:val="TableParagraph"/>
              <w:spacing w:line="240" w:lineRule="auto" w:before="110"/>
              <w:ind w:right="51"/>
              <w:rPr>
                <w:sz w:val="18"/>
              </w:rPr>
            </w:pPr>
            <w:r>
              <w:rPr>
                <w:sz w:val="18"/>
              </w:rPr>
              <w:t>Media cuadrática</w:t>
            </w:r>
          </w:p>
        </w:tc>
        <w:tc>
          <w:tcPr>
            <w:tcW w:w="989" w:type="dxa"/>
            <w:tcBorders>
              <w:left w:val="single" w:sz="8" w:space="0" w:color="000000"/>
              <w:right w:val="single" w:sz="8" w:space="0" w:color="000000"/>
            </w:tcBorders>
          </w:tcPr>
          <w:p>
            <w:pPr>
              <w:pStyle w:val="TableParagraph"/>
              <w:spacing w:line="240" w:lineRule="auto" w:before="110"/>
              <w:ind w:right="16"/>
              <w:jc w:val="center"/>
              <w:rPr>
                <w:sz w:val="18"/>
              </w:rPr>
            </w:pPr>
            <w:r>
              <w:rPr>
                <w:w w:val="100"/>
                <w:sz w:val="18"/>
              </w:rPr>
              <w:t>F</w:t>
            </w:r>
          </w:p>
        </w:tc>
        <w:tc>
          <w:tcPr>
            <w:tcW w:w="993" w:type="dxa"/>
            <w:tcBorders>
              <w:left w:val="single" w:sz="8" w:space="0" w:color="000000"/>
            </w:tcBorders>
          </w:tcPr>
          <w:p>
            <w:pPr>
              <w:pStyle w:val="TableParagraph"/>
              <w:spacing w:line="240" w:lineRule="auto" w:before="110"/>
              <w:ind w:left="311"/>
              <w:jc w:val="left"/>
              <w:rPr>
                <w:sz w:val="18"/>
              </w:rPr>
            </w:pPr>
            <w:r>
              <w:rPr>
                <w:sz w:val="18"/>
              </w:rPr>
              <w:t>Sig.</w:t>
            </w:r>
          </w:p>
        </w:tc>
      </w:tr>
      <w:tr>
        <w:trPr>
          <w:trHeight w:val="356" w:hRule="atLeast"/>
        </w:trPr>
        <w:tc>
          <w:tcPr>
            <w:tcW w:w="436" w:type="dxa"/>
            <w:tcBorders>
              <w:bottom w:val="nil"/>
              <w:right w:val="nil"/>
            </w:tcBorders>
          </w:tcPr>
          <w:p>
            <w:pPr>
              <w:pStyle w:val="TableParagraph"/>
              <w:spacing w:line="240" w:lineRule="auto" w:before="0"/>
              <w:jc w:val="left"/>
              <w:rPr>
                <w:rFonts w:ascii="Times New Roman"/>
                <w:sz w:val="16"/>
              </w:rPr>
            </w:pPr>
          </w:p>
        </w:tc>
        <w:tc>
          <w:tcPr>
            <w:tcW w:w="1485" w:type="dxa"/>
            <w:tcBorders>
              <w:left w:val="nil"/>
              <w:bottom w:val="nil"/>
            </w:tcBorders>
          </w:tcPr>
          <w:p>
            <w:pPr>
              <w:pStyle w:val="TableParagraph"/>
              <w:spacing w:line="240" w:lineRule="auto" w:before="90"/>
              <w:ind w:left="331"/>
              <w:jc w:val="left"/>
              <w:rPr>
                <w:sz w:val="18"/>
              </w:rPr>
            </w:pPr>
            <w:r>
              <w:rPr>
                <w:sz w:val="18"/>
              </w:rPr>
              <w:t>Regresión</w:t>
            </w:r>
          </w:p>
        </w:tc>
        <w:tc>
          <w:tcPr>
            <w:tcW w:w="1485" w:type="dxa"/>
            <w:tcBorders>
              <w:bottom w:val="nil"/>
              <w:right w:val="single" w:sz="8" w:space="0" w:color="000000"/>
            </w:tcBorders>
          </w:tcPr>
          <w:p>
            <w:pPr>
              <w:pStyle w:val="TableParagraph"/>
              <w:spacing w:line="240" w:lineRule="auto" w:before="90"/>
              <w:ind w:right="36"/>
              <w:rPr>
                <w:sz w:val="18"/>
              </w:rPr>
            </w:pPr>
            <w:r>
              <w:rPr>
                <w:sz w:val="18"/>
              </w:rPr>
              <w:t>3.184</w:t>
            </w:r>
          </w:p>
        </w:tc>
        <w:tc>
          <w:tcPr>
            <w:tcW w:w="989" w:type="dxa"/>
            <w:tcBorders>
              <w:left w:val="single" w:sz="8" w:space="0" w:color="000000"/>
              <w:bottom w:val="nil"/>
              <w:right w:val="single" w:sz="8" w:space="0" w:color="000000"/>
            </w:tcBorders>
          </w:tcPr>
          <w:p>
            <w:pPr>
              <w:pStyle w:val="TableParagraph"/>
              <w:spacing w:line="240" w:lineRule="auto" w:before="90"/>
              <w:ind w:right="33"/>
              <w:rPr>
                <w:sz w:val="18"/>
              </w:rPr>
            </w:pPr>
            <w:r>
              <w:rPr>
                <w:w w:val="99"/>
                <w:sz w:val="18"/>
              </w:rPr>
              <w:t>2</w:t>
            </w:r>
          </w:p>
        </w:tc>
        <w:tc>
          <w:tcPr>
            <w:tcW w:w="1489" w:type="dxa"/>
            <w:tcBorders>
              <w:left w:val="single" w:sz="8" w:space="0" w:color="000000"/>
              <w:bottom w:val="nil"/>
              <w:right w:val="single" w:sz="8" w:space="0" w:color="000000"/>
            </w:tcBorders>
          </w:tcPr>
          <w:p>
            <w:pPr>
              <w:pStyle w:val="TableParagraph"/>
              <w:spacing w:line="240" w:lineRule="auto" w:before="90"/>
              <w:ind w:right="38"/>
              <w:rPr>
                <w:sz w:val="18"/>
              </w:rPr>
            </w:pPr>
            <w:r>
              <w:rPr>
                <w:sz w:val="18"/>
              </w:rPr>
              <w:t>1.592</w:t>
            </w:r>
          </w:p>
        </w:tc>
        <w:tc>
          <w:tcPr>
            <w:tcW w:w="989" w:type="dxa"/>
            <w:vMerge w:val="restart"/>
            <w:tcBorders>
              <w:left w:val="single" w:sz="8" w:space="0" w:color="000000"/>
              <w:right w:val="single" w:sz="8" w:space="0" w:color="000000"/>
            </w:tcBorders>
          </w:tcPr>
          <w:p>
            <w:pPr>
              <w:pStyle w:val="TableParagraph"/>
              <w:spacing w:line="240" w:lineRule="auto" w:before="90"/>
              <w:ind w:left="379"/>
              <w:jc w:val="left"/>
              <w:rPr>
                <w:sz w:val="18"/>
              </w:rPr>
            </w:pPr>
            <w:r>
              <w:rPr>
                <w:sz w:val="18"/>
              </w:rPr>
              <w:t>17.255</w:t>
            </w:r>
          </w:p>
        </w:tc>
        <w:tc>
          <w:tcPr>
            <w:tcW w:w="993" w:type="dxa"/>
            <w:vMerge w:val="restart"/>
            <w:tcBorders>
              <w:left w:val="single" w:sz="8" w:space="0" w:color="000000"/>
            </w:tcBorders>
          </w:tcPr>
          <w:p>
            <w:pPr>
              <w:pStyle w:val="TableParagraph"/>
              <w:spacing w:line="240" w:lineRule="auto" w:before="90"/>
              <w:ind w:left="499"/>
              <w:jc w:val="left"/>
              <w:rPr>
                <w:sz w:val="12"/>
              </w:rPr>
            </w:pPr>
            <w:r>
              <w:rPr>
                <w:sz w:val="18"/>
              </w:rPr>
              <w:t>.000</w:t>
            </w:r>
            <w:r>
              <w:rPr>
                <w:position w:val="5"/>
                <w:sz w:val="12"/>
              </w:rPr>
              <w:t>b</w:t>
            </w:r>
          </w:p>
        </w:tc>
      </w:tr>
      <w:tr>
        <w:trPr>
          <w:trHeight w:val="319" w:hRule="atLeast"/>
        </w:trPr>
        <w:tc>
          <w:tcPr>
            <w:tcW w:w="436" w:type="dxa"/>
            <w:tcBorders>
              <w:top w:val="nil"/>
              <w:bottom w:val="nil"/>
              <w:right w:val="nil"/>
            </w:tcBorders>
          </w:tcPr>
          <w:p>
            <w:pPr>
              <w:pStyle w:val="TableParagraph"/>
              <w:spacing w:line="240" w:lineRule="auto" w:before="53"/>
              <w:ind w:left="25"/>
              <w:jc w:val="left"/>
              <w:rPr>
                <w:sz w:val="18"/>
              </w:rPr>
            </w:pPr>
            <w:r>
              <w:rPr>
                <w:w w:val="99"/>
                <w:sz w:val="18"/>
              </w:rPr>
              <w:t>8</w:t>
            </w:r>
          </w:p>
        </w:tc>
        <w:tc>
          <w:tcPr>
            <w:tcW w:w="1485" w:type="dxa"/>
            <w:tcBorders>
              <w:top w:val="nil"/>
              <w:left w:val="nil"/>
              <w:bottom w:val="nil"/>
            </w:tcBorders>
          </w:tcPr>
          <w:p>
            <w:pPr>
              <w:pStyle w:val="TableParagraph"/>
              <w:spacing w:line="240" w:lineRule="auto" w:before="53"/>
              <w:ind w:left="331"/>
              <w:jc w:val="left"/>
              <w:rPr>
                <w:sz w:val="18"/>
              </w:rPr>
            </w:pPr>
            <w:r>
              <w:rPr>
                <w:sz w:val="18"/>
              </w:rPr>
              <w:t>Residual</w:t>
            </w:r>
          </w:p>
        </w:tc>
        <w:tc>
          <w:tcPr>
            <w:tcW w:w="1485" w:type="dxa"/>
            <w:tcBorders>
              <w:top w:val="nil"/>
              <w:bottom w:val="nil"/>
              <w:right w:val="single" w:sz="8" w:space="0" w:color="000000"/>
            </w:tcBorders>
          </w:tcPr>
          <w:p>
            <w:pPr>
              <w:pStyle w:val="TableParagraph"/>
              <w:spacing w:line="240" w:lineRule="auto" w:before="53"/>
              <w:ind w:right="36"/>
              <w:rPr>
                <w:sz w:val="18"/>
              </w:rPr>
            </w:pPr>
            <w:r>
              <w:rPr>
                <w:sz w:val="18"/>
              </w:rPr>
              <w:t>27.496</w:t>
            </w:r>
          </w:p>
        </w:tc>
        <w:tc>
          <w:tcPr>
            <w:tcW w:w="989" w:type="dxa"/>
            <w:tcBorders>
              <w:top w:val="nil"/>
              <w:left w:val="single" w:sz="8" w:space="0" w:color="000000"/>
              <w:bottom w:val="nil"/>
              <w:right w:val="single" w:sz="8" w:space="0" w:color="000000"/>
            </w:tcBorders>
          </w:tcPr>
          <w:p>
            <w:pPr>
              <w:pStyle w:val="TableParagraph"/>
              <w:spacing w:line="240" w:lineRule="auto" w:before="53"/>
              <w:ind w:right="34"/>
              <w:rPr>
                <w:sz w:val="18"/>
              </w:rPr>
            </w:pPr>
            <w:r>
              <w:rPr>
                <w:w w:val="95"/>
                <w:sz w:val="18"/>
              </w:rPr>
              <w:t>298</w:t>
            </w:r>
          </w:p>
        </w:tc>
        <w:tc>
          <w:tcPr>
            <w:tcW w:w="1489" w:type="dxa"/>
            <w:tcBorders>
              <w:top w:val="nil"/>
              <w:left w:val="single" w:sz="8" w:space="0" w:color="000000"/>
              <w:bottom w:val="nil"/>
              <w:right w:val="single" w:sz="8" w:space="0" w:color="000000"/>
            </w:tcBorders>
          </w:tcPr>
          <w:p>
            <w:pPr>
              <w:pStyle w:val="TableParagraph"/>
              <w:spacing w:line="240" w:lineRule="auto" w:before="53"/>
              <w:ind w:right="38"/>
              <w:rPr>
                <w:sz w:val="18"/>
              </w:rPr>
            </w:pPr>
            <w:r>
              <w:rPr>
                <w:sz w:val="18"/>
              </w:rPr>
              <w:t>.092</w:t>
            </w:r>
          </w:p>
        </w:tc>
        <w:tc>
          <w:tcPr>
            <w:tcW w:w="989" w:type="dxa"/>
            <w:vMerge/>
            <w:tcBorders>
              <w:top w:val="nil"/>
              <w:left w:val="single" w:sz="8" w:space="0" w:color="000000"/>
              <w:right w:val="single" w:sz="8" w:space="0" w:color="000000"/>
            </w:tcBorders>
          </w:tcPr>
          <w:p>
            <w:pPr>
              <w:rPr>
                <w:sz w:val="2"/>
                <w:szCs w:val="2"/>
              </w:rPr>
            </w:pPr>
          </w:p>
        </w:tc>
        <w:tc>
          <w:tcPr>
            <w:tcW w:w="993" w:type="dxa"/>
            <w:vMerge/>
            <w:tcBorders>
              <w:top w:val="nil"/>
              <w:left w:val="single" w:sz="8" w:space="0" w:color="000000"/>
            </w:tcBorders>
          </w:tcPr>
          <w:p>
            <w:pPr>
              <w:rPr>
                <w:sz w:val="2"/>
                <w:szCs w:val="2"/>
              </w:rPr>
            </w:pPr>
          </w:p>
        </w:tc>
      </w:tr>
      <w:tr>
        <w:trPr>
          <w:trHeight w:val="261" w:hRule="atLeast"/>
        </w:trPr>
        <w:tc>
          <w:tcPr>
            <w:tcW w:w="436" w:type="dxa"/>
            <w:tcBorders>
              <w:top w:val="nil"/>
              <w:right w:val="nil"/>
            </w:tcBorders>
          </w:tcPr>
          <w:p>
            <w:pPr>
              <w:pStyle w:val="TableParagraph"/>
              <w:spacing w:line="240" w:lineRule="auto" w:before="0"/>
              <w:jc w:val="left"/>
              <w:rPr>
                <w:rFonts w:ascii="Times New Roman"/>
                <w:sz w:val="16"/>
              </w:rPr>
            </w:pPr>
          </w:p>
        </w:tc>
        <w:tc>
          <w:tcPr>
            <w:tcW w:w="1485" w:type="dxa"/>
            <w:tcBorders>
              <w:top w:val="nil"/>
              <w:left w:val="nil"/>
            </w:tcBorders>
          </w:tcPr>
          <w:p>
            <w:pPr>
              <w:pStyle w:val="TableParagraph"/>
              <w:spacing w:line="188" w:lineRule="exact" w:before="53"/>
              <w:ind w:left="331"/>
              <w:jc w:val="left"/>
              <w:rPr>
                <w:sz w:val="18"/>
              </w:rPr>
            </w:pPr>
            <w:r>
              <w:rPr>
                <w:sz w:val="18"/>
              </w:rPr>
              <w:t>Total</w:t>
            </w:r>
          </w:p>
        </w:tc>
        <w:tc>
          <w:tcPr>
            <w:tcW w:w="1485" w:type="dxa"/>
            <w:tcBorders>
              <w:top w:val="nil"/>
              <w:right w:val="single" w:sz="8" w:space="0" w:color="000000"/>
            </w:tcBorders>
          </w:tcPr>
          <w:p>
            <w:pPr>
              <w:pStyle w:val="TableParagraph"/>
              <w:spacing w:line="188" w:lineRule="exact" w:before="53"/>
              <w:ind w:right="36"/>
              <w:rPr>
                <w:sz w:val="18"/>
              </w:rPr>
            </w:pPr>
            <w:r>
              <w:rPr>
                <w:sz w:val="18"/>
              </w:rPr>
              <w:t>30.680</w:t>
            </w:r>
          </w:p>
        </w:tc>
        <w:tc>
          <w:tcPr>
            <w:tcW w:w="989" w:type="dxa"/>
            <w:tcBorders>
              <w:top w:val="nil"/>
              <w:left w:val="single" w:sz="8" w:space="0" w:color="000000"/>
              <w:right w:val="single" w:sz="8" w:space="0" w:color="000000"/>
            </w:tcBorders>
          </w:tcPr>
          <w:p>
            <w:pPr>
              <w:pStyle w:val="TableParagraph"/>
              <w:spacing w:line="188" w:lineRule="exact" w:before="53"/>
              <w:ind w:right="34"/>
              <w:rPr>
                <w:sz w:val="18"/>
              </w:rPr>
            </w:pPr>
            <w:r>
              <w:rPr>
                <w:w w:val="95"/>
                <w:sz w:val="18"/>
              </w:rPr>
              <w:t>300</w:t>
            </w:r>
          </w:p>
        </w:tc>
        <w:tc>
          <w:tcPr>
            <w:tcW w:w="1489" w:type="dxa"/>
            <w:tcBorders>
              <w:top w:val="nil"/>
              <w:left w:val="single" w:sz="8" w:space="0" w:color="000000"/>
              <w:right w:val="single" w:sz="8" w:space="0" w:color="000000"/>
            </w:tcBorders>
          </w:tcPr>
          <w:p>
            <w:pPr>
              <w:pStyle w:val="TableParagraph"/>
              <w:spacing w:line="240" w:lineRule="auto" w:before="0"/>
              <w:jc w:val="left"/>
              <w:rPr>
                <w:rFonts w:ascii="Times New Roman"/>
                <w:sz w:val="16"/>
              </w:rPr>
            </w:pPr>
          </w:p>
        </w:tc>
        <w:tc>
          <w:tcPr>
            <w:tcW w:w="989" w:type="dxa"/>
            <w:vMerge/>
            <w:tcBorders>
              <w:top w:val="nil"/>
              <w:left w:val="single" w:sz="8" w:space="0" w:color="000000"/>
              <w:right w:val="single" w:sz="8" w:space="0" w:color="000000"/>
            </w:tcBorders>
          </w:tcPr>
          <w:p>
            <w:pPr>
              <w:rPr>
                <w:sz w:val="2"/>
                <w:szCs w:val="2"/>
              </w:rPr>
            </w:pPr>
          </w:p>
        </w:tc>
        <w:tc>
          <w:tcPr>
            <w:tcW w:w="993"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86"/>
      </w:tblGrid>
      <w:tr>
        <w:trPr>
          <w:trHeight w:val="260" w:hRule="atLeast"/>
        </w:trPr>
        <w:tc>
          <w:tcPr>
            <w:tcW w:w="6786" w:type="dxa"/>
          </w:tcPr>
          <w:p>
            <w:pPr>
              <w:pStyle w:val="TableParagraph"/>
              <w:spacing w:line="201" w:lineRule="exact" w:before="0"/>
              <w:ind w:left="200"/>
              <w:jc w:val="left"/>
              <w:rPr>
                <w:sz w:val="18"/>
              </w:rPr>
            </w:pPr>
            <w:r>
              <w:rPr>
                <w:sz w:val="18"/>
              </w:rPr>
              <w:t>a. Variable dependiente: RES_82 ABRIDGED WHITE MODE 8</w:t>
            </w:r>
          </w:p>
        </w:tc>
      </w:tr>
      <w:tr>
        <w:trPr>
          <w:trHeight w:val="260" w:hRule="atLeast"/>
        </w:trPr>
        <w:tc>
          <w:tcPr>
            <w:tcW w:w="6786" w:type="dxa"/>
          </w:tcPr>
          <w:p>
            <w:pPr>
              <w:pStyle w:val="TableParagraph"/>
              <w:spacing w:line="187" w:lineRule="exact" w:before="53"/>
              <w:ind w:left="200"/>
              <w:jc w:val="left"/>
              <w:rPr>
                <w:sz w:val="18"/>
              </w:rPr>
            </w:pPr>
            <w:r>
              <w:rPr>
                <w:sz w:val="18"/>
              </w:rPr>
              <w:t>b. Variables predictoras: (Constante), PRE_82, Unstandardized Predicted Value</w:t>
            </w:r>
          </w:p>
        </w:tc>
      </w:tr>
    </w:tbl>
    <w:p>
      <w:pPr>
        <w:pStyle w:val="BodyText"/>
        <w:rPr>
          <w:b/>
          <w:sz w:val="20"/>
        </w:rPr>
      </w:pPr>
    </w:p>
    <w:p>
      <w:pPr>
        <w:pStyle w:val="BodyText"/>
        <w:rPr>
          <w:b/>
          <w:sz w:val="15"/>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794"/>
        <w:gridCol w:w="1248"/>
        <w:gridCol w:w="1250"/>
        <w:gridCol w:w="864"/>
        <w:gridCol w:w="819"/>
      </w:tblGrid>
      <w:tr>
        <w:trPr>
          <w:trHeight w:val="445" w:hRule="atLeast"/>
        </w:trPr>
        <w:tc>
          <w:tcPr>
            <w:tcW w:w="3794" w:type="dxa"/>
          </w:tcPr>
          <w:p>
            <w:pPr>
              <w:pStyle w:val="TableParagraph"/>
              <w:spacing w:line="290" w:lineRule="exact" w:before="0"/>
              <w:ind w:left="50"/>
              <w:jc w:val="left"/>
              <w:rPr>
                <w:b/>
                <w:sz w:val="26"/>
              </w:rPr>
            </w:pPr>
            <w:r>
              <w:rPr>
                <w:b/>
                <w:sz w:val="26"/>
              </w:rPr>
              <w:t>IX- Modelo Número 9</w:t>
            </w:r>
          </w:p>
        </w:tc>
        <w:tc>
          <w:tcPr>
            <w:tcW w:w="4181" w:type="dxa"/>
            <w:gridSpan w:val="4"/>
            <w:vMerge w:val="restart"/>
          </w:tcPr>
          <w:p>
            <w:pPr>
              <w:pStyle w:val="TableParagraph"/>
              <w:spacing w:line="240" w:lineRule="auto" w:before="0"/>
              <w:jc w:val="left"/>
              <w:rPr>
                <w:rFonts w:ascii="Times New Roman"/>
                <w:sz w:val="16"/>
              </w:rPr>
            </w:pPr>
          </w:p>
        </w:tc>
      </w:tr>
      <w:tr>
        <w:trPr>
          <w:trHeight w:val="539" w:hRule="atLeast"/>
        </w:trPr>
        <w:tc>
          <w:tcPr>
            <w:tcW w:w="3794" w:type="dxa"/>
          </w:tcPr>
          <w:p>
            <w:pPr>
              <w:pStyle w:val="TableParagraph"/>
              <w:spacing w:line="240" w:lineRule="auto" w:before="146"/>
              <w:ind w:left="50"/>
              <w:jc w:val="left"/>
              <w:rPr>
                <w:b/>
                <w:sz w:val="26"/>
              </w:rPr>
            </w:pPr>
            <w:r>
              <w:rPr>
                <w:b/>
                <w:sz w:val="26"/>
              </w:rPr>
              <w:t>A- Regresión/ACR/VIF</w:t>
            </w:r>
          </w:p>
        </w:tc>
        <w:tc>
          <w:tcPr>
            <w:tcW w:w="4181" w:type="dxa"/>
            <w:gridSpan w:val="4"/>
            <w:vMerge/>
            <w:tcBorders>
              <w:top w:val="nil"/>
            </w:tcBorders>
          </w:tcPr>
          <w:p>
            <w:pPr>
              <w:rPr>
                <w:sz w:val="2"/>
                <w:szCs w:val="2"/>
              </w:rPr>
            </w:pPr>
          </w:p>
        </w:tc>
      </w:tr>
      <w:tr>
        <w:trPr>
          <w:trHeight w:val="366" w:hRule="atLeast"/>
        </w:trPr>
        <w:tc>
          <w:tcPr>
            <w:tcW w:w="3794" w:type="dxa"/>
          </w:tcPr>
          <w:p>
            <w:pPr>
              <w:pStyle w:val="TableParagraph"/>
              <w:spacing w:line="240" w:lineRule="auto" w:before="94"/>
              <w:ind w:left="50"/>
              <w:jc w:val="left"/>
              <w:rPr>
                <w:rFonts w:ascii="Courier New"/>
                <w:b/>
                <w:sz w:val="16"/>
              </w:rPr>
            </w:pPr>
            <w:r>
              <w:rPr>
                <w:rFonts w:ascii="Courier New"/>
                <w:b/>
                <w:sz w:val="16"/>
              </w:rPr>
              <w:t>Analysis of Variance</w:t>
            </w:r>
          </w:p>
        </w:tc>
        <w:tc>
          <w:tcPr>
            <w:tcW w:w="4181" w:type="dxa"/>
            <w:gridSpan w:val="4"/>
            <w:vMerge/>
            <w:tcBorders>
              <w:top w:val="nil"/>
            </w:tcBorders>
          </w:tcPr>
          <w:p>
            <w:pPr>
              <w:rPr>
                <w:sz w:val="2"/>
                <w:szCs w:val="2"/>
              </w:rPr>
            </w:pPr>
          </w:p>
        </w:tc>
      </w:tr>
      <w:tr>
        <w:trPr>
          <w:trHeight w:val="271" w:hRule="atLeast"/>
        </w:trPr>
        <w:tc>
          <w:tcPr>
            <w:tcW w:w="3794" w:type="dxa"/>
          </w:tcPr>
          <w:p>
            <w:pPr>
              <w:pStyle w:val="TableParagraph"/>
              <w:tabs>
                <w:tab w:pos="3505" w:val="left" w:leader="none"/>
              </w:tabs>
              <w:spacing w:line="161" w:lineRule="exact"/>
              <w:ind w:left="50"/>
              <w:jc w:val="left"/>
              <w:rPr>
                <w:rFonts w:ascii="Courier New"/>
                <w:b/>
                <w:sz w:val="16"/>
              </w:rPr>
            </w:pPr>
            <w:r>
              <w:rPr>
                <w:rFonts w:ascii="Courier New"/>
                <w:b/>
                <w:sz w:val="16"/>
              </w:rPr>
              <w:t>Source</w:t>
              <w:tab/>
              <w:t>DF</w:t>
            </w:r>
          </w:p>
        </w:tc>
        <w:tc>
          <w:tcPr>
            <w:tcW w:w="1248" w:type="dxa"/>
          </w:tcPr>
          <w:p>
            <w:pPr>
              <w:pStyle w:val="TableParagraph"/>
              <w:spacing w:line="161" w:lineRule="exact"/>
              <w:ind w:right="94"/>
              <w:rPr>
                <w:rFonts w:ascii="Courier New"/>
                <w:b/>
                <w:sz w:val="16"/>
              </w:rPr>
            </w:pPr>
            <w:r>
              <w:rPr>
                <w:rFonts w:ascii="Courier New"/>
                <w:b/>
                <w:sz w:val="16"/>
              </w:rPr>
              <w:t>Adj SS</w:t>
            </w:r>
          </w:p>
        </w:tc>
        <w:tc>
          <w:tcPr>
            <w:tcW w:w="1250" w:type="dxa"/>
          </w:tcPr>
          <w:p>
            <w:pPr>
              <w:pStyle w:val="TableParagraph"/>
              <w:spacing w:line="161" w:lineRule="exact"/>
              <w:ind w:right="93"/>
              <w:rPr>
                <w:rFonts w:ascii="Courier New"/>
                <w:b/>
                <w:sz w:val="16"/>
              </w:rPr>
            </w:pPr>
            <w:r>
              <w:rPr>
                <w:rFonts w:ascii="Courier New"/>
                <w:b/>
                <w:sz w:val="16"/>
              </w:rPr>
              <w:t>Adj MS</w:t>
            </w:r>
          </w:p>
        </w:tc>
        <w:tc>
          <w:tcPr>
            <w:tcW w:w="864" w:type="dxa"/>
          </w:tcPr>
          <w:p>
            <w:pPr>
              <w:pStyle w:val="TableParagraph"/>
              <w:spacing w:line="161" w:lineRule="exact"/>
              <w:ind w:right="94"/>
              <w:rPr>
                <w:rFonts w:ascii="Courier New"/>
                <w:b/>
                <w:sz w:val="16"/>
              </w:rPr>
            </w:pPr>
            <w:r>
              <w:rPr>
                <w:rFonts w:ascii="Courier New"/>
                <w:b/>
                <w:sz w:val="16"/>
              </w:rPr>
              <w:t>F-Value</w:t>
            </w:r>
          </w:p>
        </w:tc>
        <w:tc>
          <w:tcPr>
            <w:tcW w:w="819" w:type="dxa"/>
          </w:tcPr>
          <w:p>
            <w:pPr>
              <w:pStyle w:val="TableParagraph"/>
              <w:spacing w:line="161" w:lineRule="exact"/>
              <w:ind w:right="48"/>
              <w:rPr>
                <w:rFonts w:ascii="Courier New"/>
                <w:b/>
                <w:sz w:val="16"/>
              </w:rPr>
            </w:pPr>
            <w:r>
              <w:rPr>
                <w:rFonts w:ascii="Courier New"/>
                <w:b/>
                <w:sz w:val="16"/>
              </w:rPr>
              <w:t>P-Value</w:t>
            </w:r>
          </w:p>
        </w:tc>
      </w:tr>
      <w:tr>
        <w:trPr>
          <w:trHeight w:val="180" w:hRule="atLeast"/>
        </w:trPr>
        <w:tc>
          <w:tcPr>
            <w:tcW w:w="3794" w:type="dxa"/>
          </w:tcPr>
          <w:p>
            <w:pPr>
              <w:pStyle w:val="TableParagraph"/>
              <w:tabs>
                <w:tab w:pos="3697" w:val="right" w:leader="none"/>
              </w:tabs>
              <w:spacing w:line="160" w:lineRule="exact" w:before="0"/>
              <w:ind w:left="50"/>
              <w:jc w:val="left"/>
              <w:rPr>
                <w:rFonts w:ascii="Courier New"/>
                <w:b/>
                <w:sz w:val="16"/>
              </w:rPr>
            </w:pPr>
            <w:r>
              <w:rPr>
                <w:rFonts w:ascii="Courier New"/>
                <w:b/>
                <w:sz w:val="16"/>
              </w:rPr>
              <w:t>Regression</w:t>
              <w:tab/>
              <w:t>9</w:t>
            </w:r>
          </w:p>
        </w:tc>
        <w:tc>
          <w:tcPr>
            <w:tcW w:w="1248" w:type="dxa"/>
          </w:tcPr>
          <w:p>
            <w:pPr>
              <w:pStyle w:val="TableParagraph"/>
              <w:spacing w:line="160" w:lineRule="exact" w:before="0"/>
              <w:ind w:right="94"/>
              <w:rPr>
                <w:rFonts w:ascii="Courier New"/>
                <w:b/>
                <w:sz w:val="16"/>
              </w:rPr>
            </w:pPr>
            <w:r>
              <w:rPr>
                <w:rFonts w:ascii="Courier New"/>
                <w:b/>
                <w:sz w:val="16"/>
              </w:rPr>
              <w:t>7.68880E+12</w:t>
            </w:r>
          </w:p>
        </w:tc>
        <w:tc>
          <w:tcPr>
            <w:tcW w:w="1250" w:type="dxa"/>
          </w:tcPr>
          <w:p>
            <w:pPr>
              <w:pStyle w:val="TableParagraph"/>
              <w:spacing w:line="160" w:lineRule="exact" w:before="0"/>
              <w:ind w:right="96"/>
              <w:rPr>
                <w:rFonts w:ascii="Courier New"/>
                <w:b/>
                <w:sz w:val="16"/>
              </w:rPr>
            </w:pPr>
            <w:r>
              <w:rPr>
                <w:rFonts w:ascii="Courier New"/>
                <w:b/>
                <w:sz w:val="16"/>
              </w:rPr>
              <w:t>8.54311E+11</w:t>
            </w:r>
          </w:p>
        </w:tc>
        <w:tc>
          <w:tcPr>
            <w:tcW w:w="864" w:type="dxa"/>
          </w:tcPr>
          <w:p>
            <w:pPr>
              <w:pStyle w:val="TableParagraph"/>
              <w:spacing w:line="160" w:lineRule="exact" w:before="0"/>
              <w:ind w:right="96"/>
              <w:rPr>
                <w:rFonts w:ascii="Courier New"/>
                <w:b/>
                <w:sz w:val="16"/>
              </w:rPr>
            </w:pPr>
            <w:r>
              <w:rPr>
                <w:rFonts w:ascii="Courier New"/>
                <w:b/>
                <w:sz w:val="16"/>
              </w:rPr>
              <w:t>27.63</w:t>
            </w:r>
          </w:p>
        </w:tc>
        <w:tc>
          <w:tcPr>
            <w:tcW w:w="819" w:type="dxa"/>
          </w:tcPr>
          <w:p>
            <w:pPr>
              <w:pStyle w:val="TableParagraph"/>
              <w:spacing w:line="160" w:lineRule="exact" w:before="0"/>
              <w:ind w:right="51"/>
              <w:rPr>
                <w:rFonts w:ascii="Courier New"/>
                <w:b/>
                <w:sz w:val="16"/>
              </w:rPr>
            </w:pPr>
            <w:r>
              <w:rPr>
                <w:rFonts w:ascii="Courier New"/>
                <w:b/>
                <w:sz w:val="16"/>
              </w:rPr>
              <w:t>0.000</w:t>
            </w:r>
          </w:p>
        </w:tc>
      </w:tr>
      <w:tr>
        <w:trPr>
          <w:trHeight w:val="181" w:hRule="atLeast"/>
        </w:trPr>
        <w:tc>
          <w:tcPr>
            <w:tcW w:w="3794" w:type="dxa"/>
          </w:tcPr>
          <w:p>
            <w:pPr>
              <w:pStyle w:val="TableParagraph"/>
              <w:tabs>
                <w:tab w:pos="3455" w:val="right" w:leader="none"/>
              </w:tabs>
              <w:spacing w:line="162" w:lineRule="exact" w:before="0"/>
              <w:ind w:right="94"/>
              <w:rPr>
                <w:rFonts w:ascii="Courier New" w:hAnsi="Courier New"/>
                <w:b/>
                <w:sz w:val="16"/>
              </w:rPr>
            </w:pPr>
            <w:r>
              <w:rPr>
                <w:rFonts w:ascii="Courier New" w:hAnsi="Courier New"/>
                <w:b/>
                <w:sz w:val="16"/>
              </w:rPr>
              <w:t>Área de Construcción</w:t>
            </w:r>
            <w:r>
              <w:rPr>
                <w:rFonts w:ascii="Courier New" w:hAnsi="Courier New"/>
                <w:b/>
                <w:spacing w:val="-11"/>
                <w:sz w:val="16"/>
              </w:rPr>
              <w:t> </w:t>
            </w:r>
            <w:r>
              <w:rPr>
                <w:rFonts w:ascii="Courier New" w:hAnsi="Courier New"/>
                <w:b/>
                <w:sz w:val="16"/>
              </w:rPr>
              <w:t>en</w:t>
            </w:r>
            <w:r>
              <w:rPr>
                <w:rFonts w:ascii="Courier New" w:hAnsi="Courier New"/>
                <w:b/>
                <w:spacing w:val="-3"/>
                <w:sz w:val="16"/>
              </w:rPr>
              <w:t> </w:t>
            </w:r>
            <w:r>
              <w:rPr>
                <w:rFonts w:ascii="Courier New" w:hAnsi="Courier New"/>
                <w:b/>
                <w:sz w:val="16"/>
              </w:rPr>
              <w:t>metros</w:t>
              <w:tab/>
              <w:t>1</w:t>
            </w:r>
          </w:p>
        </w:tc>
        <w:tc>
          <w:tcPr>
            <w:tcW w:w="1248" w:type="dxa"/>
          </w:tcPr>
          <w:p>
            <w:pPr>
              <w:pStyle w:val="TableParagraph"/>
              <w:spacing w:line="162" w:lineRule="exact" w:before="0"/>
              <w:ind w:right="94"/>
              <w:rPr>
                <w:rFonts w:ascii="Courier New"/>
                <w:b/>
                <w:sz w:val="16"/>
              </w:rPr>
            </w:pPr>
            <w:r>
              <w:rPr>
                <w:rFonts w:ascii="Courier New"/>
                <w:b/>
                <w:sz w:val="16"/>
              </w:rPr>
              <w:t>4128903299</w:t>
            </w:r>
          </w:p>
        </w:tc>
        <w:tc>
          <w:tcPr>
            <w:tcW w:w="1250" w:type="dxa"/>
          </w:tcPr>
          <w:p>
            <w:pPr>
              <w:pStyle w:val="TableParagraph"/>
              <w:spacing w:line="162" w:lineRule="exact" w:before="0"/>
              <w:ind w:right="96"/>
              <w:rPr>
                <w:rFonts w:ascii="Courier New"/>
                <w:b/>
                <w:sz w:val="16"/>
              </w:rPr>
            </w:pPr>
            <w:r>
              <w:rPr>
                <w:rFonts w:ascii="Courier New"/>
                <w:b/>
                <w:sz w:val="16"/>
              </w:rPr>
              <w:t>4128903299</w:t>
            </w:r>
          </w:p>
        </w:tc>
        <w:tc>
          <w:tcPr>
            <w:tcW w:w="864" w:type="dxa"/>
          </w:tcPr>
          <w:p>
            <w:pPr>
              <w:pStyle w:val="TableParagraph"/>
              <w:spacing w:line="162" w:lineRule="exact" w:before="0"/>
              <w:ind w:right="96"/>
              <w:rPr>
                <w:rFonts w:ascii="Courier New"/>
                <w:b/>
                <w:sz w:val="16"/>
              </w:rPr>
            </w:pPr>
            <w:r>
              <w:rPr>
                <w:rFonts w:ascii="Courier New"/>
                <w:b/>
                <w:sz w:val="16"/>
              </w:rPr>
              <w:t>0.13</w:t>
            </w:r>
          </w:p>
        </w:tc>
        <w:tc>
          <w:tcPr>
            <w:tcW w:w="819" w:type="dxa"/>
          </w:tcPr>
          <w:p>
            <w:pPr>
              <w:pStyle w:val="TableParagraph"/>
              <w:spacing w:line="162" w:lineRule="exact" w:before="0"/>
              <w:ind w:right="51"/>
              <w:rPr>
                <w:rFonts w:ascii="Courier New"/>
                <w:b/>
                <w:sz w:val="16"/>
              </w:rPr>
            </w:pPr>
            <w:r>
              <w:rPr>
                <w:rFonts w:ascii="Courier New"/>
                <w:b/>
                <w:sz w:val="16"/>
              </w:rPr>
              <w:t>0.715</w:t>
            </w:r>
          </w:p>
        </w:tc>
      </w:tr>
      <w:tr>
        <w:trPr>
          <w:trHeight w:val="182" w:hRule="atLeast"/>
        </w:trPr>
        <w:tc>
          <w:tcPr>
            <w:tcW w:w="3794" w:type="dxa"/>
          </w:tcPr>
          <w:p>
            <w:pPr>
              <w:pStyle w:val="TableParagraph"/>
              <w:tabs>
                <w:tab w:pos="3455" w:val="right" w:leader="none"/>
              </w:tabs>
              <w:spacing w:line="161" w:lineRule="exact" w:before="1"/>
              <w:ind w:right="94"/>
              <w:rPr>
                <w:rFonts w:ascii="Courier New" w:hAnsi="Courier New"/>
                <w:b/>
                <w:sz w:val="16"/>
              </w:rPr>
            </w:pPr>
            <w:r>
              <w:rPr>
                <w:rFonts w:ascii="Courier New" w:hAnsi="Courier New"/>
                <w:b/>
                <w:sz w:val="16"/>
              </w:rPr>
              <w:t>Año</w:t>
            </w:r>
            <w:r>
              <w:rPr>
                <w:rFonts w:ascii="Courier New" w:hAnsi="Courier New"/>
                <w:b/>
                <w:spacing w:val="-2"/>
                <w:sz w:val="16"/>
              </w:rPr>
              <w:t> </w:t>
            </w:r>
            <w:r>
              <w:rPr>
                <w:rFonts w:ascii="Courier New" w:hAnsi="Courier New"/>
                <w:b/>
                <w:sz w:val="16"/>
              </w:rPr>
              <w:t>de</w:t>
            </w:r>
            <w:r>
              <w:rPr>
                <w:rFonts w:ascii="Courier New" w:hAnsi="Courier New"/>
                <w:b/>
                <w:spacing w:val="-2"/>
                <w:sz w:val="16"/>
              </w:rPr>
              <w:t> </w:t>
            </w:r>
            <w:r>
              <w:rPr>
                <w:rFonts w:ascii="Courier New" w:hAnsi="Courier New"/>
                <w:b/>
                <w:sz w:val="16"/>
              </w:rPr>
              <w:t>Construcción</w:t>
              <w:tab/>
              <w:t>1</w:t>
            </w:r>
          </w:p>
        </w:tc>
        <w:tc>
          <w:tcPr>
            <w:tcW w:w="1248" w:type="dxa"/>
          </w:tcPr>
          <w:p>
            <w:pPr>
              <w:pStyle w:val="TableParagraph"/>
              <w:spacing w:line="161" w:lineRule="exact" w:before="1"/>
              <w:ind w:right="94"/>
              <w:rPr>
                <w:rFonts w:ascii="Courier New"/>
                <w:b/>
                <w:sz w:val="16"/>
              </w:rPr>
            </w:pPr>
            <w:r>
              <w:rPr>
                <w:rFonts w:ascii="Courier New"/>
                <w:b/>
                <w:sz w:val="16"/>
              </w:rPr>
              <w:t>18912821822</w:t>
            </w:r>
          </w:p>
        </w:tc>
        <w:tc>
          <w:tcPr>
            <w:tcW w:w="1250" w:type="dxa"/>
          </w:tcPr>
          <w:p>
            <w:pPr>
              <w:pStyle w:val="TableParagraph"/>
              <w:spacing w:line="161" w:lineRule="exact" w:before="1"/>
              <w:ind w:right="96"/>
              <w:rPr>
                <w:rFonts w:ascii="Courier New"/>
                <w:b/>
                <w:sz w:val="16"/>
              </w:rPr>
            </w:pPr>
            <w:r>
              <w:rPr>
                <w:rFonts w:ascii="Courier New"/>
                <w:b/>
                <w:sz w:val="16"/>
              </w:rPr>
              <w:t>18912821822</w:t>
            </w:r>
          </w:p>
        </w:tc>
        <w:tc>
          <w:tcPr>
            <w:tcW w:w="864" w:type="dxa"/>
          </w:tcPr>
          <w:p>
            <w:pPr>
              <w:pStyle w:val="TableParagraph"/>
              <w:spacing w:line="161" w:lineRule="exact" w:before="1"/>
              <w:ind w:right="93"/>
              <w:rPr>
                <w:rFonts w:ascii="Courier New"/>
                <w:b/>
                <w:sz w:val="16"/>
              </w:rPr>
            </w:pPr>
            <w:r>
              <w:rPr>
                <w:rFonts w:ascii="Courier New"/>
                <w:b/>
                <w:sz w:val="16"/>
              </w:rPr>
              <w:t>0.61</w:t>
            </w:r>
          </w:p>
        </w:tc>
        <w:tc>
          <w:tcPr>
            <w:tcW w:w="819" w:type="dxa"/>
          </w:tcPr>
          <w:p>
            <w:pPr>
              <w:pStyle w:val="TableParagraph"/>
              <w:spacing w:line="161" w:lineRule="exact" w:before="1"/>
              <w:ind w:right="48"/>
              <w:rPr>
                <w:rFonts w:ascii="Courier New"/>
                <w:b/>
                <w:sz w:val="16"/>
              </w:rPr>
            </w:pPr>
            <w:r>
              <w:rPr>
                <w:rFonts w:ascii="Courier New"/>
                <w:b/>
                <w:sz w:val="16"/>
              </w:rPr>
              <w:t>0.435</w:t>
            </w:r>
          </w:p>
        </w:tc>
      </w:tr>
      <w:tr>
        <w:trPr>
          <w:trHeight w:val="180" w:hRule="atLeast"/>
        </w:trPr>
        <w:tc>
          <w:tcPr>
            <w:tcW w:w="3794" w:type="dxa"/>
          </w:tcPr>
          <w:p>
            <w:pPr>
              <w:pStyle w:val="TableParagraph"/>
              <w:tabs>
                <w:tab w:pos="3455" w:val="right" w:leader="none"/>
              </w:tabs>
              <w:spacing w:line="160" w:lineRule="exact" w:before="0"/>
              <w:ind w:right="94"/>
              <w:rPr>
                <w:rFonts w:ascii="Courier New" w:hAnsi="Courier New"/>
                <w:b/>
                <w:sz w:val="16"/>
              </w:rPr>
            </w:pPr>
            <w:r>
              <w:rPr>
                <w:rFonts w:ascii="Courier New" w:hAnsi="Courier New"/>
                <w:b/>
                <w:sz w:val="16"/>
              </w:rPr>
              <w:t>Número</w:t>
            </w:r>
            <w:r>
              <w:rPr>
                <w:rFonts w:ascii="Courier New" w:hAnsi="Courier New"/>
                <w:b/>
                <w:spacing w:val="-2"/>
                <w:sz w:val="16"/>
              </w:rPr>
              <w:t> </w:t>
            </w:r>
            <w:r>
              <w:rPr>
                <w:rFonts w:ascii="Courier New" w:hAnsi="Courier New"/>
                <w:b/>
                <w:sz w:val="16"/>
              </w:rPr>
              <w:t>de</w:t>
            </w:r>
            <w:r>
              <w:rPr>
                <w:rFonts w:ascii="Courier New" w:hAnsi="Courier New"/>
                <w:b/>
                <w:spacing w:val="-1"/>
                <w:sz w:val="16"/>
              </w:rPr>
              <w:t> </w:t>
            </w:r>
            <w:r>
              <w:rPr>
                <w:rFonts w:ascii="Courier New" w:hAnsi="Courier New"/>
                <w:b/>
                <w:sz w:val="16"/>
              </w:rPr>
              <w:t>Baños</w:t>
              <w:tab/>
              <w:t>1</w:t>
            </w:r>
          </w:p>
        </w:tc>
        <w:tc>
          <w:tcPr>
            <w:tcW w:w="1248" w:type="dxa"/>
          </w:tcPr>
          <w:p>
            <w:pPr>
              <w:pStyle w:val="TableParagraph"/>
              <w:spacing w:line="160" w:lineRule="exact" w:before="0"/>
              <w:ind w:right="94"/>
              <w:rPr>
                <w:rFonts w:ascii="Courier New"/>
                <w:b/>
                <w:sz w:val="16"/>
              </w:rPr>
            </w:pPr>
            <w:r>
              <w:rPr>
                <w:rFonts w:ascii="Courier New"/>
                <w:b/>
                <w:sz w:val="16"/>
              </w:rPr>
              <w:t>4.39031E+12</w:t>
            </w:r>
          </w:p>
        </w:tc>
        <w:tc>
          <w:tcPr>
            <w:tcW w:w="1250" w:type="dxa"/>
          </w:tcPr>
          <w:p>
            <w:pPr>
              <w:pStyle w:val="TableParagraph"/>
              <w:spacing w:line="160" w:lineRule="exact" w:before="0"/>
              <w:ind w:right="96"/>
              <w:rPr>
                <w:rFonts w:ascii="Courier New"/>
                <w:b/>
                <w:sz w:val="16"/>
              </w:rPr>
            </w:pPr>
            <w:r>
              <w:rPr>
                <w:rFonts w:ascii="Courier New"/>
                <w:b/>
                <w:sz w:val="16"/>
              </w:rPr>
              <w:t>4.39031E+12</w:t>
            </w:r>
          </w:p>
        </w:tc>
        <w:tc>
          <w:tcPr>
            <w:tcW w:w="864" w:type="dxa"/>
          </w:tcPr>
          <w:p>
            <w:pPr>
              <w:pStyle w:val="TableParagraph"/>
              <w:spacing w:line="160" w:lineRule="exact" w:before="0"/>
              <w:ind w:right="96"/>
              <w:rPr>
                <w:rFonts w:ascii="Courier New"/>
                <w:b/>
                <w:sz w:val="16"/>
              </w:rPr>
            </w:pPr>
            <w:r>
              <w:rPr>
                <w:rFonts w:ascii="Courier New"/>
                <w:b/>
                <w:sz w:val="16"/>
              </w:rPr>
              <w:t>141.99</w:t>
            </w:r>
          </w:p>
        </w:tc>
        <w:tc>
          <w:tcPr>
            <w:tcW w:w="819" w:type="dxa"/>
          </w:tcPr>
          <w:p>
            <w:pPr>
              <w:pStyle w:val="TableParagraph"/>
              <w:spacing w:line="160" w:lineRule="exact" w:before="0"/>
              <w:ind w:right="51"/>
              <w:rPr>
                <w:rFonts w:ascii="Courier New"/>
                <w:b/>
                <w:sz w:val="16"/>
              </w:rPr>
            </w:pPr>
            <w:r>
              <w:rPr>
                <w:rFonts w:ascii="Courier New"/>
                <w:b/>
                <w:sz w:val="16"/>
              </w:rPr>
              <w:t>0.000</w:t>
            </w:r>
          </w:p>
        </w:tc>
      </w:tr>
      <w:tr>
        <w:trPr>
          <w:trHeight w:val="182" w:hRule="atLeast"/>
        </w:trPr>
        <w:tc>
          <w:tcPr>
            <w:tcW w:w="3794" w:type="dxa"/>
          </w:tcPr>
          <w:p>
            <w:pPr>
              <w:pStyle w:val="TableParagraph"/>
              <w:tabs>
                <w:tab w:pos="3455" w:val="right" w:leader="none"/>
              </w:tabs>
              <w:spacing w:line="162" w:lineRule="exact" w:before="0"/>
              <w:ind w:right="94"/>
              <w:rPr>
                <w:rFonts w:ascii="Courier New" w:hAnsi="Courier New"/>
                <w:b/>
                <w:sz w:val="16"/>
              </w:rPr>
            </w:pPr>
            <w:r>
              <w:rPr>
                <w:rFonts w:ascii="Courier New" w:hAnsi="Courier New"/>
                <w:b/>
                <w:sz w:val="16"/>
              </w:rPr>
              <w:t>Número</w:t>
            </w:r>
            <w:r>
              <w:rPr>
                <w:rFonts w:ascii="Courier New" w:hAnsi="Courier New"/>
                <w:b/>
                <w:spacing w:val="-2"/>
                <w:sz w:val="16"/>
              </w:rPr>
              <w:t> </w:t>
            </w:r>
            <w:r>
              <w:rPr>
                <w:rFonts w:ascii="Courier New" w:hAnsi="Courier New"/>
                <w:b/>
                <w:sz w:val="16"/>
              </w:rPr>
              <w:t>de</w:t>
            </w:r>
            <w:r>
              <w:rPr>
                <w:rFonts w:ascii="Courier New" w:hAnsi="Courier New"/>
                <w:b/>
                <w:spacing w:val="-2"/>
                <w:sz w:val="16"/>
              </w:rPr>
              <w:t> </w:t>
            </w:r>
            <w:r>
              <w:rPr>
                <w:rFonts w:ascii="Courier New" w:hAnsi="Courier New"/>
                <w:b/>
                <w:sz w:val="16"/>
              </w:rPr>
              <w:t>Plantas</w:t>
              <w:tab/>
              <w:t>1</w:t>
            </w:r>
          </w:p>
        </w:tc>
        <w:tc>
          <w:tcPr>
            <w:tcW w:w="1248" w:type="dxa"/>
          </w:tcPr>
          <w:p>
            <w:pPr>
              <w:pStyle w:val="TableParagraph"/>
              <w:spacing w:line="162" w:lineRule="exact" w:before="0"/>
              <w:ind w:right="94"/>
              <w:rPr>
                <w:rFonts w:ascii="Courier New"/>
                <w:b/>
                <w:sz w:val="16"/>
              </w:rPr>
            </w:pPr>
            <w:r>
              <w:rPr>
                <w:rFonts w:ascii="Courier New"/>
                <w:b/>
                <w:sz w:val="16"/>
              </w:rPr>
              <w:t>2.28145E+11</w:t>
            </w:r>
          </w:p>
        </w:tc>
        <w:tc>
          <w:tcPr>
            <w:tcW w:w="1250" w:type="dxa"/>
          </w:tcPr>
          <w:p>
            <w:pPr>
              <w:pStyle w:val="TableParagraph"/>
              <w:spacing w:line="162" w:lineRule="exact" w:before="0"/>
              <w:ind w:right="96"/>
              <w:rPr>
                <w:rFonts w:ascii="Courier New"/>
                <w:b/>
                <w:sz w:val="16"/>
              </w:rPr>
            </w:pPr>
            <w:r>
              <w:rPr>
                <w:rFonts w:ascii="Courier New"/>
                <w:b/>
                <w:sz w:val="16"/>
              </w:rPr>
              <w:t>2.28145E+11</w:t>
            </w:r>
          </w:p>
        </w:tc>
        <w:tc>
          <w:tcPr>
            <w:tcW w:w="864" w:type="dxa"/>
          </w:tcPr>
          <w:p>
            <w:pPr>
              <w:pStyle w:val="TableParagraph"/>
              <w:spacing w:line="162" w:lineRule="exact" w:before="0"/>
              <w:ind w:right="96"/>
              <w:rPr>
                <w:rFonts w:ascii="Courier New"/>
                <w:b/>
                <w:sz w:val="16"/>
              </w:rPr>
            </w:pPr>
            <w:r>
              <w:rPr>
                <w:rFonts w:ascii="Courier New"/>
                <w:b/>
                <w:sz w:val="16"/>
              </w:rPr>
              <w:t>7.38</w:t>
            </w:r>
          </w:p>
        </w:tc>
        <w:tc>
          <w:tcPr>
            <w:tcW w:w="819" w:type="dxa"/>
          </w:tcPr>
          <w:p>
            <w:pPr>
              <w:pStyle w:val="TableParagraph"/>
              <w:spacing w:line="162" w:lineRule="exact" w:before="0"/>
              <w:ind w:right="51"/>
              <w:rPr>
                <w:rFonts w:ascii="Courier New"/>
                <w:b/>
                <w:sz w:val="16"/>
              </w:rPr>
            </w:pPr>
            <w:r>
              <w:rPr>
                <w:rFonts w:ascii="Courier New"/>
                <w:b/>
                <w:sz w:val="16"/>
              </w:rPr>
              <w:t>0.007</w:t>
            </w:r>
          </w:p>
        </w:tc>
      </w:tr>
      <w:tr>
        <w:trPr>
          <w:trHeight w:val="181" w:hRule="atLeast"/>
        </w:trPr>
        <w:tc>
          <w:tcPr>
            <w:tcW w:w="3794" w:type="dxa"/>
          </w:tcPr>
          <w:p>
            <w:pPr>
              <w:pStyle w:val="TableParagraph"/>
              <w:tabs>
                <w:tab w:pos="3455" w:val="right" w:leader="none"/>
              </w:tabs>
              <w:spacing w:line="161" w:lineRule="exact" w:before="1"/>
              <w:ind w:right="94"/>
              <w:rPr>
                <w:rFonts w:ascii="Courier New" w:hAnsi="Courier New"/>
                <w:b/>
                <w:sz w:val="16"/>
              </w:rPr>
            </w:pPr>
            <w:r>
              <w:rPr>
                <w:rFonts w:ascii="Courier New" w:hAnsi="Courier New"/>
                <w:b/>
                <w:sz w:val="16"/>
              </w:rPr>
              <w:t>Distancia a San José</w:t>
            </w:r>
            <w:r>
              <w:rPr>
                <w:rFonts w:ascii="Courier New" w:hAnsi="Courier New"/>
                <w:b/>
                <w:spacing w:val="-14"/>
                <w:sz w:val="16"/>
              </w:rPr>
              <w:t> </w:t>
            </w:r>
            <w:r>
              <w:rPr>
                <w:rFonts w:ascii="Courier New" w:hAnsi="Courier New"/>
                <w:b/>
                <w:sz w:val="16"/>
              </w:rPr>
              <w:t>Centro</w:t>
            </w:r>
            <w:r>
              <w:rPr>
                <w:rFonts w:ascii="Courier New" w:hAnsi="Courier New"/>
                <w:b/>
                <w:spacing w:val="-3"/>
                <w:sz w:val="16"/>
              </w:rPr>
              <w:t> </w:t>
            </w:r>
            <w:r>
              <w:rPr>
                <w:rFonts w:ascii="Courier New" w:hAnsi="Courier New"/>
                <w:b/>
                <w:sz w:val="16"/>
              </w:rPr>
              <w:t>por</w:t>
              <w:tab/>
              <w:t>1</w:t>
            </w:r>
          </w:p>
        </w:tc>
        <w:tc>
          <w:tcPr>
            <w:tcW w:w="1248" w:type="dxa"/>
          </w:tcPr>
          <w:p>
            <w:pPr>
              <w:pStyle w:val="TableParagraph"/>
              <w:spacing w:line="161" w:lineRule="exact" w:before="1"/>
              <w:ind w:right="94"/>
              <w:rPr>
                <w:rFonts w:ascii="Courier New"/>
                <w:b/>
                <w:sz w:val="16"/>
              </w:rPr>
            </w:pPr>
            <w:r>
              <w:rPr>
                <w:rFonts w:ascii="Courier New"/>
                <w:b/>
                <w:sz w:val="16"/>
              </w:rPr>
              <w:t>1.21101E+11</w:t>
            </w:r>
          </w:p>
        </w:tc>
        <w:tc>
          <w:tcPr>
            <w:tcW w:w="1250" w:type="dxa"/>
          </w:tcPr>
          <w:p>
            <w:pPr>
              <w:pStyle w:val="TableParagraph"/>
              <w:spacing w:line="161" w:lineRule="exact" w:before="1"/>
              <w:ind w:right="96"/>
              <w:rPr>
                <w:rFonts w:ascii="Courier New"/>
                <w:b/>
                <w:sz w:val="16"/>
              </w:rPr>
            </w:pPr>
            <w:r>
              <w:rPr>
                <w:rFonts w:ascii="Courier New"/>
                <w:b/>
                <w:sz w:val="16"/>
              </w:rPr>
              <w:t>1.21101E+11</w:t>
            </w:r>
          </w:p>
        </w:tc>
        <w:tc>
          <w:tcPr>
            <w:tcW w:w="864" w:type="dxa"/>
          </w:tcPr>
          <w:p>
            <w:pPr>
              <w:pStyle w:val="TableParagraph"/>
              <w:spacing w:line="161" w:lineRule="exact" w:before="1"/>
              <w:ind w:right="96"/>
              <w:rPr>
                <w:rFonts w:ascii="Courier New"/>
                <w:b/>
                <w:sz w:val="16"/>
              </w:rPr>
            </w:pPr>
            <w:r>
              <w:rPr>
                <w:rFonts w:ascii="Courier New"/>
                <w:b/>
                <w:sz w:val="16"/>
              </w:rPr>
              <w:t>3.92</w:t>
            </w:r>
          </w:p>
        </w:tc>
        <w:tc>
          <w:tcPr>
            <w:tcW w:w="819" w:type="dxa"/>
          </w:tcPr>
          <w:p>
            <w:pPr>
              <w:pStyle w:val="TableParagraph"/>
              <w:spacing w:line="161" w:lineRule="exact" w:before="1"/>
              <w:ind w:right="48"/>
              <w:rPr>
                <w:rFonts w:ascii="Courier New"/>
                <w:b/>
                <w:sz w:val="16"/>
              </w:rPr>
            </w:pPr>
            <w:r>
              <w:rPr>
                <w:rFonts w:ascii="Courier New"/>
                <w:b/>
                <w:sz w:val="16"/>
              </w:rPr>
              <w:t>0.049</w:t>
            </w:r>
          </w:p>
        </w:tc>
      </w:tr>
      <w:tr>
        <w:trPr>
          <w:trHeight w:val="180" w:hRule="atLeast"/>
        </w:trPr>
        <w:tc>
          <w:tcPr>
            <w:tcW w:w="3794" w:type="dxa"/>
          </w:tcPr>
          <w:p>
            <w:pPr>
              <w:pStyle w:val="TableParagraph"/>
              <w:tabs>
                <w:tab w:pos="3456" w:val="right" w:leader="none"/>
              </w:tabs>
              <w:spacing w:line="160" w:lineRule="exact" w:before="0"/>
              <w:ind w:right="93"/>
              <w:rPr>
                <w:rFonts w:ascii="Courier New"/>
                <w:b/>
                <w:sz w:val="16"/>
              </w:rPr>
            </w:pPr>
            <w:r>
              <w:rPr>
                <w:rFonts w:ascii="Courier New"/>
                <w:b/>
                <w:sz w:val="16"/>
              </w:rPr>
              <w:t>Distancia a</w:t>
            </w:r>
            <w:r>
              <w:rPr>
                <w:rFonts w:ascii="Courier New"/>
                <w:b/>
                <w:spacing w:val="-8"/>
                <w:sz w:val="16"/>
              </w:rPr>
              <w:t> </w:t>
            </w:r>
            <w:r>
              <w:rPr>
                <w:rFonts w:ascii="Courier New"/>
                <w:b/>
                <w:sz w:val="16"/>
              </w:rPr>
              <w:t>Aglomera-ciones</w:t>
            </w:r>
            <w:r>
              <w:rPr>
                <w:rFonts w:ascii="Courier New"/>
                <w:b/>
                <w:spacing w:val="-4"/>
                <w:sz w:val="16"/>
              </w:rPr>
              <w:t> </w:t>
            </w:r>
            <w:r>
              <w:rPr>
                <w:rFonts w:ascii="Courier New"/>
                <w:b/>
                <w:sz w:val="16"/>
              </w:rPr>
              <w:t>de</w:t>
              <w:tab/>
              <w:t>1</w:t>
            </w:r>
          </w:p>
        </w:tc>
        <w:tc>
          <w:tcPr>
            <w:tcW w:w="1248" w:type="dxa"/>
          </w:tcPr>
          <w:p>
            <w:pPr>
              <w:pStyle w:val="TableParagraph"/>
              <w:spacing w:line="160" w:lineRule="exact" w:before="0"/>
              <w:ind w:right="93"/>
              <w:rPr>
                <w:rFonts w:ascii="Courier New"/>
                <w:b/>
                <w:sz w:val="16"/>
              </w:rPr>
            </w:pPr>
            <w:r>
              <w:rPr>
                <w:rFonts w:ascii="Courier New"/>
                <w:b/>
                <w:sz w:val="16"/>
              </w:rPr>
              <w:t>1.64410E+11</w:t>
            </w:r>
          </w:p>
        </w:tc>
        <w:tc>
          <w:tcPr>
            <w:tcW w:w="1250" w:type="dxa"/>
          </w:tcPr>
          <w:p>
            <w:pPr>
              <w:pStyle w:val="TableParagraph"/>
              <w:spacing w:line="160" w:lineRule="exact" w:before="0"/>
              <w:ind w:right="95"/>
              <w:rPr>
                <w:rFonts w:ascii="Courier New"/>
                <w:b/>
                <w:sz w:val="16"/>
              </w:rPr>
            </w:pPr>
            <w:r>
              <w:rPr>
                <w:rFonts w:ascii="Courier New"/>
                <w:b/>
                <w:sz w:val="16"/>
              </w:rPr>
              <w:t>1.64410E+11</w:t>
            </w:r>
          </w:p>
        </w:tc>
        <w:tc>
          <w:tcPr>
            <w:tcW w:w="864" w:type="dxa"/>
          </w:tcPr>
          <w:p>
            <w:pPr>
              <w:pStyle w:val="TableParagraph"/>
              <w:spacing w:line="160" w:lineRule="exact" w:before="0"/>
              <w:ind w:right="96"/>
              <w:rPr>
                <w:rFonts w:ascii="Courier New"/>
                <w:b/>
                <w:sz w:val="16"/>
              </w:rPr>
            </w:pPr>
            <w:r>
              <w:rPr>
                <w:rFonts w:ascii="Courier New"/>
                <w:b/>
                <w:sz w:val="16"/>
              </w:rPr>
              <w:t>5.32</w:t>
            </w:r>
          </w:p>
        </w:tc>
        <w:tc>
          <w:tcPr>
            <w:tcW w:w="819" w:type="dxa"/>
          </w:tcPr>
          <w:p>
            <w:pPr>
              <w:pStyle w:val="TableParagraph"/>
              <w:spacing w:line="160" w:lineRule="exact" w:before="0"/>
              <w:ind w:right="51"/>
              <w:rPr>
                <w:rFonts w:ascii="Courier New"/>
                <w:b/>
                <w:sz w:val="16"/>
              </w:rPr>
            </w:pPr>
            <w:r>
              <w:rPr>
                <w:rFonts w:ascii="Courier New"/>
                <w:b/>
                <w:sz w:val="16"/>
              </w:rPr>
              <w:t>0.022</w:t>
            </w:r>
          </w:p>
        </w:tc>
      </w:tr>
      <w:tr>
        <w:trPr>
          <w:trHeight w:val="180" w:hRule="atLeast"/>
        </w:trPr>
        <w:tc>
          <w:tcPr>
            <w:tcW w:w="3794" w:type="dxa"/>
          </w:tcPr>
          <w:p>
            <w:pPr>
              <w:pStyle w:val="TableParagraph"/>
              <w:tabs>
                <w:tab w:pos="3455" w:val="right" w:leader="none"/>
              </w:tabs>
              <w:spacing w:line="160" w:lineRule="exact" w:before="0"/>
              <w:ind w:right="94"/>
              <w:rPr>
                <w:rFonts w:ascii="Courier New"/>
                <w:b/>
                <w:sz w:val="16"/>
              </w:rPr>
            </w:pPr>
            <w:r>
              <w:rPr>
                <w:rFonts w:ascii="Courier New"/>
                <w:b/>
                <w:sz w:val="16"/>
              </w:rPr>
              <w:t>Tipo = 1 casa, 0</w:t>
            </w:r>
            <w:r>
              <w:rPr>
                <w:rFonts w:ascii="Courier New"/>
                <w:b/>
                <w:spacing w:val="-9"/>
                <w:sz w:val="16"/>
              </w:rPr>
              <w:t> </w:t>
            </w:r>
            <w:r>
              <w:rPr>
                <w:rFonts w:ascii="Courier New"/>
                <w:b/>
                <w:sz w:val="16"/>
              </w:rPr>
              <w:t>=</w:t>
            </w:r>
            <w:r>
              <w:rPr>
                <w:rFonts w:ascii="Courier New"/>
                <w:b/>
                <w:spacing w:val="-2"/>
                <w:sz w:val="16"/>
              </w:rPr>
              <w:t> </w:t>
            </w:r>
            <w:r>
              <w:rPr>
                <w:rFonts w:ascii="Courier New"/>
                <w:b/>
                <w:sz w:val="16"/>
              </w:rPr>
              <w:t>Condo</w:t>
              <w:tab/>
              <w:t>1</w:t>
            </w:r>
          </w:p>
        </w:tc>
        <w:tc>
          <w:tcPr>
            <w:tcW w:w="1248" w:type="dxa"/>
          </w:tcPr>
          <w:p>
            <w:pPr>
              <w:pStyle w:val="TableParagraph"/>
              <w:spacing w:line="160" w:lineRule="exact" w:before="0"/>
              <w:ind w:right="94"/>
              <w:rPr>
                <w:rFonts w:ascii="Courier New"/>
                <w:b/>
                <w:sz w:val="16"/>
              </w:rPr>
            </w:pPr>
            <w:r>
              <w:rPr>
                <w:rFonts w:ascii="Courier New"/>
                <w:b/>
                <w:sz w:val="16"/>
              </w:rPr>
              <w:t>1.89234E+11</w:t>
            </w:r>
          </w:p>
        </w:tc>
        <w:tc>
          <w:tcPr>
            <w:tcW w:w="1250" w:type="dxa"/>
          </w:tcPr>
          <w:p>
            <w:pPr>
              <w:pStyle w:val="TableParagraph"/>
              <w:spacing w:line="160" w:lineRule="exact" w:before="0"/>
              <w:ind w:right="96"/>
              <w:rPr>
                <w:rFonts w:ascii="Courier New"/>
                <w:b/>
                <w:sz w:val="16"/>
              </w:rPr>
            </w:pPr>
            <w:r>
              <w:rPr>
                <w:rFonts w:ascii="Courier New"/>
                <w:b/>
                <w:sz w:val="16"/>
              </w:rPr>
              <w:t>1.89234E+11</w:t>
            </w:r>
          </w:p>
        </w:tc>
        <w:tc>
          <w:tcPr>
            <w:tcW w:w="864" w:type="dxa"/>
          </w:tcPr>
          <w:p>
            <w:pPr>
              <w:pStyle w:val="TableParagraph"/>
              <w:spacing w:line="160" w:lineRule="exact" w:before="0"/>
              <w:ind w:right="96"/>
              <w:rPr>
                <w:rFonts w:ascii="Courier New"/>
                <w:b/>
                <w:sz w:val="16"/>
              </w:rPr>
            </w:pPr>
            <w:r>
              <w:rPr>
                <w:rFonts w:ascii="Courier New"/>
                <w:b/>
                <w:sz w:val="16"/>
              </w:rPr>
              <w:t>6.12</w:t>
            </w:r>
          </w:p>
        </w:tc>
        <w:tc>
          <w:tcPr>
            <w:tcW w:w="819" w:type="dxa"/>
          </w:tcPr>
          <w:p>
            <w:pPr>
              <w:pStyle w:val="TableParagraph"/>
              <w:spacing w:line="160" w:lineRule="exact" w:before="0"/>
              <w:ind w:right="51"/>
              <w:rPr>
                <w:rFonts w:ascii="Courier New"/>
                <w:b/>
                <w:sz w:val="16"/>
              </w:rPr>
            </w:pPr>
            <w:r>
              <w:rPr>
                <w:rFonts w:ascii="Courier New"/>
                <w:b/>
                <w:sz w:val="16"/>
              </w:rPr>
              <w:t>0.014</w:t>
            </w:r>
          </w:p>
        </w:tc>
      </w:tr>
      <w:tr>
        <w:trPr>
          <w:trHeight w:val="181" w:hRule="atLeast"/>
        </w:trPr>
        <w:tc>
          <w:tcPr>
            <w:tcW w:w="3794" w:type="dxa"/>
          </w:tcPr>
          <w:p>
            <w:pPr>
              <w:pStyle w:val="TableParagraph"/>
              <w:tabs>
                <w:tab w:pos="3455" w:val="right" w:leader="none"/>
              </w:tabs>
              <w:spacing w:line="162" w:lineRule="exact" w:before="0"/>
              <w:ind w:right="94"/>
              <w:rPr>
                <w:rFonts w:ascii="Courier New"/>
                <w:b/>
                <w:sz w:val="16"/>
              </w:rPr>
            </w:pPr>
            <w:r>
              <w:rPr>
                <w:rFonts w:ascii="Courier New"/>
                <w:b/>
                <w:sz w:val="16"/>
              </w:rPr>
              <w:t>Zona de Riesgo</w:t>
            </w:r>
            <w:r>
              <w:rPr>
                <w:rFonts w:ascii="Courier New"/>
                <w:b/>
                <w:spacing w:val="-9"/>
                <w:sz w:val="16"/>
              </w:rPr>
              <w:t> </w:t>
            </w:r>
            <w:r>
              <w:rPr>
                <w:rFonts w:ascii="Courier New"/>
                <w:b/>
                <w:sz w:val="16"/>
              </w:rPr>
              <w:t>de</w:t>
            </w:r>
            <w:r>
              <w:rPr>
                <w:rFonts w:ascii="Courier New"/>
                <w:b/>
                <w:spacing w:val="-2"/>
                <w:sz w:val="16"/>
              </w:rPr>
              <w:t> </w:t>
            </w:r>
            <w:r>
              <w:rPr>
                <w:rFonts w:ascii="Courier New"/>
                <w:b/>
                <w:sz w:val="16"/>
              </w:rPr>
              <w:t>desastre</w:t>
              <w:tab/>
              <w:t>1</w:t>
            </w:r>
          </w:p>
        </w:tc>
        <w:tc>
          <w:tcPr>
            <w:tcW w:w="1248" w:type="dxa"/>
          </w:tcPr>
          <w:p>
            <w:pPr>
              <w:pStyle w:val="TableParagraph"/>
              <w:spacing w:line="162" w:lineRule="exact" w:before="0"/>
              <w:ind w:right="94"/>
              <w:rPr>
                <w:rFonts w:ascii="Courier New"/>
                <w:b/>
                <w:sz w:val="16"/>
              </w:rPr>
            </w:pPr>
            <w:r>
              <w:rPr>
                <w:rFonts w:ascii="Courier New"/>
                <w:b/>
                <w:sz w:val="16"/>
              </w:rPr>
              <w:t>47385442960</w:t>
            </w:r>
          </w:p>
        </w:tc>
        <w:tc>
          <w:tcPr>
            <w:tcW w:w="1250" w:type="dxa"/>
          </w:tcPr>
          <w:p>
            <w:pPr>
              <w:pStyle w:val="TableParagraph"/>
              <w:spacing w:line="162" w:lineRule="exact" w:before="0"/>
              <w:ind w:right="96"/>
              <w:rPr>
                <w:rFonts w:ascii="Courier New"/>
                <w:b/>
                <w:sz w:val="16"/>
              </w:rPr>
            </w:pPr>
            <w:r>
              <w:rPr>
                <w:rFonts w:ascii="Courier New"/>
                <w:b/>
                <w:sz w:val="16"/>
              </w:rPr>
              <w:t>47385442960</w:t>
            </w:r>
          </w:p>
        </w:tc>
        <w:tc>
          <w:tcPr>
            <w:tcW w:w="864" w:type="dxa"/>
          </w:tcPr>
          <w:p>
            <w:pPr>
              <w:pStyle w:val="TableParagraph"/>
              <w:spacing w:line="162" w:lineRule="exact" w:before="0"/>
              <w:ind w:right="96"/>
              <w:rPr>
                <w:rFonts w:ascii="Courier New"/>
                <w:b/>
                <w:sz w:val="16"/>
              </w:rPr>
            </w:pPr>
            <w:r>
              <w:rPr>
                <w:rFonts w:ascii="Courier New"/>
                <w:b/>
                <w:sz w:val="16"/>
              </w:rPr>
              <w:t>1.53</w:t>
            </w:r>
          </w:p>
        </w:tc>
        <w:tc>
          <w:tcPr>
            <w:tcW w:w="819" w:type="dxa"/>
          </w:tcPr>
          <w:p>
            <w:pPr>
              <w:pStyle w:val="TableParagraph"/>
              <w:spacing w:line="162" w:lineRule="exact" w:before="0"/>
              <w:ind w:right="51"/>
              <w:rPr>
                <w:rFonts w:ascii="Courier New"/>
                <w:b/>
                <w:sz w:val="16"/>
              </w:rPr>
            </w:pPr>
            <w:r>
              <w:rPr>
                <w:rFonts w:ascii="Courier New"/>
                <w:b/>
                <w:sz w:val="16"/>
              </w:rPr>
              <w:t>0.217</w:t>
            </w:r>
          </w:p>
        </w:tc>
      </w:tr>
      <w:tr>
        <w:trPr>
          <w:trHeight w:val="362" w:hRule="atLeast"/>
        </w:trPr>
        <w:tc>
          <w:tcPr>
            <w:tcW w:w="3794" w:type="dxa"/>
          </w:tcPr>
          <w:p>
            <w:pPr>
              <w:pStyle w:val="TableParagraph"/>
              <w:tabs>
                <w:tab w:pos="3697" w:val="right" w:leader="none"/>
              </w:tabs>
              <w:spacing w:line="181" w:lineRule="exact" w:before="1"/>
              <w:ind w:left="241"/>
              <w:jc w:val="left"/>
              <w:rPr>
                <w:rFonts w:ascii="Courier New"/>
                <w:b/>
                <w:sz w:val="16"/>
              </w:rPr>
            </w:pPr>
            <w:r>
              <w:rPr>
                <w:rFonts w:ascii="Courier New"/>
                <w:b/>
                <w:sz w:val="16"/>
              </w:rPr>
              <w:t>Vista a</w:t>
            </w:r>
            <w:r>
              <w:rPr>
                <w:rFonts w:ascii="Courier New"/>
                <w:b/>
                <w:spacing w:val="-4"/>
                <w:sz w:val="16"/>
              </w:rPr>
              <w:t> </w:t>
            </w:r>
            <w:r>
              <w:rPr>
                <w:rFonts w:ascii="Courier New"/>
                <w:b/>
                <w:sz w:val="16"/>
              </w:rPr>
              <w:t>la</w:t>
            </w:r>
            <w:r>
              <w:rPr>
                <w:rFonts w:ascii="Courier New"/>
                <w:b/>
                <w:spacing w:val="-2"/>
                <w:sz w:val="16"/>
              </w:rPr>
              <w:t> </w:t>
            </w:r>
            <w:r>
              <w:rPr>
                <w:rFonts w:ascii="Courier New"/>
                <w:b/>
                <w:sz w:val="16"/>
              </w:rPr>
              <w:t>Carpintera</w:t>
              <w:tab/>
              <w:t>1</w:t>
            </w:r>
          </w:p>
          <w:p>
            <w:pPr>
              <w:pStyle w:val="TableParagraph"/>
              <w:tabs>
                <w:tab w:pos="3697" w:val="right" w:leader="none"/>
              </w:tabs>
              <w:spacing w:line="160" w:lineRule="exact" w:before="0"/>
              <w:ind w:left="50"/>
              <w:jc w:val="left"/>
              <w:rPr>
                <w:rFonts w:ascii="Courier New"/>
                <w:b/>
                <w:sz w:val="16"/>
              </w:rPr>
            </w:pPr>
            <w:r>
              <w:rPr>
                <w:rFonts w:ascii="Courier New"/>
                <w:b/>
                <w:sz w:val="16"/>
              </w:rPr>
              <w:t>Error</w:t>
              <w:tab/>
              <w:t>292</w:t>
            </w:r>
          </w:p>
        </w:tc>
        <w:tc>
          <w:tcPr>
            <w:tcW w:w="1248" w:type="dxa"/>
          </w:tcPr>
          <w:p>
            <w:pPr>
              <w:pStyle w:val="TableParagraph"/>
              <w:spacing w:line="181" w:lineRule="exact" w:before="1"/>
              <w:ind w:left="95"/>
              <w:jc w:val="left"/>
              <w:rPr>
                <w:rFonts w:ascii="Courier New"/>
                <w:b/>
                <w:sz w:val="16"/>
              </w:rPr>
            </w:pPr>
            <w:r>
              <w:rPr>
                <w:rFonts w:ascii="Courier New"/>
                <w:b/>
                <w:sz w:val="16"/>
              </w:rPr>
              <w:t>2.69557E+11</w:t>
            </w:r>
          </w:p>
          <w:p>
            <w:pPr>
              <w:pStyle w:val="TableParagraph"/>
              <w:spacing w:line="160" w:lineRule="exact" w:before="0"/>
              <w:ind w:left="95"/>
              <w:jc w:val="left"/>
              <w:rPr>
                <w:rFonts w:ascii="Courier New"/>
                <w:b/>
                <w:sz w:val="16"/>
              </w:rPr>
            </w:pPr>
            <w:r>
              <w:rPr>
                <w:rFonts w:ascii="Courier New"/>
                <w:b/>
                <w:sz w:val="16"/>
              </w:rPr>
              <w:t>9.02838E+12</w:t>
            </w:r>
          </w:p>
        </w:tc>
        <w:tc>
          <w:tcPr>
            <w:tcW w:w="1250" w:type="dxa"/>
          </w:tcPr>
          <w:p>
            <w:pPr>
              <w:pStyle w:val="TableParagraph"/>
              <w:spacing w:line="181" w:lineRule="exact" w:before="1"/>
              <w:ind w:left="95"/>
              <w:jc w:val="left"/>
              <w:rPr>
                <w:rFonts w:ascii="Courier New"/>
                <w:b/>
                <w:sz w:val="16"/>
              </w:rPr>
            </w:pPr>
            <w:r>
              <w:rPr>
                <w:rFonts w:ascii="Courier New"/>
                <w:b/>
                <w:sz w:val="16"/>
              </w:rPr>
              <w:t>2.69557E+11</w:t>
            </w:r>
          </w:p>
          <w:p>
            <w:pPr>
              <w:pStyle w:val="TableParagraph"/>
              <w:spacing w:line="160" w:lineRule="exact" w:before="0"/>
              <w:ind w:left="95"/>
              <w:jc w:val="left"/>
              <w:rPr>
                <w:rFonts w:ascii="Courier New"/>
                <w:b/>
                <w:sz w:val="16"/>
              </w:rPr>
            </w:pPr>
            <w:r>
              <w:rPr>
                <w:rFonts w:ascii="Courier New"/>
                <w:b/>
                <w:sz w:val="16"/>
              </w:rPr>
              <w:t>30919115178</w:t>
            </w:r>
          </w:p>
        </w:tc>
        <w:tc>
          <w:tcPr>
            <w:tcW w:w="864" w:type="dxa"/>
          </w:tcPr>
          <w:p>
            <w:pPr>
              <w:pStyle w:val="TableParagraph"/>
              <w:spacing w:line="240" w:lineRule="auto" w:before="1"/>
              <w:ind w:right="96"/>
              <w:rPr>
                <w:rFonts w:ascii="Courier New"/>
                <w:b/>
                <w:sz w:val="16"/>
              </w:rPr>
            </w:pPr>
            <w:r>
              <w:rPr>
                <w:rFonts w:ascii="Courier New"/>
                <w:b/>
                <w:sz w:val="16"/>
              </w:rPr>
              <w:t>8.72</w:t>
            </w:r>
          </w:p>
        </w:tc>
        <w:tc>
          <w:tcPr>
            <w:tcW w:w="819" w:type="dxa"/>
          </w:tcPr>
          <w:p>
            <w:pPr>
              <w:pStyle w:val="TableParagraph"/>
              <w:spacing w:line="240" w:lineRule="auto" w:before="1"/>
              <w:ind w:right="51"/>
              <w:rPr>
                <w:rFonts w:ascii="Courier New"/>
                <w:b/>
                <w:sz w:val="16"/>
              </w:rPr>
            </w:pPr>
            <w:r>
              <w:rPr>
                <w:rFonts w:ascii="Courier New"/>
                <w:b/>
                <w:sz w:val="16"/>
              </w:rPr>
              <w:t>0.003</w:t>
            </w:r>
          </w:p>
        </w:tc>
      </w:tr>
      <w:tr>
        <w:trPr>
          <w:trHeight w:val="181" w:hRule="atLeast"/>
        </w:trPr>
        <w:tc>
          <w:tcPr>
            <w:tcW w:w="3794" w:type="dxa"/>
          </w:tcPr>
          <w:p>
            <w:pPr>
              <w:pStyle w:val="TableParagraph"/>
              <w:tabs>
                <w:tab w:pos="3456" w:val="right" w:leader="none"/>
              </w:tabs>
              <w:spacing w:line="162" w:lineRule="exact" w:before="0"/>
              <w:ind w:right="93"/>
              <w:rPr>
                <w:rFonts w:ascii="Courier New"/>
                <w:b/>
                <w:sz w:val="16"/>
              </w:rPr>
            </w:pPr>
            <w:r>
              <w:rPr>
                <w:rFonts w:ascii="Courier New"/>
                <w:b/>
                <w:sz w:val="16"/>
              </w:rPr>
              <w:t>Lack-of-Fit</w:t>
              <w:tab/>
              <w:t>291</w:t>
            </w:r>
          </w:p>
        </w:tc>
        <w:tc>
          <w:tcPr>
            <w:tcW w:w="1248" w:type="dxa"/>
          </w:tcPr>
          <w:p>
            <w:pPr>
              <w:pStyle w:val="TableParagraph"/>
              <w:spacing w:line="162" w:lineRule="exact" w:before="0"/>
              <w:ind w:right="93"/>
              <w:rPr>
                <w:rFonts w:ascii="Courier New"/>
                <w:b/>
                <w:sz w:val="16"/>
              </w:rPr>
            </w:pPr>
            <w:r>
              <w:rPr>
                <w:rFonts w:ascii="Courier New"/>
                <w:b/>
                <w:sz w:val="16"/>
              </w:rPr>
              <w:t>9.02838E+12</w:t>
            </w:r>
          </w:p>
        </w:tc>
        <w:tc>
          <w:tcPr>
            <w:tcW w:w="1250" w:type="dxa"/>
          </w:tcPr>
          <w:p>
            <w:pPr>
              <w:pStyle w:val="TableParagraph"/>
              <w:spacing w:line="162" w:lineRule="exact" w:before="0"/>
              <w:ind w:right="95"/>
              <w:rPr>
                <w:rFonts w:ascii="Courier New"/>
                <w:b/>
                <w:sz w:val="16"/>
              </w:rPr>
            </w:pPr>
            <w:r>
              <w:rPr>
                <w:rFonts w:ascii="Courier New"/>
                <w:b/>
                <w:sz w:val="16"/>
              </w:rPr>
              <w:t>31025366432</w:t>
            </w:r>
          </w:p>
        </w:tc>
        <w:tc>
          <w:tcPr>
            <w:tcW w:w="864" w:type="dxa"/>
          </w:tcPr>
          <w:p>
            <w:pPr>
              <w:pStyle w:val="TableParagraph"/>
              <w:spacing w:line="162" w:lineRule="exact" w:before="0"/>
              <w:ind w:right="95"/>
              <w:rPr>
                <w:rFonts w:ascii="Courier New"/>
                <w:b/>
                <w:sz w:val="16"/>
              </w:rPr>
            </w:pPr>
            <w:r>
              <w:rPr>
                <w:rFonts w:ascii="Courier New"/>
                <w:b/>
                <w:sz w:val="16"/>
              </w:rPr>
              <w:t>*</w:t>
            </w:r>
          </w:p>
        </w:tc>
        <w:tc>
          <w:tcPr>
            <w:tcW w:w="819" w:type="dxa"/>
          </w:tcPr>
          <w:p>
            <w:pPr>
              <w:pStyle w:val="TableParagraph"/>
              <w:spacing w:line="162" w:lineRule="exact" w:before="0"/>
              <w:ind w:right="50"/>
              <w:rPr>
                <w:rFonts w:ascii="Courier New"/>
                <w:b/>
                <w:sz w:val="16"/>
              </w:rPr>
            </w:pPr>
            <w:r>
              <w:rPr>
                <w:rFonts w:ascii="Courier New"/>
                <w:b/>
                <w:sz w:val="16"/>
              </w:rPr>
              <w:t>*</w:t>
            </w:r>
          </w:p>
        </w:tc>
      </w:tr>
      <w:tr>
        <w:trPr>
          <w:trHeight w:val="544" w:hRule="atLeast"/>
        </w:trPr>
        <w:tc>
          <w:tcPr>
            <w:tcW w:w="3794" w:type="dxa"/>
          </w:tcPr>
          <w:p>
            <w:pPr>
              <w:pStyle w:val="TableParagraph"/>
              <w:tabs>
                <w:tab w:pos="3699" w:val="right" w:leader="none"/>
              </w:tabs>
              <w:spacing w:line="181" w:lineRule="exact" w:before="1"/>
              <w:ind w:left="241"/>
              <w:jc w:val="left"/>
              <w:rPr>
                <w:rFonts w:ascii="Courier New"/>
                <w:b/>
                <w:sz w:val="16"/>
              </w:rPr>
            </w:pPr>
            <w:r>
              <w:rPr>
                <w:rFonts w:ascii="Courier New"/>
                <w:b/>
                <w:sz w:val="16"/>
              </w:rPr>
              <w:t>Pure</w:t>
            </w:r>
            <w:r>
              <w:rPr>
                <w:rFonts w:ascii="Courier New"/>
                <w:b/>
                <w:spacing w:val="-2"/>
                <w:sz w:val="16"/>
              </w:rPr>
              <w:t> </w:t>
            </w:r>
            <w:r>
              <w:rPr>
                <w:rFonts w:ascii="Courier New"/>
                <w:b/>
                <w:sz w:val="16"/>
              </w:rPr>
              <w:t>Error</w:t>
              <w:tab/>
              <w:t>1</w:t>
            </w:r>
          </w:p>
          <w:p>
            <w:pPr>
              <w:pStyle w:val="TableParagraph"/>
              <w:tabs>
                <w:tab w:pos="3697" w:val="right" w:leader="none"/>
              </w:tabs>
              <w:spacing w:line="181" w:lineRule="exact" w:before="0"/>
              <w:ind w:left="50"/>
              <w:jc w:val="left"/>
              <w:rPr>
                <w:rFonts w:ascii="Courier New"/>
                <w:b/>
                <w:sz w:val="16"/>
              </w:rPr>
            </w:pPr>
            <w:r>
              <w:rPr>
                <w:rFonts w:ascii="Courier New"/>
                <w:b/>
                <w:sz w:val="16"/>
              </w:rPr>
              <w:t>Total</w:t>
              <w:tab/>
              <w:t>301</w:t>
            </w:r>
          </w:p>
        </w:tc>
        <w:tc>
          <w:tcPr>
            <w:tcW w:w="1248" w:type="dxa"/>
          </w:tcPr>
          <w:p>
            <w:pPr>
              <w:pStyle w:val="TableParagraph"/>
              <w:spacing w:line="181" w:lineRule="exact" w:before="1"/>
              <w:ind w:right="92"/>
              <w:rPr>
                <w:rFonts w:ascii="Courier New"/>
                <w:b/>
                <w:sz w:val="16"/>
              </w:rPr>
            </w:pPr>
            <w:r>
              <w:rPr>
                <w:rFonts w:ascii="Courier New"/>
                <w:b/>
                <w:sz w:val="16"/>
              </w:rPr>
              <w:t>0</w:t>
            </w:r>
          </w:p>
          <w:p>
            <w:pPr>
              <w:pStyle w:val="TableParagraph"/>
              <w:spacing w:line="181" w:lineRule="exact" w:before="0"/>
              <w:ind w:right="94"/>
              <w:rPr>
                <w:rFonts w:ascii="Courier New"/>
                <w:b/>
                <w:sz w:val="16"/>
              </w:rPr>
            </w:pPr>
            <w:r>
              <w:rPr>
                <w:rFonts w:ascii="Courier New"/>
                <w:b/>
                <w:sz w:val="16"/>
              </w:rPr>
              <w:t>1.67172E+13</w:t>
            </w:r>
          </w:p>
        </w:tc>
        <w:tc>
          <w:tcPr>
            <w:tcW w:w="1250" w:type="dxa"/>
          </w:tcPr>
          <w:p>
            <w:pPr>
              <w:pStyle w:val="TableParagraph"/>
              <w:spacing w:line="240" w:lineRule="auto" w:before="1"/>
              <w:ind w:right="94"/>
              <w:rPr>
                <w:rFonts w:ascii="Courier New"/>
                <w:b/>
                <w:sz w:val="16"/>
              </w:rPr>
            </w:pPr>
            <w:r>
              <w:rPr>
                <w:rFonts w:ascii="Courier New"/>
                <w:b/>
                <w:sz w:val="16"/>
              </w:rPr>
              <w:t>0</w:t>
            </w:r>
          </w:p>
        </w:tc>
        <w:tc>
          <w:tcPr>
            <w:tcW w:w="864" w:type="dxa"/>
          </w:tcPr>
          <w:p>
            <w:pPr>
              <w:pStyle w:val="TableParagraph"/>
              <w:spacing w:line="240" w:lineRule="auto" w:before="0"/>
              <w:jc w:val="left"/>
              <w:rPr>
                <w:rFonts w:ascii="Times New Roman"/>
                <w:sz w:val="16"/>
              </w:rPr>
            </w:pPr>
          </w:p>
        </w:tc>
        <w:tc>
          <w:tcPr>
            <w:tcW w:w="819" w:type="dxa"/>
          </w:tcPr>
          <w:p>
            <w:pPr>
              <w:pStyle w:val="TableParagraph"/>
              <w:spacing w:line="240" w:lineRule="auto" w:before="0"/>
              <w:jc w:val="left"/>
              <w:rPr>
                <w:rFonts w:ascii="Times New Roman"/>
                <w:sz w:val="16"/>
              </w:rPr>
            </w:pPr>
          </w:p>
        </w:tc>
      </w:tr>
      <w:tr>
        <w:trPr>
          <w:trHeight w:val="454" w:hRule="atLeast"/>
        </w:trPr>
        <w:tc>
          <w:tcPr>
            <w:tcW w:w="3794" w:type="dxa"/>
          </w:tcPr>
          <w:p>
            <w:pPr>
              <w:pStyle w:val="TableParagraph"/>
              <w:spacing w:line="240" w:lineRule="auto" w:before="9"/>
              <w:jc w:val="left"/>
              <w:rPr>
                <w:b/>
                <w:sz w:val="15"/>
              </w:rPr>
            </w:pPr>
          </w:p>
          <w:p>
            <w:pPr>
              <w:pStyle w:val="TableParagraph"/>
              <w:spacing w:line="240" w:lineRule="auto" w:before="0"/>
              <w:ind w:left="50"/>
              <w:jc w:val="left"/>
              <w:rPr>
                <w:rFonts w:ascii="Courier New"/>
                <w:b/>
                <w:sz w:val="16"/>
              </w:rPr>
            </w:pPr>
            <w:r>
              <w:rPr>
                <w:rFonts w:ascii="Courier New"/>
                <w:b/>
                <w:sz w:val="16"/>
              </w:rPr>
              <w:t>Model Summary</w:t>
            </w:r>
          </w:p>
        </w:tc>
        <w:tc>
          <w:tcPr>
            <w:tcW w:w="1248" w:type="dxa"/>
          </w:tcPr>
          <w:p>
            <w:pPr>
              <w:pStyle w:val="TableParagraph"/>
              <w:spacing w:line="240" w:lineRule="auto" w:before="0"/>
              <w:jc w:val="left"/>
              <w:rPr>
                <w:rFonts w:ascii="Times New Roman"/>
                <w:sz w:val="16"/>
              </w:rPr>
            </w:pPr>
          </w:p>
        </w:tc>
        <w:tc>
          <w:tcPr>
            <w:tcW w:w="1250"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19" w:type="dxa"/>
          </w:tcPr>
          <w:p>
            <w:pPr>
              <w:pStyle w:val="TableParagraph"/>
              <w:spacing w:line="240" w:lineRule="auto" w:before="0"/>
              <w:jc w:val="left"/>
              <w:rPr>
                <w:rFonts w:ascii="Times New Roman"/>
                <w:sz w:val="16"/>
              </w:rPr>
            </w:pPr>
          </w:p>
        </w:tc>
      </w:tr>
      <w:tr>
        <w:trPr>
          <w:trHeight w:val="452" w:hRule="atLeast"/>
        </w:trPr>
        <w:tc>
          <w:tcPr>
            <w:tcW w:w="3794" w:type="dxa"/>
          </w:tcPr>
          <w:p>
            <w:pPr>
              <w:pStyle w:val="TableParagraph"/>
              <w:tabs>
                <w:tab w:pos="1009" w:val="left" w:leader="none"/>
                <w:tab w:pos="1873" w:val="left" w:leader="none"/>
                <w:tab w:pos="3025" w:val="left" w:leader="none"/>
              </w:tabs>
              <w:spacing w:line="180" w:lineRule="exact" w:before="80"/>
              <w:ind w:left="50" w:right="188" w:firstLine="480"/>
              <w:jc w:val="left"/>
              <w:rPr>
                <w:rFonts w:ascii="Courier New"/>
                <w:b/>
                <w:sz w:val="16"/>
              </w:rPr>
            </w:pPr>
            <w:r>
              <w:rPr>
                <w:rFonts w:ascii="Courier New"/>
                <w:b/>
                <w:sz w:val="16"/>
              </w:rPr>
              <w:t>S</w:t>
              <w:tab/>
              <w:t>R-sq R-sq(adj) R-sq(pred) 175838</w:t>
            </w:r>
            <w:r>
              <w:rPr>
                <w:rFonts w:ascii="Courier New"/>
                <w:b/>
                <w:spacing w:val="88"/>
                <w:sz w:val="16"/>
              </w:rPr>
              <w:t> </w:t>
            </w:r>
            <w:r>
              <w:rPr>
                <w:rFonts w:ascii="Courier New"/>
                <w:b/>
                <w:sz w:val="16"/>
              </w:rPr>
              <w:t>45.99%</w:t>
              <w:tab/>
              <w:t>44.33%</w:t>
              <w:tab/>
              <w:t>41.22%</w:t>
            </w:r>
          </w:p>
        </w:tc>
        <w:tc>
          <w:tcPr>
            <w:tcW w:w="1248" w:type="dxa"/>
          </w:tcPr>
          <w:p>
            <w:pPr>
              <w:pStyle w:val="TableParagraph"/>
              <w:spacing w:line="240" w:lineRule="auto" w:before="0"/>
              <w:jc w:val="left"/>
              <w:rPr>
                <w:rFonts w:ascii="Times New Roman"/>
                <w:sz w:val="16"/>
              </w:rPr>
            </w:pPr>
          </w:p>
        </w:tc>
        <w:tc>
          <w:tcPr>
            <w:tcW w:w="1250"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19" w:type="dxa"/>
          </w:tcPr>
          <w:p>
            <w:pPr>
              <w:pStyle w:val="TableParagraph"/>
              <w:spacing w:line="240" w:lineRule="auto" w:before="0"/>
              <w:jc w:val="left"/>
              <w:rPr>
                <w:rFonts w:ascii="Times New Roman"/>
                <w:sz w:val="16"/>
              </w:rPr>
            </w:pPr>
          </w:p>
        </w:tc>
      </w:tr>
    </w:tbl>
    <w:p>
      <w:pPr>
        <w:spacing w:after="0" w:line="240" w:lineRule="auto"/>
        <w:jc w:val="left"/>
        <w:rPr>
          <w:rFonts w:ascii="Times New Roman"/>
          <w:sz w:val="16"/>
        </w:rPr>
        <w:sectPr>
          <w:pgSz w:w="12240" w:h="15840"/>
          <w:pgMar w:header="0" w:footer="982" w:top="1460" w:bottom="1260" w:left="400" w:right="180"/>
        </w:sectPr>
      </w:pPr>
    </w:p>
    <w:p>
      <w:pPr>
        <w:pStyle w:val="BodyText"/>
        <w:spacing w:before="4"/>
        <w:rPr>
          <w:b/>
          <w:sz w:val="26"/>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22"/>
        <w:gridCol w:w="865"/>
        <w:gridCol w:w="864"/>
        <w:gridCol w:w="865"/>
        <w:gridCol w:w="863"/>
        <w:gridCol w:w="531"/>
      </w:tblGrid>
      <w:tr>
        <w:trPr>
          <w:trHeight w:val="270" w:hRule="atLeast"/>
        </w:trPr>
        <w:tc>
          <w:tcPr>
            <w:tcW w:w="3122" w:type="dxa"/>
          </w:tcPr>
          <w:p>
            <w:pPr>
              <w:pStyle w:val="TableParagraph"/>
              <w:spacing w:line="240" w:lineRule="auto" w:before="0"/>
              <w:ind w:left="50"/>
              <w:jc w:val="left"/>
              <w:rPr>
                <w:rFonts w:ascii="Courier New"/>
                <w:b/>
                <w:sz w:val="16"/>
              </w:rPr>
            </w:pPr>
            <w:r>
              <w:rPr>
                <w:rFonts w:ascii="Courier New"/>
                <w:b/>
                <w:sz w:val="16"/>
              </w:rPr>
              <w:t>Coefficients</w:t>
            </w:r>
          </w:p>
        </w:tc>
        <w:tc>
          <w:tcPr>
            <w:tcW w:w="3988" w:type="dxa"/>
            <w:gridSpan w:val="5"/>
          </w:tcPr>
          <w:p>
            <w:pPr>
              <w:pStyle w:val="TableParagraph"/>
              <w:spacing w:line="240" w:lineRule="auto" w:before="0"/>
              <w:jc w:val="left"/>
              <w:rPr>
                <w:rFonts w:ascii="Times New Roman"/>
                <w:sz w:val="16"/>
              </w:rPr>
            </w:pPr>
          </w:p>
        </w:tc>
      </w:tr>
      <w:tr>
        <w:trPr>
          <w:trHeight w:val="272" w:hRule="atLeast"/>
        </w:trPr>
        <w:tc>
          <w:tcPr>
            <w:tcW w:w="3122" w:type="dxa"/>
          </w:tcPr>
          <w:p>
            <w:pPr>
              <w:pStyle w:val="TableParagraph"/>
              <w:spacing w:line="163" w:lineRule="exact" w:before="89"/>
              <w:ind w:left="50"/>
              <w:jc w:val="left"/>
              <w:rPr>
                <w:rFonts w:ascii="Courier New"/>
                <w:b/>
                <w:sz w:val="16"/>
              </w:rPr>
            </w:pPr>
            <w:r>
              <w:rPr>
                <w:rFonts w:ascii="Courier New"/>
                <w:b/>
                <w:sz w:val="16"/>
              </w:rPr>
              <w:t>Term</w:t>
            </w:r>
          </w:p>
        </w:tc>
        <w:tc>
          <w:tcPr>
            <w:tcW w:w="865" w:type="dxa"/>
          </w:tcPr>
          <w:p>
            <w:pPr>
              <w:pStyle w:val="TableParagraph"/>
              <w:spacing w:line="163" w:lineRule="exact" w:before="89"/>
              <w:ind w:right="95"/>
              <w:rPr>
                <w:rFonts w:ascii="Courier New"/>
                <w:b/>
                <w:sz w:val="16"/>
              </w:rPr>
            </w:pPr>
            <w:r>
              <w:rPr>
                <w:rFonts w:ascii="Courier New"/>
                <w:b/>
                <w:sz w:val="16"/>
              </w:rPr>
              <w:t>Coef</w:t>
            </w:r>
          </w:p>
        </w:tc>
        <w:tc>
          <w:tcPr>
            <w:tcW w:w="864" w:type="dxa"/>
          </w:tcPr>
          <w:p>
            <w:pPr>
              <w:pStyle w:val="TableParagraph"/>
              <w:spacing w:line="163" w:lineRule="exact" w:before="89"/>
              <w:ind w:right="95"/>
              <w:rPr>
                <w:rFonts w:ascii="Courier New"/>
                <w:b/>
                <w:sz w:val="16"/>
              </w:rPr>
            </w:pPr>
            <w:r>
              <w:rPr>
                <w:rFonts w:ascii="Courier New"/>
                <w:b/>
                <w:sz w:val="16"/>
              </w:rPr>
              <w:t>SE Coef</w:t>
            </w:r>
          </w:p>
        </w:tc>
        <w:tc>
          <w:tcPr>
            <w:tcW w:w="865" w:type="dxa"/>
          </w:tcPr>
          <w:p>
            <w:pPr>
              <w:pStyle w:val="TableParagraph"/>
              <w:spacing w:line="163" w:lineRule="exact" w:before="89"/>
              <w:ind w:right="94"/>
              <w:rPr>
                <w:rFonts w:ascii="Courier New"/>
                <w:b/>
                <w:sz w:val="16"/>
              </w:rPr>
            </w:pPr>
            <w:r>
              <w:rPr>
                <w:rFonts w:ascii="Courier New"/>
                <w:b/>
                <w:sz w:val="16"/>
              </w:rPr>
              <w:t>T-Value</w:t>
            </w:r>
          </w:p>
        </w:tc>
        <w:tc>
          <w:tcPr>
            <w:tcW w:w="863" w:type="dxa"/>
          </w:tcPr>
          <w:p>
            <w:pPr>
              <w:pStyle w:val="TableParagraph"/>
              <w:spacing w:line="163" w:lineRule="exact" w:before="89"/>
              <w:ind w:right="92"/>
              <w:rPr>
                <w:rFonts w:ascii="Courier New"/>
                <w:b/>
                <w:sz w:val="16"/>
              </w:rPr>
            </w:pPr>
            <w:r>
              <w:rPr>
                <w:rFonts w:ascii="Courier New"/>
                <w:b/>
                <w:sz w:val="16"/>
              </w:rPr>
              <w:t>P-Value</w:t>
            </w:r>
          </w:p>
        </w:tc>
        <w:tc>
          <w:tcPr>
            <w:tcW w:w="531" w:type="dxa"/>
          </w:tcPr>
          <w:p>
            <w:pPr>
              <w:pStyle w:val="TableParagraph"/>
              <w:spacing w:line="163" w:lineRule="exact" w:before="89"/>
              <w:ind w:right="47"/>
              <w:rPr>
                <w:rFonts w:ascii="Courier New"/>
                <w:b/>
                <w:sz w:val="16"/>
              </w:rPr>
            </w:pPr>
            <w:r>
              <w:rPr>
                <w:rFonts w:ascii="Courier New"/>
                <w:b/>
                <w:sz w:val="16"/>
              </w:rPr>
              <w:t>VIF</w:t>
            </w:r>
          </w:p>
        </w:tc>
      </w:tr>
      <w:tr>
        <w:trPr>
          <w:trHeight w:val="181" w:hRule="atLeast"/>
        </w:trPr>
        <w:tc>
          <w:tcPr>
            <w:tcW w:w="3122" w:type="dxa"/>
          </w:tcPr>
          <w:p>
            <w:pPr>
              <w:pStyle w:val="TableParagraph"/>
              <w:spacing w:line="161" w:lineRule="exact" w:before="1"/>
              <w:ind w:left="50"/>
              <w:jc w:val="left"/>
              <w:rPr>
                <w:rFonts w:ascii="Courier New"/>
                <w:b/>
                <w:sz w:val="16"/>
              </w:rPr>
            </w:pPr>
            <w:r>
              <w:rPr>
                <w:rFonts w:ascii="Courier New"/>
                <w:b/>
                <w:sz w:val="16"/>
              </w:rPr>
              <w:t>Constant</w:t>
            </w:r>
          </w:p>
        </w:tc>
        <w:tc>
          <w:tcPr>
            <w:tcW w:w="865" w:type="dxa"/>
          </w:tcPr>
          <w:p>
            <w:pPr>
              <w:pStyle w:val="TableParagraph"/>
              <w:spacing w:line="161" w:lineRule="exact" w:before="1"/>
              <w:ind w:right="95"/>
              <w:rPr>
                <w:rFonts w:ascii="Courier New"/>
                <w:b/>
                <w:sz w:val="16"/>
              </w:rPr>
            </w:pPr>
            <w:r>
              <w:rPr>
                <w:rFonts w:ascii="Courier New"/>
                <w:b/>
                <w:sz w:val="16"/>
              </w:rPr>
              <w:t>2879529</w:t>
            </w:r>
          </w:p>
        </w:tc>
        <w:tc>
          <w:tcPr>
            <w:tcW w:w="864" w:type="dxa"/>
          </w:tcPr>
          <w:p>
            <w:pPr>
              <w:pStyle w:val="TableParagraph"/>
              <w:spacing w:line="161" w:lineRule="exact" w:before="1"/>
              <w:ind w:right="95"/>
              <w:rPr>
                <w:rFonts w:ascii="Courier New"/>
                <w:b/>
                <w:sz w:val="16"/>
              </w:rPr>
            </w:pPr>
            <w:r>
              <w:rPr>
                <w:rFonts w:ascii="Courier New"/>
                <w:b/>
                <w:sz w:val="16"/>
              </w:rPr>
              <w:t>3667526</w:t>
            </w:r>
          </w:p>
        </w:tc>
        <w:tc>
          <w:tcPr>
            <w:tcW w:w="865" w:type="dxa"/>
          </w:tcPr>
          <w:p>
            <w:pPr>
              <w:pStyle w:val="TableParagraph"/>
              <w:spacing w:line="161" w:lineRule="exact" w:before="1"/>
              <w:ind w:right="96"/>
              <w:rPr>
                <w:rFonts w:ascii="Courier New"/>
                <w:b/>
                <w:sz w:val="16"/>
              </w:rPr>
            </w:pPr>
            <w:r>
              <w:rPr>
                <w:rFonts w:ascii="Courier New"/>
                <w:b/>
                <w:sz w:val="16"/>
              </w:rPr>
              <w:t>0.79</w:t>
            </w:r>
          </w:p>
        </w:tc>
        <w:tc>
          <w:tcPr>
            <w:tcW w:w="863" w:type="dxa"/>
          </w:tcPr>
          <w:p>
            <w:pPr>
              <w:pStyle w:val="TableParagraph"/>
              <w:spacing w:line="161" w:lineRule="exact" w:before="1"/>
              <w:ind w:right="95"/>
              <w:rPr>
                <w:rFonts w:ascii="Courier New"/>
                <w:b/>
                <w:sz w:val="16"/>
              </w:rPr>
            </w:pPr>
            <w:r>
              <w:rPr>
                <w:rFonts w:ascii="Courier New"/>
                <w:b/>
                <w:sz w:val="16"/>
              </w:rPr>
              <w:t>0.433</w:t>
            </w:r>
          </w:p>
        </w:tc>
        <w:tc>
          <w:tcPr>
            <w:tcW w:w="531" w:type="dxa"/>
          </w:tcPr>
          <w:p>
            <w:pPr>
              <w:pStyle w:val="TableParagraph"/>
              <w:spacing w:line="240" w:lineRule="auto" w:before="0"/>
              <w:jc w:val="left"/>
              <w:rPr>
                <w:rFonts w:ascii="Times New Roman"/>
                <w:sz w:val="12"/>
              </w:rPr>
            </w:pPr>
          </w:p>
        </w:tc>
      </w:tr>
      <w:tr>
        <w:trPr>
          <w:trHeight w:val="180" w:hRule="atLeast"/>
        </w:trPr>
        <w:tc>
          <w:tcPr>
            <w:tcW w:w="3122" w:type="dxa"/>
          </w:tcPr>
          <w:p>
            <w:pPr>
              <w:pStyle w:val="TableParagraph"/>
              <w:spacing w:line="160" w:lineRule="exact" w:before="0"/>
              <w:ind w:left="50"/>
              <w:jc w:val="left"/>
              <w:rPr>
                <w:rFonts w:ascii="Courier New" w:hAnsi="Courier New"/>
                <w:b/>
                <w:sz w:val="16"/>
              </w:rPr>
            </w:pPr>
            <w:r>
              <w:rPr>
                <w:rFonts w:ascii="Courier New" w:hAnsi="Courier New"/>
                <w:b/>
                <w:sz w:val="16"/>
              </w:rPr>
              <w:t>Área de Construcción en metros</w:t>
            </w:r>
          </w:p>
        </w:tc>
        <w:tc>
          <w:tcPr>
            <w:tcW w:w="865" w:type="dxa"/>
          </w:tcPr>
          <w:p>
            <w:pPr>
              <w:pStyle w:val="TableParagraph"/>
              <w:spacing w:line="160" w:lineRule="exact" w:before="0"/>
              <w:ind w:right="95"/>
              <w:rPr>
                <w:rFonts w:ascii="Courier New"/>
                <w:b/>
                <w:sz w:val="16"/>
              </w:rPr>
            </w:pPr>
            <w:r>
              <w:rPr>
                <w:rFonts w:ascii="Courier New"/>
                <w:b/>
                <w:sz w:val="16"/>
              </w:rPr>
              <w:t>20.7</w:t>
            </w:r>
          </w:p>
        </w:tc>
        <w:tc>
          <w:tcPr>
            <w:tcW w:w="864" w:type="dxa"/>
          </w:tcPr>
          <w:p>
            <w:pPr>
              <w:pStyle w:val="TableParagraph"/>
              <w:spacing w:line="160" w:lineRule="exact" w:before="0"/>
              <w:ind w:right="95"/>
              <w:rPr>
                <w:rFonts w:ascii="Courier New"/>
                <w:b/>
                <w:sz w:val="16"/>
              </w:rPr>
            </w:pPr>
            <w:r>
              <w:rPr>
                <w:rFonts w:ascii="Courier New"/>
                <w:b/>
                <w:sz w:val="16"/>
              </w:rPr>
              <w:t>56.6</w:t>
            </w:r>
          </w:p>
        </w:tc>
        <w:tc>
          <w:tcPr>
            <w:tcW w:w="865" w:type="dxa"/>
          </w:tcPr>
          <w:p>
            <w:pPr>
              <w:pStyle w:val="TableParagraph"/>
              <w:spacing w:line="160" w:lineRule="exact" w:before="0"/>
              <w:ind w:right="96"/>
              <w:rPr>
                <w:rFonts w:ascii="Courier New"/>
                <w:b/>
                <w:sz w:val="16"/>
              </w:rPr>
            </w:pPr>
            <w:r>
              <w:rPr>
                <w:rFonts w:ascii="Courier New"/>
                <w:b/>
                <w:sz w:val="16"/>
              </w:rPr>
              <w:t>0.37</w:t>
            </w:r>
          </w:p>
        </w:tc>
        <w:tc>
          <w:tcPr>
            <w:tcW w:w="863" w:type="dxa"/>
          </w:tcPr>
          <w:p>
            <w:pPr>
              <w:pStyle w:val="TableParagraph"/>
              <w:spacing w:line="160" w:lineRule="exact" w:before="0"/>
              <w:ind w:right="95"/>
              <w:rPr>
                <w:rFonts w:ascii="Courier New"/>
                <w:b/>
                <w:sz w:val="16"/>
              </w:rPr>
            </w:pPr>
            <w:r>
              <w:rPr>
                <w:rFonts w:ascii="Courier New"/>
                <w:b/>
                <w:sz w:val="16"/>
              </w:rPr>
              <w:t>0.715</w:t>
            </w:r>
          </w:p>
        </w:tc>
        <w:tc>
          <w:tcPr>
            <w:tcW w:w="531" w:type="dxa"/>
          </w:tcPr>
          <w:p>
            <w:pPr>
              <w:pStyle w:val="TableParagraph"/>
              <w:spacing w:line="160" w:lineRule="exact" w:before="0"/>
              <w:ind w:right="50"/>
              <w:rPr>
                <w:rFonts w:ascii="Courier New"/>
                <w:b/>
                <w:sz w:val="16"/>
              </w:rPr>
            </w:pPr>
            <w:r>
              <w:rPr>
                <w:rFonts w:ascii="Courier New"/>
                <w:b/>
                <w:sz w:val="16"/>
              </w:rPr>
              <w:t>1.11</w:t>
            </w:r>
          </w:p>
        </w:tc>
      </w:tr>
      <w:tr>
        <w:trPr>
          <w:trHeight w:val="181" w:hRule="atLeast"/>
        </w:trPr>
        <w:tc>
          <w:tcPr>
            <w:tcW w:w="3122" w:type="dxa"/>
          </w:tcPr>
          <w:p>
            <w:pPr>
              <w:pStyle w:val="TableParagraph"/>
              <w:spacing w:line="162" w:lineRule="exact" w:before="0"/>
              <w:ind w:left="50"/>
              <w:jc w:val="left"/>
              <w:rPr>
                <w:rFonts w:ascii="Courier New" w:hAnsi="Courier New"/>
                <w:b/>
                <w:sz w:val="16"/>
              </w:rPr>
            </w:pPr>
            <w:r>
              <w:rPr>
                <w:rFonts w:ascii="Courier New" w:hAnsi="Courier New"/>
                <w:b/>
                <w:sz w:val="16"/>
              </w:rPr>
              <w:t>Año de Construcción</w:t>
            </w:r>
          </w:p>
        </w:tc>
        <w:tc>
          <w:tcPr>
            <w:tcW w:w="865" w:type="dxa"/>
          </w:tcPr>
          <w:p>
            <w:pPr>
              <w:pStyle w:val="TableParagraph"/>
              <w:spacing w:line="162" w:lineRule="exact" w:before="0"/>
              <w:ind w:right="93"/>
              <w:rPr>
                <w:rFonts w:ascii="Courier New"/>
                <w:b/>
                <w:sz w:val="16"/>
              </w:rPr>
            </w:pPr>
            <w:r>
              <w:rPr>
                <w:rFonts w:ascii="Courier New"/>
                <w:b/>
                <w:sz w:val="16"/>
              </w:rPr>
              <w:t>-1430</w:t>
            </w:r>
          </w:p>
        </w:tc>
        <w:tc>
          <w:tcPr>
            <w:tcW w:w="864" w:type="dxa"/>
          </w:tcPr>
          <w:p>
            <w:pPr>
              <w:pStyle w:val="TableParagraph"/>
              <w:spacing w:line="162" w:lineRule="exact" w:before="0"/>
              <w:ind w:right="94"/>
              <w:rPr>
                <w:rFonts w:ascii="Courier New"/>
                <w:b/>
                <w:sz w:val="16"/>
              </w:rPr>
            </w:pPr>
            <w:r>
              <w:rPr>
                <w:rFonts w:ascii="Courier New"/>
                <w:b/>
                <w:sz w:val="16"/>
              </w:rPr>
              <w:t>1828</w:t>
            </w:r>
          </w:p>
        </w:tc>
        <w:tc>
          <w:tcPr>
            <w:tcW w:w="865" w:type="dxa"/>
          </w:tcPr>
          <w:p>
            <w:pPr>
              <w:pStyle w:val="TableParagraph"/>
              <w:spacing w:line="162" w:lineRule="exact" w:before="0"/>
              <w:ind w:right="94"/>
              <w:rPr>
                <w:rFonts w:ascii="Courier New"/>
                <w:b/>
                <w:sz w:val="16"/>
              </w:rPr>
            </w:pPr>
            <w:r>
              <w:rPr>
                <w:rFonts w:ascii="Courier New"/>
                <w:b/>
                <w:sz w:val="16"/>
              </w:rPr>
              <w:t>-0.78</w:t>
            </w:r>
          </w:p>
        </w:tc>
        <w:tc>
          <w:tcPr>
            <w:tcW w:w="863" w:type="dxa"/>
          </w:tcPr>
          <w:p>
            <w:pPr>
              <w:pStyle w:val="TableParagraph"/>
              <w:spacing w:line="162" w:lineRule="exact" w:before="0"/>
              <w:ind w:right="93"/>
              <w:rPr>
                <w:rFonts w:ascii="Courier New"/>
                <w:b/>
                <w:sz w:val="16"/>
              </w:rPr>
            </w:pPr>
            <w:r>
              <w:rPr>
                <w:rFonts w:ascii="Courier New"/>
                <w:b/>
                <w:sz w:val="16"/>
              </w:rPr>
              <w:t>0.435</w:t>
            </w:r>
          </w:p>
        </w:tc>
        <w:tc>
          <w:tcPr>
            <w:tcW w:w="531" w:type="dxa"/>
          </w:tcPr>
          <w:p>
            <w:pPr>
              <w:pStyle w:val="TableParagraph"/>
              <w:spacing w:line="162" w:lineRule="exact" w:before="0"/>
              <w:ind w:right="48"/>
              <w:rPr>
                <w:rFonts w:ascii="Courier New"/>
                <w:b/>
                <w:sz w:val="16"/>
              </w:rPr>
            </w:pPr>
            <w:r>
              <w:rPr>
                <w:rFonts w:ascii="Courier New"/>
                <w:b/>
                <w:sz w:val="16"/>
              </w:rPr>
              <w:t>1.19</w:t>
            </w:r>
          </w:p>
        </w:tc>
      </w:tr>
      <w:tr>
        <w:trPr>
          <w:trHeight w:val="182" w:hRule="atLeast"/>
        </w:trPr>
        <w:tc>
          <w:tcPr>
            <w:tcW w:w="3122" w:type="dxa"/>
          </w:tcPr>
          <w:p>
            <w:pPr>
              <w:pStyle w:val="TableParagraph"/>
              <w:spacing w:line="161" w:lineRule="exact" w:before="1"/>
              <w:ind w:left="50"/>
              <w:jc w:val="left"/>
              <w:rPr>
                <w:rFonts w:ascii="Courier New" w:hAnsi="Courier New"/>
                <w:b/>
                <w:sz w:val="16"/>
              </w:rPr>
            </w:pPr>
            <w:r>
              <w:rPr>
                <w:rFonts w:ascii="Courier New" w:hAnsi="Courier New"/>
                <w:b/>
                <w:sz w:val="16"/>
              </w:rPr>
              <w:t>Número de Baños</w:t>
            </w:r>
          </w:p>
        </w:tc>
        <w:tc>
          <w:tcPr>
            <w:tcW w:w="865" w:type="dxa"/>
          </w:tcPr>
          <w:p>
            <w:pPr>
              <w:pStyle w:val="TableParagraph"/>
              <w:spacing w:line="161" w:lineRule="exact" w:before="1"/>
              <w:ind w:right="94"/>
              <w:rPr>
                <w:rFonts w:ascii="Courier New"/>
                <w:b/>
                <w:sz w:val="16"/>
              </w:rPr>
            </w:pPr>
            <w:r>
              <w:rPr>
                <w:rFonts w:ascii="Courier New"/>
                <w:b/>
                <w:sz w:val="16"/>
              </w:rPr>
              <w:t>132945</w:t>
            </w:r>
          </w:p>
        </w:tc>
        <w:tc>
          <w:tcPr>
            <w:tcW w:w="864" w:type="dxa"/>
          </w:tcPr>
          <w:p>
            <w:pPr>
              <w:pStyle w:val="TableParagraph"/>
              <w:spacing w:line="161" w:lineRule="exact" w:before="1"/>
              <w:ind w:right="94"/>
              <w:rPr>
                <w:rFonts w:ascii="Courier New"/>
                <w:b/>
                <w:sz w:val="16"/>
              </w:rPr>
            </w:pPr>
            <w:r>
              <w:rPr>
                <w:rFonts w:ascii="Courier New"/>
                <w:b/>
                <w:sz w:val="16"/>
              </w:rPr>
              <w:t>11157</w:t>
            </w:r>
          </w:p>
        </w:tc>
        <w:tc>
          <w:tcPr>
            <w:tcW w:w="865" w:type="dxa"/>
          </w:tcPr>
          <w:p>
            <w:pPr>
              <w:pStyle w:val="TableParagraph"/>
              <w:spacing w:line="161" w:lineRule="exact" w:before="1"/>
              <w:ind w:right="95"/>
              <w:rPr>
                <w:rFonts w:ascii="Courier New"/>
                <w:b/>
                <w:sz w:val="16"/>
              </w:rPr>
            </w:pPr>
            <w:r>
              <w:rPr>
                <w:rFonts w:ascii="Courier New"/>
                <w:b/>
                <w:sz w:val="16"/>
              </w:rPr>
              <w:t>11.92</w:t>
            </w:r>
          </w:p>
        </w:tc>
        <w:tc>
          <w:tcPr>
            <w:tcW w:w="863" w:type="dxa"/>
          </w:tcPr>
          <w:p>
            <w:pPr>
              <w:pStyle w:val="TableParagraph"/>
              <w:spacing w:line="161" w:lineRule="exact" w:before="1"/>
              <w:ind w:right="94"/>
              <w:rPr>
                <w:rFonts w:ascii="Courier New"/>
                <w:b/>
                <w:sz w:val="16"/>
              </w:rPr>
            </w:pPr>
            <w:r>
              <w:rPr>
                <w:rFonts w:ascii="Courier New"/>
                <w:b/>
                <w:sz w:val="16"/>
              </w:rPr>
              <w:t>0.000</w:t>
            </w:r>
          </w:p>
        </w:tc>
        <w:tc>
          <w:tcPr>
            <w:tcW w:w="531" w:type="dxa"/>
          </w:tcPr>
          <w:p>
            <w:pPr>
              <w:pStyle w:val="TableParagraph"/>
              <w:spacing w:line="161" w:lineRule="exact" w:before="1"/>
              <w:ind w:right="49"/>
              <w:rPr>
                <w:rFonts w:ascii="Courier New"/>
                <w:b/>
                <w:sz w:val="16"/>
              </w:rPr>
            </w:pPr>
            <w:r>
              <w:rPr>
                <w:rFonts w:ascii="Courier New"/>
                <w:b/>
                <w:sz w:val="16"/>
              </w:rPr>
              <w:t>1.27</w:t>
            </w:r>
          </w:p>
        </w:tc>
      </w:tr>
      <w:tr>
        <w:trPr>
          <w:trHeight w:val="180" w:hRule="atLeast"/>
        </w:trPr>
        <w:tc>
          <w:tcPr>
            <w:tcW w:w="3122" w:type="dxa"/>
          </w:tcPr>
          <w:p>
            <w:pPr>
              <w:pStyle w:val="TableParagraph"/>
              <w:spacing w:line="160" w:lineRule="exact" w:before="0"/>
              <w:ind w:left="50"/>
              <w:jc w:val="left"/>
              <w:rPr>
                <w:rFonts w:ascii="Courier New" w:hAnsi="Courier New"/>
                <w:b/>
                <w:sz w:val="16"/>
              </w:rPr>
            </w:pPr>
            <w:r>
              <w:rPr>
                <w:rFonts w:ascii="Courier New" w:hAnsi="Courier New"/>
                <w:b/>
                <w:sz w:val="16"/>
              </w:rPr>
              <w:t>Número de Plantas</w:t>
            </w:r>
          </w:p>
        </w:tc>
        <w:tc>
          <w:tcPr>
            <w:tcW w:w="865" w:type="dxa"/>
          </w:tcPr>
          <w:p>
            <w:pPr>
              <w:pStyle w:val="TableParagraph"/>
              <w:spacing w:line="160" w:lineRule="exact" w:before="0"/>
              <w:ind w:right="93"/>
              <w:rPr>
                <w:rFonts w:ascii="Courier New"/>
                <w:b/>
                <w:sz w:val="16"/>
              </w:rPr>
            </w:pPr>
            <w:r>
              <w:rPr>
                <w:rFonts w:ascii="Courier New"/>
                <w:b/>
                <w:sz w:val="16"/>
              </w:rPr>
              <w:t>-66116</w:t>
            </w:r>
          </w:p>
        </w:tc>
        <w:tc>
          <w:tcPr>
            <w:tcW w:w="864" w:type="dxa"/>
          </w:tcPr>
          <w:p>
            <w:pPr>
              <w:pStyle w:val="TableParagraph"/>
              <w:spacing w:line="160" w:lineRule="exact" w:before="0"/>
              <w:ind w:right="94"/>
              <w:rPr>
                <w:rFonts w:ascii="Courier New"/>
                <w:b/>
                <w:sz w:val="16"/>
              </w:rPr>
            </w:pPr>
            <w:r>
              <w:rPr>
                <w:rFonts w:ascii="Courier New"/>
                <w:b/>
                <w:sz w:val="16"/>
              </w:rPr>
              <w:t>24340</w:t>
            </w:r>
          </w:p>
        </w:tc>
        <w:tc>
          <w:tcPr>
            <w:tcW w:w="865" w:type="dxa"/>
          </w:tcPr>
          <w:p>
            <w:pPr>
              <w:pStyle w:val="TableParagraph"/>
              <w:spacing w:line="160" w:lineRule="exact" w:before="0"/>
              <w:ind w:right="94"/>
              <w:rPr>
                <w:rFonts w:ascii="Courier New"/>
                <w:b/>
                <w:sz w:val="16"/>
              </w:rPr>
            </w:pPr>
            <w:r>
              <w:rPr>
                <w:rFonts w:ascii="Courier New"/>
                <w:b/>
                <w:sz w:val="16"/>
              </w:rPr>
              <w:t>-2.72</w:t>
            </w:r>
          </w:p>
        </w:tc>
        <w:tc>
          <w:tcPr>
            <w:tcW w:w="863" w:type="dxa"/>
          </w:tcPr>
          <w:p>
            <w:pPr>
              <w:pStyle w:val="TableParagraph"/>
              <w:spacing w:line="160" w:lineRule="exact" w:before="0"/>
              <w:ind w:right="93"/>
              <w:rPr>
                <w:rFonts w:ascii="Courier New"/>
                <w:b/>
                <w:sz w:val="16"/>
              </w:rPr>
            </w:pPr>
            <w:r>
              <w:rPr>
                <w:rFonts w:ascii="Courier New"/>
                <w:b/>
                <w:sz w:val="16"/>
              </w:rPr>
              <w:t>0.007</w:t>
            </w:r>
          </w:p>
        </w:tc>
        <w:tc>
          <w:tcPr>
            <w:tcW w:w="531" w:type="dxa"/>
          </w:tcPr>
          <w:p>
            <w:pPr>
              <w:pStyle w:val="TableParagraph"/>
              <w:spacing w:line="160" w:lineRule="exact" w:before="0"/>
              <w:ind w:right="48"/>
              <w:rPr>
                <w:rFonts w:ascii="Courier New"/>
                <w:b/>
                <w:sz w:val="16"/>
              </w:rPr>
            </w:pPr>
            <w:r>
              <w:rPr>
                <w:rFonts w:ascii="Courier New"/>
                <w:b/>
                <w:sz w:val="16"/>
              </w:rPr>
              <w:t>1.18</w:t>
            </w:r>
          </w:p>
        </w:tc>
      </w:tr>
      <w:tr>
        <w:trPr>
          <w:trHeight w:val="180" w:hRule="atLeast"/>
        </w:trPr>
        <w:tc>
          <w:tcPr>
            <w:tcW w:w="3122" w:type="dxa"/>
          </w:tcPr>
          <w:p>
            <w:pPr>
              <w:pStyle w:val="TableParagraph"/>
              <w:spacing w:line="160" w:lineRule="exact" w:before="0"/>
              <w:ind w:left="50"/>
              <w:jc w:val="left"/>
              <w:rPr>
                <w:rFonts w:ascii="Courier New" w:hAnsi="Courier New"/>
                <w:b/>
                <w:sz w:val="16"/>
              </w:rPr>
            </w:pPr>
            <w:r>
              <w:rPr>
                <w:rFonts w:ascii="Courier New" w:hAnsi="Courier New"/>
                <w:b/>
                <w:sz w:val="16"/>
              </w:rPr>
              <w:t>Distancia a San José Centro por</w:t>
            </w:r>
          </w:p>
        </w:tc>
        <w:tc>
          <w:tcPr>
            <w:tcW w:w="865" w:type="dxa"/>
          </w:tcPr>
          <w:p>
            <w:pPr>
              <w:pStyle w:val="TableParagraph"/>
              <w:spacing w:line="160" w:lineRule="exact" w:before="0"/>
              <w:ind w:right="93"/>
              <w:rPr>
                <w:rFonts w:ascii="Courier New"/>
                <w:b/>
                <w:sz w:val="16"/>
              </w:rPr>
            </w:pPr>
            <w:r>
              <w:rPr>
                <w:rFonts w:ascii="Courier New"/>
                <w:b/>
                <w:sz w:val="16"/>
              </w:rPr>
              <w:t>-11686</w:t>
            </w:r>
          </w:p>
        </w:tc>
        <w:tc>
          <w:tcPr>
            <w:tcW w:w="864" w:type="dxa"/>
          </w:tcPr>
          <w:p>
            <w:pPr>
              <w:pStyle w:val="TableParagraph"/>
              <w:spacing w:line="160" w:lineRule="exact" w:before="0"/>
              <w:ind w:right="94"/>
              <w:rPr>
                <w:rFonts w:ascii="Courier New"/>
                <w:b/>
                <w:sz w:val="16"/>
              </w:rPr>
            </w:pPr>
            <w:r>
              <w:rPr>
                <w:rFonts w:ascii="Courier New"/>
                <w:b/>
                <w:sz w:val="16"/>
              </w:rPr>
              <w:t>5905</w:t>
            </w:r>
          </w:p>
        </w:tc>
        <w:tc>
          <w:tcPr>
            <w:tcW w:w="865" w:type="dxa"/>
          </w:tcPr>
          <w:p>
            <w:pPr>
              <w:pStyle w:val="TableParagraph"/>
              <w:spacing w:line="160" w:lineRule="exact" w:before="0"/>
              <w:ind w:right="94"/>
              <w:rPr>
                <w:rFonts w:ascii="Courier New"/>
                <w:b/>
                <w:sz w:val="16"/>
              </w:rPr>
            </w:pPr>
            <w:r>
              <w:rPr>
                <w:rFonts w:ascii="Courier New"/>
                <w:b/>
                <w:sz w:val="16"/>
              </w:rPr>
              <w:t>-1.98</w:t>
            </w:r>
          </w:p>
        </w:tc>
        <w:tc>
          <w:tcPr>
            <w:tcW w:w="863" w:type="dxa"/>
          </w:tcPr>
          <w:p>
            <w:pPr>
              <w:pStyle w:val="TableParagraph"/>
              <w:spacing w:line="160" w:lineRule="exact" w:before="0"/>
              <w:ind w:right="93"/>
              <w:rPr>
                <w:rFonts w:ascii="Courier New"/>
                <w:b/>
                <w:sz w:val="16"/>
              </w:rPr>
            </w:pPr>
            <w:r>
              <w:rPr>
                <w:rFonts w:ascii="Courier New"/>
                <w:b/>
                <w:sz w:val="16"/>
              </w:rPr>
              <w:t>0.049</w:t>
            </w:r>
          </w:p>
        </w:tc>
        <w:tc>
          <w:tcPr>
            <w:tcW w:w="531" w:type="dxa"/>
          </w:tcPr>
          <w:p>
            <w:pPr>
              <w:pStyle w:val="TableParagraph"/>
              <w:spacing w:line="160" w:lineRule="exact" w:before="0"/>
              <w:ind w:right="48"/>
              <w:rPr>
                <w:rFonts w:ascii="Courier New"/>
                <w:b/>
                <w:sz w:val="16"/>
              </w:rPr>
            </w:pPr>
            <w:r>
              <w:rPr>
                <w:rFonts w:ascii="Courier New"/>
                <w:b/>
                <w:sz w:val="16"/>
              </w:rPr>
              <w:t>1.18</w:t>
            </w:r>
          </w:p>
        </w:tc>
      </w:tr>
      <w:tr>
        <w:trPr>
          <w:trHeight w:val="182" w:hRule="atLeast"/>
        </w:trPr>
        <w:tc>
          <w:tcPr>
            <w:tcW w:w="3122" w:type="dxa"/>
          </w:tcPr>
          <w:p>
            <w:pPr>
              <w:pStyle w:val="TableParagraph"/>
              <w:spacing w:line="162" w:lineRule="exact" w:before="0"/>
              <w:ind w:left="50"/>
              <w:jc w:val="left"/>
              <w:rPr>
                <w:rFonts w:ascii="Courier New"/>
                <w:b/>
                <w:sz w:val="16"/>
              </w:rPr>
            </w:pPr>
            <w:r>
              <w:rPr>
                <w:rFonts w:ascii="Courier New"/>
                <w:b/>
                <w:sz w:val="16"/>
              </w:rPr>
              <w:t>Distancia a Aglomera-ciones de</w:t>
            </w:r>
          </w:p>
        </w:tc>
        <w:tc>
          <w:tcPr>
            <w:tcW w:w="865" w:type="dxa"/>
          </w:tcPr>
          <w:p>
            <w:pPr>
              <w:pStyle w:val="TableParagraph"/>
              <w:spacing w:line="162" w:lineRule="exact" w:before="0"/>
              <w:ind w:right="94"/>
              <w:rPr>
                <w:rFonts w:ascii="Courier New"/>
                <w:b/>
                <w:sz w:val="16"/>
              </w:rPr>
            </w:pPr>
            <w:r>
              <w:rPr>
                <w:rFonts w:ascii="Courier New"/>
                <w:b/>
                <w:sz w:val="16"/>
              </w:rPr>
              <w:t>21811</w:t>
            </w:r>
          </w:p>
        </w:tc>
        <w:tc>
          <w:tcPr>
            <w:tcW w:w="864" w:type="dxa"/>
          </w:tcPr>
          <w:p>
            <w:pPr>
              <w:pStyle w:val="TableParagraph"/>
              <w:spacing w:line="162" w:lineRule="exact" w:before="0"/>
              <w:ind w:right="94"/>
              <w:rPr>
                <w:rFonts w:ascii="Courier New"/>
                <w:b/>
                <w:sz w:val="16"/>
              </w:rPr>
            </w:pPr>
            <w:r>
              <w:rPr>
                <w:rFonts w:ascii="Courier New"/>
                <w:b/>
                <w:sz w:val="16"/>
              </w:rPr>
              <w:t>9458</w:t>
            </w:r>
          </w:p>
        </w:tc>
        <w:tc>
          <w:tcPr>
            <w:tcW w:w="865" w:type="dxa"/>
          </w:tcPr>
          <w:p>
            <w:pPr>
              <w:pStyle w:val="TableParagraph"/>
              <w:spacing w:line="162" w:lineRule="exact" w:before="0"/>
              <w:ind w:right="94"/>
              <w:rPr>
                <w:rFonts w:ascii="Courier New"/>
                <w:b/>
                <w:sz w:val="16"/>
              </w:rPr>
            </w:pPr>
            <w:r>
              <w:rPr>
                <w:rFonts w:ascii="Courier New"/>
                <w:b/>
                <w:sz w:val="16"/>
              </w:rPr>
              <w:t>2.31</w:t>
            </w:r>
          </w:p>
        </w:tc>
        <w:tc>
          <w:tcPr>
            <w:tcW w:w="863" w:type="dxa"/>
          </w:tcPr>
          <w:p>
            <w:pPr>
              <w:pStyle w:val="TableParagraph"/>
              <w:spacing w:line="162" w:lineRule="exact" w:before="0"/>
              <w:ind w:right="93"/>
              <w:rPr>
                <w:rFonts w:ascii="Courier New"/>
                <w:b/>
                <w:sz w:val="16"/>
              </w:rPr>
            </w:pPr>
            <w:r>
              <w:rPr>
                <w:rFonts w:ascii="Courier New"/>
                <w:b/>
                <w:sz w:val="16"/>
              </w:rPr>
              <w:t>0.022</w:t>
            </w:r>
          </w:p>
        </w:tc>
        <w:tc>
          <w:tcPr>
            <w:tcW w:w="531" w:type="dxa"/>
          </w:tcPr>
          <w:p>
            <w:pPr>
              <w:pStyle w:val="TableParagraph"/>
              <w:spacing w:line="162" w:lineRule="exact" w:before="0"/>
              <w:ind w:right="48"/>
              <w:rPr>
                <w:rFonts w:ascii="Courier New"/>
                <w:b/>
                <w:sz w:val="16"/>
              </w:rPr>
            </w:pPr>
            <w:r>
              <w:rPr>
                <w:rFonts w:ascii="Courier New"/>
                <w:b/>
                <w:sz w:val="16"/>
              </w:rPr>
              <w:t>1.17</w:t>
            </w:r>
          </w:p>
        </w:tc>
      </w:tr>
      <w:tr>
        <w:trPr>
          <w:trHeight w:val="182" w:hRule="atLeast"/>
        </w:trPr>
        <w:tc>
          <w:tcPr>
            <w:tcW w:w="3122" w:type="dxa"/>
          </w:tcPr>
          <w:p>
            <w:pPr>
              <w:pStyle w:val="TableParagraph"/>
              <w:spacing w:line="161" w:lineRule="exact" w:before="1"/>
              <w:ind w:left="50"/>
              <w:jc w:val="left"/>
              <w:rPr>
                <w:rFonts w:ascii="Courier New"/>
                <w:b/>
                <w:sz w:val="16"/>
              </w:rPr>
            </w:pPr>
            <w:r>
              <w:rPr>
                <w:rFonts w:ascii="Courier New"/>
                <w:b/>
                <w:sz w:val="16"/>
              </w:rPr>
              <w:t>Tipo = 1 casa, 0 = Condo</w:t>
            </w:r>
          </w:p>
        </w:tc>
        <w:tc>
          <w:tcPr>
            <w:tcW w:w="865" w:type="dxa"/>
          </w:tcPr>
          <w:p>
            <w:pPr>
              <w:pStyle w:val="TableParagraph"/>
              <w:spacing w:line="240" w:lineRule="auto" w:before="0"/>
              <w:jc w:val="left"/>
              <w:rPr>
                <w:rFonts w:ascii="Times New Roman"/>
                <w:sz w:val="12"/>
              </w:rPr>
            </w:pPr>
          </w:p>
        </w:tc>
        <w:tc>
          <w:tcPr>
            <w:tcW w:w="864" w:type="dxa"/>
          </w:tcPr>
          <w:p>
            <w:pPr>
              <w:pStyle w:val="TableParagraph"/>
              <w:spacing w:line="240" w:lineRule="auto" w:before="0"/>
              <w:jc w:val="left"/>
              <w:rPr>
                <w:rFonts w:ascii="Times New Roman"/>
                <w:sz w:val="12"/>
              </w:rPr>
            </w:pPr>
          </w:p>
        </w:tc>
        <w:tc>
          <w:tcPr>
            <w:tcW w:w="865" w:type="dxa"/>
          </w:tcPr>
          <w:p>
            <w:pPr>
              <w:pStyle w:val="TableParagraph"/>
              <w:spacing w:line="240" w:lineRule="auto" w:before="0"/>
              <w:jc w:val="left"/>
              <w:rPr>
                <w:rFonts w:ascii="Times New Roman"/>
                <w:sz w:val="12"/>
              </w:rPr>
            </w:pPr>
          </w:p>
        </w:tc>
        <w:tc>
          <w:tcPr>
            <w:tcW w:w="863" w:type="dxa"/>
          </w:tcPr>
          <w:p>
            <w:pPr>
              <w:pStyle w:val="TableParagraph"/>
              <w:spacing w:line="240" w:lineRule="auto" w:before="0"/>
              <w:jc w:val="left"/>
              <w:rPr>
                <w:rFonts w:ascii="Times New Roman"/>
                <w:sz w:val="12"/>
              </w:rPr>
            </w:pPr>
          </w:p>
        </w:tc>
        <w:tc>
          <w:tcPr>
            <w:tcW w:w="531" w:type="dxa"/>
          </w:tcPr>
          <w:p>
            <w:pPr>
              <w:pStyle w:val="TableParagraph"/>
              <w:spacing w:line="240" w:lineRule="auto" w:before="0"/>
              <w:jc w:val="left"/>
              <w:rPr>
                <w:rFonts w:ascii="Times New Roman"/>
                <w:sz w:val="12"/>
              </w:rPr>
            </w:pPr>
          </w:p>
        </w:tc>
      </w:tr>
      <w:tr>
        <w:trPr>
          <w:trHeight w:val="180" w:hRule="atLeast"/>
        </w:trPr>
        <w:tc>
          <w:tcPr>
            <w:tcW w:w="3122" w:type="dxa"/>
          </w:tcPr>
          <w:p>
            <w:pPr>
              <w:pStyle w:val="TableParagraph"/>
              <w:spacing w:line="160" w:lineRule="exact" w:before="0"/>
              <w:ind w:left="241"/>
              <w:jc w:val="left"/>
              <w:rPr>
                <w:rFonts w:ascii="Courier New"/>
                <w:b/>
                <w:sz w:val="16"/>
              </w:rPr>
            </w:pPr>
            <w:r>
              <w:rPr>
                <w:rFonts w:ascii="Courier New"/>
                <w:b/>
                <w:sz w:val="16"/>
              </w:rPr>
              <w:t>1</w:t>
            </w:r>
          </w:p>
        </w:tc>
        <w:tc>
          <w:tcPr>
            <w:tcW w:w="865" w:type="dxa"/>
          </w:tcPr>
          <w:p>
            <w:pPr>
              <w:pStyle w:val="TableParagraph"/>
              <w:spacing w:line="160" w:lineRule="exact" w:before="0"/>
              <w:ind w:right="95"/>
              <w:rPr>
                <w:rFonts w:ascii="Courier New"/>
                <w:b/>
                <w:sz w:val="16"/>
              </w:rPr>
            </w:pPr>
            <w:r>
              <w:rPr>
                <w:rFonts w:ascii="Courier New"/>
                <w:b/>
                <w:sz w:val="16"/>
              </w:rPr>
              <w:t>55158</w:t>
            </w:r>
          </w:p>
        </w:tc>
        <w:tc>
          <w:tcPr>
            <w:tcW w:w="864" w:type="dxa"/>
          </w:tcPr>
          <w:p>
            <w:pPr>
              <w:pStyle w:val="TableParagraph"/>
              <w:spacing w:line="160" w:lineRule="exact" w:before="0"/>
              <w:ind w:right="95"/>
              <w:rPr>
                <w:rFonts w:ascii="Courier New"/>
                <w:b/>
                <w:sz w:val="16"/>
              </w:rPr>
            </w:pPr>
            <w:r>
              <w:rPr>
                <w:rFonts w:ascii="Courier New"/>
                <w:b/>
                <w:sz w:val="16"/>
              </w:rPr>
              <w:t>22296</w:t>
            </w:r>
          </w:p>
        </w:tc>
        <w:tc>
          <w:tcPr>
            <w:tcW w:w="865" w:type="dxa"/>
          </w:tcPr>
          <w:p>
            <w:pPr>
              <w:pStyle w:val="TableParagraph"/>
              <w:spacing w:line="160" w:lineRule="exact" w:before="0"/>
              <w:ind w:right="96"/>
              <w:rPr>
                <w:rFonts w:ascii="Courier New"/>
                <w:b/>
                <w:sz w:val="16"/>
              </w:rPr>
            </w:pPr>
            <w:r>
              <w:rPr>
                <w:rFonts w:ascii="Courier New"/>
                <w:b/>
                <w:sz w:val="16"/>
              </w:rPr>
              <w:t>2.47</w:t>
            </w:r>
          </w:p>
        </w:tc>
        <w:tc>
          <w:tcPr>
            <w:tcW w:w="863" w:type="dxa"/>
          </w:tcPr>
          <w:p>
            <w:pPr>
              <w:pStyle w:val="TableParagraph"/>
              <w:spacing w:line="160" w:lineRule="exact" w:before="0"/>
              <w:ind w:right="95"/>
              <w:rPr>
                <w:rFonts w:ascii="Courier New"/>
                <w:b/>
                <w:sz w:val="16"/>
              </w:rPr>
            </w:pPr>
            <w:r>
              <w:rPr>
                <w:rFonts w:ascii="Courier New"/>
                <w:b/>
                <w:sz w:val="16"/>
              </w:rPr>
              <w:t>0.014</w:t>
            </w:r>
          </w:p>
        </w:tc>
        <w:tc>
          <w:tcPr>
            <w:tcW w:w="531" w:type="dxa"/>
          </w:tcPr>
          <w:p>
            <w:pPr>
              <w:pStyle w:val="TableParagraph"/>
              <w:spacing w:line="160" w:lineRule="exact" w:before="0"/>
              <w:ind w:right="50"/>
              <w:rPr>
                <w:rFonts w:ascii="Courier New"/>
                <w:b/>
                <w:sz w:val="16"/>
              </w:rPr>
            </w:pPr>
            <w:r>
              <w:rPr>
                <w:rFonts w:ascii="Courier New"/>
                <w:b/>
                <w:sz w:val="16"/>
              </w:rPr>
              <w:t>1.14</w:t>
            </w:r>
          </w:p>
        </w:tc>
      </w:tr>
      <w:tr>
        <w:trPr>
          <w:trHeight w:val="181" w:hRule="atLeast"/>
        </w:trPr>
        <w:tc>
          <w:tcPr>
            <w:tcW w:w="3122" w:type="dxa"/>
          </w:tcPr>
          <w:p>
            <w:pPr>
              <w:pStyle w:val="TableParagraph"/>
              <w:spacing w:line="162" w:lineRule="exact" w:before="0"/>
              <w:ind w:left="50"/>
              <w:jc w:val="left"/>
              <w:rPr>
                <w:rFonts w:ascii="Courier New"/>
                <w:b/>
                <w:sz w:val="16"/>
              </w:rPr>
            </w:pPr>
            <w:r>
              <w:rPr>
                <w:rFonts w:ascii="Courier New"/>
                <w:b/>
                <w:sz w:val="16"/>
              </w:rPr>
              <w:t>Zona de Riesgo de desastre</w:t>
            </w:r>
          </w:p>
        </w:tc>
        <w:tc>
          <w:tcPr>
            <w:tcW w:w="865" w:type="dxa"/>
          </w:tcPr>
          <w:p>
            <w:pPr>
              <w:pStyle w:val="TableParagraph"/>
              <w:spacing w:line="240" w:lineRule="auto" w:before="0"/>
              <w:jc w:val="left"/>
              <w:rPr>
                <w:rFonts w:ascii="Times New Roman"/>
                <w:sz w:val="12"/>
              </w:rPr>
            </w:pPr>
          </w:p>
        </w:tc>
        <w:tc>
          <w:tcPr>
            <w:tcW w:w="864" w:type="dxa"/>
          </w:tcPr>
          <w:p>
            <w:pPr>
              <w:pStyle w:val="TableParagraph"/>
              <w:spacing w:line="240" w:lineRule="auto" w:before="0"/>
              <w:jc w:val="left"/>
              <w:rPr>
                <w:rFonts w:ascii="Times New Roman"/>
                <w:sz w:val="12"/>
              </w:rPr>
            </w:pPr>
          </w:p>
        </w:tc>
        <w:tc>
          <w:tcPr>
            <w:tcW w:w="865" w:type="dxa"/>
          </w:tcPr>
          <w:p>
            <w:pPr>
              <w:pStyle w:val="TableParagraph"/>
              <w:spacing w:line="240" w:lineRule="auto" w:before="0"/>
              <w:jc w:val="left"/>
              <w:rPr>
                <w:rFonts w:ascii="Times New Roman"/>
                <w:sz w:val="12"/>
              </w:rPr>
            </w:pPr>
          </w:p>
        </w:tc>
        <w:tc>
          <w:tcPr>
            <w:tcW w:w="863" w:type="dxa"/>
          </w:tcPr>
          <w:p>
            <w:pPr>
              <w:pStyle w:val="TableParagraph"/>
              <w:spacing w:line="240" w:lineRule="auto" w:before="0"/>
              <w:jc w:val="left"/>
              <w:rPr>
                <w:rFonts w:ascii="Times New Roman"/>
                <w:sz w:val="12"/>
              </w:rPr>
            </w:pPr>
          </w:p>
        </w:tc>
        <w:tc>
          <w:tcPr>
            <w:tcW w:w="531" w:type="dxa"/>
          </w:tcPr>
          <w:p>
            <w:pPr>
              <w:pStyle w:val="TableParagraph"/>
              <w:spacing w:line="240" w:lineRule="auto" w:before="0"/>
              <w:jc w:val="left"/>
              <w:rPr>
                <w:rFonts w:ascii="Times New Roman"/>
                <w:sz w:val="12"/>
              </w:rPr>
            </w:pPr>
          </w:p>
        </w:tc>
      </w:tr>
      <w:tr>
        <w:trPr>
          <w:trHeight w:val="182" w:hRule="atLeast"/>
        </w:trPr>
        <w:tc>
          <w:tcPr>
            <w:tcW w:w="3122" w:type="dxa"/>
          </w:tcPr>
          <w:p>
            <w:pPr>
              <w:pStyle w:val="TableParagraph"/>
              <w:spacing w:line="161" w:lineRule="exact" w:before="1"/>
              <w:ind w:left="241"/>
              <w:jc w:val="left"/>
              <w:rPr>
                <w:rFonts w:ascii="Courier New"/>
                <w:b/>
                <w:sz w:val="16"/>
              </w:rPr>
            </w:pPr>
            <w:r>
              <w:rPr>
                <w:rFonts w:ascii="Courier New"/>
                <w:b/>
                <w:sz w:val="16"/>
              </w:rPr>
              <w:t>1</w:t>
            </w:r>
          </w:p>
        </w:tc>
        <w:tc>
          <w:tcPr>
            <w:tcW w:w="865" w:type="dxa"/>
          </w:tcPr>
          <w:p>
            <w:pPr>
              <w:pStyle w:val="TableParagraph"/>
              <w:spacing w:line="161" w:lineRule="exact" w:before="1"/>
              <w:ind w:right="93"/>
              <w:rPr>
                <w:rFonts w:ascii="Courier New"/>
                <w:b/>
                <w:sz w:val="16"/>
              </w:rPr>
            </w:pPr>
            <w:r>
              <w:rPr>
                <w:rFonts w:ascii="Courier New"/>
                <w:b/>
                <w:sz w:val="16"/>
              </w:rPr>
              <w:t>-41779</w:t>
            </w:r>
          </w:p>
        </w:tc>
        <w:tc>
          <w:tcPr>
            <w:tcW w:w="864" w:type="dxa"/>
          </w:tcPr>
          <w:p>
            <w:pPr>
              <w:pStyle w:val="TableParagraph"/>
              <w:spacing w:line="161" w:lineRule="exact" w:before="1"/>
              <w:ind w:right="94"/>
              <w:rPr>
                <w:rFonts w:ascii="Courier New"/>
                <w:b/>
                <w:sz w:val="16"/>
              </w:rPr>
            </w:pPr>
            <w:r>
              <w:rPr>
                <w:rFonts w:ascii="Courier New"/>
                <w:b/>
                <w:sz w:val="16"/>
              </w:rPr>
              <w:t>33748</w:t>
            </w:r>
          </w:p>
        </w:tc>
        <w:tc>
          <w:tcPr>
            <w:tcW w:w="865" w:type="dxa"/>
          </w:tcPr>
          <w:p>
            <w:pPr>
              <w:pStyle w:val="TableParagraph"/>
              <w:spacing w:line="161" w:lineRule="exact" w:before="1"/>
              <w:ind w:right="94"/>
              <w:rPr>
                <w:rFonts w:ascii="Courier New"/>
                <w:b/>
                <w:sz w:val="16"/>
              </w:rPr>
            </w:pPr>
            <w:r>
              <w:rPr>
                <w:rFonts w:ascii="Courier New"/>
                <w:b/>
                <w:sz w:val="16"/>
              </w:rPr>
              <w:t>-1.24</w:t>
            </w:r>
          </w:p>
        </w:tc>
        <w:tc>
          <w:tcPr>
            <w:tcW w:w="863" w:type="dxa"/>
          </w:tcPr>
          <w:p>
            <w:pPr>
              <w:pStyle w:val="TableParagraph"/>
              <w:spacing w:line="161" w:lineRule="exact" w:before="1"/>
              <w:ind w:right="93"/>
              <w:rPr>
                <w:rFonts w:ascii="Courier New"/>
                <w:b/>
                <w:sz w:val="16"/>
              </w:rPr>
            </w:pPr>
            <w:r>
              <w:rPr>
                <w:rFonts w:ascii="Courier New"/>
                <w:b/>
                <w:sz w:val="16"/>
              </w:rPr>
              <w:t>0.217</w:t>
            </w:r>
          </w:p>
        </w:tc>
        <w:tc>
          <w:tcPr>
            <w:tcW w:w="531" w:type="dxa"/>
          </w:tcPr>
          <w:p>
            <w:pPr>
              <w:pStyle w:val="TableParagraph"/>
              <w:spacing w:line="161" w:lineRule="exact" w:before="1"/>
              <w:ind w:right="48"/>
              <w:rPr>
                <w:rFonts w:ascii="Courier New"/>
                <w:b/>
                <w:sz w:val="16"/>
              </w:rPr>
            </w:pPr>
            <w:r>
              <w:rPr>
                <w:rFonts w:ascii="Courier New"/>
                <w:b/>
                <w:sz w:val="16"/>
              </w:rPr>
              <w:t>1.05</w:t>
            </w:r>
          </w:p>
        </w:tc>
      </w:tr>
      <w:tr>
        <w:trPr>
          <w:trHeight w:val="180" w:hRule="atLeast"/>
        </w:trPr>
        <w:tc>
          <w:tcPr>
            <w:tcW w:w="3122" w:type="dxa"/>
          </w:tcPr>
          <w:p>
            <w:pPr>
              <w:pStyle w:val="TableParagraph"/>
              <w:spacing w:line="160" w:lineRule="exact" w:before="0"/>
              <w:ind w:left="50"/>
              <w:jc w:val="left"/>
              <w:rPr>
                <w:rFonts w:ascii="Courier New"/>
                <w:b/>
                <w:sz w:val="16"/>
              </w:rPr>
            </w:pPr>
            <w:r>
              <w:rPr>
                <w:rFonts w:ascii="Courier New"/>
                <w:b/>
                <w:sz w:val="16"/>
              </w:rPr>
              <w:t>Vista a la Carpintera</w:t>
            </w:r>
          </w:p>
        </w:tc>
        <w:tc>
          <w:tcPr>
            <w:tcW w:w="865" w:type="dxa"/>
          </w:tcPr>
          <w:p>
            <w:pPr>
              <w:pStyle w:val="TableParagraph"/>
              <w:spacing w:line="240" w:lineRule="auto" w:before="0"/>
              <w:jc w:val="left"/>
              <w:rPr>
                <w:rFonts w:ascii="Times New Roman"/>
                <w:sz w:val="12"/>
              </w:rPr>
            </w:pPr>
          </w:p>
        </w:tc>
        <w:tc>
          <w:tcPr>
            <w:tcW w:w="864" w:type="dxa"/>
          </w:tcPr>
          <w:p>
            <w:pPr>
              <w:pStyle w:val="TableParagraph"/>
              <w:spacing w:line="240" w:lineRule="auto" w:before="0"/>
              <w:jc w:val="left"/>
              <w:rPr>
                <w:rFonts w:ascii="Times New Roman"/>
                <w:sz w:val="12"/>
              </w:rPr>
            </w:pPr>
          </w:p>
        </w:tc>
        <w:tc>
          <w:tcPr>
            <w:tcW w:w="865" w:type="dxa"/>
          </w:tcPr>
          <w:p>
            <w:pPr>
              <w:pStyle w:val="TableParagraph"/>
              <w:spacing w:line="240" w:lineRule="auto" w:before="0"/>
              <w:jc w:val="left"/>
              <w:rPr>
                <w:rFonts w:ascii="Times New Roman"/>
                <w:sz w:val="12"/>
              </w:rPr>
            </w:pPr>
          </w:p>
        </w:tc>
        <w:tc>
          <w:tcPr>
            <w:tcW w:w="863" w:type="dxa"/>
          </w:tcPr>
          <w:p>
            <w:pPr>
              <w:pStyle w:val="TableParagraph"/>
              <w:spacing w:line="240" w:lineRule="auto" w:before="0"/>
              <w:jc w:val="left"/>
              <w:rPr>
                <w:rFonts w:ascii="Times New Roman"/>
                <w:sz w:val="12"/>
              </w:rPr>
            </w:pPr>
          </w:p>
        </w:tc>
        <w:tc>
          <w:tcPr>
            <w:tcW w:w="531" w:type="dxa"/>
          </w:tcPr>
          <w:p>
            <w:pPr>
              <w:pStyle w:val="TableParagraph"/>
              <w:spacing w:line="240" w:lineRule="auto" w:before="0"/>
              <w:jc w:val="left"/>
              <w:rPr>
                <w:rFonts w:ascii="Times New Roman"/>
                <w:sz w:val="12"/>
              </w:rPr>
            </w:pPr>
          </w:p>
        </w:tc>
      </w:tr>
      <w:tr>
        <w:trPr>
          <w:trHeight w:val="180" w:hRule="atLeast"/>
        </w:trPr>
        <w:tc>
          <w:tcPr>
            <w:tcW w:w="3122" w:type="dxa"/>
          </w:tcPr>
          <w:p>
            <w:pPr>
              <w:pStyle w:val="TableParagraph"/>
              <w:spacing w:line="161" w:lineRule="exact" w:before="0"/>
              <w:ind w:left="241"/>
              <w:jc w:val="left"/>
              <w:rPr>
                <w:rFonts w:ascii="Courier New"/>
                <w:b/>
                <w:sz w:val="16"/>
              </w:rPr>
            </w:pPr>
            <w:r>
              <w:rPr>
                <w:rFonts w:ascii="Courier New"/>
                <w:b/>
                <w:sz w:val="16"/>
              </w:rPr>
              <w:t>1</w:t>
            </w:r>
          </w:p>
        </w:tc>
        <w:tc>
          <w:tcPr>
            <w:tcW w:w="865" w:type="dxa"/>
          </w:tcPr>
          <w:p>
            <w:pPr>
              <w:pStyle w:val="TableParagraph"/>
              <w:spacing w:line="161" w:lineRule="exact" w:before="0"/>
              <w:ind w:right="93"/>
              <w:rPr>
                <w:rFonts w:ascii="Courier New"/>
                <w:b/>
                <w:sz w:val="16"/>
              </w:rPr>
            </w:pPr>
            <w:r>
              <w:rPr>
                <w:rFonts w:ascii="Courier New"/>
                <w:b/>
                <w:sz w:val="16"/>
              </w:rPr>
              <w:t>68362</w:t>
            </w:r>
          </w:p>
        </w:tc>
        <w:tc>
          <w:tcPr>
            <w:tcW w:w="864" w:type="dxa"/>
          </w:tcPr>
          <w:p>
            <w:pPr>
              <w:pStyle w:val="TableParagraph"/>
              <w:spacing w:line="161" w:lineRule="exact" w:before="0"/>
              <w:ind w:right="94"/>
              <w:rPr>
                <w:rFonts w:ascii="Courier New"/>
                <w:b/>
                <w:sz w:val="16"/>
              </w:rPr>
            </w:pPr>
            <w:r>
              <w:rPr>
                <w:rFonts w:ascii="Courier New"/>
                <w:b/>
                <w:sz w:val="16"/>
              </w:rPr>
              <w:t>23153</w:t>
            </w:r>
          </w:p>
        </w:tc>
        <w:tc>
          <w:tcPr>
            <w:tcW w:w="865" w:type="dxa"/>
          </w:tcPr>
          <w:p>
            <w:pPr>
              <w:pStyle w:val="TableParagraph"/>
              <w:spacing w:line="161" w:lineRule="exact" w:before="0"/>
              <w:ind w:right="95"/>
              <w:rPr>
                <w:rFonts w:ascii="Courier New"/>
                <w:b/>
                <w:sz w:val="16"/>
              </w:rPr>
            </w:pPr>
            <w:r>
              <w:rPr>
                <w:rFonts w:ascii="Courier New"/>
                <w:b/>
                <w:sz w:val="16"/>
              </w:rPr>
              <w:t>2.95</w:t>
            </w:r>
          </w:p>
        </w:tc>
        <w:tc>
          <w:tcPr>
            <w:tcW w:w="863" w:type="dxa"/>
          </w:tcPr>
          <w:p>
            <w:pPr>
              <w:pStyle w:val="TableParagraph"/>
              <w:spacing w:line="161" w:lineRule="exact" w:before="0"/>
              <w:ind w:right="94"/>
              <w:rPr>
                <w:rFonts w:ascii="Courier New"/>
                <w:b/>
                <w:sz w:val="16"/>
              </w:rPr>
            </w:pPr>
            <w:r>
              <w:rPr>
                <w:rFonts w:ascii="Courier New"/>
                <w:b/>
                <w:sz w:val="16"/>
              </w:rPr>
              <w:t>0.003</w:t>
            </w:r>
          </w:p>
        </w:tc>
        <w:tc>
          <w:tcPr>
            <w:tcW w:w="531" w:type="dxa"/>
          </w:tcPr>
          <w:p>
            <w:pPr>
              <w:pStyle w:val="TableParagraph"/>
              <w:spacing w:line="161" w:lineRule="exact" w:before="0"/>
              <w:ind w:right="49"/>
              <w:rPr>
                <w:rFonts w:ascii="Courier New"/>
                <w:b/>
                <w:sz w:val="16"/>
              </w:rPr>
            </w:pPr>
            <w:r>
              <w:rPr>
                <w:rFonts w:ascii="Courier New"/>
                <w:b/>
                <w:sz w:val="16"/>
              </w:rPr>
              <w:t>1.07</w:t>
            </w:r>
          </w:p>
        </w:tc>
      </w:tr>
    </w:tbl>
    <w:p>
      <w:pPr>
        <w:pStyle w:val="BodyText"/>
        <w:spacing w:before="5"/>
        <w:rPr>
          <w:b/>
          <w:sz w:val="17"/>
        </w:rPr>
      </w:pPr>
    </w:p>
    <w:p>
      <w:pPr>
        <w:pStyle w:val="Heading1"/>
        <w:spacing w:before="92"/>
      </w:pPr>
      <w:r>
        <w:rPr/>
        <w:t>B- Heterocedasticidad</w:t>
      </w:r>
    </w:p>
    <w:p>
      <w:pPr>
        <w:pStyle w:val="BodyText"/>
        <w:rPr>
          <w:b/>
          <w:sz w:val="20"/>
        </w:rPr>
      </w:pPr>
    </w:p>
    <w:p>
      <w:pPr>
        <w:pStyle w:val="BodyText"/>
        <w:spacing w:before="1"/>
        <w:rPr>
          <w:b/>
          <w:sz w:val="12"/>
        </w:rPr>
      </w:pPr>
      <w:r>
        <w:rPr/>
        <w:drawing>
          <wp:anchor distT="0" distB="0" distL="0" distR="0" allowOverlap="1" layoutInCell="1" locked="0" behindDoc="0" simplePos="0" relativeHeight="106">
            <wp:simplePos x="0" y="0"/>
            <wp:positionH relativeFrom="page">
              <wp:posOffset>2411778</wp:posOffset>
            </wp:positionH>
            <wp:positionV relativeFrom="paragraph">
              <wp:posOffset>113548</wp:posOffset>
            </wp:positionV>
            <wp:extent cx="2995775" cy="2332863"/>
            <wp:effectExtent l="0" t="0" r="0" b="0"/>
            <wp:wrapTopAndBottom/>
            <wp:docPr id="133" name="image92.jpeg"/>
            <wp:cNvGraphicFramePr>
              <a:graphicFrameLocks noChangeAspect="1"/>
            </wp:cNvGraphicFramePr>
            <a:graphic>
              <a:graphicData uri="http://schemas.openxmlformats.org/drawingml/2006/picture">
                <pic:pic>
                  <pic:nvPicPr>
                    <pic:cNvPr id="134" name="image92.jpeg"/>
                    <pic:cNvPicPr/>
                  </pic:nvPicPr>
                  <pic:blipFill>
                    <a:blip r:embed="rId144" cstate="print"/>
                    <a:stretch>
                      <a:fillRect/>
                    </a:stretch>
                  </pic:blipFill>
                  <pic:spPr>
                    <a:xfrm>
                      <a:off x="0" y="0"/>
                      <a:ext cx="2995775" cy="2332863"/>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9"/>
        </w:rPr>
      </w:pPr>
      <w:r>
        <w:rPr/>
        <w:drawing>
          <wp:anchor distT="0" distB="0" distL="0" distR="0" allowOverlap="1" layoutInCell="1" locked="0" behindDoc="0" simplePos="0" relativeHeight="107">
            <wp:simplePos x="0" y="0"/>
            <wp:positionH relativeFrom="page">
              <wp:posOffset>2611678</wp:posOffset>
            </wp:positionH>
            <wp:positionV relativeFrom="paragraph">
              <wp:posOffset>169512</wp:posOffset>
            </wp:positionV>
            <wp:extent cx="2552008" cy="2011680"/>
            <wp:effectExtent l="0" t="0" r="0" b="0"/>
            <wp:wrapTopAndBottom/>
            <wp:docPr id="135" name="image93.jpeg"/>
            <wp:cNvGraphicFramePr>
              <a:graphicFrameLocks noChangeAspect="1"/>
            </wp:cNvGraphicFramePr>
            <a:graphic>
              <a:graphicData uri="http://schemas.openxmlformats.org/drawingml/2006/picture">
                <pic:pic>
                  <pic:nvPicPr>
                    <pic:cNvPr id="136" name="image93.jpeg"/>
                    <pic:cNvPicPr/>
                  </pic:nvPicPr>
                  <pic:blipFill>
                    <a:blip r:embed="rId145" cstate="print"/>
                    <a:stretch>
                      <a:fillRect/>
                    </a:stretch>
                  </pic:blipFill>
                  <pic:spPr>
                    <a:xfrm>
                      <a:off x="0" y="0"/>
                      <a:ext cx="2552008" cy="2011680"/>
                    </a:xfrm>
                    <a:prstGeom prst="rect">
                      <a:avLst/>
                    </a:prstGeom>
                  </pic:spPr>
                </pic:pic>
              </a:graphicData>
            </a:graphic>
          </wp:anchor>
        </w:drawing>
      </w:r>
    </w:p>
    <w:p>
      <w:pPr>
        <w:spacing w:after="0"/>
        <w:rPr>
          <w:sz w:val="19"/>
        </w:rPr>
        <w:sectPr>
          <w:pgSz w:w="12240" w:h="15840"/>
          <w:pgMar w:header="0" w:footer="982" w:top="1500" w:bottom="1260" w:left="400" w:right="180"/>
        </w:sectPr>
      </w:pPr>
    </w:p>
    <w:p>
      <w:pPr>
        <w:spacing w:before="84" w:after="6"/>
        <w:ind w:left="1713" w:right="1960" w:firstLine="0"/>
        <w:jc w:val="center"/>
        <w:rPr>
          <w:b/>
          <w:sz w:val="12"/>
        </w:rPr>
      </w:pPr>
      <w:r>
        <w:rPr>
          <w:b/>
          <w:sz w:val="18"/>
        </w:rPr>
        <w:t>ANOVA BREUSCH MODELO 9</w:t>
      </w:r>
      <w:r>
        <w:rPr>
          <w:b/>
          <w:position w:val="6"/>
          <w:sz w:val="12"/>
        </w:rPr>
        <w:t>a</w:t>
      </w: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4"/>
        <w:gridCol w:w="1486"/>
        <w:gridCol w:w="3032"/>
        <w:gridCol w:w="1003"/>
        <w:gridCol w:w="2864"/>
        <w:gridCol w:w="1008"/>
        <w:gridCol w:w="1003"/>
      </w:tblGrid>
      <w:tr>
        <w:trPr>
          <w:trHeight w:val="318" w:hRule="atLeast"/>
        </w:trPr>
        <w:tc>
          <w:tcPr>
            <w:tcW w:w="1920" w:type="dxa"/>
            <w:gridSpan w:val="2"/>
          </w:tcPr>
          <w:p>
            <w:pPr>
              <w:pStyle w:val="TableParagraph"/>
              <w:spacing w:line="188" w:lineRule="exact" w:before="110"/>
              <w:ind w:left="25"/>
              <w:jc w:val="left"/>
              <w:rPr>
                <w:sz w:val="18"/>
              </w:rPr>
            </w:pPr>
            <w:r>
              <w:rPr>
                <w:sz w:val="18"/>
              </w:rPr>
              <w:t>Modelo</w:t>
            </w:r>
          </w:p>
        </w:tc>
        <w:tc>
          <w:tcPr>
            <w:tcW w:w="3032" w:type="dxa"/>
            <w:tcBorders>
              <w:right w:val="single" w:sz="8" w:space="0" w:color="000000"/>
            </w:tcBorders>
          </w:tcPr>
          <w:p>
            <w:pPr>
              <w:pStyle w:val="TableParagraph"/>
              <w:spacing w:line="188" w:lineRule="exact" w:before="110"/>
              <w:ind w:left="6" w:right="16"/>
              <w:jc w:val="center"/>
              <w:rPr>
                <w:sz w:val="18"/>
              </w:rPr>
            </w:pPr>
            <w:r>
              <w:rPr>
                <w:sz w:val="18"/>
              </w:rPr>
              <w:t>Suma de cuadrados</w:t>
            </w:r>
          </w:p>
        </w:tc>
        <w:tc>
          <w:tcPr>
            <w:tcW w:w="1003" w:type="dxa"/>
            <w:tcBorders>
              <w:left w:val="single" w:sz="8" w:space="0" w:color="000000"/>
              <w:right w:val="single" w:sz="8" w:space="0" w:color="000000"/>
            </w:tcBorders>
          </w:tcPr>
          <w:p>
            <w:pPr>
              <w:pStyle w:val="TableParagraph"/>
              <w:spacing w:line="188" w:lineRule="exact" w:before="110"/>
              <w:ind w:left="396" w:right="405"/>
              <w:jc w:val="center"/>
              <w:rPr>
                <w:sz w:val="18"/>
              </w:rPr>
            </w:pPr>
            <w:r>
              <w:rPr>
                <w:sz w:val="18"/>
              </w:rPr>
              <w:t>gl</w:t>
            </w:r>
          </w:p>
        </w:tc>
        <w:tc>
          <w:tcPr>
            <w:tcW w:w="2864" w:type="dxa"/>
            <w:tcBorders>
              <w:left w:val="single" w:sz="8" w:space="0" w:color="000000"/>
              <w:right w:val="single" w:sz="8" w:space="0" w:color="000000"/>
            </w:tcBorders>
          </w:tcPr>
          <w:p>
            <w:pPr>
              <w:pStyle w:val="TableParagraph"/>
              <w:spacing w:line="188" w:lineRule="exact" w:before="110"/>
              <w:ind w:left="733"/>
              <w:jc w:val="left"/>
              <w:rPr>
                <w:sz w:val="18"/>
              </w:rPr>
            </w:pPr>
            <w:r>
              <w:rPr>
                <w:sz w:val="18"/>
              </w:rPr>
              <w:t>Media cuadrática</w:t>
            </w:r>
          </w:p>
        </w:tc>
        <w:tc>
          <w:tcPr>
            <w:tcW w:w="1008" w:type="dxa"/>
            <w:tcBorders>
              <w:left w:val="single" w:sz="8" w:space="0" w:color="000000"/>
              <w:right w:val="single" w:sz="8" w:space="0" w:color="000000"/>
            </w:tcBorders>
          </w:tcPr>
          <w:p>
            <w:pPr>
              <w:pStyle w:val="TableParagraph"/>
              <w:spacing w:line="188" w:lineRule="exact" w:before="110"/>
              <w:jc w:val="center"/>
              <w:rPr>
                <w:sz w:val="18"/>
              </w:rPr>
            </w:pPr>
            <w:r>
              <w:rPr>
                <w:w w:val="100"/>
                <w:sz w:val="18"/>
              </w:rPr>
              <w:t>F</w:t>
            </w:r>
          </w:p>
        </w:tc>
        <w:tc>
          <w:tcPr>
            <w:tcW w:w="1003" w:type="dxa"/>
            <w:tcBorders>
              <w:left w:val="single" w:sz="8" w:space="0" w:color="000000"/>
            </w:tcBorders>
          </w:tcPr>
          <w:p>
            <w:pPr>
              <w:pStyle w:val="TableParagraph"/>
              <w:spacing w:line="188" w:lineRule="exact" w:before="110"/>
              <w:ind w:left="307" w:right="312"/>
              <w:jc w:val="center"/>
              <w:rPr>
                <w:sz w:val="18"/>
              </w:rPr>
            </w:pPr>
            <w:r>
              <w:rPr>
                <w:sz w:val="18"/>
              </w:rPr>
              <w:t>Sig.</w:t>
            </w:r>
          </w:p>
        </w:tc>
      </w:tr>
      <w:tr>
        <w:trPr>
          <w:trHeight w:val="380" w:hRule="atLeast"/>
        </w:trPr>
        <w:tc>
          <w:tcPr>
            <w:tcW w:w="434" w:type="dxa"/>
            <w:tcBorders>
              <w:bottom w:val="nil"/>
              <w:right w:val="nil"/>
            </w:tcBorders>
          </w:tcPr>
          <w:p>
            <w:pPr>
              <w:pStyle w:val="TableParagraph"/>
              <w:spacing w:line="240" w:lineRule="auto" w:before="0"/>
              <w:jc w:val="left"/>
              <w:rPr>
                <w:rFonts w:ascii="Times New Roman"/>
                <w:sz w:val="16"/>
              </w:rPr>
            </w:pPr>
          </w:p>
        </w:tc>
        <w:tc>
          <w:tcPr>
            <w:tcW w:w="1486" w:type="dxa"/>
            <w:tcBorders>
              <w:left w:val="nil"/>
              <w:bottom w:val="nil"/>
            </w:tcBorders>
          </w:tcPr>
          <w:p>
            <w:pPr>
              <w:pStyle w:val="TableParagraph"/>
              <w:spacing w:line="240" w:lineRule="auto" w:before="114"/>
              <w:ind w:left="330"/>
              <w:jc w:val="left"/>
              <w:rPr>
                <w:sz w:val="18"/>
              </w:rPr>
            </w:pPr>
            <w:r>
              <w:rPr>
                <w:sz w:val="18"/>
              </w:rPr>
              <w:t>Regresión</w:t>
            </w:r>
          </w:p>
        </w:tc>
        <w:tc>
          <w:tcPr>
            <w:tcW w:w="3032" w:type="dxa"/>
            <w:tcBorders>
              <w:bottom w:val="nil"/>
              <w:right w:val="single" w:sz="8" w:space="0" w:color="000000"/>
            </w:tcBorders>
          </w:tcPr>
          <w:p>
            <w:pPr>
              <w:pStyle w:val="TableParagraph"/>
              <w:spacing w:line="240" w:lineRule="auto" w:before="114"/>
              <w:ind w:left="189" w:right="16"/>
              <w:jc w:val="center"/>
              <w:rPr>
                <w:sz w:val="18"/>
              </w:rPr>
            </w:pPr>
            <w:r>
              <w:rPr>
                <w:sz w:val="18"/>
              </w:rPr>
              <w:t>357837319081987100000000.000</w:t>
            </w:r>
          </w:p>
        </w:tc>
        <w:tc>
          <w:tcPr>
            <w:tcW w:w="1003" w:type="dxa"/>
            <w:tcBorders>
              <w:left w:val="single" w:sz="8" w:space="0" w:color="000000"/>
              <w:bottom w:val="nil"/>
              <w:right w:val="single" w:sz="8" w:space="0" w:color="000000"/>
            </w:tcBorders>
          </w:tcPr>
          <w:p>
            <w:pPr>
              <w:pStyle w:val="TableParagraph"/>
              <w:spacing w:line="240" w:lineRule="auto" w:before="114"/>
              <w:ind w:right="28"/>
              <w:rPr>
                <w:sz w:val="18"/>
              </w:rPr>
            </w:pPr>
            <w:r>
              <w:rPr>
                <w:w w:val="99"/>
                <w:sz w:val="18"/>
              </w:rPr>
              <w:t>9</w:t>
            </w:r>
          </w:p>
        </w:tc>
        <w:tc>
          <w:tcPr>
            <w:tcW w:w="2864" w:type="dxa"/>
            <w:tcBorders>
              <w:left w:val="single" w:sz="8" w:space="0" w:color="000000"/>
              <w:bottom w:val="nil"/>
              <w:right w:val="single" w:sz="8" w:space="0" w:color="000000"/>
            </w:tcBorders>
          </w:tcPr>
          <w:p>
            <w:pPr>
              <w:pStyle w:val="TableParagraph"/>
              <w:spacing w:line="240" w:lineRule="auto" w:before="114"/>
              <w:ind w:right="29"/>
              <w:rPr>
                <w:sz w:val="18"/>
              </w:rPr>
            </w:pPr>
            <w:r>
              <w:rPr>
                <w:sz w:val="18"/>
              </w:rPr>
              <w:t>39759702120220796000000.000</w:t>
            </w:r>
          </w:p>
        </w:tc>
        <w:tc>
          <w:tcPr>
            <w:tcW w:w="1008" w:type="dxa"/>
            <w:vMerge w:val="restart"/>
            <w:tcBorders>
              <w:left w:val="single" w:sz="8" w:space="0" w:color="000000"/>
              <w:right w:val="single" w:sz="8" w:space="0" w:color="000000"/>
            </w:tcBorders>
          </w:tcPr>
          <w:p>
            <w:pPr>
              <w:pStyle w:val="TableParagraph"/>
              <w:spacing w:line="240" w:lineRule="auto" w:before="114"/>
              <w:ind w:left="506"/>
              <w:jc w:val="left"/>
              <w:rPr>
                <w:sz w:val="18"/>
              </w:rPr>
            </w:pPr>
            <w:r>
              <w:rPr>
                <w:sz w:val="18"/>
              </w:rPr>
              <w:t>7.522</w:t>
            </w:r>
          </w:p>
        </w:tc>
        <w:tc>
          <w:tcPr>
            <w:tcW w:w="1003" w:type="dxa"/>
            <w:vMerge w:val="restart"/>
            <w:tcBorders>
              <w:left w:val="single" w:sz="8" w:space="0" w:color="000000"/>
            </w:tcBorders>
          </w:tcPr>
          <w:p>
            <w:pPr>
              <w:pStyle w:val="TableParagraph"/>
              <w:spacing w:line="240" w:lineRule="auto" w:before="114"/>
              <w:ind w:left="522"/>
              <w:jc w:val="left"/>
              <w:rPr>
                <w:sz w:val="12"/>
              </w:rPr>
            </w:pPr>
            <w:r>
              <w:rPr>
                <w:sz w:val="18"/>
              </w:rPr>
              <w:t>.000</w:t>
            </w:r>
            <w:r>
              <w:rPr>
                <w:position w:val="5"/>
                <w:sz w:val="12"/>
              </w:rPr>
              <w:t>b</w:t>
            </w:r>
          </w:p>
        </w:tc>
      </w:tr>
      <w:tr>
        <w:trPr>
          <w:trHeight w:val="319" w:hRule="atLeast"/>
        </w:trPr>
        <w:tc>
          <w:tcPr>
            <w:tcW w:w="434" w:type="dxa"/>
            <w:tcBorders>
              <w:top w:val="nil"/>
              <w:bottom w:val="nil"/>
              <w:right w:val="nil"/>
            </w:tcBorders>
          </w:tcPr>
          <w:p>
            <w:pPr>
              <w:pStyle w:val="TableParagraph"/>
              <w:spacing w:line="240" w:lineRule="auto" w:before="53"/>
              <w:ind w:left="25"/>
              <w:jc w:val="left"/>
              <w:rPr>
                <w:sz w:val="18"/>
              </w:rPr>
            </w:pPr>
            <w:r>
              <w:rPr>
                <w:w w:val="99"/>
                <w:sz w:val="18"/>
              </w:rPr>
              <w:t>9</w:t>
            </w:r>
          </w:p>
        </w:tc>
        <w:tc>
          <w:tcPr>
            <w:tcW w:w="1486" w:type="dxa"/>
            <w:tcBorders>
              <w:top w:val="nil"/>
              <w:left w:val="nil"/>
              <w:bottom w:val="nil"/>
            </w:tcBorders>
          </w:tcPr>
          <w:p>
            <w:pPr>
              <w:pStyle w:val="TableParagraph"/>
              <w:spacing w:line="240" w:lineRule="auto" w:before="53"/>
              <w:ind w:left="330"/>
              <w:jc w:val="left"/>
              <w:rPr>
                <w:sz w:val="18"/>
              </w:rPr>
            </w:pPr>
            <w:r>
              <w:rPr>
                <w:sz w:val="18"/>
              </w:rPr>
              <w:t>Residual</w:t>
            </w:r>
          </w:p>
        </w:tc>
        <w:tc>
          <w:tcPr>
            <w:tcW w:w="3032" w:type="dxa"/>
            <w:tcBorders>
              <w:top w:val="nil"/>
              <w:bottom w:val="nil"/>
              <w:right w:val="single" w:sz="8" w:space="0" w:color="000000"/>
            </w:tcBorders>
          </w:tcPr>
          <w:p>
            <w:pPr>
              <w:pStyle w:val="TableParagraph"/>
              <w:spacing w:line="240" w:lineRule="auto" w:before="53"/>
              <w:ind w:left="89" w:right="16"/>
              <w:jc w:val="center"/>
              <w:rPr>
                <w:sz w:val="18"/>
              </w:rPr>
            </w:pPr>
            <w:r>
              <w:rPr>
                <w:sz w:val="18"/>
              </w:rPr>
              <w:t>1543394787193767000000000.000</w:t>
            </w:r>
          </w:p>
        </w:tc>
        <w:tc>
          <w:tcPr>
            <w:tcW w:w="1003" w:type="dxa"/>
            <w:tcBorders>
              <w:top w:val="nil"/>
              <w:left w:val="single" w:sz="8" w:space="0" w:color="000000"/>
              <w:bottom w:val="nil"/>
              <w:right w:val="single" w:sz="8" w:space="0" w:color="000000"/>
            </w:tcBorders>
          </w:tcPr>
          <w:p>
            <w:pPr>
              <w:pStyle w:val="TableParagraph"/>
              <w:spacing w:line="240" w:lineRule="auto" w:before="53"/>
              <w:ind w:right="30"/>
              <w:rPr>
                <w:sz w:val="18"/>
              </w:rPr>
            </w:pPr>
            <w:r>
              <w:rPr>
                <w:w w:val="95"/>
                <w:sz w:val="18"/>
              </w:rPr>
              <w:t>292</w:t>
            </w:r>
          </w:p>
        </w:tc>
        <w:tc>
          <w:tcPr>
            <w:tcW w:w="2864" w:type="dxa"/>
            <w:tcBorders>
              <w:top w:val="nil"/>
              <w:left w:val="single" w:sz="8" w:space="0" w:color="000000"/>
              <w:bottom w:val="nil"/>
              <w:right w:val="single" w:sz="8" w:space="0" w:color="000000"/>
            </w:tcBorders>
          </w:tcPr>
          <w:p>
            <w:pPr>
              <w:pStyle w:val="TableParagraph"/>
              <w:spacing w:line="240" w:lineRule="auto" w:before="53"/>
              <w:ind w:right="29"/>
              <w:rPr>
                <w:sz w:val="18"/>
              </w:rPr>
            </w:pPr>
            <w:r>
              <w:rPr>
                <w:sz w:val="18"/>
              </w:rPr>
              <w:t>5285598586280025000000.000</w:t>
            </w:r>
          </w:p>
        </w:tc>
        <w:tc>
          <w:tcPr>
            <w:tcW w:w="1008" w:type="dxa"/>
            <w:vMerge/>
            <w:tcBorders>
              <w:top w:val="nil"/>
              <w:left w:val="single" w:sz="8" w:space="0" w:color="000000"/>
              <w:right w:val="single" w:sz="8" w:space="0" w:color="000000"/>
            </w:tcBorders>
          </w:tcPr>
          <w:p>
            <w:pPr>
              <w:rPr>
                <w:sz w:val="2"/>
                <w:szCs w:val="2"/>
              </w:rPr>
            </w:pPr>
          </w:p>
        </w:tc>
        <w:tc>
          <w:tcPr>
            <w:tcW w:w="1003" w:type="dxa"/>
            <w:vMerge/>
            <w:tcBorders>
              <w:top w:val="nil"/>
              <w:left w:val="single" w:sz="8" w:space="0" w:color="000000"/>
            </w:tcBorders>
          </w:tcPr>
          <w:p>
            <w:pPr>
              <w:rPr>
                <w:sz w:val="2"/>
                <w:szCs w:val="2"/>
              </w:rPr>
            </w:pPr>
          </w:p>
        </w:tc>
      </w:tr>
      <w:tr>
        <w:trPr>
          <w:trHeight w:val="261" w:hRule="atLeast"/>
        </w:trPr>
        <w:tc>
          <w:tcPr>
            <w:tcW w:w="434" w:type="dxa"/>
            <w:tcBorders>
              <w:top w:val="nil"/>
              <w:right w:val="nil"/>
            </w:tcBorders>
          </w:tcPr>
          <w:p>
            <w:pPr>
              <w:pStyle w:val="TableParagraph"/>
              <w:spacing w:line="240" w:lineRule="auto" w:before="0"/>
              <w:jc w:val="left"/>
              <w:rPr>
                <w:rFonts w:ascii="Times New Roman"/>
                <w:sz w:val="16"/>
              </w:rPr>
            </w:pPr>
          </w:p>
        </w:tc>
        <w:tc>
          <w:tcPr>
            <w:tcW w:w="1486" w:type="dxa"/>
            <w:tcBorders>
              <w:top w:val="nil"/>
              <w:left w:val="nil"/>
            </w:tcBorders>
          </w:tcPr>
          <w:p>
            <w:pPr>
              <w:pStyle w:val="TableParagraph"/>
              <w:spacing w:line="188" w:lineRule="exact" w:before="53"/>
              <w:ind w:left="330"/>
              <w:jc w:val="left"/>
              <w:rPr>
                <w:sz w:val="18"/>
              </w:rPr>
            </w:pPr>
            <w:r>
              <w:rPr>
                <w:sz w:val="18"/>
              </w:rPr>
              <w:t>Total</w:t>
            </w:r>
          </w:p>
        </w:tc>
        <w:tc>
          <w:tcPr>
            <w:tcW w:w="3032" w:type="dxa"/>
            <w:tcBorders>
              <w:top w:val="nil"/>
              <w:right w:val="single" w:sz="8" w:space="0" w:color="000000"/>
            </w:tcBorders>
          </w:tcPr>
          <w:p>
            <w:pPr>
              <w:pStyle w:val="TableParagraph"/>
              <w:spacing w:line="188" w:lineRule="exact" w:before="53"/>
              <w:ind w:left="89" w:right="16"/>
              <w:jc w:val="center"/>
              <w:rPr>
                <w:sz w:val="18"/>
              </w:rPr>
            </w:pPr>
            <w:r>
              <w:rPr>
                <w:sz w:val="18"/>
              </w:rPr>
              <w:t>1901232106275754200000000.000</w:t>
            </w:r>
          </w:p>
        </w:tc>
        <w:tc>
          <w:tcPr>
            <w:tcW w:w="1003" w:type="dxa"/>
            <w:tcBorders>
              <w:top w:val="nil"/>
              <w:left w:val="single" w:sz="8" w:space="0" w:color="000000"/>
              <w:right w:val="single" w:sz="8" w:space="0" w:color="000000"/>
            </w:tcBorders>
          </w:tcPr>
          <w:p>
            <w:pPr>
              <w:pStyle w:val="TableParagraph"/>
              <w:spacing w:line="188" w:lineRule="exact" w:before="53"/>
              <w:ind w:right="30"/>
              <w:rPr>
                <w:sz w:val="18"/>
              </w:rPr>
            </w:pPr>
            <w:r>
              <w:rPr>
                <w:w w:val="95"/>
                <w:sz w:val="18"/>
              </w:rPr>
              <w:t>301</w:t>
            </w:r>
          </w:p>
        </w:tc>
        <w:tc>
          <w:tcPr>
            <w:tcW w:w="2864" w:type="dxa"/>
            <w:tcBorders>
              <w:top w:val="nil"/>
              <w:left w:val="single" w:sz="8" w:space="0" w:color="000000"/>
              <w:right w:val="single" w:sz="8" w:space="0" w:color="000000"/>
            </w:tcBorders>
          </w:tcPr>
          <w:p>
            <w:pPr>
              <w:pStyle w:val="TableParagraph"/>
              <w:spacing w:line="240" w:lineRule="auto" w:before="0"/>
              <w:jc w:val="left"/>
              <w:rPr>
                <w:rFonts w:ascii="Times New Roman"/>
                <w:sz w:val="16"/>
              </w:rPr>
            </w:pPr>
          </w:p>
        </w:tc>
        <w:tc>
          <w:tcPr>
            <w:tcW w:w="1008" w:type="dxa"/>
            <w:vMerge/>
            <w:tcBorders>
              <w:top w:val="nil"/>
              <w:left w:val="single" w:sz="8" w:space="0" w:color="000000"/>
              <w:right w:val="single" w:sz="8" w:space="0" w:color="000000"/>
            </w:tcBorders>
          </w:tcPr>
          <w:p>
            <w:pPr>
              <w:rPr>
                <w:sz w:val="2"/>
                <w:szCs w:val="2"/>
              </w:rPr>
            </w:pPr>
          </w:p>
        </w:tc>
        <w:tc>
          <w:tcPr>
            <w:tcW w:w="1003" w:type="dxa"/>
            <w:vMerge/>
            <w:tcBorders>
              <w:top w:val="nil"/>
              <w:left w:val="single" w:sz="8" w:space="0" w:color="000000"/>
            </w:tcBorders>
          </w:tcPr>
          <w:p>
            <w:pPr>
              <w:rPr>
                <w:sz w:val="2"/>
                <w:szCs w:val="2"/>
              </w:rPr>
            </w:pPr>
          </w:p>
        </w:tc>
      </w:tr>
    </w:tbl>
    <w:p>
      <w:pPr>
        <w:pStyle w:val="BodyText"/>
        <w:rPr>
          <w:b/>
          <w:sz w:val="20"/>
        </w:rPr>
      </w:pPr>
    </w:p>
    <w:p>
      <w:pPr>
        <w:pStyle w:val="ListParagraph"/>
        <w:numPr>
          <w:ilvl w:val="1"/>
          <w:numId w:val="42"/>
        </w:numPr>
        <w:tabs>
          <w:tab w:pos="524" w:val="left" w:leader="none"/>
        </w:tabs>
        <w:spacing w:line="240" w:lineRule="auto" w:before="157" w:after="0"/>
        <w:ind w:left="523" w:right="0" w:hanging="204"/>
        <w:jc w:val="left"/>
        <w:rPr>
          <w:sz w:val="18"/>
        </w:rPr>
      </w:pPr>
      <w:r>
        <w:rPr>
          <w:sz w:val="18"/>
        </w:rPr>
        <w:t>Variable dependiente: RES_92 BREUSCH</w:t>
      </w:r>
    </w:p>
    <w:p>
      <w:pPr>
        <w:pStyle w:val="ListParagraph"/>
        <w:numPr>
          <w:ilvl w:val="1"/>
          <w:numId w:val="42"/>
        </w:numPr>
        <w:tabs>
          <w:tab w:pos="524" w:val="left" w:leader="none"/>
        </w:tabs>
        <w:spacing w:line="372" w:lineRule="auto" w:before="113" w:after="0"/>
        <w:ind w:left="320" w:right="821" w:firstLine="0"/>
        <w:jc w:val="left"/>
        <w:rPr>
          <w:sz w:val="18"/>
        </w:rPr>
      </w:pPr>
      <w:r>
        <w:rPr>
          <w:sz w:val="18"/>
        </w:rPr>
        <w:t>Variables predictoras: (Constante), VistaalaCarpintera, Tipo1casa0Condo,</w:t>
      </w:r>
      <w:r>
        <w:rPr>
          <w:spacing w:val="-25"/>
          <w:sz w:val="18"/>
        </w:rPr>
        <w:t> </w:t>
      </w:r>
      <w:r>
        <w:rPr>
          <w:sz w:val="18"/>
        </w:rPr>
        <w:t>DistanciaaSanJoséCentroporRutaVehicularoPedestre, ZonadeRiesgodedesastre, ÁreadeConstrucciónenmetroscuadrados, NúmerodePlantas, AñodeConstrucción, DistanciaaAglomeracionesdePobrezaRíoAzulTirrasesSan,</w:t>
      </w:r>
      <w:r>
        <w:rPr>
          <w:spacing w:val="2"/>
          <w:sz w:val="18"/>
        </w:rPr>
        <w:t> </w:t>
      </w:r>
      <w:r>
        <w:rPr>
          <w:sz w:val="18"/>
        </w:rPr>
        <w:t>NúmerodeBaños</w:t>
      </w:r>
    </w:p>
    <w:p>
      <w:pPr>
        <w:pStyle w:val="BodyText"/>
        <w:spacing w:before="11"/>
        <w:rPr>
          <w:sz w:val="26"/>
        </w:rPr>
      </w:pPr>
    </w:p>
    <w:p>
      <w:pPr>
        <w:spacing w:before="0" w:after="6"/>
        <w:ind w:left="1713" w:right="1956" w:firstLine="0"/>
        <w:jc w:val="center"/>
        <w:rPr>
          <w:b/>
          <w:sz w:val="12"/>
        </w:rPr>
      </w:pPr>
      <w:r>
        <w:rPr>
          <w:b/>
          <w:sz w:val="18"/>
        </w:rPr>
        <w:t>ANOVA ABRIDGED WHITE MODELO 9</w:t>
      </w:r>
      <w:r>
        <w:rPr>
          <w:b/>
          <w:position w:val="6"/>
          <w:sz w:val="12"/>
        </w:rPr>
        <w:t>a</w:t>
      </w: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34"/>
        <w:gridCol w:w="1486"/>
        <w:gridCol w:w="3032"/>
        <w:gridCol w:w="1003"/>
        <w:gridCol w:w="2864"/>
        <w:gridCol w:w="1008"/>
        <w:gridCol w:w="1003"/>
      </w:tblGrid>
      <w:tr>
        <w:trPr>
          <w:trHeight w:val="319" w:hRule="atLeast"/>
        </w:trPr>
        <w:tc>
          <w:tcPr>
            <w:tcW w:w="1920" w:type="dxa"/>
            <w:gridSpan w:val="2"/>
          </w:tcPr>
          <w:p>
            <w:pPr>
              <w:pStyle w:val="TableParagraph"/>
              <w:spacing w:line="189" w:lineRule="exact" w:before="110"/>
              <w:ind w:left="25"/>
              <w:jc w:val="left"/>
              <w:rPr>
                <w:sz w:val="18"/>
              </w:rPr>
            </w:pPr>
            <w:r>
              <w:rPr>
                <w:sz w:val="18"/>
              </w:rPr>
              <w:t>Modelo</w:t>
            </w:r>
          </w:p>
        </w:tc>
        <w:tc>
          <w:tcPr>
            <w:tcW w:w="3032" w:type="dxa"/>
            <w:tcBorders>
              <w:right w:val="single" w:sz="8" w:space="0" w:color="000000"/>
            </w:tcBorders>
          </w:tcPr>
          <w:p>
            <w:pPr>
              <w:pStyle w:val="TableParagraph"/>
              <w:spacing w:line="189" w:lineRule="exact" w:before="110"/>
              <w:ind w:left="6" w:right="16"/>
              <w:jc w:val="center"/>
              <w:rPr>
                <w:sz w:val="18"/>
              </w:rPr>
            </w:pPr>
            <w:r>
              <w:rPr>
                <w:sz w:val="18"/>
              </w:rPr>
              <w:t>Suma de cuadrados</w:t>
            </w:r>
          </w:p>
        </w:tc>
        <w:tc>
          <w:tcPr>
            <w:tcW w:w="1003" w:type="dxa"/>
            <w:tcBorders>
              <w:left w:val="single" w:sz="8" w:space="0" w:color="000000"/>
              <w:right w:val="single" w:sz="8" w:space="0" w:color="000000"/>
            </w:tcBorders>
          </w:tcPr>
          <w:p>
            <w:pPr>
              <w:pStyle w:val="TableParagraph"/>
              <w:spacing w:line="189" w:lineRule="exact" w:before="110"/>
              <w:ind w:left="396" w:right="405"/>
              <w:jc w:val="center"/>
              <w:rPr>
                <w:sz w:val="18"/>
              </w:rPr>
            </w:pPr>
            <w:r>
              <w:rPr>
                <w:sz w:val="18"/>
              </w:rPr>
              <w:t>gl</w:t>
            </w:r>
          </w:p>
        </w:tc>
        <w:tc>
          <w:tcPr>
            <w:tcW w:w="2864" w:type="dxa"/>
            <w:tcBorders>
              <w:left w:val="single" w:sz="8" w:space="0" w:color="000000"/>
              <w:right w:val="single" w:sz="8" w:space="0" w:color="000000"/>
            </w:tcBorders>
          </w:tcPr>
          <w:p>
            <w:pPr>
              <w:pStyle w:val="TableParagraph"/>
              <w:spacing w:line="189" w:lineRule="exact" w:before="110"/>
              <w:ind w:left="733"/>
              <w:jc w:val="left"/>
              <w:rPr>
                <w:sz w:val="18"/>
              </w:rPr>
            </w:pPr>
            <w:r>
              <w:rPr>
                <w:sz w:val="18"/>
              </w:rPr>
              <w:t>Media cuadrática</w:t>
            </w:r>
          </w:p>
        </w:tc>
        <w:tc>
          <w:tcPr>
            <w:tcW w:w="1008" w:type="dxa"/>
            <w:tcBorders>
              <w:left w:val="single" w:sz="8" w:space="0" w:color="000000"/>
              <w:right w:val="single" w:sz="8" w:space="0" w:color="000000"/>
            </w:tcBorders>
          </w:tcPr>
          <w:p>
            <w:pPr>
              <w:pStyle w:val="TableParagraph"/>
              <w:spacing w:line="189" w:lineRule="exact" w:before="110"/>
              <w:jc w:val="center"/>
              <w:rPr>
                <w:sz w:val="18"/>
              </w:rPr>
            </w:pPr>
            <w:r>
              <w:rPr>
                <w:w w:val="100"/>
                <w:sz w:val="18"/>
              </w:rPr>
              <w:t>F</w:t>
            </w:r>
          </w:p>
        </w:tc>
        <w:tc>
          <w:tcPr>
            <w:tcW w:w="1003" w:type="dxa"/>
            <w:tcBorders>
              <w:left w:val="single" w:sz="8" w:space="0" w:color="000000"/>
            </w:tcBorders>
          </w:tcPr>
          <w:p>
            <w:pPr>
              <w:pStyle w:val="TableParagraph"/>
              <w:spacing w:line="189" w:lineRule="exact" w:before="110"/>
              <w:ind w:left="307" w:right="312"/>
              <w:jc w:val="center"/>
              <w:rPr>
                <w:sz w:val="18"/>
              </w:rPr>
            </w:pPr>
            <w:r>
              <w:rPr>
                <w:sz w:val="18"/>
              </w:rPr>
              <w:t>Sig.</w:t>
            </w:r>
          </w:p>
        </w:tc>
      </w:tr>
      <w:tr>
        <w:trPr>
          <w:trHeight w:val="380" w:hRule="atLeast"/>
        </w:trPr>
        <w:tc>
          <w:tcPr>
            <w:tcW w:w="434" w:type="dxa"/>
            <w:tcBorders>
              <w:bottom w:val="nil"/>
              <w:right w:val="nil"/>
            </w:tcBorders>
          </w:tcPr>
          <w:p>
            <w:pPr>
              <w:pStyle w:val="TableParagraph"/>
              <w:spacing w:line="240" w:lineRule="auto" w:before="0"/>
              <w:jc w:val="left"/>
              <w:rPr>
                <w:rFonts w:ascii="Times New Roman"/>
                <w:sz w:val="16"/>
              </w:rPr>
            </w:pPr>
          </w:p>
        </w:tc>
        <w:tc>
          <w:tcPr>
            <w:tcW w:w="1486" w:type="dxa"/>
            <w:tcBorders>
              <w:left w:val="nil"/>
              <w:bottom w:val="nil"/>
            </w:tcBorders>
          </w:tcPr>
          <w:p>
            <w:pPr>
              <w:pStyle w:val="TableParagraph"/>
              <w:spacing w:line="240" w:lineRule="auto" w:before="114"/>
              <w:ind w:left="330"/>
              <w:jc w:val="left"/>
              <w:rPr>
                <w:sz w:val="18"/>
              </w:rPr>
            </w:pPr>
            <w:r>
              <w:rPr>
                <w:sz w:val="18"/>
              </w:rPr>
              <w:t>Regresión</w:t>
            </w:r>
          </w:p>
        </w:tc>
        <w:tc>
          <w:tcPr>
            <w:tcW w:w="3032" w:type="dxa"/>
            <w:tcBorders>
              <w:bottom w:val="nil"/>
              <w:right w:val="single" w:sz="8" w:space="0" w:color="000000"/>
            </w:tcBorders>
          </w:tcPr>
          <w:p>
            <w:pPr>
              <w:pStyle w:val="TableParagraph"/>
              <w:spacing w:line="240" w:lineRule="auto" w:before="114"/>
              <w:ind w:left="189" w:right="16"/>
              <w:jc w:val="center"/>
              <w:rPr>
                <w:sz w:val="18"/>
              </w:rPr>
            </w:pPr>
            <w:r>
              <w:rPr>
                <w:sz w:val="18"/>
              </w:rPr>
              <w:t>391151116759865940000000.000</w:t>
            </w:r>
          </w:p>
        </w:tc>
        <w:tc>
          <w:tcPr>
            <w:tcW w:w="1003" w:type="dxa"/>
            <w:tcBorders>
              <w:left w:val="single" w:sz="8" w:space="0" w:color="000000"/>
              <w:bottom w:val="nil"/>
              <w:right w:val="single" w:sz="8" w:space="0" w:color="000000"/>
            </w:tcBorders>
          </w:tcPr>
          <w:p>
            <w:pPr>
              <w:pStyle w:val="TableParagraph"/>
              <w:spacing w:line="240" w:lineRule="auto" w:before="114"/>
              <w:ind w:right="28"/>
              <w:rPr>
                <w:sz w:val="18"/>
              </w:rPr>
            </w:pPr>
            <w:r>
              <w:rPr>
                <w:w w:val="99"/>
                <w:sz w:val="18"/>
              </w:rPr>
              <w:t>2</w:t>
            </w:r>
          </w:p>
        </w:tc>
        <w:tc>
          <w:tcPr>
            <w:tcW w:w="2864" w:type="dxa"/>
            <w:tcBorders>
              <w:left w:val="single" w:sz="8" w:space="0" w:color="000000"/>
              <w:bottom w:val="nil"/>
              <w:right w:val="single" w:sz="8" w:space="0" w:color="000000"/>
            </w:tcBorders>
          </w:tcPr>
          <w:p>
            <w:pPr>
              <w:pStyle w:val="TableParagraph"/>
              <w:spacing w:line="240" w:lineRule="auto" w:before="114"/>
              <w:ind w:right="29"/>
              <w:rPr>
                <w:sz w:val="18"/>
              </w:rPr>
            </w:pPr>
            <w:r>
              <w:rPr>
                <w:sz w:val="18"/>
              </w:rPr>
              <w:t>195575558379932970000000.000</w:t>
            </w:r>
          </w:p>
        </w:tc>
        <w:tc>
          <w:tcPr>
            <w:tcW w:w="1008" w:type="dxa"/>
            <w:vMerge w:val="restart"/>
            <w:tcBorders>
              <w:left w:val="single" w:sz="8" w:space="0" w:color="000000"/>
              <w:right w:val="single" w:sz="8" w:space="0" w:color="000000"/>
            </w:tcBorders>
          </w:tcPr>
          <w:p>
            <w:pPr>
              <w:pStyle w:val="TableParagraph"/>
              <w:spacing w:line="240" w:lineRule="auto" w:before="114"/>
              <w:ind w:left="406"/>
              <w:jc w:val="left"/>
              <w:rPr>
                <w:sz w:val="18"/>
              </w:rPr>
            </w:pPr>
            <w:r>
              <w:rPr>
                <w:sz w:val="18"/>
              </w:rPr>
              <w:t>38.724</w:t>
            </w:r>
          </w:p>
        </w:tc>
        <w:tc>
          <w:tcPr>
            <w:tcW w:w="1003" w:type="dxa"/>
            <w:vMerge w:val="restart"/>
            <w:tcBorders>
              <w:left w:val="single" w:sz="8" w:space="0" w:color="000000"/>
            </w:tcBorders>
          </w:tcPr>
          <w:p>
            <w:pPr>
              <w:pStyle w:val="TableParagraph"/>
              <w:spacing w:line="240" w:lineRule="auto" w:before="114"/>
              <w:ind w:left="522"/>
              <w:jc w:val="left"/>
              <w:rPr>
                <w:sz w:val="12"/>
              </w:rPr>
            </w:pPr>
            <w:r>
              <w:rPr>
                <w:sz w:val="18"/>
              </w:rPr>
              <w:t>.000</w:t>
            </w:r>
            <w:r>
              <w:rPr>
                <w:position w:val="5"/>
                <w:sz w:val="12"/>
              </w:rPr>
              <w:t>b</w:t>
            </w:r>
          </w:p>
        </w:tc>
      </w:tr>
      <w:tr>
        <w:trPr>
          <w:trHeight w:val="319" w:hRule="atLeast"/>
        </w:trPr>
        <w:tc>
          <w:tcPr>
            <w:tcW w:w="434" w:type="dxa"/>
            <w:tcBorders>
              <w:top w:val="nil"/>
              <w:bottom w:val="nil"/>
              <w:right w:val="nil"/>
            </w:tcBorders>
          </w:tcPr>
          <w:p>
            <w:pPr>
              <w:pStyle w:val="TableParagraph"/>
              <w:spacing w:line="240" w:lineRule="auto" w:before="53"/>
              <w:ind w:left="25"/>
              <w:jc w:val="left"/>
              <w:rPr>
                <w:sz w:val="18"/>
              </w:rPr>
            </w:pPr>
            <w:r>
              <w:rPr>
                <w:w w:val="99"/>
                <w:sz w:val="18"/>
              </w:rPr>
              <w:t>9</w:t>
            </w:r>
          </w:p>
        </w:tc>
        <w:tc>
          <w:tcPr>
            <w:tcW w:w="1486" w:type="dxa"/>
            <w:tcBorders>
              <w:top w:val="nil"/>
              <w:left w:val="nil"/>
              <w:bottom w:val="nil"/>
            </w:tcBorders>
          </w:tcPr>
          <w:p>
            <w:pPr>
              <w:pStyle w:val="TableParagraph"/>
              <w:spacing w:line="240" w:lineRule="auto" w:before="53"/>
              <w:ind w:left="330"/>
              <w:jc w:val="left"/>
              <w:rPr>
                <w:sz w:val="18"/>
              </w:rPr>
            </w:pPr>
            <w:r>
              <w:rPr>
                <w:sz w:val="18"/>
              </w:rPr>
              <w:t>Residual</w:t>
            </w:r>
          </w:p>
        </w:tc>
        <w:tc>
          <w:tcPr>
            <w:tcW w:w="3032" w:type="dxa"/>
            <w:tcBorders>
              <w:top w:val="nil"/>
              <w:bottom w:val="nil"/>
              <w:right w:val="single" w:sz="8" w:space="0" w:color="000000"/>
            </w:tcBorders>
          </w:tcPr>
          <w:p>
            <w:pPr>
              <w:pStyle w:val="TableParagraph"/>
              <w:spacing w:line="240" w:lineRule="auto" w:before="53"/>
              <w:ind w:left="89" w:right="16"/>
              <w:jc w:val="center"/>
              <w:rPr>
                <w:sz w:val="18"/>
              </w:rPr>
            </w:pPr>
            <w:r>
              <w:rPr>
                <w:sz w:val="18"/>
              </w:rPr>
              <w:t>1510080989515888300000000.000</w:t>
            </w:r>
          </w:p>
        </w:tc>
        <w:tc>
          <w:tcPr>
            <w:tcW w:w="1003" w:type="dxa"/>
            <w:tcBorders>
              <w:top w:val="nil"/>
              <w:left w:val="single" w:sz="8" w:space="0" w:color="000000"/>
              <w:bottom w:val="nil"/>
              <w:right w:val="single" w:sz="8" w:space="0" w:color="000000"/>
            </w:tcBorders>
          </w:tcPr>
          <w:p>
            <w:pPr>
              <w:pStyle w:val="TableParagraph"/>
              <w:spacing w:line="240" w:lineRule="auto" w:before="53"/>
              <w:ind w:right="30"/>
              <w:rPr>
                <w:sz w:val="18"/>
              </w:rPr>
            </w:pPr>
            <w:r>
              <w:rPr>
                <w:w w:val="95"/>
                <w:sz w:val="18"/>
              </w:rPr>
              <w:t>299</w:t>
            </w:r>
          </w:p>
        </w:tc>
        <w:tc>
          <w:tcPr>
            <w:tcW w:w="2864" w:type="dxa"/>
            <w:tcBorders>
              <w:top w:val="nil"/>
              <w:left w:val="single" w:sz="8" w:space="0" w:color="000000"/>
              <w:bottom w:val="nil"/>
              <w:right w:val="single" w:sz="8" w:space="0" w:color="000000"/>
            </w:tcBorders>
          </w:tcPr>
          <w:p>
            <w:pPr>
              <w:pStyle w:val="TableParagraph"/>
              <w:spacing w:line="240" w:lineRule="auto" w:before="53"/>
              <w:ind w:right="29"/>
              <w:rPr>
                <w:sz w:val="18"/>
              </w:rPr>
            </w:pPr>
            <w:r>
              <w:rPr>
                <w:sz w:val="18"/>
              </w:rPr>
              <w:t>5050438092026383000000.000</w:t>
            </w:r>
          </w:p>
        </w:tc>
        <w:tc>
          <w:tcPr>
            <w:tcW w:w="1008" w:type="dxa"/>
            <w:vMerge/>
            <w:tcBorders>
              <w:top w:val="nil"/>
              <w:left w:val="single" w:sz="8" w:space="0" w:color="000000"/>
              <w:right w:val="single" w:sz="8" w:space="0" w:color="000000"/>
            </w:tcBorders>
          </w:tcPr>
          <w:p>
            <w:pPr>
              <w:rPr>
                <w:sz w:val="2"/>
                <w:szCs w:val="2"/>
              </w:rPr>
            </w:pPr>
          </w:p>
        </w:tc>
        <w:tc>
          <w:tcPr>
            <w:tcW w:w="1003" w:type="dxa"/>
            <w:vMerge/>
            <w:tcBorders>
              <w:top w:val="nil"/>
              <w:left w:val="single" w:sz="8" w:space="0" w:color="000000"/>
            </w:tcBorders>
          </w:tcPr>
          <w:p>
            <w:pPr>
              <w:rPr>
                <w:sz w:val="2"/>
                <w:szCs w:val="2"/>
              </w:rPr>
            </w:pPr>
          </w:p>
        </w:tc>
      </w:tr>
      <w:tr>
        <w:trPr>
          <w:trHeight w:val="261" w:hRule="atLeast"/>
        </w:trPr>
        <w:tc>
          <w:tcPr>
            <w:tcW w:w="434" w:type="dxa"/>
            <w:tcBorders>
              <w:top w:val="nil"/>
              <w:right w:val="nil"/>
            </w:tcBorders>
          </w:tcPr>
          <w:p>
            <w:pPr>
              <w:pStyle w:val="TableParagraph"/>
              <w:spacing w:line="240" w:lineRule="auto" w:before="0"/>
              <w:jc w:val="left"/>
              <w:rPr>
                <w:rFonts w:ascii="Times New Roman"/>
                <w:sz w:val="16"/>
              </w:rPr>
            </w:pPr>
          </w:p>
        </w:tc>
        <w:tc>
          <w:tcPr>
            <w:tcW w:w="1486" w:type="dxa"/>
            <w:tcBorders>
              <w:top w:val="nil"/>
              <w:left w:val="nil"/>
            </w:tcBorders>
          </w:tcPr>
          <w:p>
            <w:pPr>
              <w:pStyle w:val="TableParagraph"/>
              <w:spacing w:line="188" w:lineRule="exact" w:before="53"/>
              <w:ind w:left="330"/>
              <w:jc w:val="left"/>
              <w:rPr>
                <w:sz w:val="18"/>
              </w:rPr>
            </w:pPr>
            <w:r>
              <w:rPr>
                <w:sz w:val="18"/>
              </w:rPr>
              <w:t>Total</w:t>
            </w:r>
          </w:p>
        </w:tc>
        <w:tc>
          <w:tcPr>
            <w:tcW w:w="3032" w:type="dxa"/>
            <w:tcBorders>
              <w:top w:val="nil"/>
              <w:right w:val="single" w:sz="8" w:space="0" w:color="000000"/>
            </w:tcBorders>
          </w:tcPr>
          <w:p>
            <w:pPr>
              <w:pStyle w:val="TableParagraph"/>
              <w:spacing w:line="188" w:lineRule="exact" w:before="53"/>
              <w:ind w:left="89" w:right="16"/>
              <w:jc w:val="center"/>
              <w:rPr>
                <w:sz w:val="18"/>
              </w:rPr>
            </w:pPr>
            <w:r>
              <w:rPr>
                <w:sz w:val="18"/>
              </w:rPr>
              <w:t>1901232106275754200000000.000</w:t>
            </w:r>
          </w:p>
        </w:tc>
        <w:tc>
          <w:tcPr>
            <w:tcW w:w="1003" w:type="dxa"/>
            <w:tcBorders>
              <w:top w:val="nil"/>
              <w:left w:val="single" w:sz="8" w:space="0" w:color="000000"/>
              <w:right w:val="single" w:sz="8" w:space="0" w:color="000000"/>
            </w:tcBorders>
          </w:tcPr>
          <w:p>
            <w:pPr>
              <w:pStyle w:val="TableParagraph"/>
              <w:spacing w:line="188" w:lineRule="exact" w:before="53"/>
              <w:ind w:right="30"/>
              <w:rPr>
                <w:sz w:val="18"/>
              </w:rPr>
            </w:pPr>
            <w:r>
              <w:rPr>
                <w:w w:val="95"/>
                <w:sz w:val="18"/>
              </w:rPr>
              <w:t>301</w:t>
            </w:r>
          </w:p>
        </w:tc>
        <w:tc>
          <w:tcPr>
            <w:tcW w:w="2864" w:type="dxa"/>
            <w:tcBorders>
              <w:top w:val="nil"/>
              <w:left w:val="single" w:sz="8" w:space="0" w:color="000000"/>
              <w:right w:val="single" w:sz="8" w:space="0" w:color="000000"/>
            </w:tcBorders>
          </w:tcPr>
          <w:p>
            <w:pPr>
              <w:pStyle w:val="TableParagraph"/>
              <w:spacing w:line="240" w:lineRule="auto" w:before="0"/>
              <w:jc w:val="left"/>
              <w:rPr>
                <w:rFonts w:ascii="Times New Roman"/>
                <w:sz w:val="16"/>
              </w:rPr>
            </w:pPr>
          </w:p>
        </w:tc>
        <w:tc>
          <w:tcPr>
            <w:tcW w:w="1008" w:type="dxa"/>
            <w:vMerge/>
            <w:tcBorders>
              <w:top w:val="nil"/>
              <w:left w:val="single" w:sz="8" w:space="0" w:color="000000"/>
              <w:right w:val="single" w:sz="8" w:space="0" w:color="000000"/>
            </w:tcBorders>
          </w:tcPr>
          <w:p>
            <w:pPr>
              <w:rPr>
                <w:sz w:val="2"/>
                <w:szCs w:val="2"/>
              </w:rPr>
            </w:pPr>
          </w:p>
        </w:tc>
        <w:tc>
          <w:tcPr>
            <w:tcW w:w="1003"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86"/>
      </w:tblGrid>
      <w:tr>
        <w:trPr>
          <w:trHeight w:val="260" w:hRule="atLeast"/>
        </w:trPr>
        <w:tc>
          <w:tcPr>
            <w:tcW w:w="6786" w:type="dxa"/>
          </w:tcPr>
          <w:p>
            <w:pPr>
              <w:pStyle w:val="TableParagraph"/>
              <w:spacing w:line="201" w:lineRule="exact" w:before="0"/>
              <w:ind w:left="200"/>
              <w:jc w:val="left"/>
              <w:rPr>
                <w:sz w:val="18"/>
              </w:rPr>
            </w:pPr>
            <w:r>
              <w:rPr>
                <w:sz w:val="18"/>
              </w:rPr>
              <w:t>a. Variable dependiente: RES_92 WHITE</w:t>
            </w:r>
          </w:p>
        </w:tc>
      </w:tr>
      <w:tr>
        <w:trPr>
          <w:trHeight w:val="260" w:hRule="atLeast"/>
        </w:trPr>
        <w:tc>
          <w:tcPr>
            <w:tcW w:w="6786" w:type="dxa"/>
          </w:tcPr>
          <w:p>
            <w:pPr>
              <w:pStyle w:val="TableParagraph"/>
              <w:spacing w:line="187" w:lineRule="exact" w:before="53"/>
              <w:ind w:left="200"/>
              <w:jc w:val="left"/>
              <w:rPr>
                <w:sz w:val="18"/>
              </w:rPr>
            </w:pPr>
            <w:r>
              <w:rPr>
                <w:sz w:val="18"/>
              </w:rPr>
              <w:t>b. Variables predictoras: (Constante), PRE_92, Unstandardized Predicted Value</w:t>
            </w:r>
          </w:p>
        </w:tc>
      </w:tr>
    </w:tbl>
    <w:p>
      <w:pPr>
        <w:pStyle w:val="BodyText"/>
        <w:rPr>
          <w:b/>
          <w:sz w:val="20"/>
        </w:rPr>
      </w:pPr>
    </w:p>
    <w:p>
      <w:pPr>
        <w:pStyle w:val="BodyText"/>
        <w:spacing w:before="11"/>
        <w:rPr>
          <w:b/>
          <w:sz w:val="22"/>
        </w:rPr>
      </w:pPr>
    </w:p>
    <w:p>
      <w:pPr>
        <w:pStyle w:val="Heading1"/>
      </w:pPr>
      <w:r>
        <w:rPr/>
        <w:t>C- Resultados Modelo Corregido</w:t>
      </w:r>
    </w:p>
    <w:p>
      <w:pPr>
        <w:spacing w:before="21"/>
        <w:ind w:left="2704" w:right="6081" w:firstLine="0"/>
        <w:jc w:val="left"/>
        <w:rPr>
          <w:sz w:val="16"/>
        </w:rPr>
      </w:pPr>
      <w:r>
        <w:rPr>
          <w:sz w:val="16"/>
        </w:rPr>
        <w:t>Dependent Variable: PRECIO_EN_USD Method: Least Squares</w:t>
      </w:r>
    </w:p>
    <w:p>
      <w:pPr>
        <w:spacing w:before="0"/>
        <w:ind w:left="2704" w:right="6534" w:firstLine="0"/>
        <w:jc w:val="left"/>
        <w:rPr>
          <w:sz w:val="16"/>
        </w:rPr>
      </w:pPr>
      <w:r>
        <w:rPr>
          <w:sz w:val="16"/>
        </w:rPr>
        <w:t>Date: 05/07/17 Time: 11:44 Sample (adjusted): 1 303</w:t>
      </w:r>
    </w:p>
    <w:p>
      <w:pPr>
        <w:spacing w:before="0"/>
        <w:ind w:left="2704" w:right="0" w:firstLine="0"/>
        <w:jc w:val="left"/>
        <w:rPr>
          <w:sz w:val="16"/>
        </w:rPr>
      </w:pPr>
      <w:r>
        <w:rPr>
          <w:sz w:val="16"/>
        </w:rPr>
        <w:t>Included observations: 302 after adjustments</w:t>
      </w:r>
    </w:p>
    <w:p>
      <w:pPr>
        <w:spacing w:before="0" w:after="53"/>
        <w:ind w:left="2704" w:right="0" w:firstLine="0"/>
        <w:jc w:val="left"/>
        <w:rPr>
          <w:sz w:val="16"/>
        </w:rPr>
      </w:pPr>
      <w:r>
        <w:rPr>
          <w:sz w:val="16"/>
        </w:rPr>
        <w:t>White heteroskedasticity-consistent standard errors &amp; covariance</w:t>
      </w:r>
    </w:p>
    <w:tbl>
      <w:tblPr>
        <w:tblW w:w="0" w:type="auto"/>
        <w:jc w:val="left"/>
        <w:tblInd w:w="26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70"/>
        <w:gridCol w:w="897"/>
        <w:gridCol w:w="971"/>
        <w:gridCol w:w="895"/>
        <w:gridCol w:w="731"/>
      </w:tblGrid>
      <w:tr>
        <w:trPr>
          <w:trHeight w:val="322" w:hRule="atLeast"/>
        </w:trPr>
        <w:tc>
          <w:tcPr>
            <w:tcW w:w="2570" w:type="dxa"/>
            <w:tcBorders>
              <w:top w:val="double" w:sz="2" w:space="0" w:color="000000"/>
              <w:bottom w:val="double" w:sz="2" w:space="0" w:color="000000"/>
            </w:tcBorders>
          </w:tcPr>
          <w:p>
            <w:pPr>
              <w:pStyle w:val="TableParagraph"/>
              <w:spacing w:line="240" w:lineRule="auto" w:before="108"/>
              <w:ind w:left="941" w:right="1000"/>
              <w:jc w:val="center"/>
              <w:rPr>
                <w:sz w:val="16"/>
              </w:rPr>
            </w:pPr>
            <w:r>
              <w:rPr>
                <w:sz w:val="16"/>
              </w:rPr>
              <w:t>Variable</w:t>
            </w:r>
          </w:p>
        </w:tc>
        <w:tc>
          <w:tcPr>
            <w:tcW w:w="897" w:type="dxa"/>
            <w:tcBorders>
              <w:top w:val="double" w:sz="2" w:space="0" w:color="000000"/>
              <w:bottom w:val="double" w:sz="2" w:space="0" w:color="000000"/>
            </w:tcBorders>
          </w:tcPr>
          <w:p>
            <w:pPr>
              <w:pStyle w:val="TableParagraph"/>
              <w:spacing w:line="240" w:lineRule="auto" w:before="108"/>
              <w:ind w:right="107"/>
              <w:rPr>
                <w:sz w:val="16"/>
              </w:rPr>
            </w:pPr>
            <w:r>
              <w:rPr>
                <w:sz w:val="16"/>
              </w:rPr>
              <w:t>Coefficient</w:t>
            </w:r>
          </w:p>
        </w:tc>
        <w:tc>
          <w:tcPr>
            <w:tcW w:w="971" w:type="dxa"/>
            <w:tcBorders>
              <w:top w:val="double" w:sz="2" w:space="0" w:color="000000"/>
              <w:bottom w:val="double" w:sz="2" w:space="0" w:color="000000"/>
            </w:tcBorders>
          </w:tcPr>
          <w:p>
            <w:pPr>
              <w:pStyle w:val="TableParagraph"/>
              <w:spacing w:line="240" w:lineRule="auto" w:before="108"/>
              <w:ind w:left="130" w:right="96"/>
              <w:jc w:val="center"/>
              <w:rPr>
                <w:sz w:val="16"/>
              </w:rPr>
            </w:pPr>
            <w:r>
              <w:rPr>
                <w:sz w:val="16"/>
              </w:rPr>
              <w:t>Std. Error</w:t>
            </w:r>
          </w:p>
        </w:tc>
        <w:tc>
          <w:tcPr>
            <w:tcW w:w="895" w:type="dxa"/>
            <w:tcBorders>
              <w:top w:val="double" w:sz="2" w:space="0" w:color="000000"/>
              <w:bottom w:val="double" w:sz="2" w:space="0" w:color="000000"/>
            </w:tcBorders>
          </w:tcPr>
          <w:p>
            <w:pPr>
              <w:pStyle w:val="TableParagraph"/>
              <w:spacing w:line="240" w:lineRule="auto" w:before="108"/>
              <w:ind w:right="71"/>
              <w:rPr>
                <w:sz w:val="16"/>
              </w:rPr>
            </w:pPr>
            <w:r>
              <w:rPr>
                <w:sz w:val="16"/>
              </w:rPr>
              <w:t>t-Statistic</w:t>
            </w:r>
          </w:p>
        </w:tc>
        <w:tc>
          <w:tcPr>
            <w:tcW w:w="731" w:type="dxa"/>
            <w:tcBorders>
              <w:top w:val="double" w:sz="2" w:space="0" w:color="000000"/>
              <w:bottom w:val="double" w:sz="2" w:space="0" w:color="000000"/>
            </w:tcBorders>
          </w:tcPr>
          <w:p>
            <w:pPr>
              <w:pStyle w:val="TableParagraph"/>
              <w:spacing w:line="240" w:lineRule="auto" w:before="108"/>
              <w:ind w:left="248"/>
              <w:jc w:val="left"/>
              <w:rPr>
                <w:sz w:val="16"/>
              </w:rPr>
            </w:pPr>
            <w:r>
              <w:rPr>
                <w:sz w:val="16"/>
              </w:rPr>
              <w:t>Prob.</w:t>
            </w:r>
          </w:p>
        </w:tc>
      </w:tr>
      <w:tr>
        <w:trPr>
          <w:trHeight w:val="294" w:hRule="atLeast"/>
        </w:trPr>
        <w:tc>
          <w:tcPr>
            <w:tcW w:w="2570" w:type="dxa"/>
            <w:tcBorders>
              <w:top w:val="double" w:sz="2" w:space="0" w:color="000000"/>
            </w:tcBorders>
          </w:tcPr>
          <w:p>
            <w:pPr>
              <w:pStyle w:val="TableParagraph"/>
              <w:spacing w:line="165" w:lineRule="exact" w:before="109"/>
              <w:ind w:left="764"/>
              <w:jc w:val="left"/>
              <w:rPr>
                <w:sz w:val="16"/>
              </w:rPr>
            </w:pPr>
            <w:r>
              <w:rPr>
                <w:sz w:val="16"/>
              </w:rPr>
              <w:t>CONSTANTE</w:t>
            </w:r>
          </w:p>
        </w:tc>
        <w:tc>
          <w:tcPr>
            <w:tcW w:w="897" w:type="dxa"/>
            <w:tcBorders>
              <w:top w:val="double" w:sz="2" w:space="0" w:color="000000"/>
            </w:tcBorders>
          </w:tcPr>
          <w:p>
            <w:pPr>
              <w:pStyle w:val="TableParagraph"/>
              <w:spacing w:line="165" w:lineRule="exact" w:before="109"/>
              <w:ind w:right="111"/>
              <w:rPr>
                <w:sz w:val="16"/>
              </w:rPr>
            </w:pPr>
            <w:r>
              <w:rPr>
                <w:sz w:val="16"/>
              </w:rPr>
              <w:t>2879529.</w:t>
            </w:r>
          </w:p>
        </w:tc>
        <w:tc>
          <w:tcPr>
            <w:tcW w:w="971" w:type="dxa"/>
            <w:tcBorders>
              <w:top w:val="double" w:sz="2" w:space="0" w:color="000000"/>
            </w:tcBorders>
          </w:tcPr>
          <w:p>
            <w:pPr>
              <w:pStyle w:val="TableParagraph"/>
              <w:spacing w:line="165" w:lineRule="exact" w:before="109"/>
              <w:ind w:left="140" w:right="76"/>
              <w:jc w:val="center"/>
              <w:rPr>
                <w:sz w:val="16"/>
              </w:rPr>
            </w:pPr>
            <w:r>
              <w:rPr>
                <w:sz w:val="16"/>
              </w:rPr>
              <w:t>4673506.</w:t>
            </w:r>
          </w:p>
        </w:tc>
        <w:tc>
          <w:tcPr>
            <w:tcW w:w="895" w:type="dxa"/>
            <w:tcBorders>
              <w:top w:val="double" w:sz="2" w:space="0" w:color="000000"/>
            </w:tcBorders>
          </w:tcPr>
          <w:p>
            <w:pPr>
              <w:pStyle w:val="TableParagraph"/>
              <w:spacing w:line="165" w:lineRule="exact" w:before="109"/>
              <w:ind w:right="61"/>
              <w:rPr>
                <w:sz w:val="16"/>
              </w:rPr>
            </w:pPr>
            <w:r>
              <w:rPr>
                <w:sz w:val="16"/>
              </w:rPr>
              <w:t>0.616139</w:t>
            </w:r>
          </w:p>
        </w:tc>
        <w:tc>
          <w:tcPr>
            <w:tcW w:w="731" w:type="dxa"/>
            <w:tcBorders>
              <w:top w:val="double" w:sz="2" w:space="0" w:color="000000"/>
            </w:tcBorders>
          </w:tcPr>
          <w:p>
            <w:pPr>
              <w:pStyle w:val="TableParagraph"/>
              <w:spacing w:line="165" w:lineRule="exact" w:before="109"/>
              <w:ind w:right="11"/>
              <w:rPr>
                <w:sz w:val="16"/>
              </w:rPr>
            </w:pPr>
            <w:r>
              <w:rPr>
                <w:sz w:val="16"/>
              </w:rPr>
              <w:t>0.5383</w:t>
            </w:r>
          </w:p>
        </w:tc>
      </w:tr>
      <w:tr>
        <w:trPr>
          <w:trHeight w:val="183" w:hRule="atLeast"/>
        </w:trPr>
        <w:tc>
          <w:tcPr>
            <w:tcW w:w="2570" w:type="dxa"/>
          </w:tcPr>
          <w:p>
            <w:pPr>
              <w:pStyle w:val="TableParagraph"/>
              <w:tabs>
                <w:tab w:pos="709" w:val="left" w:leader="none"/>
                <w:tab w:pos="1824" w:val="left" w:leader="none"/>
              </w:tabs>
              <w:spacing w:line="164" w:lineRule="exact" w:before="0"/>
              <w:ind w:left="81"/>
              <w:jc w:val="left"/>
              <w:rPr>
                <w:sz w:val="16"/>
              </w:rPr>
            </w:pPr>
            <w:r>
              <w:rPr>
                <w:spacing w:val="-4"/>
                <w:sz w:val="16"/>
              </w:rPr>
              <w:t>TIPO</w:t>
            </w:r>
            <w:r>
              <w:rPr>
                <w:spacing w:val="-4"/>
                <w:sz w:val="16"/>
                <w:u w:val="single"/>
              </w:rPr>
              <w:t> </w:t>
              <w:tab/>
            </w:r>
            <w:r>
              <w:rPr>
                <w:spacing w:val="-6"/>
                <w:sz w:val="16"/>
              </w:rPr>
              <w:t>1_CASA</w:t>
            </w:r>
            <w:r>
              <w:rPr>
                <w:spacing w:val="-6"/>
                <w:sz w:val="16"/>
                <w:u w:val="single"/>
              </w:rPr>
              <w:t>   </w:t>
            </w:r>
            <w:r>
              <w:rPr>
                <w:spacing w:val="24"/>
                <w:sz w:val="16"/>
                <w:u w:val="single"/>
              </w:rPr>
              <w:t> </w:t>
            </w:r>
            <w:r>
              <w:rPr>
                <w:spacing w:val="-4"/>
                <w:sz w:val="16"/>
              </w:rPr>
              <w:t>0</w:t>
            </w:r>
            <w:r>
              <w:rPr>
                <w:spacing w:val="-4"/>
                <w:sz w:val="16"/>
                <w:u w:val="single"/>
              </w:rPr>
              <w:t> </w:t>
              <w:tab/>
            </w:r>
            <w:r>
              <w:rPr>
                <w:sz w:val="16"/>
              </w:rPr>
              <w:t>CONDO</w:t>
            </w:r>
          </w:p>
        </w:tc>
        <w:tc>
          <w:tcPr>
            <w:tcW w:w="897" w:type="dxa"/>
          </w:tcPr>
          <w:p>
            <w:pPr>
              <w:pStyle w:val="TableParagraph"/>
              <w:spacing w:line="164" w:lineRule="exact" w:before="0"/>
              <w:ind w:right="104"/>
              <w:rPr>
                <w:sz w:val="16"/>
              </w:rPr>
            </w:pPr>
            <w:r>
              <w:rPr>
                <w:sz w:val="16"/>
              </w:rPr>
              <w:t>55157.50</w:t>
            </w:r>
          </w:p>
        </w:tc>
        <w:tc>
          <w:tcPr>
            <w:tcW w:w="971" w:type="dxa"/>
          </w:tcPr>
          <w:p>
            <w:pPr>
              <w:pStyle w:val="TableParagraph"/>
              <w:spacing w:line="164" w:lineRule="exact" w:before="0"/>
              <w:ind w:left="140" w:right="69"/>
              <w:jc w:val="center"/>
              <w:rPr>
                <w:sz w:val="16"/>
              </w:rPr>
            </w:pPr>
            <w:r>
              <w:rPr>
                <w:sz w:val="16"/>
              </w:rPr>
              <w:t>21095.48</w:t>
            </w:r>
          </w:p>
        </w:tc>
        <w:tc>
          <w:tcPr>
            <w:tcW w:w="895" w:type="dxa"/>
          </w:tcPr>
          <w:p>
            <w:pPr>
              <w:pStyle w:val="TableParagraph"/>
              <w:spacing w:line="164" w:lineRule="exact" w:before="0"/>
              <w:ind w:right="61"/>
              <w:rPr>
                <w:sz w:val="16"/>
              </w:rPr>
            </w:pPr>
            <w:r>
              <w:rPr>
                <w:sz w:val="16"/>
              </w:rPr>
              <w:t>2.614660</w:t>
            </w:r>
          </w:p>
        </w:tc>
        <w:tc>
          <w:tcPr>
            <w:tcW w:w="731" w:type="dxa"/>
          </w:tcPr>
          <w:p>
            <w:pPr>
              <w:pStyle w:val="TableParagraph"/>
              <w:spacing w:line="164" w:lineRule="exact" w:before="0"/>
              <w:ind w:right="11"/>
              <w:rPr>
                <w:sz w:val="16"/>
              </w:rPr>
            </w:pPr>
            <w:r>
              <w:rPr>
                <w:sz w:val="16"/>
              </w:rPr>
              <w:t>0.0094</w:t>
            </w:r>
          </w:p>
        </w:tc>
      </w:tr>
      <w:tr>
        <w:trPr>
          <w:trHeight w:val="184" w:hRule="atLeast"/>
        </w:trPr>
        <w:tc>
          <w:tcPr>
            <w:tcW w:w="2570" w:type="dxa"/>
          </w:tcPr>
          <w:p>
            <w:pPr>
              <w:pStyle w:val="TableParagraph"/>
              <w:spacing w:line="164" w:lineRule="exact" w:before="0"/>
              <w:ind w:left="16"/>
              <w:jc w:val="left"/>
              <w:rPr>
                <w:sz w:val="16"/>
              </w:rPr>
            </w:pPr>
            <w:r>
              <w:rPr>
                <w:sz w:val="16"/>
              </w:rPr>
              <w:t>AREA_DE_CONSTRUCCION_EN_</w:t>
            </w:r>
          </w:p>
        </w:tc>
        <w:tc>
          <w:tcPr>
            <w:tcW w:w="897" w:type="dxa"/>
          </w:tcPr>
          <w:p>
            <w:pPr>
              <w:pStyle w:val="TableParagraph"/>
              <w:spacing w:line="164" w:lineRule="exact" w:before="0"/>
              <w:ind w:right="104"/>
              <w:rPr>
                <w:sz w:val="16"/>
              </w:rPr>
            </w:pPr>
            <w:r>
              <w:rPr>
                <w:sz w:val="16"/>
              </w:rPr>
              <w:t>20.69926</w:t>
            </w:r>
          </w:p>
        </w:tc>
        <w:tc>
          <w:tcPr>
            <w:tcW w:w="971" w:type="dxa"/>
          </w:tcPr>
          <w:p>
            <w:pPr>
              <w:pStyle w:val="TableParagraph"/>
              <w:spacing w:line="164" w:lineRule="exact" w:before="0"/>
              <w:ind w:left="140" w:right="69"/>
              <w:jc w:val="center"/>
              <w:rPr>
                <w:sz w:val="16"/>
              </w:rPr>
            </w:pPr>
            <w:r>
              <w:rPr>
                <w:sz w:val="16"/>
              </w:rPr>
              <w:t>64.64393</w:t>
            </w:r>
          </w:p>
        </w:tc>
        <w:tc>
          <w:tcPr>
            <w:tcW w:w="895" w:type="dxa"/>
          </w:tcPr>
          <w:p>
            <w:pPr>
              <w:pStyle w:val="TableParagraph"/>
              <w:spacing w:line="164" w:lineRule="exact" w:before="0"/>
              <w:ind w:right="61"/>
              <w:rPr>
                <w:sz w:val="16"/>
              </w:rPr>
            </w:pPr>
            <w:r>
              <w:rPr>
                <w:sz w:val="16"/>
              </w:rPr>
              <w:t>0.320204</w:t>
            </w:r>
          </w:p>
        </w:tc>
        <w:tc>
          <w:tcPr>
            <w:tcW w:w="731" w:type="dxa"/>
          </w:tcPr>
          <w:p>
            <w:pPr>
              <w:pStyle w:val="TableParagraph"/>
              <w:spacing w:line="164" w:lineRule="exact" w:before="0"/>
              <w:ind w:right="11"/>
              <w:rPr>
                <w:sz w:val="16"/>
              </w:rPr>
            </w:pPr>
            <w:r>
              <w:rPr>
                <w:sz w:val="16"/>
              </w:rPr>
              <w:t>0.7490</w:t>
            </w:r>
          </w:p>
        </w:tc>
      </w:tr>
      <w:tr>
        <w:trPr>
          <w:trHeight w:val="184" w:hRule="atLeast"/>
        </w:trPr>
        <w:tc>
          <w:tcPr>
            <w:tcW w:w="2570" w:type="dxa"/>
          </w:tcPr>
          <w:p>
            <w:pPr>
              <w:pStyle w:val="TableParagraph"/>
              <w:spacing w:line="164" w:lineRule="exact" w:before="0"/>
              <w:ind w:left="233"/>
              <w:jc w:val="left"/>
              <w:rPr>
                <w:sz w:val="16"/>
              </w:rPr>
            </w:pPr>
            <w:r>
              <w:rPr>
                <w:sz w:val="16"/>
              </w:rPr>
              <w:t>ANO_DE_CONSTRUCCION</w:t>
            </w:r>
          </w:p>
        </w:tc>
        <w:tc>
          <w:tcPr>
            <w:tcW w:w="897" w:type="dxa"/>
          </w:tcPr>
          <w:p>
            <w:pPr>
              <w:pStyle w:val="TableParagraph"/>
              <w:spacing w:line="164" w:lineRule="exact" w:before="0"/>
              <w:ind w:right="104"/>
              <w:rPr>
                <w:sz w:val="16"/>
              </w:rPr>
            </w:pPr>
            <w:r>
              <w:rPr>
                <w:sz w:val="16"/>
              </w:rPr>
              <w:t>-1429.598</w:t>
            </w:r>
          </w:p>
        </w:tc>
        <w:tc>
          <w:tcPr>
            <w:tcW w:w="971" w:type="dxa"/>
          </w:tcPr>
          <w:p>
            <w:pPr>
              <w:pStyle w:val="TableParagraph"/>
              <w:spacing w:line="164" w:lineRule="exact" w:before="0"/>
              <w:ind w:left="140" w:right="69"/>
              <w:jc w:val="center"/>
              <w:rPr>
                <w:sz w:val="16"/>
              </w:rPr>
            </w:pPr>
            <w:r>
              <w:rPr>
                <w:sz w:val="16"/>
              </w:rPr>
              <w:t>2321.587</w:t>
            </w:r>
          </w:p>
        </w:tc>
        <w:tc>
          <w:tcPr>
            <w:tcW w:w="895" w:type="dxa"/>
          </w:tcPr>
          <w:p>
            <w:pPr>
              <w:pStyle w:val="TableParagraph"/>
              <w:spacing w:line="164" w:lineRule="exact" w:before="0"/>
              <w:ind w:right="61"/>
              <w:rPr>
                <w:sz w:val="16"/>
              </w:rPr>
            </w:pPr>
            <w:r>
              <w:rPr>
                <w:sz w:val="16"/>
              </w:rPr>
              <w:t>-0.615785</w:t>
            </w:r>
          </w:p>
        </w:tc>
        <w:tc>
          <w:tcPr>
            <w:tcW w:w="731" w:type="dxa"/>
          </w:tcPr>
          <w:p>
            <w:pPr>
              <w:pStyle w:val="TableParagraph"/>
              <w:spacing w:line="164" w:lineRule="exact" w:before="0"/>
              <w:ind w:right="11"/>
              <w:rPr>
                <w:sz w:val="16"/>
              </w:rPr>
            </w:pPr>
            <w:r>
              <w:rPr>
                <w:sz w:val="16"/>
              </w:rPr>
              <w:t>0.5385</w:t>
            </w:r>
          </w:p>
        </w:tc>
      </w:tr>
      <w:tr>
        <w:trPr>
          <w:trHeight w:val="184" w:hRule="atLeast"/>
        </w:trPr>
        <w:tc>
          <w:tcPr>
            <w:tcW w:w="2570" w:type="dxa"/>
          </w:tcPr>
          <w:p>
            <w:pPr>
              <w:pStyle w:val="TableParagraph"/>
              <w:spacing w:line="164" w:lineRule="exact" w:before="0"/>
              <w:ind w:left="428"/>
              <w:jc w:val="left"/>
              <w:rPr>
                <w:sz w:val="16"/>
              </w:rPr>
            </w:pPr>
            <w:r>
              <w:rPr>
                <w:sz w:val="16"/>
              </w:rPr>
              <w:t>NUMERO_DE_BANOS</w:t>
            </w:r>
          </w:p>
        </w:tc>
        <w:tc>
          <w:tcPr>
            <w:tcW w:w="897" w:type="dxa"/>
          </w:tcPr>
          <w:p>
            <w:pPr>
              <w:pStyle w:val="TableParagraph"/>
              <w:spacing w:line="164" w:lineRule="exact" w:before="0"/>
              <w:ind w:right="104"/>
              <w:rPr>
                <w:sz w:val="16"/>
              </w:rPr>
            </w:pPr>
            <w:r>
              <w:rPr>
                <w:sz w:val="16"/>
              </w:rPr>
              <w:t>132944.7</w:t>
            </w:r>
          </w:p>
        </w:tc>
        <w:tc>
          <w:tcPr>
            <w:tcW w:w="971" w:type="dxa"/>
          </w:tcPr>
          <w:p>
            <w:pPr>
              <w:pStyle w:val="TableParagraph"/>
              <w:spacing w:line="164" w:lineRule="exact" w:before="0"/>
              <w:ind w:left="140" w:right="69"/>
              <w:jc w:val="center"/>
              <w:rPr>
                <w:sz w:val="16"/>
              </w:rPr>
            </w:pPr>
            <w:r>
              <w:rPr>
                <w:sz w:val="16"/>
              </w:rPr>
              <w:t>16376.62</w:t>
            </w:r>
          </w:p>
        </w:tc>
        <w:tc>
          <w:tcPr>
            <w:tcW w:w="895" w:type="dxa"/>
          </w:tcPr>
          <w:p>
            <w:pPr>
              <w:pStyle w:val="TableParagraph"/>
              <w:spacing w:line="164" w:lineRule="exact" w:before="0"/>
              <w:ind w:right="61"/>
              <w:rPr>
                <w:sz w:val="16"/>
              </w:rPr>
            </w:pPr>
            <w:r>
              <w:rPr>
                <w:sz w:val="16"/>
              </w:rPr>
              <w:t>8.117957</w:t>
            </w:r>
          </w:p>
        </w:tc>
        <w:tc>
          <w:tcPr>
            <w:tcW w:w="731" w:type="dxa"/>
          </w:tcPr>
          <w:p>
            <w:pPr>
              <w:pStyle w:val="TableParagraph"/>
              <w:spacing w:line="164" w:lineRule="exact" w:before="0"/>
              <w:ind w:right="11"/>
              <w:rPr>
                <w:sz w:val="16"/>
              </w:rPr>
            </w:pPr>
            <w:r>
              <w:rPr>
                <w:sz w:val="16"/>
              </w:rPr>
              <w:t>0.0000</w:t>
            </w:r>
          </w:p>
        </w:tc>
      </w:tr>
      <w:tr>
        <w:trPr>
          <w:trHeight w:val="183" w:hRule="atLeast"/>
        </w:trPr>
        <w:tc>
          <w:tcPr>
            <w:tcW w:w="2570" w:type="dxa"/>
          </w:tcPr>
          <w:p>
            <w:pPr>
              <w:pStyle w:val="TableParagraph"/>
              <w:spacing w:line="164" w:lineRule="exact" w:before="0"/>
              <w:ind w:left="352"/>
              <w:jc w:val="left"/>
              <w:rPr>
                <w:sz w:val="16"/>
              </w:rPr>
            </w:pPr>
            <w:r>
              <w:rPr>
                <w:sz w:val="16"/>
              </w:rPr>
              <w:t>NUMERO_DE_PLANTAS</w:t>
            </w:r>
          </w:p>
        </w:tc>
        <w:tc>
          <w:tcPr>
            <w:tcW w:w="897" w:type="dxa"/>
          </w:tcPr>
          <w:p>
            <w:pPr>
              <w:pStyle w:val="TableParagraph"/>
              <w:spacing w:line="164" w:lineRule="exact" w:before="0"/>
              <w:ind w:right="104"/>
              <w:rPr>
                <w:sz w:val="16"/>
              </w:rPr>
            </w:pPr>
            <w:r>
              <w:rPr>
                <w:sz w:val="16"/>
              </w:rPr>
              <w:t>-66115.92</w:t>
            </w:r>
          </w:p>
        </w:tc>
        <w:tc>
          <w:tcPr>
            <w:tcW w:w="971" w:type="dxa"/>
          </w:tcPr>
          <w:p>
            <w:pPr>
              <w:pStyle w:val="TableParagraph"/>
              <w:spacing w:line="164" w:lineRule="exact" w:before="0"/>
              <w:ind w:left="140" w:right="69"/>
              <w:jc w:val="center"/>
              <w:rPr>
                <w:sz w:val="16"/>
              </w:rPr>
            </w:pPr>
            <w:r>
              <w:rPr>
                <w:sz w:val="16"/>
              </w:rPr>
              <w:t>25404.04</w:t>
            </w:r>
          </w:p>
        </w:tc>
        <w:tc>
          <w:tcPr>
            <w:tcW w:w="895" w:type="dxa"/>
          </w:tcPr>
          <w:p>
            <w:pPr>
              <w:pStyle w:val="TableParagraph"/>
              <w:spacing w:line="164" w:lineRule="exact" w:before="0"/>
              <w:ind w:right="61"/>
              <w:rPr>
                <w:sz w:val="16"/>
              </w:rPr>
            </w:pPr>
            <w:r>
              <w:rPr>
                <w:sz w:val="16"/>
              </w:rPr>
              <w:t>-2.602575</w:t>
            </w:r>
          </w:p>
        </w:tc>
        <w:tc>
          <w:tcPr>
            <w:tcW w:w="731" w:type="dxa"/>
          </w:tcPr>
          <w:p>
            <w:pPr>
              <w:pStyle w:val="TableParagraph"/>
              <w:spacing w:line="164" w:lineRule="exact" w:before="0"/>
              <w:ind w:right="11"/>
              <w:rPr>
                <w:sz w:val="16"/>
              </w:rPr>
            </w:pPr>
            <w:r>
              <w:rPr>
                <w:sz w:val="16"/>
              </w:rPr>
              <w:t>0.0097</w:t>
            </w:r>
          </w:p>
        </w:tc>
      </w:tr>
      <w:tr>
        <w:trPr>
          <w:trHeight w:val="183" w:hRule="atLeast"/>
        </w:trPr>
        <w:tc>
          <w:tcPr>
            <w:tcW w:w="2570" w:type="dxa"/>
          </w:tcPr>
          <w:p>
            <w:pPr>
              <w:pStyle w:val="TableParagraph"/>
              <w:spacing w:line="164" w:lineRule="exact" w:before="0"/>
              <w:ind w:left="92"/>
              <w:jc w:val="left"/>
              <w:rPr>
                <w:sz w:val="16"/>
              </w:rPr>
            </w:pPr>
            <w:r>
              <w:rPr>
                <w:sz w:val="16"/>
              </w:rPr>
              <w:t>DISTANCIA_A_SAN_JOSE_CEN</w:t>
            </w:r>
          </w:p>
        </w:tc>
        <w:tc>
          <w:tcPr>
            <w:tcW w:w="897" w:type="dxa"/>
          </w:tcPr>
          <w:p>
            <w:pPr>
              <w:pStyle w:val="TableParagraph"/>
              <w:spacing w:line="164" w:lineRule="exact" w:before="0"/>
              <w:ind w:right="104"/>
              <w:rPr>
                <w:sz w:val="16"/>
              </w:rPr>
            </w:pPr>
            <w:r>
              <w:rPr>
                <w:sz w:val="16"/>
              </w:rPr>
              <w:t>-11685.71</w:t>
            </w:r>
          </w:p>
        </w:tc>
        <w:tc>
          <w:tcPr>
            <w:tcW w:w="971" w:type="dxa"/>
          </w:tcPr>
          <w:p>
            <w:pPr>
              <w:pStyle w:val="TableParagraph"/>
              <w:spacing w:line="164" w:lineRule="exact" w:before="0"/>
              <w:ind w:left="140" w:right="69"/>
              <w:jc w:val="center"/>
              <w:rPr>
                <w:sz w:val="16"/>
              </w:rPr>
            </w:pPr>
            <w:r>
              <w:rPr>
                <w:sz w:val="16"/>
              </w:rPr>
              <w:t>4886.966</w:t>
            </w:r>
          </w:p>
        </w:tc>
        <w:tc>
          <w:tcPr>
            <w:tcW w:w="895" w:type="dxa"/>
          </w:tcPr>
          <w:p>
            <w:pPr>
              <w:pStyle w:val="TableParagraph"/>
              <w:spacing w:line="164" w:lineRule="exact" w:before="0"/>
              <w:ind w:right="61"/>
              <w:rPr>
                <w:sz w:val="16"/>
              </w:rPr>
            </w:pPr>
            <w:r>
              <w:rPr>
                <w:sz w:val="16"/>
              </w:rPr>
              <w:t>-2.391201</w:t>
            </w:r>
          </w:p>
        </w:tc>
        <w:tc>
          <w:tcPr>
            <w:tcW w:w="731" w:type="dxa"/>
          </w:tcPr>
          <w:p>
            <w:pPr>
              <w:pStyle w:val="TableParagraph"/>
              <w:spacing w:line="164" w:lineRule="exact" w:before="0"/>
              <w:ind w:right="11"/>
              <w:rPr>
                <w:sz w:val="16"/>
              </w:rPr>
            </w:pPr>
            <w:r>
              <w:rPr>
                <w:sz w:val="16"/>
              </w:rPr>
              <w:t>0.0174</w:t>
            </w:r>
          </w:p>
        </w:tc>
      </w:tr>
      <w:tr>
        <w:trPr>
          <w:trHeight w:val="184" w:hRule="atLeast"/>
        </w:trPr>
        <w:tc>
          <w:tcPr>
            <w:tcW w:w="2570" w:type="dxa"/>
          </w:tcPr>
          <w:p>
            <w:pPr>
              <w:pStyle w:val="TableParagraph"/>
              <w:spacing w:line="164" w:lineRule="exact" w:before="0"/>
              <w:ind w:left="92"/>
              <w:jc w:val="left"/>
              <w:rPr>
                <w:sz w:val="16"/>
              </w:rPr>
            </w:pPr>
            <w:r>
              <w:rPr>
                <w:sz w:val="16"/>
              </w:rPr>
              <w:t>DISTANCIA_A_AGLOMERA_CIO</w:t>
            </w:r>
          </w:p>
        </w:tc>
        <w:tc>
          <w:tcPr>
            <w:tcW w:w="897" w:type="dxa"/>
          </w:tcPr>
          <w:p>
            <w:pPr>
              <w:pStyle w:val="TableParagraph"/>
              <w:spacing w:line="164" w:lineRule="exact" w:before="0"/>
              <w:ind w:right="104"/>
              <w:rPr>
                <w:sz w:val="16"/>
              </w:rPr>
            </w:pPr>
            <w:r>
              <w:rPr>
                <w:sz w:val="16"/>
              </w:rPr>
              <w:t>21810.56</w:t>
            </w:r>
          </w:p>
        </w:tc>
        <w:tc>
          <w:tcPr>
            <w:tcW w:w="971" w:type="dxa"/>
          </w:tcPr>
          <w:p>
            <w:pPr>
              <w:pStyle w:val="TableParagraph"/>
              <w:spacing w:line="164" w:lineRule="exact" w:before="0"/>
              <w:ind w:left="140" w:right="69"/>
              <w:jc w:val="center"/>
              <w:rPr>
                <w:sz w:val="16"/>
              </w:rPr>
            </w:pPr>
            <w:r>
              <w:rPr>
                <w:sz w:val="16"/>
              </w:rPr>
              <w:t>10617.83</w:t>
            </w:r>
          </w:p>
        </w:tc>
        <w:tc>
          <w:tcPr>
            <w:tcW w:w="895" w:type="dxa"/>
          </w:tcPr>
          <w:p>
            <w:pPr>
              <w:pStyle w:val="TableParagraph"/>
              <w:spacing w:line="164" w:lineRule="exact" w:before="0"/>
              <w:ind w:right="61"/>
              <w:rPr>
                <w:sz w:val="16"/>
              </w:rPr>
            </w:pPr>
            <w:r>
              <w:rPr>
                <w:sz w:val="16"/>
              </w:rPr>
              <w:t>2.054145</w:t>
            </w:r>
          </w:p>
        </w:tc>
        <w:tc>
          <w:tcPr>
            <w:tcW w:w="731" w:type="dxa"/>
          </w:tcPr>
          <w:p>
            <w:pPr>
              <w:pStyle w:val="TableParagraph"/>
              <w:spacing w:line="164" w:lineRule="exact" w:before="0"/>
              <w:ind w:right="11"/>
              <w:rPr>
                <w:sz w:val="16"/>
              </w:rPr>
            </w:pPr>
            <w:r>
              <w:rPr>
                <w:sz w:val="16"/>
              </w:rPr>
              <w:t>0.0409</w:t>
            </w:r>
          </w:p>
        </w:tc>
      </w:tr>
      <w:tr>
        <w:trPr>
          <w:trHeight w:val="184" w:hRule="atLeast"/>
        </w:trPr>
        <w:tc>
          <w:tcPr>
            <w:tcW w:w="2570" w:type="dxa"/>
          </w:tcPr>
          <w:p>
            <w:pPr>
              <w:pStyle w:val="TableParagraph"/>
              <w:spacing w:line="164" w:lineRule="exact" w:before="0"/>
              <w:ind w:left="16"/>
              <w:jc w:val="left"/>
              <w:rPr>
                <w:sz w:val="16"/>
              </w:rPr>
            </w:pPr>
            <w:r>
              <w:rPr>
                <w:sz w:val="16"/>
              </w:rPr>
              <w:t>ZONA_DE</w:t>
            </w:r>
            <w:r>
              <w:rPr>
                <w:sz w:val="16"/>
                <w:u w:val="single"/>
              </w:rPr>
              <w:t> </w:t>
            </w:r>
            <w:r>
              <w:rPr>
                <w:sz w:val="16"/>
              </w:rPr>
              <w:t>RIESGO_DE_DESAS</w:t>
            </w:r>
          </w:p>
        </w:tc>
        <w:tc>
          <w:tcPr>
            <w:tcW w:w="897" w:type="dxa"/>
          </w:tcPr>
          <w:p>
            <w:pPr>
              <w:pStyle w:val="TableParagraph"/>
              <w:spacing w:line="164" w:lineRule="exact" w:before="0"/>
              <w:ind w:right="104"/>
              <w:rPr>
                <w:sz w:val="16"/>
              </w:rPr>
            </w:pPr>
            <w:r>
              <w:rPr>
                <w:sz w:val="16"/>
              </w:rPr>
              <w:t>-41779.33</w:t>
            </w:r>
          </w:p>
        </w:tc>
        <w:tc>
          <w:tcPr>
            <w:tcW w:w="971" w:type="dxa"/>
          </w:tcPr>
          <w:p>
            <w:pPr>
              <w:pStyle w:val="TableParagraph"/>
              <w:spacing w:line="164" w:lineRule="exact" w:before="0"/>
              <w:ind w:left="140" w:right="69"/>
              <w:jc w:val="center"/>
              <w:rPr>
                <w:sz w:val="16"/>
              </w:rPr>
            </w:pPr>
            <w:r>
              <w:rPr>
                <w:sz w:val="16"/>
              </w:rPr>
              <w:t>32201.63</w:t>
            </w:r>
          </w:p>
        </w:tc>
        <w:tc>
          <w:tcPr>
            <w:tcW w:w="895" w:type="dxa"/>
          </w:tcPr>
          <w:p>
            <w:pPr>
              <w:pStyle w:val="TableParagraph"/>
              <w:spacing w:line="164" w:lineRule="exact" w:before="0"/>
              <w:ind w:right="61"/>
              <w:rPr>
                <w:sz w:val="16"/>
              </w:rPr>
            </w:pPr>
            <w:r>
              <w:rPr>
                <w:sz w:val="16"/>
              </w:rPr>
              <w:t>-1.297429</w:t>
            </w:r>
          </w:p>
        </w:tc>
        <w:tc>
          <w:tcPr>
            <w:tcW w:w="731" w:type="dxa"/>
          </w:tcPr>
          <w:p>
            <w:pPr>
              <w:pStyle w:val="TableParagraph"/>
              <w:spacing w:line="164" w:lineRule="exact" w:before="0"/>
              <w:ind w:right="11"/>
              <w:rPr>
                <w:sz w:val="16"/>
              </w:rPr>
            </w:pPr>
            <w:r>
              <w:rPr>
                <w:sz w:val="16"/>
              </w:rPr>
              <w:t>0.1955</w:t>
            </w:r>
          </w:p>
        </w:tc>
      </w:tr>
      <w:tr>
        <w:trPr>
          <w:trHeight w:val="212" w:hRule="atLeast"/>
        </w:trPr>
        <w:tc>
          <w:tcPr>
            <w:tcW w:w="2570" w:type="dxa"/>
            <w:tcBorders>
              <w:bottom w:val="double" w:sz="2" w:space="0" w:color="000000"/>
            </w:tcBorders>
          </w:tcPr>
          <w:p>
            <w:pPr>
              <w:pStyle w:val="TableParagraph"/>
              <w:spacing w:line="182" w:lineRule="exact" w:before="0"/>
              <w:ind w:left="265"/>
              <w:jc w:val="left"/>
              <w:rPr>
                <w:sz w:val="16"/>
              </w:rPr>
            </w:pPr>
            <w:r>
              <w:rPr>
                <w:sz w:val="16"/>
              </w:rPr>
              <w:t>VISTA_A_LA_CARPINTERA</w:t>
            </w:r>
          </w:p>
        </w:tc>
        <w:tc>
          <w:tcPr>
            <w:tcW w:w="897" w:type="dxa"/>
            <w:tcBorders>
              <w:bottom w:val="double" w:sz="2" w:space="0" w:color="000000"/>
            </w:tcBorders>
          </w:tcPr>
          <w:p>
            <w:pPr>
              <w:pStyle w:val="TableParagraph"/>
              <w:spacing w:line="182" w:lineRule="exact" w:before="0"/>
              <w:ind w:right="104"/>
              <w:rPr>
                <w:sz w:val="16"/>
              </w:rPr>
            </w:pPr>
            <w:r>
              <w:rPr>
                <w:sz w:val="16"/>
              </w:rPr>
              <w:t>68362.18</w:t>
            </w:r>
          </w:p>
        </w:tc>
        <w:tc>
          <w:tcPr>
            <w:tcW w:w="971" w:type="dxa"/>
            <w:tcBorders>
              <w:bottom w:val="double" w:sz="2" w:space="0" w:color="000000"/>
            </w:tcBorders>
          </w:tcPr>
          <w:p>
            <w:pPr>
              <w:pStyle w:val="TableParagraph"/>
              <w:spacing w:line="182" w:lineRule="exact" w:before="0"/>
              <w:ind w:left="140" w:right="69"/>
              <w:jc w:val="center"/>
              <w:rPr>
                <w:sz w:val="16"/>
              </w:rPr>
            </w:pPr>
            <w:r>
              <w:rPr>
                <w:sz w:val="16"/>
              </w:rPr>
              <w:t>26096.80</w:t>
            </w:r>
          </w:p>
        </w:tc>
        <w:tc>
          <w:tcPr>
            <w:tcW w:w="895" w:type="dxa"/>
            <w:tcBorders>
              <w:bottom w:val="double" w:sz="2" w:space="0" w:color="000000"/>
            </w:tcBorders>
          </w:tcPr>
          <w:p>
            <w:pPr>
              <w:pStyle w:val="TableParagraph"/>
              <w:spacing w:line="182" w:lineRule="exact" w:before="0"/>
              <w:ind w:right="61"/>
              <w:rPr>
                <w:sz w:val="16"/>
              </w:rPr>
            </w:pPr>
            <w:r>
              <w:rPr>
                <w:sz w:val="16"/>
              </w:rPr>
              <w:t>2.619562</w:t>
            </w:r>
          </w:p>
        </w:tc>
        <w:tc>
          <w:tcPr>
            <w:tcW w:w="731" w:type="dxa"/>
            <w:tcBorders>
              <w:bottom w:val="double" w:sz="2" w:space="0" w:color="000000"/>
            </w:tcBorders>
          </w:tcPr>
          <w:p>
            <w:pPr>
              <w:pStyle w:val="TableParagraph"/>
              <w:spacing w:line="182" w:lineRule="exact" w:before="0"/>
              <w:ind w:right="11"/>
              <w:rPr>
                <w:sz w:val="16"/>
              </w:rPr>
            </w:pPr>
            <w:r>
              <w:rPr>
                <w:sz w:val="16"/>
              </w:rPr>
              <w:t>0.0093</w:t>
            </w:r>
          </w:p>
        </w:tc>
      </w:tr>
      <w:tr>
        <w:trPr>
          <w:trHeight w:val="294" w:hRule="atLeast"/>
        </w:trPr>
        <w:tc>
          <w:tcPr>
            <w:tcW w:w="2570" w:type="dxa"/>
          </w:tcPr>
          <w:p>
            <w:pPr>
              <w:pStyle w:val="TableParagraph"/>
              <w:spacing w:line="166" w:lineRule="exact" w:before="109"/>
              <w:ind w:left="16"/>
              <w:jc w:val="left"/>
              <w:rPr>
                <w:sz w:val="16"/>
              </w:rPr>
            </w:pPr>
            <w:r>
              <w:rPr>
                <w:sz w:val="16"/>
              </w:rPr>
              <w:t>R-squared</w:t>
            </w:r>
          </w:p>
        </w:tc>
        <w:tc>
          <w:tcPr>
            <w:tcW w:w="897" w:type="dxa"/>
          </w:tcPr>
          <w:p>
            <w:pPr>
              <w:pStyle w:val="TableParagraph"/>
              <w:spacing w:line="166" w:lineRule="exact" w:before="109"/>
              <w:ind w:right="104"/>
              <w:rPr>
                <w:sz w:val="16"/>
              </w:rPr>
            </w:pPr>
            <w:r>
              <w:rPr>
                <w:sz w:val="16"/>
              </w:rPr>
              <w:t>0.459934</w:t>
            </w:r>
          </w:p>
        </w:tc>
        <w:tc>
          <w:tcPr>
            <w:tcW w:w="1866" w:type="dxa"/>
            <w:gridSpan w:val="2"/>
          </w:tcPr>
          <w:p>
            <w:pPr>
              <w:pStyle w:val="TableParagraph"/>
              <w:spacing w:line="166" w:lineRule="exact" w:before="109"/>
              <w:ind w:left="106"/>
              <w:jc w:val="left"/>
              <w:rPr>
                <w:sz w:val="16"/>
              </w:rPr>
            </w:pPr>
            <w:r>
              <w:rPr>
                <w:sz w:val="16"/>
              </w:rPr>
              <w:t>Mean dependent var</w:t>
            </w:r>
          </w:p>
        </w:tc>
        <w:tc>
          <w:tcPr>
            <w:tcW w:w="731" w:type="dxa"/>
          </w:tcPr>
          <w:p>
            <w:pPr>
              <w:pStyle w:val="TableParagraph"/>
              <w:spacing w:line="166" w:lineRule="exact" w:before="109"/>
              <w:ind w:right="11"/>
              <w:rPr>
                <w:sz w:val="16"/>
              </w:rPr>
            </w:pPr>
            <w:r>
              <w:rPr>
                <w:sz w:val="16"/>
              </w:rPr>
              <w:t>352974.2</w:t>
            </w:r>
          </w:p>
        </w:tc>
      </w:tr>
      <w:tr>
        <w:trPr>
          <w:trHeight w:val="184" w:hRule="atLeast"/>
        </w:trPr>
        <w:tc>
          <w:tcPr>
            <w:tcW w:w="2570" w:type="dxa"/>
          </w:tcPr>
          <w:p>
            <w:pPr>
              <w:pStyle w:val="TableParagraph"/>
              <w:spacing w:line="164" w:lineRule="exact" w:before="0"/>
              <w:ind w:left="16"/>
              <w:jc w:val="left"/>
              <w:rPr>
                <w:sz w:val="16"/>
              </w:rPr>
            </w:pPr>
            <w:r>
              <w:rPr>
                <w:sz w:val="16"/>
              </w:rPr>
              <w:t>Adjusted R-squared</w:t>
            </w:r>
          </w:p>
        </w:tc>
        <w:tc>
          <w:tcPr>
            <w:tcW w:w="897" w:type="dxa"/>
          </w:tcPr>
          <w:p>
            <w:pPr>
              <w:pStyle w:val="TableParagraph"/>
              <w:spacing w:line="164" w:lineRule="exact" w:before="0"/>
              <w:ind w:right="104"/>
              <w:rPr>
                <w:sz w:val="16"/>
              </w:rPr>
            </w:pPr>
            <w:r>
              <w:rPr>
                <w:sz w:val="16"/>
              </w:rPr>
              <w:t>0.443288</w:t>
            </w:r>
          </w:p>
        </w:tc>
        <w:tc>
          <w:tcPr>
            <w:tcW w:w="1866" w:type="dxa"/>
            <w:gridSpan w:val="2"/>
          </w:tcPr>
          <w:p>
            <w:pPr>
              <w:pStyle w:val="TableParagraph"/>
              <w:spacing w:line="164" w:lineRule="exact" w:before="0"/>
              <w:ind w:left="106"/>
              <w:jc w:val="left"/>
              <w:rPr>
                <w:sz w:val="16"/>
              </w:rPr>
            </w:pPr>
            <w:r>
              <w:rPr>
                <w:sz w:val="16"/>
              </w:rPr>
              <w:t>S.D. dependent var</w:t>
            </w:r>
          </w:p>
        </w:tc>
        <w:tc>
          <w:tcPr>
            <w:tcW w:w="731" w:type="dxa"/>
          </w:tcPr>
          <w:p>
            <w:pPr>
              <w:pStyle w:val="TableParagraph"/>
              <w:spacing w:line="164" w:lineRule="exact" w:before="0"/>
              <w:ind w:right="11"/>
              <w:rPr>
                <w:sz w:val="16"/>
              </w:rPr>
            </w:pPr>
            <w:r>
              <w:rPr>
                <w:sz w:val="16"/>
              </w:rPr>
              <w:t>235666.7</w:t>
            </w:r>
          </w:p>
        </w:tc>
      </w:tr>
      <w:tr>
        <w:trPr>
          <w:trHeight w:val="183" w:hRule="atLeast"/>
        </w:trPr>
        <w:tc>
          <w:tcPr>
            <w:tcW w:w="2570" w:type="dxa"/>
          </w:tcPr>
          <w:p>
            <w:pPr>
              <w:pStyle w:val="TableParagraph"/>
              <w:spacing w:line="164" w:lineRule="exact" w:before="0"/>
              <w:ind w:left="16"/>
              <w:jc w:val="left"/>
              <w:rPr>
                <w:sz w:val="16"/>
              </w:rPr>
            </w:pPr>
            <w:r>
              <w:rPr>
                <w:sz w:val="16"/>
              </w:rPr>
              <w:t>S.E. of regression</w:t>
            </w:r>
          </w:p>
        </w:tc>
        <w:tc>
          <w:tcPr>
            <w:tcW w:w="897" w:type="dxa"/>
          </w:tcPr>
          <w:p>
            <w:pPr>
              <w:pStyle w:val="TableParagraph"/>
              <w:spacing w:line="164" w:lineRule="exact" w:before="0"/>
              <w:ind w:right="104"/>
              <w:rPr>
                <w:sz w:val="16"/>
              </w:rPr>
            </w:pPr>
            <w:r>
              <w:rPr>
                <w:sz w:val="16"/>
              </w:rPr>
              <w:t>175838.3</w:t>
            </w:r>
          </w:p>
        </w:tc>
        <w:tc>
          <w:tcPr>
            <w:tcW w:w="1866" w:type="dxa"/>
            <w:gridSpan w:val="2"/>
          </w:tcPr>
          <w:p>
            <w:pPr>
              <w:pStyle w:val="TableParagraph"/>
              <w:spacing w:line="164" w:lineRule="exact" w:before="0"/>
              <w:ind w:left="106"/>
              <w:jc w:val="left"/>
              <w:rPr>
                <w:sz w:val="16"/>
              </w:rPr>
            </w:pPr>
            <w:r>
              <w:rPr>
                <w:sz w:val="16"/>
              </w:rPr>
              <w:t>Akaike info criterion</w:t>
            </w:r>
          </w:p>
        </w:tc>
        <w:tc>
          <w:tcPr>
            <w:tcW w:w="731" w:type="dxa"/>
          </w:tcPr>
          <w:p>
            <w:pPr>
              <w:pStyle w:val="TableParagraph"/>
              <w:spacing w:line="164" w:lineRule="exact" w:before="0"/>
              <w:ind w:right="11"/>
              <w:rPr>
                <w:sz w:val="16"/>
              </w:rPr>
            </w:pPr>
            <w:r>
              <w:rPr>
                <w:sz w:val="16"/>
              </w:rPr>
              <w:t>27.02507</w:t>
            </w:r>
          </w:p>
        </w:tc>
      </w:tr>
      <w:tr>
        <w:trPr>
          <w:trHeight w:val="183" w:hRule="atLeast"/>
        </w:trPr>
        <w:tc>
          <w:tcPr>
            <w:tcW w:w="2570" w:type="dxa"/>
          </w:tcPr>
          <w:p>
            <w:pPr>
              <w:pStyle w:val="TableParagraph"/>
              <w:spacing w:line="164" w:lineRule="exact" w:before="0"/>
              <w:ind w:left="16"/>
              <w:jc w:val="left"/>
              <w:rPr>
                <w:sz w:val="16"/>
              </w:rPr>
            </w:pPr>
            <w:r>
              <w:rPr>
                <w:sz w:val="16"/>
              </w:rPr>
              <w:t>Sum squared resid</w:t>
            </w:r>
          </w:p>
        </w:tc>
        <w:tc>
          <w:tcPr>
            <w:tcW w:w="897" w:type="dxa"/>
          </w:tcPr>
          <w:p>
            <w:pPr>
              <w:pStyle w:val="TableParagraph"/>
              <w:spacing w:line="164" w:lineRule="exact" w:before="0"/>
              <w:ind w:right="105"/>
              <w:rPr>
                <w:sz w:val="16"/>
              </w:rPr>
            </w:pPr>
            <w:r>
              <w:rPr>
                <w:sz w:val="16"/>
              </w:rPr>
              <w:t>9.03E+12</w:t>
            </w:r>
          </w:p>
        </w:tc>
        <w:tc>
          <w:tcPr>
            <w:tcW w:w="1866" w:type="dxa"/>
            <w:gridSpan w:val="2"/>
          </w:tcPr>
          <w:p>
            <w:pPr>
              <w:pStyle w:val="TableParagraph"/>
              <w:spacing w:line="164" w:lineRule="exact" w:before="0"/>
              <w:ind w:left="106"/>
              <w:jc w:val="left"/>
              <w:rPr>
                <w:sz w:val="16"/>
              </w:rPr>
            </w:pPr>
            <w:r>
              <w:rPr>
                <w:sz w:val="16"/>
              </w:rPr>
              <w:t>Schwarz criterion</w:t>
            </w:r>
          </w:p>
        </w:tc>
        <w:tc>
          <w:tcPr>
            <w:tcW w:w="731" w:type="dxa"/>
          </w:tcPr>
          <w:p>
            <w:pPr>
              <w:pStyle w:val="TableParagraph"/>
              <w:spacing w:line="164" w:lineRule="exact" w:before="0"/>
              <w:ind w:right="11"/>
              <w:rPr>
                <w:sz w:val="16"/>
              </w:rPr>
            </w:pPr>
            <w:r>
              <w:rPr>
                <w:sz w:val="16"/>
              </w:rPr>
              <w:t>27.14793</w:t>
            </w:r>
          </w:p>
        </w:tc>
      </w:tr>
      <w:tr>
        <w:trPr>
          <w:trHeight w:val="184" w:hRule="atLeast"/>
        </w:trPr>
        <w:tc>
          <w:tcPr>
            <w:tcW w:w="2570" w:type="dxa"/>
          </w:tcPr>
          <w:p>
            <w:pPr>
              <w:pStyle w:val="TableParagraph"/>
              <w:spacing w:line="164" w:lineRule="exact" w:before="0"/>
              <w:ind w:left="16"/>
              <w:jc w:val="left"/>
              <w:rPr>
                <w:sz w:val="16"/>
              </w:rPr>
            </w:pPr>
            <w:r>
              <w:rPr>
                <w:sz w:val="16"/>
              </w:rPr>
              <w:t>Log likelihood</w:t>
            </w:r>
          </w:p>
        </w:tc>
        <w:tc>
          <w:tcPr>
            <w:tcW w:w="897" w:type="dxa"/>
          </w:tcPr>
          <w:p>
            <w:pPr>
              <w:pStyle w:val="TableParagraph"/>
              <w:spacing w:line="164" w:lineRule="exact" w:before="0"/>
              <w:ind w:right="104"/>
              <w:rPr>
                <w:sz w:val="16"/>
              </w:rPr>
            </w:pPr>
            <w:r>
              <w:rPr>
                <w:sz w:val="16"/>
              </w:rPr>
              <w:t>-4070.785</w:t>
            </w:r>
          </w:p>
        </w:tc>
        <w:tc>
          <w:tcPr>
            <w:tcW w:w="1866" w:type="dxa"/>
            <w:gridSpan w:val="2"/>
          </w:tcPr>
          <w:p>
            <w:pPr>
              <w:pStyle w:val="TableParagraph"/>
              <w:spacing w:line="164" w:lineRule="exact" w:before="0"/>
              <w:ind w:left="106"/>
              <w:jc w:val="left"/>
              <w:rPr>
                <w:sz w:val="16"/>
              </w:rPr>
            </w:pPr>
            <w:r>
              <w:rPr>
                <w:sz w:val="16"/>
              </w:rPr>
              <w:t>Hannan-Quinn criter.</w:t>
            </w:r>
          </w:p>
        </w:tc>
        <w:tc>
          <w:tcPr>
            <w:tcW w:w="731" w:type="dxa"/>
          </w:tcPr>
          <w:p>
            <w:pPr>
              <w:pStyle w:val="TableParagraph"/>
              <w:spacing w:line="164" w:lineRule="exact" w:before="0"/>
              <w:ind w:right="11"/>
              <w:rPr>
                <w:sz w:val="16"/>
              </w:rPr>
            </w:pPr>
            <w:r>
              <w:rPr>
                <w:sz w:val="16"/>
              </w:rPr>
              <w:t>27.07423</w:t>
            </w:r>
          </w:p>
        </w:tc>
      </w:tr>
      <w:tr>
        <w:trPr>
          <w:trHeight w:val="212" w:hRule="atLeast"/>
        </w:trPr>
        <w:tc>
          <w:tcPr>
            <w:tcW w:w="2570" w:type="dxa"/>
            <w:tcBorders>
              <w:bottom w:val="double" w:sz="2" w:space="0" w:color="000000"/>
            </w:tcBorders>
          </w:tcPr>
          <w:p>
            <w:pPr>
              <w:pStyle w:val="TableParagraph"/>
              <w:spacing w:line="182" w:lineRule="exact" w:before="0"/>
              <w:ind w:left="16"/>
              <w:jc w:val="left"/>
              <w:rPr>
                <w:sz w:val="16"/>
              </w:rPr>
            </w:pPr>
            <w:r>
              <w:rPr>
                <w:sz w:val="16"/>
              </w:rPr>
              <w:t>Durbin-Watson stat</w:t>
            </w:r>
          </w:p>
        </w:tc>
        <w:tc>
          <w:tcPr>
            <w:tcW w:w="897" w:type="dxa"/>
            <w:tcBorders>
              <w:bottom w:val="double" w:sz="2" w:space="0" w:color="000000"/>
            </w:tcBorders>
          </w:tcPr>
          <w:p>
            <w:pPr>
              <w:pStyle w:val="TableParagraph"/>
              <w:spacing w:line="182" w:lineRule="exact" w:before="0"/>
              <w:ind w:right="104"/>
              <w:rPr>
                <w:sz w:val="16"/>
              </w:rPr>
            </w:pPr>
            <w:r>
              <w:rPr>
                <w:sz w:val="16"/>
              </w:rPr>
              <w:t>1.930238</w:t>
            </w:r>
          </w:p>
        </w:tc>
        <w:tc>
          <w:tcPr>
            <w:tcW w:w="1866" w:type="dxa"/>
            <w:gridSpan w:val="2"/>
            <w:tcBorders>
              <w:bottom w:val="double" w:sz="2" w:space="0" w:color="000000"/>
            </w:tcBorders>
          </w:tcPr>
          <w:p>
            <w:pPr>
              <w:pStyle w:val="TableParagraph"/>
              <w:spacing w:line="240" w:lineRule="auto" w:before="0"/>
              <w:jc w:val="left"/>
              <w:rPr>
                <w:rFonts w:ascii="Times New Roman"/>
                <w:sz w:val="14"/>
              </w:rPr>
            </w:pPr>
          </w:p>
        </w:tc>
        <w:tc>
          <w:tcPr>
            <w:tcW w:w="731" w:type="dxa"/>
            <w:tcBorders>
              <w:bottom w:val="double" w:sz="2" w:space="0" w:color="000000"/>
            </w:tcBorders>
          </w:tcPr>
          <w:p>
            <w:pPr>
              <w:pStyle w:val="TableParagraph"/>
              <w:spacing w:line="240" w:lineRule="auto" w:before="0"/>
              <w:jc w:val="left"/>
              <w:rPr>
                <w:rFonts w:ascii="Times New Roman"/>
                <w:sz w:val="14"/>
              </w:rPr>
            </w:pPr>
          </w:p>
        </w:tc>
      </w:tr>
    </w:tbl>
    <w:p>
      <w:pPr>
        <w:spacing w:after="0" w:line="240" w:lineRule="auto"/>
        <w:jc w:val="left"/>
        <w:rPr>
          <w:rFonts w:ascii="Times New Roman"/>
          <w:sz w:val="14"/>
        </w:rPr>
        <w:sectPr>
          <w:pgSz w:w="12240" w:h="15840"/>
          <w:pgMar w:header="0" w:footer="982" w:top="1460" w:bottom="1260" w:left="400" w:right="180"/>
        </w:sect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314"/>
        <w:gridCol w:w="481"/>
        <w:gridCol w:w="1248"/>
        <w:gridCol w:w="1250"/>
        <w:gridCol w:w="864"/>
        <w:gridCol w:w="819"/>
      </w:tblGrid>
      <w:tr>
        <w:trPr>
          <w:trHeight w:val="443" w:hRule="atLeast"/>
        </w:trPr>
        <w:tc>
          <w:tcPr>
            <w:tcW w:w="3314" w:type="dxa"/>
          </w:tcPr>
          <w:p>
            <w:pPr>
              <w:pStyle w:val="TableParagraph"/>
              <w:spacing w:line="290" w:lineRule="exact" w:before="0"/>
              <w:ind w:left="50"/>
              <w:jc w:val="left"/>
              <w:rPr>
                <w:b/>
                <w:sz w:val="26"/>
              </w:rPr>
            </w:pPr>
            <w:r>
              <w:rPr>
                <w:b/>
                <w:sz w:val="26"/>
              </w:rPr>
              <w:t>X- Modelo Número 10</w:t>
            </w:r>
          </w:p>
        </w:tc>
        <w:tc>
          <w:tcPr>
            <w:tcW w:w="4662" w:type="dxa"/>
            <w:gridSpan w:val="5"/>
            <w:vMerge w:val="restart"/>
          </w:tcPr>
          <w:p>
            <w:pPr>
              <w:pStyle w:val="TableParagraph"/>
              <w:spacing w:line="240" w:lineRule="auto" w:before="0"/>
              <w:jc w:val="left"/>
              <w:rPr>
                <w:rFonts w:ascii="Times New Roman"/>
                <w:sz w:val="16"/>
              </w:rPr>
            </w:pPr>
          </w:p>
        </w:tc>
      </w:tr>
      <w:tr>
        <w:trPr>
          <w:trHeight w:val="596" w:hRule="atLeast"/>
        </w:trPr>
        <w:tc>
          <w:tcPr>
            <w:tcW w:w="3314" w:type="dxa"/>
          </w:tcPr>
          <w:p>
            <w:pPr>
              <w:pStyle w:val="TableParagraph"/>
              <w:spacing w:line="240" w:lineRule="auto" w:before="144"/>
              <w:ind w:left="50"/>
              <w:jc w:val="left"/>
              <w:rPr>
                <w:b/>
                <w:sz w:val="26"/>
              </w:rPr>
            </w:pPr>
            <w:r>
              <w:rPr>
                <w:b/>
                <w:sz w:val="26"/>
              </w:rPr>
              <w:t>A- Regresión/ACR/VIF</w:t>
            </w:r>
          </w:p>
        </w:tc>
        <w:tc>
          <w:tcPr>
            <w:tcW w:w="4662" w:type="dxa"/>
            <w:gridSpan w:val="5"/>
            <w:vMerge/>
            <w:tcBorders>
              <w:top w:val="nil"/>
            </w:tcBorders>
          </w:tcPr>
          <w:p>
            <w:pPr>
              <w:rPr>
                <w:sz w:val="2"/>
                <w:szCs w:val="2"/>
              </w:rPr>
            </w:pPr>
          </w:p>
        </w:tc>
      </w:tr>
      <w:tr>
        <w:trPr>
          <w:trHeight w:val="426" w:hRule="atLeast"/>
        </w:trPr>
        <w:tc>
          <w:tcPr>
            <w:tcW w:w="3314" w:type="dxa"/>
          </w:tcPr>
          <w:p>
            <w:pPr>
              <w:pStyle w:val="TableParagraph"/>
              <w:spacing w:line="240" w:lineRule="auto" w:before="154"/>
              <w:ind w:left="50"/>
              <w:jc w:val="left"/>
              <w:rPr>
                <w:rFonts w:ascii="Courier New"/>
                <w:b/>
                <w:sz w:val="16"/>
              </w:rPr>
            </w:pPr>
            <w:r>
              <w:rPr>
                <w:rFonts w:ascii="Courier New"/>
                <w:b/>
                <w:sz w:val="16"/>
              </w:rPr>
              <w:t>Analysis of Variance</w:t>
            </w:r>
          </w:p>
        </w:tc>
        <w:tc>
          <w:tcPr>
            <w:tcW w:w="4662" w:type="dxa"/>
            <w:gridSpan w:val="5"/>
            <w:vMerge/>
            <w:tcBorders>
              <w:top w:val="nil"/>
            </w:tcBorders>
          </w:tcPr>
          <w:p>
            <w:pPr>
              <w:rPr>
                <w:sz w:val="2"/>
                <w:szCs w:val="2"/>
              </w:rPr>
            </w:pPr>
          </w:p>
        </w:tc>
      </w:tr>
      <w:tr>
        <w:trPr>
          <w:trHeight w:val="272" w:hRule="atLeast"/>
        </w:trPr>
        <w:tc>
          <w:tcPr>
            <w:tcW w:w="3314" w:type="dxa"/>
          </w:tcPr>
          <w:p>
            <w:pPr>
              <w:pStyle w:val="TableParagraph"/>
              <w:spacing w:line="161" w:lineRule="exact"/>
              <w:ind w:left="50"/>
              <w:jc w:val="left"/>
              <w:rPr>
                <w:rFonts w:ascii="Courier New"/>
                <w:b/>
                <w:sz w:val="16"/>
              </w:rPr>
            </w:pPr>
            <w:r>
              <w:rPr>
                <w:rFonts w:ascii="Courier New"/>
                <w:b/>
                <w:sz w:val="16"/>
              </w:rPr>
              <w:t>Source</w:t>
            </w:r>
          </w:p>
        </w:tc>
        <w:tc>
          <w:tcPr>
            <w:tcW w:w="481" w:type="dxa"/>
          </w:tcPr>
          <w:p>
            <w:pPr>
              <w:pStyle w:val="TableParagraph"/>
              <w:spacing w:line="161" w:lineRule="exact"/>
              <w:ind w:right="95"/>
              <w:rPr>
                <w:rFonts w:ascii="Courier New"/>
                <w:b/>
                <w:sz w:val="16"/>
              </w:rPr>
            </w:pPr>
            <w:r>
              <w:rPr>
                <w:rFonts w:ascii="Courier New"/>
                <w:b/>
                <w:sz w:val="16"/>
              </w:rPr>
              <w:t>DF</w:t>
            </w:r>
          </w:p>
        </w:tc>
        <w:tc>
          <w:tcPr>
            <w:tcW w:w="1248" w:type="dxa"/>
          </w:tcPr>
          <w:p>
            <w:pPr>
              <w:pStyle w:val="TableParagraph"/>
              <w:spacing w:line="161" w:lineRule="exact"/>
              <w:ind w:right="95"/>
              <w:rPr>
                <w:rFonts w:ascii="Courier New"/>
                <w:b/>
                <w:sz w:val="16"/>
              </w:rPr>
            </w:pPr>
            <w:r>
              <w:rPr>
                <w:rFonts w:ascii="Courier New"/>
                <w:b/>
                <w:sz w:val="16"/>
              </w:rPr>
              <w:t>Adj SS</w:t>
            </w:r>
          </w:p>
        </w:tc>
        <w:tc>
          <w:tcPr>
            <w:tcW w:w="1250" w:type="dxa"/>
          </w:tcPr>
          <w:p>
            <w:pPr>
              <w:pStyle w:val="TableParagraph"/>
              <w:spacing w:line="161" w:lineRule="exact"/>
              <w:ind w:right="94"/>
              <w:rPr>
                <w:rFonts w:ascii="Courier New"/>
                <w:b/>
                <w:sz w:val="16"/>
              </w:rPr>
            </w:pPr>
            <w:r>
              <w:rPr>
                <w:rFonts w:ascii="Courier New"/>
                <w:b/>
                <w:sz w:val="16"/>
              </w:rPr>
              <w:t>Adj MS</w:t>
            </w:r>
          </w:p>
        </w:tc>
        <w:tc>
          <w:tcPr>
            <w:tcW w:w="864" w:type="dxa"/>
          </w:tcPr>
          <w:p>
            <w:pPr>
              <w:pStyle w:val="TableParagraph"/>
              <w:spacing w:line="161" w:lineRule="exact"/>
              <w:ind w:right="95"/>
              <w:rPr>
                <w:rFonts w:ascii="Courier New"/>
                <w:b/>
                <w:sz w:val="16"/>
              </w:rPr>
            </w:pPr>
            <w:r>
              <w:rPr>
                <w:rFonts w:ascii="Courier New"/>
                <w:b/>
                <w:sz w:val="16"/>
              </w:rPr>
              <w:t>F-Value</w:t>
            </w:r>
          </w:p>
        </w:tc>
        <w:tc>
          <w:tcPr>
            <w:tcW w:w="819" w:type="dxa"/>
          </w:tcPr>
          <w:p>
            <w:pPr>
              <w:pStyle w:val="TableParagraph"/>
              <w:spacing w:line="161" w:lineRule="exact"/>
              <w:ind w:right="49"/>
              <w:rPr>
                <w:rFonts w:ascii="Courier New"/>
                <w:b/>
                <w:sz w:val="16"/>
              </w:rPr>
            </w:pPr>
            <w:r>
              <w:rPr>
                <w:rFonts w:ascii="Courier New"/>
                <w:b/>
                <w:sz w:val="16"/>
              </w:rPr>
              <w:t>P-Value</w:t>
            </w:r>
          </w:p>
        </w:tc>
      </w:tr>
      <w:tr>
        <w:trPr>
          <w:trHeight w:val="180" w:hRule="atLeast"/>
        </w:trPr>
        <w:tc>
          <w:tcPr>
            <w:tcW w:w="3314" w:type="dxa"/>
          </w:tcPr>
          <w:p>
            <w:pPr>
              <w:pStyle w:val="TableParagraph"/>
              <w:spacing w:line="160" w:lineRule="exact" w:before="0"/>
              <w:ind w:left="50"/>
              <w:jc w:val="left"/>
              <w:rPr>
                <w:rFonts w:ascii="Courier New"/>
                <w:b/>
                <w:sz w:val="16"/>
              </w:rPr>
            </w:pPr>
            <w:r>
              <w:rPr>
                <w:rFonts w:ascii="Courier New"/>
                <w:b/>
                <w:sz w:val="16"/>
              </w:rPr>
              <w:t>Regression</w:t>
            </w:r>
          </w:p>
        </w:tc>
        <w:tc>
          <w:tcPr>
            <w:tcW w:w="481" w:type="dxa"/>
          </w:tcPr>
          <w:p>
            <w:pPr>
              <w:pStyle w:val="TableParagraph"/>
              <w:spacing w:line="160" w:lineRule="exact" w:before="0"/>
              <w:ind w:right="95"/>
              <w:rPr>
                <w:rFonts w:ascii="Courier New"/>
                <w:b/>
                <w:sz w:val="16"/>
              </w:rPr>
            </w:pPr>
            <w:r>
              <w:rPr>
                <w:rFonts w:ascii="Courier New"/>
                <w:b/>
                <w:sz w:val="16"/>
              </w:rPr>
              <w:t>9</w:t>
            </w:r>
          </w:p>
        </w:tc>
        <w:tc>
          <w:tcPr>
            <w:tcW w:w="1248" w:type="dxa"/>
          </w:tcPr>
          <w:p>
            <w:pPr>
              <w:pStyle w:val="TableParagraph"/>
              <w:spacing w:line="160" w:lineRule="exact" w:before="0"/>
              <w:ind w:right="95"/>
              <w:rPr>
                <w:rFonts w:ascii="Courier New"/>
                <w:b/>
                <w:sz w:val="16"/>
              </w:rPr>
            </w:pPr>
            <w:r>
              <w:rPr>
                <w:rFonts w:ascii="Courier New"/>
                <w:b/>
                <w:sz w:val="16"/>
              </w:rPr>
              <w:t>5.94813E+12</w:t>
            </w:r>
          </w:p>
        </w:tc>
        <w:tc>
          <w:tcPr>
            <w:tcW w:w="1250" w:type="dxa"/>
          </w:tcPr>
          <w:p>
            <w:pPr>
              <w:pStyle w:val="TableParagraph"/>
              <w:spacing w:line="160" w:lineRule="exact" w:before="0"/>
              <w:ind w:right="97"/>
              <w:rPr>
                <w:rFonts w:ascii="Courier New"/>
                <w:b/>
                <w:sz w:val="16"/>
              </w:rPr>
            </w:pPr>
            <w:r>
              <w:rPr>
                <w:rFonts w:ascii="Courier New"/>
                <w:b/>
                <w:sz w:val="16"/>
              </w:rPr>
              <w:t>6.60904E+11</w:t>
            </w:r>
          </w:p>
        </w:tc>
        <w:tc>
          <w:tcPr>
            <w:tcW w:w="864" w:type="dxa"/>
          </w:tcPr>
          <w:p>
            <w:pPr>
              <w:pStyle w:val="TableParagraph"/>
              <w:spacing w:line="160" w:lineRule="exact" w:before="0"/>
              <w:ind w:right="97"/>
              <w:rPr>
                <w:rFonts w:ascii="Courier New"/>
                <w:b/>
                <w:sz w:val="16"/>
              </w:rPr>
            </w:pPr>
            <w:r>
              <w:rPr>
                <w:rFonts w:ascii="Courier New"/>
                <w:b/>
                <w:sz w:val="16"/>
              </w:rPr>
              <w:t>17.92</w:t>
            </w:r>
          </w:p>
        </w:tc>
        <w:tc>
          <w:tcPr>
            <w:tcW w:w="819" w:type="dxa"/>
          </w:tcPr>
          <w:p>
            <w:pPr>
              <w:pStyle w:val="TableParagraph"/>
              <w:spacing w:line="160" w:lineRule="exact" w:before="0"/>
              <w:ind w:right="52"/>
              <w:rPr>
                <w:rFonts w:ascii="Courier New"/>
                <w:b/>
                <w:sz w:val="16"/>
              </w:rPr>
            </w:pPr>
            <w:r>
              <w:rPr>
                <w:rFonts w:ascii="Courier New"/>
                <w:b/>
                <w:sz w:val="16"/>
              </w:rPr>
              <w:t>0.000</w:t>
            </w:r>
          </w:p>
        </w:tc>
      </w:tr>
      <w:tr>
        <w:trPr>
          <w:trHeight w:val="182" w:hRule="atLeast"/>
        </w:trPr>
        <w:tc>
          <w:tcPr>
            <w:tcW w:w="3314" w:type="dxa"/>
          </w:tcPr>
          <w:p>
            <w:pPr>
              <w:pStyle w:val="TableParagraph"/>
              <w:spacing w:line="162" w:lineRule="exact" w:before="0"/>
              <w:ind w:left="241"/>
              <w:jc w:val="left"/>
              <w:rPr>
                <w:rFonts w:ascii="Courier New" w:hAnsi="Courier New"/>
                <w:b/>
                <w:sz w:val="16"/>
              </w:rPr>
            </w:pPr>
            <w:r>
              <w:rPr>
                <w:rFonts w:ascii="Courier New" w:hAnsi="Courier New"/>
                <w:b/>
                <w:sz w:val="16"/>
              </w:rPr>
              <w:t>Área de Construcción en metros</w:t>
            </w:r>
          </w:p>
        </w:tc>
        <w:tc>
          <w:tcPr>
            <w:tcW w:w="481" w:type="dxa"/>
          </w:tcPr>
          <w:p>
            <w:pPr>
              <w:pStyle w:val="TableParagraph"/>
              <w:spacing w:line="162" w:lineRule="exact" w:before="0"/>
              <w:ind w:right="95"/>
              <w:rPr>
                <w:rFonts w:ascii="Courier New"/>
                <w:b/>
                <w:sz w:val="16"/>
              </w:rPr>
            </w:pPr>
            <w:r>
              <w:rPr>
                <w:rFonts w:ascii="Courier New"/>
                <w:b/>
                <w:sz w:val="16"/>
              </w:rPr>
              <w:t>1</w:t>
            </w:r>
          </w:p>
        </w:tc>
        <w:tc>
          <w:tcPr>
            <w:tcW w:w="1248" w:type="dxa"/>
          </w:tcPr>
          <w:p>
            <w:pPr>
              <w:pStyle w:val="TableParagraph"/>
              <w:spacing w:line="162" w:lineRule="exact" w:before="0"/>
              <w:ind w:right="95"/>
              <w:rPr>
                <w:rFonts w:ascii="Courier New"/>
                <w:b/>
                <w:sz w:val="16"/>
              </w:rPr>
            </w:pPr>
            <w:r>
              <w:rPr>
                <w:rFonts w:ascii="Courier New"/>
                <w:b/>
                <w:sz w:val="16"/>
              </w:rPr>
              <w:t>42401795708</w:t>
            </w:r>
          </w:p>
        </w:tc>
        <w:tc>
          <w:tcPr>
            <w:tcW w:w="1250" w:type="dxa"/>
          </w:tcPr>
          <w:p>
            <w:pPr>
              <w:pStyle w:val="TableParagraph"/>
              <w:spacing w:line="162" w:lineRule="exact" w:before="0"/>
              <w:ind w:right="97"/>
              <w:rPr>
                <w:rFonts w:ascii="Courier New"/>
                <w:b/>
                <w:sz w:val="16"/>
              </w:rPr>
            </w:pPr>
            <w:r>
              <w:rPr>
                <w:rFonts w:ascii="Courier New"/>
                <w:b/>
                <w:sz w:val="16"/>
              </w:rPr>
              <w:t>42401795708</w:t>
            </w:r>
          </w:p>
        </w:tc>
        <w:tc>
          <w:tcPr>
            <w:tcW w:w="864" w:type="dxa"/>
          </w:tcPr>
          <w:p>
            <w:pPr>
              <w:pStyle w:val="TableParagraph"/>
              <w:spacing w:line="162" w:lineRule="exact" w:before="0"/>
              <w:ind w:right="97"/>
              <w:rPr>
                <w:rFonts w:ascii="Courier New"/>
                <w:b/>
                <w:sz w:val="16"/>
              </w:rPr>
            </w:pPr>
            <w:r>
              <w:rPr>
                <w:rFonts w:ascii="Courier New"/>
                <w:b/>
                <w:sz w:val="16"/>
              </w:rPr>
              <w:t>1.15</w:t>
            </w:r>
          </w:p>
        </w:tc>
        <w:tc>
          <w:tcPr>
            <w:tcW w:w="819" w:type="dxa"/>
          </w:tcPr>
          <w:p>
            <w:pPr>
              <w:pStyle w:val="TableParagraph"/>
              <w:spacing w:line="162" w:lineRule="exact" w:before="0"/>
              <w:ind w:right="52"/>
              <w:rPr>
                <w:rFonts w:ascii="Courier New"/>
                <w:b/>
                <w:sz w:val="16"/>
              </w:rPr>
            </w:pPr>
            <w:r>
              <w:rPr>
                <w:rFonts w:ascii="Courier New"/>
                <w:b/>
                <w:sz w:val="16"/>
              </w:rPr>
              <w:t>0.284</w:t>
            </w:r>
          </w:p>
        </w:tc>
      </w:tr>
      <w:tr>
        <w:trPr>
          <w:trHeight w:val="182" w:hRule="atLeast"/>
        </w:trPr>
        <w:tc>
          <w:tcPr>
            <w:tcW w:w="3314" w:type="dxa"/>
          </w:tcPr>
          <w:p>
            <w:pPr>
              <w:pStyle w:val="TableParagraph"/>
              <w:spacing w:line="161" w:lineRule="exact" w:before="1"/>
              <w:ind w:left="241"/>
              <w:jc w:val="left"/>
              <w:rPr>
                <w:rFonts w:ascii="Courier New" w:hAnsi="Courier New"/>
                <w:b/>
                <w:sz w:val="16"/>
              </w:rPr>
            </w:pPr>
            <w:r>
              <w:rPr>
                <w:rFonts w:ascii="Courier New" w:hAnsi="Courier New"/>
                <w:b/>
                <w:sz w:val="16"/>
              </w:rPr>
              <w:t>Año de Construcción</w:t>
            </w:r>
          </w:p>
        </w:tc>
        <w:tc>
          <w:tcPr>
            <w:tcW w:w="481" w:type="dxa"/>
          </w:tcPr>
          <w:p>
            <w:pPr>
              <w:pStyle w:val="TableParagraph"/>
              <w:spacing w:line="161" w:lineRule="exact" w:before="1"/>
              <w:ind w:right="95"/>
              <w:rPr>
                <w:rFonts w:ascii="Courier New"/>
                <w:b/>
                <w:sz w:val="16"/>
              </w:rPr>
            </w:pPr>
            <w:r>
              <w:rPr>
                <w:rFonts w:ascii="Courier New"/>
                <w:b/>
                <w:sz w:val="16"/>
              </w:rPr>
              <w:t>1</w:t>
            </w:r>
          </w:p>
        </w:tc>
        <w:tc>
          <w:tcPr>
            <w:tcW w:w="1248" w:type="dxa"/>
          </w:tcPr>
          <w:p>
            <w:pPr>
              <w:pStyle w:val="TableParagraph"/>
              <w:spacing w:line="161" w:lineRule="exact" w:before="1"/>
              <w:ind w:right="95"/>
              <w:rPr>
                <w:rFonts w:ascii="Courier New"/>
                <w:b/>
                <w:sz w:val="16"/>
              </w:rPr>
            </w:pPr>
            <w:r>
              <w:rPr>
                <w:rFonts w:ascii="Courier New"/>
                <w:b/>
                <w:sz w:val="16"/>
              </w:rPr>
              <w:t>87594069036</w:t>
            </w:r>
          </w:p>
        </w:tc>
        <w:tc>
          <w:tcPr>
            <w:tcW w:w="1250" w:type="dxa"/>
          </w:tcPr>
          <w:p>
            <w:pPr>
              <w:pStyle w:val="TableParagraph"/>
              <w:spacing w:line="161" w:lineRule="exact" w:before="1"/>
              <w:ind w:right="97"/>
              <w:rPr>
                <w:rFonts w:ascii="Courier New"/>
                <w:b/>
                <w:sz w:val="16"/>
              </w:rPr>
            </w:pPr>
            <w:r>
              <w:rPr>
                <w:rFonts w:ascii="Courier New"/>
                <w:b/>
                <w:sz w:val="16"/>
              </w:rPr>
              <w:t>87594069036</w:t>
            </w:r>
          </w:p>
        </w:tc>
        <w:tc>
          <w:tcPr>
            <w:tcW w:w="864" w:type="dxa"/>
          </w:tcPr>
          <w:p>
            <w:pPr>
              <w:pStyle w:val="TableParagraph"/>
              <w:spacing w:line="161" w:lineRule="exact" w:before="1"/>
              <w:ind w:right="94"/>
              <w:rPr>
                <w:rFonts w:ascii="Courier New"/>
                <w:b/>
                <w:sz w:val="16"/>
              </w:rPr>
            </w:pPr>
            <w:r>
              <w:rPr>
                <w:rFonts w:ascii="Courier New"/>
                <w:b/>
                <w:sz w:val="16"/>
              </w:rPr>
              <w:t>2.38</w:t>
            </w:r>
          </w:p>
        </w:tc>
        <w:tc>
          <w:tcPr>
            <w:tcW w:w="819" w:type="dxa"/>
          </w:tcPr>
          <w:p>
            <w:pPr>
              <w:pStyle w:val="TableParagraph"/>
              <w:spacing w:line="161" w:lineRule="exact" w:before="1"/>
              <w:ind w:right="49"/>
              <w:rPr>
                <w:rFonts w:ascii="Courier New"/>
                <w:b/>
                <w:sz w:val="16"/>
              </w:rPr>
            </w:pPr>
            <w:r>
              <w:rPr>
                <w:rFonts w:ascii="Courier New"/>
                <w:b/>
                <w:sz w:val="16"/>
              </w:rPr>
              <w:t>0.124</w:t>
            </w:r>
          </w:p>
        </w:tc>
      </w:tr>
      <w:tr>
        <w:trPr>
          <w:trHeight w:val="180" w:hRule="atLeast"/>
        </w:trPr>
        <w:tc>
          <w:tcPr>
            <w:tcW w:w="3314" w:type="dxa"/>
          </w:tcPr>
          <w:p>
            <w:pPr>
              <w:pStyle w:val="TableParagraph"/>
              <w:spacing w:line="160" w:lineRule="exact" w:before="0"/>
              <w:ind w:left="241"/>
              <w:jc w:val="left"/>
              <w:rPr>
                <w:rFonts w:ascii="Courier New" w:hAnsi="Courier New"/>
                <w:b/>
                <w:sz w:val="16"/>
              </w:rPr>
            </w:pPr>
            <w:r>
              <w:rPr>
                <w:rFonts w:ascii="Courier New" w:hAnsi="Courier New"/>
                <w:b/>
                <w:sz w:val="16"/>
              </w:rPr>
              <w:t>Número de Habitaciones</w:t>
            </w:r>
          </w:p>
        </w:tc>
        <w:tc>
          <w:tcPr>
            <w:tcW w:w="481" w:type="dxa"/>
          </w:tcPr>
          <w:p>
            <w:pPr>
              <w:pStyle w:val="TableParagraph"/>
              <w:spacing w:line="160" w:lineRule="exact" w:before="0"/>
              <w:ind w:right="95"/>
              <w:rPr>
                <w:rFonts w:ascii="Courier New"/>
                <w:b/>
                <w:sz w:val="16"/>
              </w:rPr>
            </w:pPr>
            <w:r>
              <w:rPr>
                <w:rFonts w:ascii="Courier New"/>
                <w:b/>
                <w:sz w:val="16"/>
              </w:rPr>
              <w:t>1</w:t>
            </w:r>
          </w:p>
        </w:tc>
        <w:tc>
          <w:tcPr>
            <w:tcW w:w="1248" w:type="dxa"/>
          </w:tcPr>
          <w:p>
            <w:pPr>
              <w:pStyle w:val="TableParagraph"/>
              <w:spacing w:line="160" w:lineRule="exact" w:before="0"/>
              <w:ind w:right="95"/>
              <w:rPr>
                <w:rFonts w:ascii="Courier New"/>
                <w:b/>
                <w:sz w:val="16"/>
              </w:rPr>
            </w:pPr>
            <w:r>
              <w:rPr>
                <w:rFonts w:ascii="Courier New"/>
                <w:b/>
                <w:sz w:val="16"/>
              </w:rPr>
              <w:t>2.64964E+12</w:t>
            </w:r>
          </w:p>
        </w:tc>
        <w:tc>
          <w:tcPr>
            <w:tcW w:w="1250" w:type="dxa"/>
          </w:tcPr>
          <w:p>
            <w:pPr>
              <w:pStyle w:val="TableParagraph"/>
              <w:spacing w:line="160" w:lineRule="exact" w:before="0"/>
              <w:ind w:right="97"/>
              <w:rPr>
                <w:rFonts w:ascii="Courier New"/>
                <w:b/>
                <w:sz w:val="16"/>
              </w:rPr>
            </w:pPr>
            <w:r>
              <w:rPr>
                <w:rFonts w:ascii="Courier New"/>
                <w:b/>
                <w:sz w:val="16"/>
              </w:rPr>
              <w:t>2.64964E+12</w:t>
            </w:r>
          </w:p>
        </w:tc>
        <w:tc>
          <w:tcPr>
            <w:tcW w:w="864" w:type="dxa"/>
          </w:tcPr>
          <w:p>
            <w:pPr>
              <w:pStyle w:val="TableParagraph"/>
              <w:spacing w:line="160" w:lineRule="exact" w:before="0"/>
              <w:ind w:right="97"/>
              <w:rPr>
                <w:rFonts w:ascii="Courier New"/>
                <w:b/>
                <w:sz w:val="16"/>
              </w:rPr>
            </w:pPr>
            <w:r>
              <w:rPr>
                <w:rFonts w:ascii="Courier New"/>
                <w:b/>
                <w:sz w:val="16"/>
              </w:rPr>
              <w:t>71.84</w:t>
            </w:r>
          </w:p>
        </w:tc>
        <w:tc>
          <w:tcPr>
            <w:tcW w:w="819" w:type="dxa"/>
          </w:tcPr>
          <w:p>
            <w:pPr>
              <w:pStyle w:val="TableParagraph"/>
              <w:spacing w:line="160" w:lineRule="exact" w:before="0"/>
              <w:ind w:right="52"/>
              <w:rPr>
                <w:rFonts w:ascii="Courier New"/>
                <w:b/>
                <w:sz w:val="16"/>
              </w:rPr>
            </w:pPr>
            <w:r>
              <w:rPr>
                <w:rFonts w:ascii="Courier New"/>
                <w:b/>
                <w:sz w:val="16"/>
              </w:rPr>
              <w:t>0.000</w:t>
            </w:r>
          </w:p>
        </w:tc>
      </w:tr>
      <w:tr>
        <w:trPr>
          <w:trHeight w:val="180" w:hRule="atLeast"/>
        </w:trPr>
        <w:tc>
          <w:tcPr>
            <w:tcW w:w="3314" w:type="dxa"/>
          </w:tcPr>
          <w:p>
            <w:pPr>
              <w:pStyle w:val="TableParagraph"/>
              <w:spacing w:line="160" w:lineRule="exact" w:before="0"/>
              <w:ind w:left="241"/>
              <w:jc w:val="left"/>
              <w:rPr>
                <w:rFonts w:ascii="Courier New" w:hAnsi="Courier New"/>
                <w:b/>
                <w:sz w:val="16"/>
              </w:rPr>
            </w:pPr>
            <w:r>
              <w:rPr>
                <w:rFonts w:ascii="Courier New" w:hAnsi="Courier New"/>
                <w:b/>
                <w:sz w:val="16"/>
              </w:rPr>
              <w:t>Número de Plantas</w:t>
            </w:r>
          </w:p>
        </w:tc>
        <w:tc>
          <w:tcPr>
            <w:tcW w:w="481" w:type="dxa"/>
          </w:tcPr>
          <w:p>
            <w:pPr>
              <w:pStyle w:val="TableParagraph"/>
              <w:spacing w:line="160" w:lineRule="exact" w:before="0"/>
              <w:ind w:right="95"/>
              <w:rPr>
                <w:rFonts w:ascii="Courier New"/>
                <w:b/>
                <w:sz w:val="16"/>
              </w:rPr>
            </w:pPr>
            <w:r>
              <w:rPr>
                <w:rFonts w:ascii="Courier New"/>
                <w:b/>
                <w:sz w:val="16"/>
              </w:rPr>
              <w:t>1</w:t>
            </w:r>
          </w:p>
        </w:tc>
        <w:tc>
          <w:tcPr>
            <w:tcW w:w="1248" w:type="dxa"/>
          </w:tcPr>
          <w:p>
            <w:pPr>
              <w:pStyle w:val="TableParagraph"/>
              <w:spacing w:line="160" w:lineRule="exact" w:before="0"/>
              <w:ind w:right="95"/>
              <w:rPr>
                <w:rFonts w:ascii="Courier New"/>
                <w:b/>
                <w:sz w:val="16"/>
              </w:rPr>
            </w:pPr>
            <w:r>
              <w:rPr>
                <w:rFonts w:ascii="Courier New"/>
                <w:b/>
                <w:sz w:val="16"/>
              </w:rPr>
              <w:t>86044071329</w:t>
            </w:r>
          </w:p>
        </w:tc>
        <w:tc>
          <w:tcPr>
            <w:tcW w:w="1250" w:type="dxa"/>
          </w:tcPr>
          <w:p>
            <w:pPr>
              <w:pStyle w:val="TableParagraph"/>
              <w:spacing w:line="160" w:lineRule="exact" w:before="0"/>
              <w:ind w:right="97"/>
              <w:rPr>
                <w:rFonts w:ascii="Courier New"/>
                <w:b/>
                <w:sz w:val="16"/>
              </w:rPr>
            </w:pPr>
            <w:r>
              <w:rPr>
                <w:rFonts w:ascii="Courier New"/>
                <w:b/>
                <w:sz w:val="16"/>
              </w:rPr>
              <w:t>86044071329</w:t>
            </w:r>
          </w:p>
        </w:tc>
        <w:tc>
          <w:tcPr>
            <w:tcW w:w="864" w:type="dxa"/>
          </w:tcPr>
          <w:p>
            <w:pPr>
              <w:pStyle w:val="TableParagraph"/>
              <w:spacing w:line="160" w:lineRule="exact" w:before="0"/>
              <w:ind w:right="97"/>
              <w:rPr>
                <w:rFonts w:ascii="Courier New"/>
                <w:b/>
                <w:sz w:val="16"/>
              </w:rPr>
            </w:pPr>
            <w:r>
              <w:rPr>
                <w:rFonts w:ascii="Courier New"/>
                <w:b/>
                <w:sz w:val="16"/>
              </w:rPr>
              <w:t>2.33</w:t>
            </w:r>
          </w:p>
        </w:tc>
        <w:tc>
          <w:tcPr>
            <w:tcW w:w="819" w:type="dxa"/>
          </w:tcPr>
          <w:p>
            <w:pPr>
              <w:pStyle w:val="TableParagraph"/>
              <w:spacing w:line="160" w:lineRule="exact" w:before="0"/>
              <w:ind w:right="52"/>
              <w:rPr>
                <w:rFonts w:ascii="Courier New"/>
                <w:b/>
                <w:sz w:val="16"/>
              </w:rPr>
            </w:pPr>
            <w:r>
              <w:rPr>
                <w:rFonts w:ascii="Courier New"/>
                <w:b/>
                <w:sz w:val="16"/>
              </w:rPr>
              <w:t>0.128</w:t>
            </w:r>
          </w:p>
        </w:tc>
      </w:tr>
      <w:tr>
        <w:trPr>
          <w:trHeight w:val="182" w:hRule="atLeast"/>
        </w:trPr>
        <w:tc>
          <w:tcPr>
            <w:tcW w:w="3314" w:type="dxa"/>
          </w:tcPr>
          <w:p>
            <w:pPr>
              <w:pStyle w:val="TableParagraph"/>
              <w:spacing w:line="162" w:lineRule="exact" w:before="0"/>
              <w:ind w:left="241"/>
              <w:jc w:val="left"/>
              <w:rPr>
                <w:rFonts w:ascii="Courier New" w:hAnsi="Courier New"/>
                <w:b/>
                <w:sz w:val="16"/>
              </w:rPr>
            </w:pPr>
            <w:r>
              <w:rPr>
                <w:rFonts w:ascii="Courier New" w:hAnsi="Courier New"/>
                <w:b/>
                <w:sz w:val="16"/>
              </w:rPr>
              <w:t>Distancia a San José Centro por</w:t>
            </w:r>
          </w:p>
        </w:tc>
        <w:tc>
          <w:tcPr>
            <w:tcW w:w="481" w:type="dxa"/>
          </w:tcPr>
          <w:p>
            <w:pPr>
              <w:pStyle w:val="TableParagraph"/>
              <w:spacing w:line="162" w:lineRule="exact" w:before="0"/>
              <w:ind w:right="95"/>
              <w:rPr>
                <w:rFonts w:ascii="Courier New"/>
                <w:b/>
                <w:sz w:val="16"/>
              </w:rPr>
            </w:pPr>
            <w:r>
              <w:rPr>
                <w:rFonts w:ascii="Courier New"/>
                <w:b/>
                <w:sz w:val="16"/>
              </w:rPr>
              <w:t>1</w:t>
            </w:r>
          </w:p>
        </w:tc>
        <w:tc>
          <w:tcPr>
            <w:tcW w:w="1248" w:type="dxa"/>
          </w:tcPr>
          <w:p>
            <w:pPr>
              <w:pStyle w:val="TableParagraph"/>
              <w:spacing w:line="162" w:lineRule="exact" w:before="0"/>
              <w:ind w:right="95"/>
              <w:rPr>
                <w:rFonts w:ascii="Courier New"/>
                <w:b/>
                <w:sz w:val="16"/>
              </w:rPr>
            </w:pPr>
            <w:r>
              <w:rPr>
                <w:rFonts w:ascii="Courier New"/>
                <w:b/>
                <w:sz w:val="16"/>
              </w:rPr>
              <w:t>2.28364E+11</w:t>
            </w:r>
          </w:p>
        </w:tc>
        <w:tc>
          <w:tcPr>
            <w:tcW w:w="1250" w:type="dxa"/>
          </w:tcPr>
          <w:p>
            <w:pPr>
              <w:pStyle w:val="TableParagraph"/>
              <w:spacing w:line="162" w:lineRule="exact" w:before="0"/>
              <w:ind w:right="97"/>
              <w:rPr>
                <w:rFonts w:ascii="Courier New"/>
                <w:b/>
                <w:sz w:val="16"/>
              </w:rPr>
            </w:pPr>
            <w:r>
              <w:rPr>
                <w:rFonts w:ascii="Courier New"/>
                <w:b/>
                <w:sz w:val="16"/>
              </w:rPr>
              <w:t>2.28364E+11</w:t>
            </w:r>
          </w:p>
        </w:tc>
        <w:tc>
          <w:tcPr>
            <w:tcW w:w="864" w:type="dxa"/>
          </w:tcPr>
          <w:p>
            <w:pPr>
              <w:pStyle w:val="TableParagraph"/>
              <w:spacing w:line="162" w:lineRule="exact" w:before="0"/>
              <w:ind w:right="97"/>
              <w:rPr>
                <w:rFonts w:ascii="Courier New"/>
                <w:b/>
                <w:sz w:val="16"/>
              </w:rPr>
            </w:pPr>
            <w:r>
              <w:rPr>
                <w:rFonts w:ascii="Courier New"/>
                <w:b/>
                <w:sz w:val="16"/>
              </w:rPr>
              <w:t>6.19</w:t>
            </w:r>
          </w:p>
        </w:tc>
        <w:tc>
          <w:tcPr>
            <w:tcW w:w="819" w:type="dxa"/>
          </w:tcPr>
          <w:p>
            <w:pPr>
              <w:pStyle w:val="TableParagraph"/>
              <w:spacing w:line="162" w:lineRule="exact" w:before="0"/>
              <w:ind w:right="49"/>
              <w:rPr>
                <w:rFonts w:ascii="Courier New"/>
                <w:b/>
                <w:sz w:val="16"/>
              </w:rPr>
            </w:pPr>
            <w:r>
              <w:rPr>
                <w:rFonts w:ascii="Courier New"/>
                <w:b/>
                <w:sz w:val="16"/>
              </w:rPr>
              <w:t>0.013</w:t>
            </w:r>
          </w:p>
        </w:tc>
      </w:tr>
      <w:tr>
        <w:trPr>
          <w:trHeight w:val="181" w:hRule="atLeast"/>
        </w:trPr>
        <w:tc>
          <w:tcPr>
            <w:tcW w:w="3314" w:type="dxa"/>
          </w:tcPr>
          <w:p>
            <w:pPr>
              <w:pStyle w:val="TableParagraph"/>
              <w:spacing w:line="161" w:lineRule="exact" w:before="1"/>
              <w:ind w:left="241"/>
              <w:jc w:val="left"/>
              <w:rPr>
                <w:rFonts w:ascii="Courier New"/>
                <w:b/>
                <w:sz w:val="16"/>
              </w:rPr>
            </w:pPr>
            <w:r>
              <w:rPr>
                <w:rFonts w:ascii="Courier New"/>
                <w:b/>
                <w:sz w:val="16"/>
              </w:rPr>
              <w:t>Distancia a Aglomera-ciones de</w:t>
            </w:r>
          </w:p>
        </w:tc>
        <w:tc>
          <w:tcPr>
            <w:tcW w:w="481" w:type="dxa"/>
          </w:tcPr>
          <w:p>
            <w:pPr>
              <w:pStyle w:val="TableParagraph"/>
              <w:spacing w:line="161" w:lineRule="exact" w:before="1"/>
              <w:ind w:right="94"/>
              <w:rPr>
                <w:rFonts w:ascii="Courier New"/>
                <w:b/>
                <w:sz w:val="16"/>
              </w:rPr>
            </w:pPr>
            <w:r>
              <w:rPr>
                <w:rFonts w:ascii="Courier New"/>
                <w:b/>
                <w:sz w:val="16"/>
              </w:rPr>
              <w:t>1</w:t>
            </w:r>
          </w:p>
        </w:tc>
        <w:tc>
          <w:tcPr>
            <w:tcW w:w="1248" w:type="dxa"/>
          </w:tcPr>
          <w:p>
            <w:pPr>
              <w:pStyle w:val="TableParagraph"/>
              <w:spacing w:line="161" w:lineRule="exact" w:before="1"/>
              <w:ind w:right="94"/>
              <w:rPr>
                <w:rFonts w:ascii="Courier New"/>
                <w:b/>
                <w:sz w:val="16"/>
              </w:rPr>
            </w:pPr>
            <w:r>
              <w:rPr>
                <w:rFonts w:ascii="Courier New"/>
                <w:b/>
                <w:sz w:val="16"/>
              </w:rPr>
              <w:t>1.75354E+11</w:t>
            </w:r>
          </w:p>
        </w:tc>
        <w:tc>
          <w:tcPr>
            <w:tcW w:w="1250" w:type="dxa"/>
          </w:tcPr>
          <w:p>
            <w:pPr>
              <w:pStyle w:val="TableParagraph"/>
              <w:spacing w:line="161" w:lineRule="exact" w:before="1"/>
              <w:ind w:right="96"/>
              <w:rPr>
                <w:rFonts w:ascii="Courier New"/>
                <w:b/>
                <w:sz w:val="16"/>
              </w:rPr>
            </w:pPr>
            <w:r>
              <w:rPr>
                <w:rFonts w:ascii="Courier New"/>
                <w:b/>
                <w:sz w:val="16"/>
              </w:rPr>
              <w:t>1.75354E+11</w:t>
            </w:r>
          </w:p>
        </w:tc>
        <w:tc>
          <w:tcPr>
            <w:tcW w:w="864" w:type="dxa"/>
          </w:tcPr>
          <w:p>
            <w:pPr>
              <w:pStyle w:val="TableParagraph"/>
              <w:spacing w:line="161" w:lineRule="exact" w:before="1"/>
              <w:ind w:right="97"/>
              <w:rPr>
                <w:rFonts w:ascii="Courier New"/>
                <w:b/>
                <w:sz w:val="16"/>
              </w:rPr>
            </w:pPr>
            <w:r>
              <w:rPr>
                <w:rFonts w:ascii="Courier New"/>
                <w:b/>
                <w:sz w:val="16"/>
              </w:rPr>
              <w:t>4.75</w:t>
            </w:r>
          </w:p>
        </w:tc>
        <w:tc>
          <w:tcPr>
            <w:tcW w:w="819" w:type="dxa"/>
          </w:tcPr>
          <w:p>
            <w:pPr>
              <w:pStyle w:val="TableParagraph"/>
              <w:spacing w:line="161" w:lineRule="exact" w:before="1"/>
              <w:ind w:right="52"/>
              <w:rPr>
                <w:rFonts w:ascii="Courier New"/>
                <w:b/>
                <w:sz w:val="16"/>
              </w:rPr>
            </w:pPr>
            <w:r>
              <w:rPr>
                <w:rFonts w:ascii="Courier New"/>
                <w:b/>
                <w:sz w:val="16"/>
              </w:rPr>
              <w:t>0.030</w:t>
            </w:r>
          </w:p>
        </w:tc>
      </w:tr>
      <w:tr>
        <w:trPr>
          <w:trHeight w:val="180" w:hRule="atLeast"/>
        </w:trPr>
        <w:tc>
          <w:tcPr>
            <w:tcW w:w="3314" w:type="dxa"/>
          </w:tcPr>
          <w:p>
            <w:pPr>
              <w:pStyle w:val="TableParagraph"/>
              <w:spacing w:line="160" w:lineRule="exact" w:before="0"/>
              <w:ind w:left="241"/>
              <w:jc w:val="left"/>
              <w:rPr>
                <w:rFonts w:ascii="Courier New"/>
                <w:b/>
                <w:sz w:val="16"/>
              </w:rPr>
            </w:pPr>
            <w:r>
              <w:rPr>
                <w:rFonts w:ascii="Courier New"/>
                <w:b/>
                <w:sz w:val="16"/>
              </w:rPr>
              <w:t>Tipo = 1 casa, 0 = Condo</w:t>
            </w:r>
          </w:p>
        </w:tc>
        <w:tc>
          <w:tcPr>
            <w:tcW w:w="481" w:type="dxa"/>
          </w:tcPr>
          <w:p>
            <w:pPr>
              <w:pStyle w:val="TableParagraph"/>
              <w:spacing w:line="160" w:lineRule="exact" w:before="0"/>
              <w:ind w:right="95"/>
              <w:rPr>
                <w:rFonts w:ascii="Courier New"/>
                <w:b/>
                <w:sz w:val="16"/>
              </w:rPr>
            </w:pPr>
            <w:r>
              <w:rPr>
                <w:rFonts w:ascii="Courier New"/>
                <w:b/>
                <w:sz w:val="16"/>
              </w:rPr>
              <w:t>1</w:t>
            </w:r>
          </w:p>
        </w:tc>
        <w:tc>
          <w:tcPr>
            <w:tcW w:w="1248" w:type="dxa"/>
          </w:tcPr>
          <w:p>
            <w:pPr>
              <w:pStyle w:val="TableParagraph"/>
              <w:spacing w:line="160" w:lineRule="exact" w:before="0"/>
              <w:ind w:right="95"/>
              <w:rPr>
                <w:rFonts w:ascii="Courier New"/>
                <w:b/>
                <w:sz w:val="16"/>
              </w:rPr>
            </w:pPr>
            <w:r>
              <w:rPr>
                <w:rFonts w:ascii="Courier New"/>
                <w:b/>
                <w:sz w:val="16"/>
              </w:rPr>
              <w:t>80610947729</w:t>
            </w:r>
          </w:p>
        </w:tc>
        <w:tc>
          <w:tcPr>
            <w:tcW w:w="1250" w:type="dxa"/>
          </w:tcPr>
          <w:p>
            <w:pPr>
              <w:pStyle w:val="TableParagraph"/>
              <w:spacing w:line="160" w:lineRule="exact" w:before="0"/>
              <w:ind w:right="97"/>
              <w:rPr>
                <w:rFonts w:ascii="Courier New"/>
                <w:b/>
                <w:sz w:val="16"/>
              </w:rPr>
            </w:pPr>
            <w:r>
              <w:rPr>
                <w:rFonts w:ascii="Courier New"/>
                <w:b/>
                <w:sz w:val="16"/>
              </w:rPr>
              <w:t>80610947729</w:t>
            </w:r>
          </w:p>
        </w:tc>
        <w:tc>
          <w:tcPr>
            <w:tcW w:w="864" w:type="dxa"/>
          </w:tcPr>
          <w:p>
            <w:pPr>
              <w:pStyle w:val="TableParagraph"/>
              <w:spacing w:line="160" w:lineRule="exact" w:before="0"/>
              <w:ind w:right="97"/>
              <w:rPr>
                <w:rFonts w:ascii="Courier New"/>
                <w:b/>
                <w:sz w:val="16"/>
              </w:rPr>
            </w:pPr>
            <w:r>
              <w:rPr>
                <w:rFonts w:ascii="Courier New"/>
                <w:b/>
                <w:sz w:val="16"/>
              </w:rPr>
              <w:t>2.19</w:t>
            </w:r>
          </w:p>
        </w:tc>
        <w:tc>
          <w:tcPr>
            <w:tcW w:w="819" w:type="dxa"/>
          </w:tcPr>
          <w:p>
            <w:pPr>
              <w:pStyle w:val="TableParagraph"/>
              <w:spacing w:line="160" w:lineRule="exact" w:before="0"/>
              <w:ind w:right="52"/>
              <w:rPr>
                <w:rFonts w:ascii="Courier New"/>
                <w:b/>
                <w:sz w:val="16"/>
              </w:rPr>
            </w:pPr>
            <w:r>
              <w:rPr>
                <w:rFonts w:ascii="Courier New"/>
                <w:b/>
                <w:sz w:val="16"/>
              </w:rPr>
              <w:t>0.140</w:t>
            </w:r>
          </w:p>
        </w:tc>
      </w:tr>
      <w:tr>
        <w:trPr>
          <w:trHeight w:val="182" w:hRule="atLeast"/>
        </w:trPr>
        <w:tc>
          <w:tcPr>
            <w:tcW w:w="3314" w:type="dxa"/>
          </w:tcPr>
          <w:p>
            <w:pPr>
              <w:pStyle w:val="TableParagraph"/>
              <w:spacing w:line="162" w:lineRule="exact" w:before="0"/>
              <w:ind w:left="241"/>
              <w:jc w:val="left"/>
              <w:rPr>
                <w:rFonts w:ascii="Courier New"/>
                <w:b/>
                <w:sz w:val="16"/>
              </w:rPr>
            </w:pPr>
            <w:r>
              <w:rPr>
                <w:rFonts w:ascii="Courier New"/>
                <w:b/>
                <w:sz w:val="16"/>
              </w:rPr>
              <w:t>Zona de Riesgo de desastre</w:t>
            </w:r>
          </w:p>
        </w:tc>
        <w:tc>
          <w:tcPr>
            <w:tcW w:w="481" w:type="dxa"/>
          </w:tcPr>
          <w:p>
            <w:pPr>
              <w:pStyle w:val="TableParagraph"/>
              <w:spacing w:line="162" w:lineRule="exact" w:before="0"/>
              <w:ind w:right="95"/>
              <w:rPr>
                <w:rFonts w:ascii="Courier New"/>
                <w:b/>
                <w:sz w:val="16"/>
              </w:rPr>
            </w:pPr>
            <w:r>
              <w:rPr>
                <w:rFonts w:ascii="Courier New"/>
                <w:b/>
                <w:sz w:val="16"/>
              </w:rPr>
              <w:t>1</w:t>
            </w:r>
          </w:p>
        </w:tc>
        <w:tc>
          <w:tcPr>
            <w:tcW w:w="1248" w:type="dxa"/>
          </w:tcPr>
          <w:p>
            <w:pPr>
              <w:pStyle w:val="TableParagraph"/>
              <w:spacing w:line="162" w:lineRule="exact" w:before="0"/>
              <w:ind w:right="95"/>
              <w:rPr>
                <w:rFonts w:ascii="Courier New"/>
                <w:b/>
                <w:sz w:val="16"/>
              </w:rPr>
            </w:pPr>
            <w:r>
              <w:rPr>
                <w:rFonts w:ascii="Courier New"/>
                <w:b/>
                <w:sz w:val="16"/>
              </w:rPr>
              <w:t>12915960860</w:t>
            </w:r>
          </w:p>
        </w:tc>
        <w:tc>
          <w:tcPr>
            <w:tcW w:w="1250" w:type="dxa"/>
          </w:tcPr>
          <w:p>
            <w:pPr>
              <w:pStyle w:val="TableParagraph"/>
              <w:spacing w:line="162" w:lineRule="exact" w:before="0"/>
              <w:ind w:right="97"/>
              <w:rPr>
                <w:rFonts w:ascii="Courier New"/>
                <w:b/>
                <w:sz w:val="16"/>
              </w:rPr>
            </w:pPr>
            <w:r>
              <w:rPr>
                <w:rFonts w:ascii="Courier New"/>
                <w:b/>
                <w:sz w:val="16"/>
              </w:rPr>
              <w:t>12915960860</w:t>
            </w:r>
          </w:p>
        </w:tc>
        <w:tc>
          <w:tcPr>
            <w:tcW w:w="864" w:type="dxa"/>
          </w:tcPr>
          <w:p>
            <w:pPr>
              <w:pStyle w:val="TableParagraph"/>
              <w:spacing w:line="162" w:lineRule="exact" w:before="0"/>
              <w:ind w:right="97"/>
              <w:rPr>
                <w:rFonts w:ascii="Courier New"/>
                <w:b/>
                <w:sz w:val="16"/>
              </w:rPr>
            </w:pPr>
            <w:r>
              <w:rPr>
                <w:rFonts w:ascii="Courier New"/>
                <w:b/>
                <w:sz w:val="16"/>
              </w:rPr>
              <w:t>0.35</w:t>
            </w:r>
          </w:p>
        </w:tc>
        <w:tc>
          <w:tcPr>
            <w:tcW w:w="819" w:type="dxa"/>
          </w:tcPr>
          <w:p>
            <w:pPr>
              <w:pStyle w:val="TableParagraph"/>
              <w:spacing w:line="162" w:lineRule="exact" w:before="0"/>
              <w:ind w:right="52"/>
              <w:rPr>
                <w:rFonts w:ascii="Courier New"/>
                <w:b/>
                <w:sz w:val="16"/>
              </w:rPr>
            </w:pPr>
            <w:r>
              <w:rPr>
                <w:rFonts w:ascii="Courier New"/>
                <w:b/>
                <w:sz w:val="16"/>
              </w:rPr>
              <w:t>0.554</w:t>
            </w:r>
          </w:p>
        </w:tc>
      </w:tr>
      <w:tr>
        <w:trPr>
          <w:trHeight w:val="182" w:hRule="atLeast"/>
        </w:trPr>
        <w:tc>
          <w:tcPr>
            <w:tcW w:w="3314" w:type="dxa"/>
          </w:tcPr>
          <w:p>
            <w:pPr>
              <w:pStyle w:val="TableParagraph"/>
              <w:spacing w:line="161" w:lineRule="exact" w:before="1"/>
              <w:ind w:left="241"/>
              <w:jc w:val="left"/>
              <w:rPr>
                <w:rFonts w:ascii="Courier New"/>
                <w:b/>
                <w:sz w:val="16"/>
              </w:rPr>
            </w:pPr>
            <w:r>
              <w:rPr>
                <w:rFonts w:ascii="Courier New"/>
                <w:b/>
                <w:sz w:val="16"/>
              </w:rPr>
              <w:t>Vista a la Carpintera</w:t>
            </w:r>
          </w:p>
        </w:tc>
        <w:tc>
          <w:tcPr>
            <w:tcW w:w="481" w:type="dxa"/>
          </w:tcPr>
          <w:p>
            <w:pPr>
              <w:pStyle w:val="TableParagraph"/>
              <w:spacing w:line="161" w:lineRule="exact" w:before="1"/>
              <w:ind w:right="95"/>
              <w:rPr>
                <w:rFonts w:ascii="Courier New"/>
                <w:b/>
                <w:sz w:val="16"/>
              </w:rPr>
            </w:pPr>
            <w:r>
              <w:rPr>
                <w:rFonts w:ascii="Courier New"/>
                <w:b/>
                <w:sz w:val="16"/>
              </w:rPr>
              <w:t>1</w:t>
            </w:r>
          </w:p>
        </w:tc>
        <w:tc>
          <w:tcPr>
            <w:tcW w:w="1248" w:type="dxa"/>
          </w:tcPr>
          <w:p>
            <w:pPr>
              <w:pStyle w:val="TableParagraph"/>
              <w:spacing w:line="161" w:lineRule="exact" w:before="1"/>
              <w:ind w:right="95"/>
              <w:rPr>
                <w:rFonts w:ascii="Courier New"/>
                <w:b/>
                <w:sz w:val="16"/>
              </w:rPr>
            </w:pPr>
            <w:r>
              <w:rPr>
                <w:rFonts w:ascii="Courier New"/>
                <w:b/>
                <w:sz w:val="16"/>
              </w:rPr>
              <w:t>4.52601E+11</w:t>
            </w:r>
          </w:p>
        </w:tc>
        <w:tc>
          <w:tcPr>
            <w:tcW w:w="1250" w:type="dxa"/>
          </w:tcPr>
          <w:p>
            <w:pPr>
              <w:pStyle w:val="TableParagraph"/>
              <w:spacing w:line="161" w:lineRule="exact" w:before="1"/>
              <w:ind w:right="97"/>
              <w:rPr>
                <w:rFonts w:ascii="Courier New"/>
                <w:b/>
                <w:sz w:val="16"/>
              </w:rPr>
            </w:pPr>
            <w:r>
              <w:rPr>
                <w:rFonts w:ascii="Courier New"/>
                <w:b/>
                <w:sz w:val="16"/>
              </w:rPr>
              <w:t>4.52601E+11</w:t>
            </w:r>
          </w:p>
        </w:tc>
        <w:tc>
          <w:tcPr>
            <w:tcW w:w="864" w:type="dxa"/>
          </w:tcPr>
          <w:p>
            <w:pPr>
              <w:pStyle w:val="TableParagraph"/>
              <w:spacing w:line="161" w:lineRule="exact" w:before="1"/>
              <w:ind w:right="97"/>
              <w:rPr>
                <w:rFonts w:ascii="Courier New"/>
                <w:b/>
                <w:sz w:val="16"/>
              </w:rPr>
            </w:pPr>
            <w:r>
              <w:rPr>
                <w:rFonts w:ascii="Courier New"/>
                <w:b/>
                <w:sz w:val="16"/>
              </w:rPr>
              <w:t>12.27</w:t>
            </w:r>
          </w:p>
        </w:tc>
        <w:tc>
          <w:tcPr>
            <w:tcW w:w="819" w:type="dxa"/>
          </w:tcPr>
          <w:p>
            <w:pPr>
              <w:pStyle w:val="TableParagraph"/>
              <w:spacing w:line="161" w:lineRule="exact" w:before="1"/>
              <w:ind w:right="52"/>
              <w:rPr>
                <w:rFonts w:ascii="Courier New"/>
                <w:b/>
                <w:sz w:val="16"/>
              </w:rPr>
            </w:pPr>
            <w:r>
              <w:rPr>
                <w:rFonts w:ascii="Courier New"/>
                <w:b/>
                <w:sz w:val="16"/>
              </w:rPr>
              <w:t>0.001</w:t>
            </w:r>
          </w:p>
        </w:tc>
      </w:tr>
      <w:tr>
        <w:trPr>
          <w:trHeight w:val="180" w:hRule="atLeast"/>
        </w:trPr>
        <w:tc>
          <w:tcPr>
            <w:tcW w:w="3314" w:type="dxa"/>
          </w:tcPr>
          <w:p>
            <w:pPr>
              <w:pStyle w:val="TableParagraph"/>
              <w:spacing w:line="160" w:lineRule="exact" w:before="0"/>
              <w:ind w:left="50"/>
              <w:jc w:val="left"/>
              <w:rPr>
                <w:rFonts w:ascii="Courier New"/>
                <w:b/>
                <w:sz w:val="16"/>
              </w:rPr>
            </w:pPr>
            <w:r>
              <w:rPr>
                <w:rFonts w:ascii="Courier New"/>
                <w:b/>
                <w:sz w:val="16"/>
              </w:rPr>
              <w:t>Error</w:t>
            </w:r>
          </w:p>
        </w:tc>
        <w:tc>
          <w:tcPr>
            <w:tcW w:w="481" w:type="dxa"/>
          </w:tcPr>
          <w:p>
            <w:pPr>
              <w:pStyle w:val="TableParagraph"/>
              <w:spacing w:line="160" w:lineRule="exact" w:before="0"/>
              <w:ind w:right="95"/>
              <w:rPr>
                <w:rFonts w:ascii="Courier New"/>
                <w:b/>
                <w:sz w:val="16"/>
              </w:rPr>
            </w:pPr>
            <w:r>
              <w:rPr>
                <w:rFonts w:ascii="Courier New"/>
                <w:b/>
                <w:sz w:val="16"/>
              </w:rPr>
              <w:t>292</w:t>
            </w:r>
          </w:p>
        </w:tc>
        <w:tc>
          <w:tcPr>
            <w:tcW w:w="1248" w:type="dxa"/>
          </w:tcPr>
          <w:p>
            <w:pPr>
              <w:pStyle w:val="TableParagraph"/>
              <w:spacing w:line="160" w:lineRule="exact" w:before="0"/>
              <w:ind w:right="95"/>
              <w:rPr>
                <w:rFonts w:ascii="Courier New"/>
                <w:b/>
                <w:sz w:val="16"/>
              </w:rPr>
            </w:pPr>
            <w:r>
              <w:rPr>
                <w:rFonts w:ascii="Courier New"/>
                <w:b/>
                <w:sz w:val="16"/>
              </w:rPr>
              <w:t>1.07690E+13</w:t>
            </w:r>
          </w:p>
        </w:tc>
        <w:tc>
          <w:tcPr>
            <w:tcW w:w="1250" w:type="dxa"/>
          </w:tcPr>
          <w:p>
            <w:pPr>
              <w:pStyle w:val="TableParagraph"/>
              <w:spacing w:line="160" w:lineRule="exact" w:before="0"/>
              <w:ind w:right="97"/>
              <w:rPr>
                <w:rFonts w:ascii="Courier New"/>
                <w:b/>
                <w:sz w:val="16"/>
              </w:rPr>
            </w:pPr>
            <w:r>
              <w:rPr>
                <w:rFonts w:ascii="Courier New"/>
                <w:b/>
                <w:sz w:val="16"/>
              </w:rPr>
              <w:t>36880294689</w:t>
            </w:r>
          </w:p>
        </w:tc>
        <w:tc>
          <w:tcPr>
            <w:tcW w:w="864" w:type="dxa"/>
          </w:tcPr>
          <w:p>
            <w:pPr>
              <w:pStyle w:val="TableParagraph"/>
              <w:spacing w:line="240" w:lineRule="auto" w:before="0"/>
              <w:jc w:val="left"/>
              <w:rPr>
                <w:rFonts w:ascii="Times New Roman"/>
                <w:sz w:val="12"/>
              </w:rPr>
            </w:pPr>
          </w:p>
        </w:tc>
        <w:tc>
          <w:tcPr>
            <w:tcW w:w="819" w:type="dxa"/>
          </w:tcPr>
          <w:p>
            <w:pPr>
              <w:pStyle w:val="TableParagraph"/>
              <w:spacing w:line="240" w:lineRule="auto" w:before="0"/>
              <w:jc w:val="left"/>
              <w:rPr>
                <w:rFonts w:ascii="Times New Roman"/>
                <w:sz w:val="12"/>
              </w:rPr>
            </w:pPr>
          </w:p>
        </w:tc>
      </w:tr>
      <w:tr>
        <w:trPr>
          <w:trHeight w:val="182" w:hRule="atLeast"/>
        </w:trPr>
        <w:tc>
          <w:tcPr>
            <w:tcW w:w="3314" w:type="dxa"/>
          </w:tcPr>
          <w:p>
            <w:pPr>
              <w:pStyle w:val="TableParagraph"/>
              <w:spacing w:line="162" w:lineRule="exact" w:before="0"/>
              <w:ind w:left="241"/>
              <w:jc w:val="left"/>
              <w:rPr>
                <w:rFonts w:ascii="Courier New"/>
                <w:b/>
                <w:sz w:val="16"/>
              </w:rPr>
            </w:pPr>
            <w:r>
              <w:rPr>
                <w:rFonts w:ascii="Courier New"/>
                <w:b/>
                <w:sz w:val="16"/>
              </w:rPr>
              <w:t>Lack-of-Fit</w:t>
            </w:r>
          </w:p>
        </w:tc>
        <w:tc>
          <w:tcPr>
            <w:tcW w:w="481" w:type="dxa"/>
          </w:tcPr>
          <w:p>
            <w:pPr>
              <w:pStyle w:val="TableParagraph"/>
              <w:spacing w:line="162" w:lineRule="exact" w:before="0"/>
              <w:ind w:right="94"/>
              <w:rPr>
                <w:rFonts w:ascii="Courier New"/>
                <w:b/>
                <w:sz w:val="16"/>
              </w:rPr>
            </w:pPr>
            <w:r>
              <w:rPr>
                <w:rFonts w:ascii="Courier New"/>
                <w:b/>
                <w:sz w:val="16"/>
              </w:rPr>
              <w:t>290</w:t>
            </w:r>
          </w:p>
        </w:tc>
        <w:tc>
          <w:tcPr>
            <w:tcW w:w="1248" w:type="dxa"/>
          </w:tcPr>
          <w:p>
            <w:pPr>
              <w:pStyle w:val="TableParagraph"/>
              <w:spacing w:line="162" w:lineRule="exact" w:before="0"/>
              <w:ind w:right="94"/>
              <w:rPr>
                <w:rFonts w:ascii="Courier New"/>
                <w:b/>
                <w:sz w:val="16"/>
              </w:rPr>
            </w:pPr>
            <w:r>
              <w:rPr>
                <w:rFonts w:ascii="Courier New"/>
                <w:b/>
                <w:sz w:val="16"/>
              </w:rPr>
              <w:t>1.06890E+13</w:t>
            </w:r>
          </w:p>
        </w:tc>
        <w:tc>
          <w:tcPr>
            <w:tcW w:w="1250" w:type="dxa"/>
          </w:tcPr>
          <w:p>
            <w:pPr>
              <w:pStyle w:val="TableParagraph"/>
              <w:spacing w:line="162" w:lineRule="exact" w:before="0"/>
              <w:ind w:right="96"/>
              <w:rPr>
                <w:rFonts w:ascii="Courier New"/>
                <w:b/>
                <w:sz w:val="16"/>
              </w:rPr>
            </w:pPr>
            <w:r>
              <w:rPr>
                <w:rFonts w:ascii="Courier New"/>
                <w:b/>
                <w:sz w:val="16"/>
              </w:rPr>
              <w:t>36858779480</w:t>
            </w:r>
          </w:p>
        </w:tc>
        <w:tc>
          <w:tcPr>
            <w:tcW w:w="864" w:type="dxa"/>
          </w:tcPr>
          <w:p>
            <w:pPr>
              <w:pStyle w:val="TableParagraph"/>
              <w:spacing w:line="162" w:lineRule="exact" w:before="0"/>
              <w:ind w:right="98"/>
              <w:rPr>
                <w:rFonts w:ascii="Courier New"/>
                <w:b/>
                <w:sz w:val="16"/>
              </w:rPr>
            </w:pPr>
            <w:r>
              <w:rPr>
                <w:rFonts w:ascii="Courier New"/>
                <w:b/>
                <w:sz w:val="16"/>
              </w:rPr>
              <w:t>0.92</w:t>
            </w:r>
          </w:p>
        </w:tc>
        <w:tc>
          <w:tcPr>
            <w:tcW w:w="819" w:type="dxa"/>
          </w:tcPr>
          <w:p>
            <w:pPr>
              <w:pStyle w:val="TableParagraph"/>
              <w:spacing w:line="162" w:lineRule="exact" w:before="0"/>
              <w:ind w:right="53"/>
              <w:rPr>
                <w:rFonts w:ascii="Courier New"/>
                <w:b/>
                <w:sz w:val="16"/>
              </w:rPr>
            </w:pPr>
            <w:r>
              <w:rPr>
                <w:rFonts w:ascii="Courier New"/>
                <w:b/>
                <w:sz w:val="16"/>
              </w:rPr>
              <w:t>0.661</w:t>
            </w:r>
          </w:p>
        </w:tc>
      </w:tr>
      <w:tr>
        <w:trPr>
          <w:trHeight w:val="182" w:hRule="atLeast"/>
        </w:trPr>
        <w:tc>
          <w:tcPr>
            <w:tcW w:w="3314" w:type="dxa"/>
          </w:tcPr>
          <w:p>
            <w:pPr>
              <w:pStyle w:val="TableParagraph"/>
              <w:spacing w:line="161" w:lineRule="exact" w:before="1"/>
              <w:ind w:left="241"/>
              <w:jc w:val="left"/>
              <w:rPr>
                <w:rFonts w:ascii="Courier New"/>
                <w:b/>
                <w:sz w:val="16"/>
              </w:rPr>
            </w:pPr>
            <w:r>
              <w:rPr>
                <w:rFonts w:ascii="Courier New"/>
                <w:b/>
                <w:sz w:val="16"/>
              </w:rPr>
              <w:t>Pure Error</w:t>
            </w:r>
          </w:p>
        </w:tc>
        <w:tc>
          <w:tcPr>
            <w:tcW w:w="481" w:type="dxa"/>
          </w:tcPr>
          <w:p>
            <w:pPr>
              <w:pStyle w:val="TableParagraph"/>
              <w:spacing w:line="161" w:lineRule="exact" w:before="1"/>
              <w:ind w:right="93"/>
              <w:rPr>
                <w:rFonts w:ascii="Courier New"/>
                <w:b/>
                <w:sz w:val="16"/>
              </w:rPr>
            </w:pPr>
            <w:r>
              <w:rPr>
                <w:rFonts w:ascii="Courier New"/>
                <w:b/>
                <w:sz w:val="16"/>
              </w:rPr>
              <w:t>2</w:t>
            </w:r>
          </w:p>
        </w:tc>
        <w:tc>
          <w:tcPr>
            <w:tcW w:w="1248" w:type="dxa"/>
          </w:tcPr>
          <w:p>
            <w:pPr>
              <w:pStyle w:val="TableParagraph"/>
              <w:spacing w:line="161" w:lineRule="exact" w:before="1"/>
              <w:ind w:right="94"/>
              <w:rPr>
                <w:rFonts w:ascii="Courier New"/>
                <w:b/>
                <w:sz w:val="16"/>
              </w:rPr>
            </w:pPr>
            <w:r>
              <w:rPr>
                <w:rFonts w:ascii="Courier New"/>
                <w:b/>
                <w:sz w:val="16"/>
              </w:rPr>
              <w:t>80000000000</w:t>
            </w:r>
          </w:p>
        </w:tc>
        <w:tc>
          <w:tcPr>
            <w:tcW w:w="1250" w:type="dxa"/>
          </w:tcPr>
          <w:p>
            <w:pPr>
              <w:pStyle w:val="TableParagraph"/>
              <w:spacing w:line="161" w:lineRule="exact" w:before="1"/>
              <w:ind w:right="96"/>
              <w:rPr>
                <w:rFonts w:ascii="Courier New"/>
                <w:b/>
                <w:sz w:val="16"/>
              </w:rPr>
            </w:pPr>
            <w:r>
              <w:rPr>
                <w:rFonts w:ascii="Courier New"/>
                <w:b/>
                <w:sz w:val="16"/>
              </w:rPr>
              <w:t>40000000000</w:t>
            </w:r>
          </w:p>
        </w:tc>
        <w:tc>
          <w:tcPr>
            <w:tcW w:w="864" w:type="dxa"/>
          </w:tcPr>
          <w:p>
            <w:pPr>
              <w:pStyle w:val="TableParagraph"/>
              <w:spacing w:line="240" w:lineRule="auto" w:before="0"/>
              <w:jc w:val="left"/>
              <w:rPr>
                <w:rFonts w:ascii="Times New Roman"/>
                <w:sz w:val="12"/>
              </w:rPr>
            </w:pPr>
          </w:p>
        </w:tc>
        <w:tc>
          <w:tcPr>
            <w:tcW w:w="819" w:type="dxa"/>
          </w:tcPr>
          <w:p>
            <w:pPr>
              <w:pStyle w:val="TableParagraph"/>
              <w:spacing w:line="240" w:lineRule="auto" w:before="0"/>
              <w:jc w:val="left"/>
              <w:rPr>
                <w:rFonts w:ascii="Times New Roman"/>
                <w:sz w:val="12"/>
              </w:rPr>
            </w:pPr>
          </w:p>
        </w:tc>
      </w:tr>
      <w:tr>
        <w:trPr>
          <w:trHeight w:val="362" w:hRule="atLeast"/>
        </w:trPr>
        <w:tc>
          <w:tcPr>
            <w:tcW w:w="3314" w:type="dxa"/>
          </w:tcPr>
          <w:p>
            <w:pPr>
              <w:pStyle w:val="TableParagraph"/>
              <w:spacing w:line="181" w:lineRule="exact" w:before="0"/>
              <w:ind w:left="50"/>
              <w:jc w:val="left"/>
              <w:rPr>
                <w:rFonts w:ascii="Courier New"/>
                <w:b/>
                <w:sz w:val="16"/>
              </w:rPr>
            </w:pPr>
            <w:r>
              <w:rPr>
                <w:rFonts w:ascii="Courier New"/>
                <w:b/>
                <w:sz w:val="16"/>
              </w:rPr>
              <w:t>Total</w:t>
            </w:r>
          </w:p>
        </w:tc>
        <w:tc>
          <w:tcPr>
            <w:tcW w:w="481" w:type="dxa"/>
          </w:tcPr>
          <w:p>
            <w:pPr>
              <w:pStyle w:val="TableParagraph"/>
              <w:spacing w:line="181" w:lineRule="exact" w:before="0"/>
              <w:ind w:right="95"/>
              <w:rPr>
                <w:rFonts w:ascii="Courier New"/>
                <w:b/>
                <w:sz w:val="16"/>
              </w:rPr>
            </w:pPr>
            <w:r>
              <w:rPr>
                <w:rFonts w:ascii="Courier New"/>
                <w:b/>
                <w:sz w:val="16"/>
              </w:rPr>
              <w:t>301</w:t>
            </w:r>
          </w:p>
        </w:tc>
        <w:tc>
          <w:tcPr>
            <w:tcW w:w="1248" w:type="dxa"/>
          </w:tcPr>
          <w:p>
            <w:pPr>
              <w:pStyle w:val="TableParagraph"/>
              <w:spacing w:line="181" w:lineRule="exact" w:before="0"/>
              <w:ind w:right="95"/>
              <w:rPr>
                <w:rFonts w:ascii="Courier New"/>
                <w:b/>
                <w:sz w:val="16"/>
              </w:rPr>
            </w:pPr>
            <w:r>
              <w:rPr>
                <w:rFonts w:ascii="Courier New"/>
                <w:b/>
                <w:sz w:val="16"/>
              </w:rPr>
              <w:t>1.67172E+13</w:t>
            </w:r>
          </w:p>
        </w:tc>
        <w:tc>
          <w:tcPr>
            <w:tcW w:w="1250"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19" w:type="dxa"/>
          </w:tcPr>
          <w:p>
            <w:pPr>
              <w:pStyle w:val="TableParagraph"/>
              <w:spacing w:line="240" w:lineRule="auto" w:before="0"/>
              <w:jc w:val="left"/>
              <w:rPr>
                <w:rFonts w:ascii="Times New Roman"/>
                <w:sz w:val="16"/>
              </w:rPr>
            </w:pPr>
          </w:p>
        </w:tc>
      </w:tr>
      <w:tr>
        <w:trPr>
          <w:trHeight w:val="362" w:hRule="atLeast"/>
        </w:trPr>
        <w:tc>
          <w:tcPr>
            <w:tcW w:w="3314" w:type="dxa"/>
          </w:tcPr>
          <w:p>
            <w:pPr>
              <w:pStyle w:val="TableParagraph"/>
              <w:spacing w:line="240" w:lineRule="auto" w:before="8"/>
              <w:jc w:val="left"/>
              <w:rPr>
                <w:sz w:val="15"/>
              </w:rPr>
            </w:pPr>
          </w:p>
          <w:p>
            <w:pPr>
              <w:pStyle w:val="TableParagraph"/>
              <w:spacing w:line="161" w:lineRule="exact" w:before="0"/>
              <w:ind w:left="50"/>
              <w:jc w:val="left"/>
              <w:rPr>
                <w:rFonts w:ascii="Courier New"/>
                <w:b/>
                <w:sz w:val="16"/>
              </w:rPr>
            </w:pPr>
            <w:r>
              <w:rPr>
                <w:rFonts w:ascii="Courier New"/>
                <w:b/>
                <w:sz w:val="16"/>
              </w:rPr>
              <w:t>Model Summary</w:t>
            </w:r>
          </w:p>
        </w:tc>
        <w:tc>
          <w:tcPr>
            <w:tcW w:w="481" w:type="dxa"/>
          </w:tcPr>
          <w:p>
            <w:pPr>
              <w:pStyle w:val="TableParagraph"/>
              <w:spacing w:line="240" w:lineRule="auto" w:before="0"/>
              <w:jc w:val="left"/>
              <w:rPr>
                <w:rFonts w:ascii="Times New Roman"/>
                <w:sz w:val="16"/>
              </w:rPr>
            </w:pPr>
          </w:p>
        </w:tc>
        <w:tc>
          <w:tcPr>
            <w:tcW w:w="1248" w:type="dxa"/>
          </w:tcPr>
          <w:p>
            <w:pPr>
              <w:pStyle w:val="TableParagraph"/>
              <w:spacing w:line="240" w:lineRule="auto" w:before="0"/>
              <w:jc w:val="left"/>
              <w:rPr>
                <w:rFonts w:ascii="Times New Roman"/>
                <w:sz w:val="16"/>
              </w:rPr>
            </w:pPr>
          </w:p>
        </w:tc>
        <w:tc>
          <w:tcPr>
            <w:tcW w:w="1250" w:type="dxa"/>
          </w:tcPr>
          <w:p>
            <w:pPr>
              <w:pStyle w:val="TableParagraph"/>
              <w:spacing w:line="240" w:lineRule="auto" w:before="0"/>
              <w:jc w:val="left"/>
              <w:rPr>
                <w:rFonts w:ascii="Times New Roman"/>
                <w:sz w:val="16"/>
              </w:rPr>
            </w:pPr>
          </w:p>
        </w:tc>
        <w:tc>
          <w:tcPr>
            <w:tcW w:w="864" w:type="dxa"/>
          </w:tcPr>
          <w:p>
            <w:pPr>
              <w:pStyle w:val="TableParagraph"/>
              <w:spacing w:line="240" w:lineRule="auto" w:before="0"/>
              <w:jc w:val="left"/>
              <w:rPr>
                <w:rFonts w:ascii="Times New Roman"/>
                <w:sz w:val="16"/>
              </w:rPr>
            </w:pPr>
          </w:p>
        </w:tc>
        <w:tc>
          <w:tcPr>
            <w:tcW w:w="819" w:type="dxa"/>
          </w:tcPr>
          <w:p>
            <w:pPr>
              <w:pStyle w:val="TableParagraph"/>
              <w:spacing w:line="240" w:lineRule="auto" w:before="0"/>
              <w:jc w:val="left"/>
              <w:rPr>
                <w:rFonts w:ascii="Times New Roman"/>
                <w:sz w:val="16"/>
              </w:rPr>
            </w:pPr>
          </w:p>
        </w:tc>
      </w:tr>
    </w:tbl>
    <w:p>
      <w:pPr>
        <w:pStyle w:val="BodyText"/>
        <w:spacing w:before="10"/>
        <w:rPr>
          <w:sz w:val="15"/>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90"/>
        <w:gridCol w:w="1055"/>
        <w:gridCol w:w="1106"/>
      </w:tblGrid>
      <w:tr>
        <w:trPr>
          <w:trHeight w:val="180" w:hRule="atLeast"/>
        </w:trPr>
        <w:tc>
          <w:tcPr>
            <w:tcW w:w="1490" w:type="dxa"/>
          </w:tcPr>
          <w:p>
            <w:pPr>
              <w:pStyle w:val="TableParagraph"/>
              <w:tabs>
                <w:tab w:pos="479" w:val="left" w:leader="none"/>
              </w:tabs>
              <w:spacing w:line="161" w:lineRule="exact" w:before="0"/>
              <w:ind w:right="93"/>
              <w:rPr>
                <w:rFonts w:ascii="Courier New"/>
                <w:b/>
                <w:sz w:val="16"/>
              </w:rPr>
            </w:pPr>
            <w:r>
              <w:rPr>
                <w:rFonts w:ascii="Courier New"/>
                <w:b/>
                <w:sz w:val="16"/>
              </w:rPr>
              <w:t>S</w:t>
              <w:tab/>
            </w:r>
            <w:r>
              <w:rPr>
                <w:rFonts w:ascii="Courier New"/>
                <w:b/>
                <w:spacing w:val="-1"/>
                <w:sz w:val="16"/>
              </w:rPr>
              <w:t>R-sq</w:t>
            </w:r>
          </w:p>
        </w:tc>
        <w:tc>
          <w:tcPr>
            <w:tcW w:w="1055" w:type="dxa"/>
          </w:tcPr>
          <w:p>
            <w:pPr>
              <w:pStyle w:val="TableParagraph"/>
              <w:spacing w:line="161" w:lineRule="exact" w:before="0"/>
              <w:ind w:right="92"/>
              <w:rPr>
                <w:rFonts w:ascii="Courier New"/>
                <w:b/>
                <w:sz w:val="16"/>
              </w:rPr>
            </w:pPr>
            <w:r>
              <w:rPr>
                <w:rFonts w:ascii="Courier New"/>
                <w:b/>
                <w:sz w:val="16"/>
              </w:rPr>
              <w:t>R-sq(adj)</w:t>
            </w:r>
          </w:p>
        </w:tc>
        <w:tc>
          <w:tcPr>
            <w:tcW w:w="1106" w:type="dxa"/>
          </w:tcPr>
          <w:p>
            <w:pPr>
              <w:pStyle w:val="TableParagraph"/>
              <w:spacing w:line="161" w:lineRule="exact" w:before="0"/>
              <w:ind w:right="45"/>
              <w:rPr>
                <w:rFonts w:ascii="Courier New"/>
                <w:b/>
                <w:sz w:val="16"/>
              </w:rPr>
            </w:pPr>
            <w:r>
              <w:rPr>
                <w:rFonts w:ascii="Courier New"/>
                <w:b/>
                <w:sz w:val="16"/>
              </w:rPr>
              <w:t>R-sq(pred)</w:t>
            </w:r>
          </w:p>
        </w:tc>
      </w:tr>
      <w:tr>
        <w:trPr>
          <w:trHeight w:val="180" w:hRule="atLeast"/>
        </w:trPr>
        <w:tc>
          <w:tcPr>
            <w:tcW w:w="1490" w:type="dxa"/>
          </w:tcPr>
          <w:p>
            <w:pPr>
              <w:pStyle w:val="TableParagraph"/>
              <w:spacing w:line="161" w:lineRule="exact" w:before="0"/>
              <w:ind w:right="94"/>
              <w:rPr>
                <w:rFonts w:ascii="Courier New"/>
                <w:b/>
                <w:sz w:val="16"/>
              </w:rPr>
            </w:pPr>
            <w:r>
              <w:rPr>
                <w:rFonts w:ascii="Courier New"/>
                <w:b/>
                <w:sz w:val="16"/>
              </w:rPr>
              <w:t>192042</w:t>
            </w:r>
            <w:r>
              <w:rPr>
                <w:rFonts w:ascii="Courier New"/>
                <w:b/>
                <w:spacing w:val="84"/>
                <w:sz w:val="16"/>
              </w:rPr>
              <w:t> </w:t>
            </w:r>
            <w:r>
              <w:rPr>
                <w:rFonts w:ascii="Courier New"/>
                <w:b/>
                <w:sz w:val="16"/>
              </w:rPr>
              <w:t>35.58%</w:t>
            </w:r>
          </w:p>
        </w:tc>
        <w:tc>
          <w:tcPr>
            <w:tcW w:w="1055" w:type="dxa"/>
          </w:tcPr>
          <w:p>
            <w:pPr>
              <w:pStyle w:val="TableParagraph"/>
              <w:spacing w:line="161" w:lineRule="exact" w:before="0"/>
              <w:ind w:right="93"/>
              <w:rPr>
                <w:rFonts w:ascii="Courier New"/>
                <w:b/>
                <w:sz w:val="16"/>
              </w:rPr>
            </w:pPr>
            <w:r>
              <w:rPr>
                <w:rFonts w:ascii="Courier New"/>
                <w:b/>
                <w:sz w:val="16"/>
              </w:rPr>
              <w:t>33.60%</w:t>
            </w:r>
          </w:p>
        </w:tc>
        <w:tc>
          <w:tcPr>
            <w:tcW w:w="1106" w:type="dxa"/>
          </w:tcPr>
          <w:p>
            <w:pPr>
              <w:pStyle w:val="TableParagraph"/>
              <w:spacing w:line="161" w:lineRule="exact" w:before="0"/>
              <w:ind w:right="47"/>
              <w:rPr>
                <w:rFonts w:ascii="Courier New"/>
                <w:b/>
                <w:sz w:val="16"/>
              </w:rPr>
            </w:pPr>
            <w:r>
              <w:rPr>
                <w:rFonts w:ascii="Courier New"/>
                <w:b/>
                <w:sz w:val="16"/>
              </w:rPr>
              <w:t>29.33%</w:t>
            </w:r>
          </w:p>
        </w:tc>
      </w:tr>
    </w:tbl>
    <w:p>
      <w:pPr>
        <w:pStyle w:val="BodyText"/>
        <w:rPr>
          <w:sz w:val="20"/>
        </w:rPr>
      </w:pPr>
    </w:p>
    <w:p>
      <w:pPr>
        <w:pStyle w:val="BodyText"/>
        <w:spacing w:before="6" w:after="1"/>
        <w:rPr>
          <w:sz w:val="11"/>
        </w:rPr>
      </w:pPr>
    </w:p>
    <w:tbl>
      <w:tblPr>
        <w:tblW w:w="0" w:type="auto"/>
        <w:jc w:val="left"/>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22"/>
        <w:gridCol w:w="865"/>
        <w:gridCol w:w="864"/>
        <w:gridCol w:w="865"/>
        <w:gridCol w:w="863"/>
        <w:gridCol w:w="531"/>
      </w:tblGrid>
      <w:tr>
        <w:trPr>
          <w:trHeight w:val="270" w:hRule="atLeast"/>
        </w:trPr>
        <w:tc>
          <w:tcPr>
            <w:tcW w:w="3122" w:type="dxa"/>
          </w:tcPr>
          <w:p>
            <w:pPr>
              <w:pStyle w:val="TableParagraph"/>
              <w:spacing w:line="240" w:lineRule="auto" w:before="0"/>
              <w:ind w:left="50"/>
              <w:jc w:val="left"/>
              <w:rPr>
                <w:rFonts w:ascii="Courier New"/>
                <w:b/>
                <w:sz w:val="16"/>
              </w:rPr>
            </w:pPr>
            <w:r>
              <w:rPr>
                <w:rFonts w:ascii="Courier New"/>
                <w:b/>
                <w:sz w:val="16"/>
              </w:rPr>
              <w:t>Coefficients</w:t>
            </w:r>
          </w:p>
        </w:tc>
        <w:tc>
          <w:tcPr>
            <w:tcW w:w="3988" w:type="dxa"/>
            <w:gridSpan w:val="5"/>
          </w:tcPr>
          <w:p>
            <w:pPr>
              <w:pStyle w:val="TableParagraph"/>
              <w:spacing w:line="240" w:lineRule="auto" w:before="0"/>
              <w:jc w:val="left"/>
              <w:rPr>
                <w:rFonts w:ascii="Times New Roman"/>
                <w:sz w:val="16"/>
              </w:rPr>
            </w:pPr>
          </w:p>
        </w:tc>
      </w:tr>
      <w:tr>
        <w:trPr>
          <w:trHeight w:val="272" w:hRule="atLeast"/>
        </w:trPr>
        <w:tc>
          <w:tcPr>
            <w:tcW w:w="3122" w:type="dxa"/>
          </w:tcPr>
          <w:p>
            <w:pPr>
              <w:pStyle w:val="TableParagraph"/>
              <w:spacing w:line="163" w:lineRule="exact" w:before="89"/>
              <w:ind w:left="50"/>
              <w:jc w:val="left"/>
              <w:rPr>
                <w:rFonts w:ascii="Courier New"/>
                <w:b/>
                <w:sz w:val="16"/>
              </w:rPr>
            </w:pPr>
            <w:r>
              <w:rPr>
                <w:rFonts w:ascii="Courier New"/>
                <w:b/>
                <w:sz w:val="16"/>
              </w:rPr>
              <w:t>Term</w:t>
            </w:r>
          </w:p>
        </w:tc>
        <w:tc>
          <w:tcPr>
            <w:tcW w:w="865" w:type="dxa"/>
          </w:tcPr>
          <w:p>
            <w:pPr>
              <w:pStyle w:val="TableParagraph"/>
              <w:spacing w:line="163" w:lineRule="exact" w:before="89"/>
              <w:ind w:right="95"/>
              <w:rPr>
                <w:rFonts w:ascii="Courier New"/>
                <w:b/>
                <w:sz w:val="16"/>
              </w:rPr>
            </w:pPr>
            <w:r>
              <w:rPr>
                <w:rFonts w:ascii="Courier New"/>
                <w:b/>
                <w:sz w:val="16"/>
              </w:rPr>
              <w:t>Coef</w:t>
            </w:r>
          </w:p>
        </w:tc>
        <w:tc>
          <w:tcPr>
            <w:tcW w:w="864" w:type="dxa"/>
          </w:tcPr>
          <w:p>
            <w:pPr>
              <w:pStyle w:val="TableParagraph"/>
              <w:spacing w:line="163" w:lineRule="exact" w:before="89"/>
              <w:ind w:right="95"/>
              <w:rPr>
                <w:rFonts w:ascii="Courier New"/>
                <w:b/>
                <w:sz w:val="16"/>
              </w:rPr>
            </w:pPr>
            <w:r>
              <w:rPr>
                <w:rFonts w:ascii="Courier New"/>
                <w:b/>
                <w:sz w:val="16"/>
              </w:rPr>
              <w:t>SE Coef</w:t>
            </w:r>
          </w:p>
        </w:tc>
        <w:tc>
          <w:tcPr>
            <w:tcW w:w="865" w:type="dxa"/>
          </w:tcPr>
          <w:p>
            <w:pPr>
              <w:pStyle w:val="TableParagraph"/>
              <w:spacing w:line="163" w:lineRule="exact" w:before="89"/>
              <w:ind w:right="94"/>
              <w:rPr>
                <w:rFonts w:ascii="Courier New"/>
                <w:b/>
                <w:sz w:val="16"/>
              </w:rPr>
            </w:pPr>
            <w:r>
              <w:rPr>
                <w:rFonts w:ascii="Courier New"/>
                <w:b/>
                <w:sz w:val="16"/>
              </w:rPr>
              <w:t>T-Value</w:t>
            </w:r>
          </w:p>
        </w:tc>
        <w:tc>
          <w:tcPr>
            <w:tcW w:w="863" w:type="dxa"/>
          </w:tcPr>
          <w:p>
            <w:pPr>
              <w:pStyle w:val="TableParagraph"/>
              <w:spacing w:line="163" w:lineRule="exact" w:before="89"/>
              <w:ind w:right="92"/>
              <w:rPr>
                <w:rFonts w:ascii="Courier New"/>
                <w:b/>
                <w:sz w:val="16"/>
              </w:rPr>
            </w:pPr>
            <w:r>
              <w:rPr>
                <w:rFonts w:ascii="Courier New"/>
                <w:b/>
                <w:sz w:val="16"/>
              </w:rPr>
              <w:t>P-Value</w:t>
            </w:r>
          </w:p>
        </w:tc>
        <w:tc>
          <w:tcPr>
            <w:tcW w:w="531" w:type="dxa"/>
          </w:tcPr>
          <w:p>
            <w:pPr>
              <w:pStyle w:val="TableParagraph"/>
              <w:spacing w:line="163" w:lineRule="exact" w:before="89"/>
              <w:ind w:right="47"/>
              <w:rPr>
                <w:rFonts w:ascii="Courier New"/>
                <w:b/>
                <w:sz w:val="16"/>
              </w:rPr>
            </w:pPr>
            <w:r>
              <w:rPr>
                <w:rFonts w:ascii="Courier New"/>
                <w:b/>
                <w:sz w:val="16"/>
              </w:rPr>
              <w:t>VIF</w:t>
            </w:r>
          </w:p>
        </w:tc>
      </w:tr>
      <w:tr>
        <w:trPr>
          <w:trHeight w:val="181" w:hRule="atLeast"/>
        </w:trPr>
        <w:tc>
          <w:tcPr>
            <w:tcW w:w="3122" w:type="dxa"/>
          </w:tcPr>
          <w:p>
            <w:pPr>
              <w:pStyle w:val="TableParagraph"/>
              <w:spacing w:line="161" w:lineRule="exact" w:before="1"/>
              <w:ind w:left="50"/>
              <w:jc w:val="left"/>
              <w:rPr>
                <w:rFonts w:ascii="Courier New"/>
                <w:b/>
                <w:sz w:val="16"/>
              </w:rPr>
            </w:pPr>
            <w:r>
              <w:rPr>
                <w:rFonts w:ascii="Courier New"/>
                <w:b/>
                <w:sz w:val="16"/>
              </w:rPr>
              <w:t>Constant</w:t>
            </w:r>
          </w:p>
        </w:tc>
        <w:tc>
          <w:tcPr>
            <w:tcW w:w="865" w:type="dxa"/>
          </w:tcPr>
          <w:p>
            <w:pPr>
              <w:pStyle w:val="TableParagraph"/>
              <w:spacing w:line="161" w:lineRule="exact" w:before="1"/>
              <w:ind w:right="95"/>
              <w:rPr>
                <w:rFonts w:ascii="Courier New"/>
                <w:b/>
                <w:sz w:val="16"/>
              </w:rPr>
            </w:pPr>
            <w:r>
              <w:rPr>
                <w:rFonts w:ascii="Courier New"/>
                <w:b/>
                <w:sz w:val="16"/>
              </w:rPr>
              <w:t>6131993</w:t>
            </w:r>
          </w:p>
        </w:tc>
        <w:tc>
          <w:tcPr>
            <w:tcW w:w="864" w:type="dxa"/>
          </w:tcPr>
          <w:p>
            <w:pPr>
              <w:pStyle w:val="TableParagraph"/>
              <w:spacing w:line="161" w:lineRule="exact" w:before="1"/>
              <w:ind w:right="95"/>
              <w:rPr>
                <w:rFonts w:ascii="Courier New"/>
                <w:b/>
                <w:sz w:val="16"/>
              </w:rPr>
            </w:pPr>
            <w:r>
              <w:rPr>
                <w:rFonts w:ascii="Courier New"/>
                <w:b/>
                <w:sz w:val="16"/>
              </w:rPr>
              <w:t>3978557</w:t>
            </w:r>
          </w:p>
        </w:tc>
        <w:tc>
          <w:tcPr>
            <w:tcW w:w="865" w:type="dxa"/>
          </w:tcPr>
          <w:p>
            <w:pPr>
              <w:pStyle w:val="TableParagraph"/>
              <w:spacing w:line="161" w:lineRule="exact" w:before="1"/>
              <w:ind w:right="96"/>
              <w:rPr>
                <w:rFonts w:ascii="Courier New"/>
                <w:b/>
                <w:sz w:val="16"/>
              </w:rPr>
            </w:pPr>
            <w:r>
              <w:rPr>
                <w:rFonts w:ascii="Courier New"/>
                <w:b/>
                <w:sz w:val="16"/>
              </w:rPr>
              <w:t>1.54</w:t>
            </w:r>
          </w:p>
        </w:tc>
        <w:tc>
          <w:tcPr>
            <w:tcW w:w="863" w:type="dxa"/>
          </w:tcPr>
          <w:p>
            <w:pPr>
              <w:pStyle w:val="TableParagraph"/>
              <w:spacing w:line="161" w:lineRule="exact" w:before="1"/>
              <w:ind w:right="95"/>
              <w:rPr>
                <w:rFonts w:ascii="Courier New"/>
                <w:b/>
                <w:sz w:val="16"/>
              </w:rPr>
            </w:pPr>
            <w:r>
              <w:rPr>
                <w:rFonts w:ascii="Courier New"/>
                <w:b/>
                <w:sz w:val="16"/>
              </w:rPr>
              <w:t>0.124</w:t>
            </w:r>
          </w:p>
        </w:tc>
        <w:tc>
          <w:tcPr>
            <w:tcW w:w="531" w:type="dxa"/>
          </w:tcPr>
          <w:p>
            <w:pPr>
              <w:pStyle w:val="TableParagraph"/>
              <w:spacing w:line="240" w:lineRule="auto" w:before="0"/>
              <w:jc w:val="left"/>
              <w:rPr>
                <w:rFonts w:ascii="Times New Roman"/>
                <w:sz w:val="12"/>
              </w:rPr>
            </w:pPr>
          </w:p>
        </w:tc>
      </w:tr>
      <w:tr>
        <w:trPr>
          <w:trHeight w:val="180" w:hRule="atLeast"/>
        </w:trPr>
        <w:tc>
          <w:tcPr>
            <w:tcW w:w="3122" w:type="dxa"/>
          </w:tcPr>
          <w:p>
            <w:pPr>
              <w:pStyle w:val="TableParagraph"/>
              <w:spacing w:line="160" w:lineRule="exact" w:before="0"/>
              <w:ind w:left="50"/>
              <w:jc w:val="left"/>
              <w:rPr>
                <w:rFonts w:ascii="Courier New" w:hAnsi="Courier New"/>
                <w:b/>
                <w:sz w:val="16"/>
              </w:rPr>
            </w:pPr>
            <w:r>
              <w:rPr>
                <w:rFonts w:ascii="Courier New" w:hAnsi="Courier New"/>
                <w:b/>
                <w:sz w:val="16"/>
              </w:rPr>
              <w:t>Área de Construcción en metros</w:t>
            </w:r>
          </w:p>
        </w:tc>
        <w:tc>
          <w:tcPr>
            <w:tcW w:w="865" w:type="dxa"/>
          </w:tcPr>
          <w:p>
            <w:pPr>
              <w:pStyle w:val="TableParagraph"/>
              <w:spacing w:line="160" w:lineRule="exact" w:before="0"/>
              <w:ind w:right="95"/>
              <w:rPr>
                <w:rFonts w:ascii="Courier New"/>
                <w:b/>
                <w:sz w:val="16"/>
              </w:rPr>
            </w:pPr>
            <w:r>
              <w:rPr>
                <w:rFonts w:ascii="Courier New"/>
                <w:b/>
                <w:sz w:val="16"/>
              </w:rPr>
              <w:t>66.0</w:t>
            </w:r>
          </w:p>
        </w:tc>
        <w:tc>
          <w:tcPr>
            <w:tcW w:w="864" w:type="dxa"/>
          </w:tcPr>
          <w:p>
            <w:pPr>
              <w:pStyle w:val="TableParagraph"/>
              <w:spacing w:line="160" w:lineRule="exact" w:before="0"/>
              <w:ind w:right="95"/>
              <w:rPr>
                <w:rFonts w:ascii="Courier New"/>
                <w:b/>
                <w:sz w:val="16"/>
              </w:rPr>
            </w:pPr>
            <w:r>
              <w:rPr>
                <w:rFonts w:ascii="Courier New"/>
                <w:b/>
                <w:sz w:val="16"/>
              </w:rPr>
              <w:t>61.6</w:t>
            </w:r>
          </w:p>
        </w:tc>
        <w:tc>
          <w:tcPr>
            <w:tcW w:w="865" w:type="dxa"/>
          </w:tcPr>
          <w:p>
            <w:pPr>
              <w:pStyle w:val="TableParagraph"/>
              <w:spacing w:line="160" w:lineRule="exact" w:before="0"/>
              <w:ind w:right="96"/>
              <w:rPr>
                <w:rFonts w:ascii="Courier New"/>
                <w:b/>
                <w:sz w:val="16"/>
              </w:rPr>
            </w:pPr>
            <w:r>
              <w:rPr>
                <w:rFonts w:ascii="Courier New"/>
                <w:b/>
                <w:sz w:val="16"/>
              </w:rPr>
              <w:t>1.07</w:t>
            </w:r>
          </w:p>
        </w:tc>
        <w:tc>
          <w:tcPr>
            <w:tcW w:w="863" w:type="dxa"/>
          </w:tcPr>
          <w:p>
            <w:pPr>
              <w:pStyle w:val="TableParagraph"/>
              <w:spacing w:line="160" w:lineRule="exact" w:before="0"/>
              <w:ind w:right="95"/>
              <w:rPr>
                <w:rFonts w:ascii="Courier New"/>
                <w:b/>
                <w:sz w:val="16"/>
              </w:rPr>
            </w:pPr>
            <w:r>
              <w:rPr>
                <w:rFonts w:ascii="Courier New"/>
                <w:b/>
                <w:sz w:val="16"/>
              </w:rPr>
              <w:t>0.284</w:t>
            </w:r>
          </w:p>
        </w:tc>
        <w:tc>
          <w:tcPr>
            <w:tcW w:w="531" w:type="dxa"/>
          </w:tcPr>
          <w:p>
            <w:pPr>
              <w:pStyle w:val="TableParagraph"/>
              <w:spacing w:line="160" w:lineRule="exact" w:before="0"/>
              <w:ind w:right="50"/>
              <w:rPr>
                <w:rFonts w:ascii="Courier New"/>
                <w:b/>
                <w:sz w:val="16"/>
              </w:rPr>
            </w:pPr>
            <w:r>
              <w:rPr>
                <w:rFonts w:ascii="Courier New"/>
                <w:b/>
                <w:sz w:val="16"/>
              </w:rPr>
              <w:t>1.10</w:t>
            </w:r>
          </w:p>
        </w:tc>
      </w:tr>
      <w:tr>
        <w:trPr>
          <w:trHeight w:val="181" w:hRule="atLeast"/>
        </w:trPr>
        <w:tc>
          <w:tcPr>
            <w:tcW w:w="3122" w:type="dxa"/>
          </w:tcPr>
          <w:p>
            <w:pPr>
              <w:pStyle w:val="TableParagraph"/>
              <w:spacing w:line="162" w:lineRule="exact" w:before="0"/>
              <w:ind w:left="50"/>
              <w:jc w:val="left"/>
              <w:rPr>
                <w:rFonts w:ascii="Courier New" w:hAnsi="Courier New"/>
                <w:b/>
                <w:sz w:val="16"/>
              </w:rPr>
            </w:pPr>
            <w:r>
              <w:rPr>
                <w:rFonts w:ascii="Courier New" w:hAnsi="Courier New"/>
                <w:b/>
                <w:sz w:val="16"/>
              </w:rPr>
              <w:t>Año de Construcción</w:t>
            </w:r>
          </w:p>
        </w:tc>
        <w:tc>
          <w:tcPr>
            <w:tcW w:w="865" w:type="dxa"/>
          </w:tcPr>
          <w:p>
            <w:pPr>
              <w:pStyle w:val="TableParagraph"/>
              <w:spacing w:line="162" w:lineRule="exact" w:before="0"/>
              <w:ind w:right="93"/>
              <w:rPr>
                <w:rFonts w:ascii="Courier New"/>
                <w:b/>
                <w:sz w:val="16"/>
              </w:rPr>
            </w:pPr>
            <w:r>
              <w:rPr>
                <w:rFonts w:ascii="Courier New"/>
                <w:b/>
                <w:sz w:val="16"/>
              </w:rPr>
              <w:t>-3056</w:t>
            </w:r>
          </w:p>
        </w:tc>
        <w:tc>
          <w:tcPr>
            <w:tcW w:w="864" w:type="dxa"/>
          </w:tcPr>
          <w:p>
            <w:pPr>
              <w:pStyle w:val="TableParagraph"/>
              <w:spacing w:line="162" w:lineRule="exact" w:before="0"/>
              <w:ind w:right="94"/>
              <w:rPr>
                <w:rFonts w:ascii="Courier New"/>
                <w:b/>
                <w:sz w:val="16"/>
              </w:rPr>
            </w:pPr>
            <w:r>
              <w:rPr>
                <w:rFonts w:ascii="Courier New"/>
                <w:b/>
                <w:sz w:val="16"/>
              </w:rPr>
              <w:t>1983</w:t>
            </w:r>
          </w:p>
        </w:tc>
        <w:tc>
          <w:tcPr>
            <w:tcW w:w="865" w:type="dxa"/>
          </w:tcPr>
          <w:p>
            <w:pPr>
              <w:pStyle w:val="TableParagraph"/>
              <w:spacing w:line="162" w:lineRule="exact" w:before="0"/>
              <w:ind w:right="94"/>
              <w:rPr>
                <w:rFonts w:ascii="Courier New"/>
                <w:b/>
                <w:sz w:val="16"/>
              </w:rPr>
            </w:pPr>
            <w:r>
              <w:rPr>
                <w:rFonts w:ascii="Courier New"/>
                <w:b/>
                <w:sz w:val="16"/>
              </w:rPr>
              <w:t>-1.54</w:t>
            </w:r>
          </w:p>
        </w:tc>
        <w:tc>
          <w:tcPr>
            <w:tcW w:w="863" w:type="dxa"/>
          </w:tcPr>
          <w:p>
            <w:pPr>
              <w:pStyle w:val="TableParagraph"/>
              <w:spacing w:line="162" w:lineRule="exact" w:before="0"/>
              <w:ind w:right="93"/>
              <w:rPr>
                <w:rFonts w:ascii="Courier New"/>
                <w:b/>
                <w:sz w:val="16"/>
              </w:rPr>
            </w:pPr>
            <w:r>
              <w:rPr>
                <w:rFonts w:ascii="Courier New"/>
                <w:b/>
                <w:sz w:val="16"/>
              </w:rPr>
              <w:t>0.124</w:t>
            </w:r>
          </w:p>
        </w:tc>
        <w:tc>
          <w:tcPr>
            <w:tcW w:w="531" w:type="dxa"/>
          </w:tcPr>
          <w:p>
            <w:pPr>
              <w:pStyle w:val="TableParagraph"/>
              <w:spacing w:line="162" w:lineRule="exact" w:before="0"/>
              <w:ind w:right="48"/>
              <w:rPr>
                <w:rFonts w:ascii="Courier New"/>
                <w:b/>
                <w:sz w:val="16"/>
              </w:rPr>
            </w:pPr>
            <w:r>
              <w:rPr>
                <w:rFonts w:ascii="Courier New"/>
                <w:b/>
                <w:sz w:val="16"/>
              </w:rPr>
              <w:t>1.17</w:t>
            </w:r>
          </w:p>
        </w:tc>
      </w:tr>
      <w:tr>
        <w:trPr>
          <w:trHeight w:val="182" w:hRule="atLeast"/>
        </w:trPr>
        <w:tc>
          <w:tcPr>
            <w:tcW w:w="3122" w:type="dxa"/>
          </w:tcPr>
          <w:p>
            <w:pPr>
              <w:pStyle w:val="TableParagraph"/>
              <w:spacing w:line="161" w:lineRule="exact" w:before="1"/>
              <w:ind w:left="50"/>
              <w:jc w:val="left"/>
              <w:rPr>
                <w:rFonts w:ascii="Courier New" w:hAnsi="Courier New"/>
                <w:b/>
                <w:sz w:val="16"/>
              </w:rPr>
            </w:pPr>
            <w:r>
              <w:rPr>
                <w:rFonts w:ascii="Courier New" w:hAnsi="Courier New"/>
                <w:b/>
                <w:sz w:val="16"/>
              </w:rPr>
              <w:t>Número de Habitaciones</w:t>
            </w:r>
          </w:p>
        </w:tc>
        <w:tc>
          <w:tcPr>
            <w:tcW w:w="865" w:type="dxa"/>
          </w:tcPr>
          <w:p>
            <w:pPr>
              <w:pStyle w:val="TableParagraph"/>
              <w:spacing w:line="161" w:lineRule="exact" w:before="1"/>
              <w:ind w:right="94"/>
              <w:rPr>
                <w:rFonts w:ascii="Courier New"/>
                <w:b/>
                <w:sz w:val="16"/>
              </w:rPr>
            </w:pPr>
            <w:r>
              <w:rPr>
                <w:rFonts w:ascii="Courier New"/>
                <w:b/>
                <w:sz w:val="16"/>
              </w:rPr>
              <w:t>109631</w:t>
            </w:r>
          </w:p>
        </w:tc>
        <w:tc>
          <w:tcPr>
            <w:tcW w:w="864" w:type="dxa"/>
          </w:tcPr>
          <w:p>
            <w:pPr>
              <w:pStyle w:val="TableParagraph"/>
              <w:spacing w:line="161" w:lineRule="exact" w:before="1"/>
              <w:ind w:right="94"/>
              <w:rPr>
                <w:rFonts w:ascii="Courier New"/>
                <w:b/>
                <w:sz w:val="16"/>
              </w:rPr>
            </w:pPr>
            <w:r>
              <w:rPr>
                <w:rFonts w:ascii="Courier New"/>
                <w:b/>
                <w:sz w:val="16"/>
              </w:rPr>
              <w:t>12934</w:t>
            </w:r>
          </w:p>
        </w:tc>
        <w:tc>
          <w:tcPr>
            <w:tcW w:w="865" w:type="dxa"/>
          </w:tcPr>
          <w:p>
            <w:pPr>
              <w:pStyle w:val="TableParagraph"/>
              <w:spacing w:line="161" w:lineRule="exact" w:before="1"/>
              <w:ind w:right="95"/>
              <w:rPr>
                <w:rFonts w:ascii="Courier New"/>
                <w:b/>
                <w:sz w:val="16"/>
              </w:rPr>
            </w:pPr>
            <w:r>
              <w:rPr>
                <w:rFonts w:ascii="Courier New"/>
                <w:b/>
                <w:sz w:val="16"/>
              </w:rPr>
              <w:t>8.48</w:t>
            </w:r>
          </w:p>
        </w:tc>
        <w:tc>
          <w:tcPr>
            <w:tcW w:w="863" w:type="dxa"/>
          </w:tcPr>
          <w:p>
            <w:pPr>
              <w:pStyle w:val="TableParagraph"/>
              <w:spacing w:line="161" w:lineRule="exact" w:before="1"/>
              <w:ind w:right="94"/>
              <w:rPr>
                <w:rFonts w:ascii="Courier New"/>
                <w:b/>
                <w:sz w:val="16"/>
              </w:rPr>
            </w:pPr>
            <w:r>
              <w:rPr>
                <w:rFonts w:ascii="Courier New"/>
                <w:b/>
                <w:sz w:val="16"/>
              </w:rPr>
              <w:t>0.000</w:t>
            </w:r>
          </w:p>
        </w:tc>
        <w:tc>
          <w:tcPr>
            <w:tcW w:w="531" w:type="dxa"/>
          </w:tcPr>
          <w:p>
            <w:pPr>
              <w:pStyle w:val="TableParagraph"/>
              <w:spacing w:line="161" w:lineRule="exact" w:before="1"/>
              <w:ind w:right="49"/>
              <w:rPr>
                <w:rFonts w:ascii="Courier New"/>
                <w:b/>
                <w:sz w:val="16"/>
              </w:rPr>
            </w:pPr>
            <w:r>
              <w:rPr>
                <w:rFonts w:ascii="Courier New"/>
                <w:b/>
                <w:sz w:val="16"/>
              </w:rPr>
              <w:t>1.26</w:t>
            </w:r>
          </w:p>
        </w:tc>
      </w:tr>
      <w:tr>
        <w:trPr>
          <w:trHeight w:val="180" w:hRule="atLeast"/>
        </w:trPr>
        <w:tc>
          <w:tcPr>
            <w:tcW w:w="3122" w:type="dxa"/>
          </w:tcPr>
          <w:p>
            <w:pPr>
              <w:pStyle w:val="TableParagraph"/>
              <w:spacing w:line="160" w:lineRule="exact" w:before="0"/>
              <w:ind w:left="50"/>
              <w:jc w:val="left"/>
              <w:rPr>
                <w:rFonts w:ascii="Courier New" w:hAnsi="Courier New"/>
                <w:b/>
                <w:sz w:val="16"/>
              </w:rPr>
            </w:pPr>
            <w:r>
              <w:rPr>
                <w:rFonts w:ascii="Courier New" w:hAnsi="Courier New"/>
                <w:b/>
                <w:sz w:val="16"/>
              </w:rPr>
              <w:t>Número de Plantas</w:t>
            </w:r>
          </w:p>
        </w:tc>
        <w:tc>
          <w:tcPr>
            <w:tcW w:w="865" w:type="dxa"/>
          </w:tcPr>
          <w:p>
            <w:pPr>
              <w:pStyle w:val="TableParagraph"/>
              <w:spacing w:line="160" w:lineRule="exact" w:before="0"/>
              <w:ind w:right="93"/>
              <w:rPr>
                <w:rFonts w:ascii="Courier New"/>
                <w:b/>
                <w:sz w:val="16"/>
              </w:rPr>
            </w:pPr>
            <w:r>
              <w:rPr>
                <w:rFonts w:ascii="Courier New"/>
                <w:b/>
                <w:sz w:val="16"/>
              </w:rPr>
              <w:t>-40303</w:t>
            </w:r>
          </w:p>
        </w:tc>
        <w:tc>
          <w:tcPr>
            <w:tcW w:w="864" w:type="dxa"/>
          </w:tcPr>
          <w:p>
            <w:pPr>
              <w:pStyle w:val="TableParagraph"/>
              <w:spacing w:line="160" w:lineRule="exact" w:before="0"/>
              <w:ind w:right="94"/>
              <w:rPr>
                <w:rFonts w:ascii="Courier New"/>
                <w:b/>
                <w:sz w:val="16"/>
              </w:rPr>
            </w:pPr>
            <w:r>
              <w:rPr>
                <w:rFonts w:ascii="Courier New"/>
                <w:b/>
                <w:sz w:val="16"/>
              </w:rPr>
              <w:t>26386</w:t>
            </w:r>
          </w:p>
        </w:tc>
        <w:tc>
          <w:tcPr>
            <w:tcW w:w="865" w:type="dxa"/>
          </w:tcPr>
          <w:p>
            <w:pPr>
              <w:pStyle w:val="TableParagraph"/>
              <w:spacing w:line="160" w:lineRule="exact" w:before="0"/>
              <w:ind w:right="94"/>
              <w:rPr>
                <w:rFonts w:ascii="Courier New"/>
                <w:b/>
                <w:sz w:val="16"/>
              </w:rPr>
            </w:pPr>
            <w:r>
              <w:rPr>
                <w:rFonts w:ascii="Courier New"/>
                <w:b/>
                <w:sz w:val="16"/>
              </w:rPr>
              <w:t>-1.53</w:t>
            </w:r>
          </w:p>
        </w:tc>
        <w:tc>
          <w:tcPr>
            <w:tcW w:w="863" w:type="dxa"/>
          </w:tcPr>
          <w:p>
            <w:pPr>
              <w:pStyle w:val="TableParagraph"/>
              <w:spacing w:line="160" w:lineRule="exact" w:before="0"/>
              <w:ind w:right="93"/>
              <w:rPr>
                <w:rFonts w:ascii="Courier New"/>
                <w:b/>
                <w:sz w:val="16"/>
              </w:rPr>
            </w:pPr>
            <w:r>
              <w:rPr>
                <w:rFonts w:ascii="Courier New"/>
                <w:b/>
                <w:sz w:val="16"/>
              </w:rPr>
              <w:t>0.128</w:t>
            </w:r>
          </w:p>
        </w:tc>
        <w:tc>
          <w:tcPr>
            <w:tcW w:w="531" w:type="dxa"/>
          </w:tcPr>
          <w:p>
            <w:pPr>
              <w:pStyle w:val="TableParagraph"/>
              <w:spacing w:line="160" w:lineRule="exact" w:before="0"/>
              <w:ind w:right="48"/>
              <w:rPr>
                <w:rFonts w:ascii="Courier New"/>
                <w:b/>
                <w:sz w:val="16"/>
              </w:rPr>
            </w:pPr>
            <w:r>
              <w:rPr>
                <w:rFonts w:ascii="Courier New"/>
                <w:b/>
                <w:sz w:val="16"/>
              </w:rPr>
              <w:t>1.16</w:t>
            </w:r>
          </w:p>
        </w:tc>
      </w:tr>
      <w:tr>
        <w:trPr>
          <w:trHeight w:val="182" w:hRule="atLeast"/>
        </w:trPr>
        <w:tc>
          <w:tcPr>
            <w:tcW w:w="3122" w:type="dxa"/>
          </w:tcPr>
          <w:p>
            <w:pPr>
              <w:pStyle w:val="TableParagraph"/>
              <w:spacing w:line="162" w:lineRule="exact" w:before="0"/>
              <w:ind w:left="50"/>
              <w:jc w:val="left"/>
              <w:rPr>
                <w:rFonts w:ascii="Courier New" w:hAnsi="Courier New"/>
                <w:b/>
                <w:sz w:val="16"/>
              </w:rPr>
            </w:pPr>
            <w:r>
              <w:rPr>
                <w:rFonts w:ascii="Courier New" w:hAnsi="Courier New"/>
                <w:b/>
                <w:sz w:val="16"/>
              </w:rPr>
              <w:t>Distancia a San José Centro por</w:t>
            </w:r>
          </w:p>
        </w:tc>
        <w:tc>
          <w:tcPr>
            <w:tcW w:w="865" w:type="dxa"/>
          </w:tcPr>
          <w:p>
            <w:pPr>
              <w:pStyle w:val="TableParagraph"/>
              <w:spacing w:line="162" w:lineRule="exact" w:before="0"/>
              <w:ind w:right="93"/>
              <w:rPr>
                <w:rFonts w:ascii="Courier New"/>
                <w:b/>
                <w:sz w:val="16"/>
              </w:rPr>
            </w:pPr>
            <w:r>
              <w:rPr>
                <w:rFonts w:ascii="Courier New"/>
                <w:b/>
                <w:sz w:val="16"/>
              </w:rPr>
              <w:t>-15972</w:t>
            </w:r>
          </w:p>
        </w:tc>
        <w:tc>
          <w:tcPr>
            <w:tcW w:w="864" w:type="dxa"/>
          </w:tcPr>
          <w:p>
            <w:pPr>
              <w:pStyle w:val="TableParagraph"/>
              <w:spacing w:line="162" w:lineRule="exact" w:before="0"/>
              <w:ind w:right="94"/>
              <w:rPr>
                <w:rFonts w:ascii="Courier New"/>
                <w:b/>
                <w:sz w:val="16"/>
              </w:rPr>
            </w:pPr>
            <w:r>
              <w:rPr>
                <w:rFonts w:ascii="Courier New"/>
                <w:b/>
                <w:sz w:val="16"/>
              </w:rPr>
              <w:t>6419</w:t>
            </w:r>
          </w:p>
        </w:tc>
        <w:tc>
          <w:tcPr>
            <w:tcW w:w="865" w:type="dxa"/>
          </w:tcPr>
          <w:p>
            <w:pPr>
              <w:pStyle w:val="TableParagraph"/>
              <w:spacing w:line="162" w:lineRule="exact" w:before="0"/>
              <w:ind w:right="94"/>
              <w:rPr>
                <w:rFonts w:ascii="Courier New"/>
                <w:b/>
                <w:sz w:val="16"/>
              </w:rPr>
            </w:pPr>
            <w:r>
              <w:rPr>
                <w:rFonts w:ascii="Courier New"/>
                <w:b/>
                <w:sz w:val="16"/>
              </w:rPr>
              <w:t>-2.49</w:t>
            </w:r>
          </w:p>
        </w:tc>
        <w:tc>
          <w:tcPr>
            <w:tcW w:w="863" w:type="dxa"/>
          </w:tcPr>
          <w:p>
            <w:pPr>
              <w:pStyle w:val="TableParagraph"/>
              <w:spacing w:line="162" w:lineRule="exact" w:before="0"/>
              <w:ind w:right="93"/>
              <w:rPr>
                <w:rFonts w:ascii="Courier New"/>
                <w:b/>
                <w:sz w:val="16"/>
              </w:rPr>
            </w:pPr>
            <w:r>
              <w:rPr>
                <w:rFonts w:ascii="Courier New"/>
                <w:b/>
                <w:sz w:val="16"/>
              </w:rPr>
              <w:t>0.013</w:t>
            </w:r>
          </w:p>
        </w:tc>
        <w:tc>
          <w:tcPr>
            <w:tcW w:w="531" w:type="dxa"/>
          </w:tcPr>
          <w:p>
            <w:pPr>
              <w:pStyle w:val="TableParagraph"/>
              <w:spacing w:line="162" w:lineRule="exact" w:before="0"/>
              <w:ind w:right="48"/>
              <w:rPr>
                <w:rFonts w:ascii="Courier New"/>
                <w:b/>
                <w:sz w:val="16"/>
              </w:rPr>
            </w:pPr>
            <w:r>
              <w:rPr>
                <w:rFonts w:ascii="Courier New"/>
                <w:b/>
                <w:sz w:val="16"/>
              </w:rPr>
              <w:t>1.17</w:t>
            </w:r>
          </w:p>
        </w:tc>
      </w:tr>
      <w:tr>
        <w:trPr>
          <w:trHeight w:val="181" w:hRule="atLeast"/>
        </w:trPr>
        <w:tc>
          <w:tcPr>
            <w:tcW w:w="3122" w:type="dxa"/>
          </w:tcPr>
          <w:p>
            <w:pPr>
              <w:pStyle w:val="TableParagraph"/>
              <w:spacing w:line="161" w:lineRule="exact" w:before="1"/>
              <w:ind w:left="50"/>
              <w:jc w:val="left"/>
              <w:rPr>
                <w:rFonts w:ascii="Courier New"/>
                <w:b/>
                <w:sz w:val="16"/>
              </w:rPr>
            </w:pPr>
            <w:r>
              <w:rPr>
                <w:rFonts w:ascii="Courier New"/>
                <w:b/>
                <w:sz w:val="16"/>
              </w:rPr>
              <w:t>Distancia a Aglomera-ciones de</w:t>
            </w:r>
          </w:p>
        </w:tc>
        <w:tc>
          <w:tcPr>
            <w:tcW w:w="865" w:type="dxa"/>
          </w:tcPr>
          <w:p>
            <w:pPr>
              <w:pStyle w:val="TableParagraph"/>
              <w:spacing w:line="161" w:lineRule="exact" w:before="1"/>
              <w:ind w:right="94"/>
              <w:rPr>
                <w:rFonts w:ascii="Courier New"/>
                <w:b/>
                <w:sz w:val="16"/>
              </w:rPr>
            </w:pPr>
            <w:r>
              <w:rPr>
                <w:rFonts w:ascii="Courier New"/>
                <w:b/>
                <w:sz w:val="16"/>
              </w:rPr>
              <w:t>22528</w:t>
            </w:r>
          </w:p>
        </w:tc>
        <w:tc>
          <w:tcPr>
            <w:tcW w:w="864" w:type="dxa"/>
          </w:tcPr>
          <w:p>
            <w:pPr>
              <w:pStyle w:val="TableParagraph"/>
              <w:spacing w:line="161" w:lineRule="exact" w:before="1"/>
              <w:ind w:right="94"/>
              <w:rPr>
                <w:rFonts w:ascii="Courier New"/>
                <w:b/>
                <w:sz w:val="16"/>
              </w:rPr>
            </w:pPr>
            <w:r>
              <w:rPr>
                <w:rFonts w:ascii="Courier New"/>
                <w:b/>
                <w:sz w:val="16"/>
              </w:rPr>
              <w:t>10331</w:t>
            </w:r>
          </w:p>
        </w:tc>
        <w:tc>
          <w:tcPr>
            <w:tcW w:w="865" w:type="dxa"/>
          </w:tcPr>
          <w:p>
            <w:pPr>
              <w:pStyle w:val="TableParagraph"/>
              <w:spacing w:line="161" w:lineRule="exact" w:before="1"/>
              <w:ind w:right="94"/>
              <w:rPr>
                <w:rFonts w:ascii="Courier New"/>
                <w:b/>
                <w:sz w:val="16"/>
              </w:rPr>
            </w:pPr>
            <w:r>
              <w:rPr>
                <w:rFonts w:ascii="Courier New"/>
                <w:b/>
                <w:sz w:val="16"/>
              </w:rPr>
              <w:t>2.18</w:t>
            </w:r>
          </w:p>
        </w:tc>
        <w:tc>
          <w:tcPr>
            <w:tcW w:w="863" w:type="dxa"/>
          </w:tcPr>
          <w:p>
            <w:pPr>
              <w:pStyle w:val="TableParagraph"/>
              <w:spacing w:line="161" w:lineRule="exact" w:before="1"/>
              <w:ind w:right="93"/>
              <w:rPr>
                <w:rFonts w:ascii="Courier New"/>
                <w:b/>
                <w:sz w:val="16"/>
              </w:rPr>
            </w:pPr>
            <w:r>
              <w:rPr>
                <w:rFonts w:ascii="Courier New"/>
                <w:b/>
                <w:sz w:val="16"/>
              </w:rPr>
              <w:t>0.030</w:t>
            </w:r>
          </w:p>
        </w:tc>
        <w:tc>
          <w:tcPr>
            <w:tcW w:w="531" w:type="dxa"/>
          </w:tcPr>
          <w:p>
            <w:pPr>
              <w:pStyle w:val="TableParagraph"/>
              <w:spacing w:line="161" w:lineRule="exact" w:before="1"/>
              <w:ind w:right="48"/>
              <w:rPr>
                <w:rFonts w:ascii="Courier New"/>
                <w:b/>
                <w:sz w:val="16"/>
              </w:rPr>
            </w:pPr>
            <w:r>
              <w:rPr>
                <w:rFonts w:ascii="Courier New"/>
                <w:b/>
                <w:sz w:val="16"/>
              </w:rPr>
              <w:t>1.17</w:t>
            </w:r>
          </w:p>
        </w:tc>
      </w:tr>
      <w:tr>
        <w:trPr>
          <w:trHeight w:val="180" w:hRule="atLeast"/>
        </w:trPr>
        <w:tc>
          <w:tcPr>
            <w:tcW w:w="3122" w:type="dxa"/>
          </w:tcPr>
          <w:p>
            <w:pPr>
              <w:pStyle w:val="TableParagraph"/>
              <w:spacing w:line="160" w:lineRule="exact" w:before="0"/>
              <w:ind w:left="50"/>
              <w:jc w:val="left"/>
              <w:rPr>
                <w:rFonts w:ascii="Courier New"/>
                <w:b/>
                <w:sz w:val="16"/>
              </w:rPr>
            </w:pPr>
            <w:r>
              <w:rPr>
                <w:rFonts w:ascii="Courier New"/>
                <w:b/>
                <w:sz w:val="16"/>
              </w:rPr>
              <w:t>Tipo = 1 casa, 0 = Condo</w:t>
            </w:r>
          </w:p>
        </w:tc>
        <w:tc>
          <w:tcPr>
            <w:tcW w:w="865" w:type="dxa"/>
          </w:tcPr>
          <w:p>
            <w:pPr>
              <w:pStyle w:val="TableParagraph"/>
              <w:spacing w:line="240" w:lineRule="auto" w:before="0"/>
              <w:jc w:val="left"/>
              <w:rPr>
                <w:rFonts w:ascii="Times New Roman"/>
                <w:sz w:val="12"/>
              </w:rPr>
            </w:pPr>
          </w:p>
        </w:tc>
        <w:tc>
          <w:tcPr>
            <w:tcW w:w="864" w:type="dxa"/>
          </w:tcPr>
          <w:p>
            <w:pPr>
              <w:pStyle w:val="TableParagraph"/>
              <w:spacing w:line="240" w:lineRule="auto" w:before="0"/>
              <w:jc w:val="left"/>
              <w:rPr>
                <w:rFonts w:ascii="Times New Roman"/>
                <w:sz w:val="12"/>
              </w:rPr>
            </w:pPr>
          </w:p>
        </w:tc>
        <w:tc>
          <w:tcPr>
            <w:tcW w:w="865" w:type="dxa"/>
          </w:tcPr>
          <w:p>
            <w:pPr>
              <w:pStyle w:val="TableParagraph"/>
              <w:spacing w:line="240" w:lineRule="auto" w:before="0"/>
              <w:jc w:val="left"/>
              <w:rPr>
                <w:rFonts w:ascii="Times New Roman"/>
                <w:sz w:val="12"/>
              </w:rPr>
            </w:pPr>
          </w:p>
        </w:tc>
        <w:tc>
          <w:tcPr>
            <w:tcW w:w="863" w:type="dxa"/>
          </w:tcPr>
          <w:p>
            <w:pPr>
              <w:pStyle w:val="TableParagraph"/>
              <w:spacing w:line="240" w:lineRule="auto" w:before="0"/>
              <w:jc w:val="left"/>
              <w:rPr>
                <w:rFonts w:ascii="Times New Roman"/>
                <w:sz w:val="12"/>
              </w:rPr>
            </w:pPr>
          </w:p>
        </w:tc>
        <w:tc>
          <w:tcPr>
            <w:tcW w:w="531" w:type="dxa"/>
          </w:tcPr>
          <w:p>
            <w:pPr>
              <w:pStyle w:val="TableParagraph"/>
              <w:spacing w:line="240" w:lineRule="auto" w:before="0"/>
              <w:jc w:val="left"/>
              <w:rPr>
                <w:rFonts w:ascii="Times New Roman"/>
                <w:sz w:val="12"/>
              </w:rPr>
            </w:pPr>
          </w:p>
        </w:tc>
      </w:tr>
      <w:tr>
        <w:trPr>
          <w:trHeight w:val="180" w:hRule="atLeast"/>
        </w:trPr>
        <w:tc>
          <w:tcPr>
            <w:tcW w:w="3122" w:type="dxa"/>
          </w:tcPr>
          <w:p>
            <w:pPr>
              <w:pStyle w:val="TableParagraph"/>
              <w:spacing w:line="161" w:lineRule="exact" w:before="0"/>
              <w:ind w:left="241"/>
              <w:jc w:val="left"/>
              <w:rPr>
                <w:rFonts w:ascii="Courier New"/>
                <w:b/>
                <w:sz w:val="16"/>
              </w:rPr>
            </w:pPr>
            <w:r>
              <w:rPr>
                <w:rFonts w:ascii="Courier New"/>
                <w:b/>
                <w:sz w:val="16"/>
              </w:rPr>
              <w:t>1</w:t>
            </w:r>
          </w:p>
        </w:tc>
        <w:tc>
          <w:tcPr>
            <w:tcW w:w="865" w:type="dxa"/>
          </w:tcPr>
          <w:p>
            <w:pPr>
              <w:pStyle w:val="TableParagraph"/>
              <w:spacing w:line="161" w:lineRule="exact" w:before="0"/>
              <w:ind w:right="95"/>
              <w:rPr>
                <w:rFonts w:ascii="Courier New"/>
                <w:b/>
                <w:sz w:val="16"/>
              </w:rPr>
            </w:pPr>
            <w:r>
              <w:rPr>
                <w:rFonts w:ascii="Courier New"/>
                <w:b/>
                <w:sz w:val="16"/>
              </w:rPr>
              <w:t>37125</w:t>
            </w:r>
          </w:p>
        </w:tc>
        <w:tc>
          <w:tcPr>
            <w:tcW w:w="864" w:type="dxa"/>
          </w:tcPr>
          <w:p>
            <w:pPr>
              <w:pStyle w:val="TableParagraph"/>
              <w:spacing w:line="161" w:lineRule="exact" w:before="0"/>
              <w:ind w:right="95"/>
              <w:rPr>
                <w:rFonts w:ascii="Courier New"/>
                <w:b/>
                <w:sz w:val="16"/>
              </w:rPr>
            </w:pPr>
            <w:r>
              <w:rPr>
                <w:rFonts w:ascii="Courier New"/>
                <w:b/>
                <w:sz w:val="16"/>
              </w:rPr>
              <w:t>25111</w:t>
            </w:r>
          </w:p>
        </w:tc>
        <w:tc>
          <w:tcPr>
            <w:tcW w:w="865" w:type="dxa"/>
          </w:tcPr>
          <w:p>
            <w:pPr>
              <w:pStyle w:val="TableParagraph"/>
              <w:spacing w:line="161" w:lineRule="exact" w:before="0"/>
              <w:ind w:right="96"/>
              <w:rPr>
                <w:rFonts w:ascii="Courier New"/>
                <w:b/>
                <w:sz w:val="16"/>
              </w:rPr>
            </w:pPr>
            <w:r>
              <w:rPr>
                <w:rFonts w:ascii="Courier New"/>
                <w:b/>
                <w:sz w:val="16"/>
              </w:rPr>
              <w:t>1.48</w:t>
            </w:r>
          </w:p>
        </w:tc>
        <w:tc>
          <w:tcPr>
            <w:tcW w:w="863" w:type="dxa"/>
          </w:tcPr>
          <w:p>
            <w:pPr>
              <w:pStyle w:val="TableParagraph"/>
              <w:spacing w:line="161" w:lineRule="exact" w:before="0"/>
              <w:ind w:right="95"/>
              <w:rPr>
                <w:rFonts w:ascii="Courier New"/>
                <w:b/>
                <w:sz w:val="16"/>
              </w:rPr>
            </w:pPr>
            <w:r>
              <w:rPr>
                <w:rFonts w:ascii="Courier New"/>
                <w:b/>
                <w:sz w:val="16"/>
              </w:rPr>
              <w:t>0.140</w:t>
            </w:r>
          </w:p>
        </w:tc>
        <w:tc>
          <w:tcPr>
            <w:tcW w:w="531" w:type="dxa"/>
          </w:tcPr>
          <w:p>
            <w:pPr>
              <w:pStyle w:val="TableParagraph"/>
              <w:spacing w:line="161" w:lineRule="exact" w:before="0"/>
              <w:ind w:right="50"/>
              <w:rPr>
                <w:rFonts w:ascii="Courier New"/>
                <w:b/>
                <w:sz w:val="16"/>
              </w:rPr>
            </w:pPr>
            <w:r>
              <w:rPr>
                <w:rFonts w:ascii="Courier New"/>
                <w:b/>
                <w:sz w:val="16"/>
              </w:rPr>
              <w:t>1.21</w:t>
            </w:r>
          </w:p>
        </w:tc>
      </w:tr>
    </w:tbl>
    <w:p>
      <w:pPr>
        <w:spacing w:line="181" w:lineRule="exact" w:before="3"/>
        <w:ind w:left="1040" w:right="0" w:firstLine="0"/>
        <w:jc w:val="left"/>
        <w:rPr>
          <w:rFonts w:ascii="Courier New"/>
          <w:b/>
          <w:sz w:val="16"/>
        </w:rPr>
      </w:pPr>
      <w:r>
        <w:rPr>
          <w:rFonts w:ascii="Courier New"/>
          <w:b/>
          <w:sz w:val="16"/>
        </w:rPr>
        <w:t>Zona de Riesgo de desastre</w:t>
      </w:r>
    </w:p>
    <w:p>
      <w:pPr>
        <w:tabs>
          <w:tab w:pos="4305" w:val="left" w:leader="none"/>
          <w:tab w:pos="5265" w:val="left" w:leader="none"/>
          <w:tab w:pos="6129" w:val="left" w:leader="none"/>
          <w:tab w:pos="6993" w:val="left" w:leader="none"/>
        </w:tabs>
        <w:spacing w:line="180" w:lineRule="exact" w:before="0"/>
        <w:ind w:left="1232" w:right="0" w:firstLine="0"/>
        <w:jc w:val="left"/>
        <w:rPr>
          <w:rFonts w:ascii="Courier New"/>
          <w:b/>
          <w:sz w:val="16"/>
        </w:rPr>
      </w:pPr>
      <w:r>
        <w:rPr>
          <w:rFonts w:ascii="Courier New"/>
          <w:b/>
          <w:sz w:val="16"/>
        </w:rPr>
        <w:t>1</w:t>
        <w:tab/>
        <w:t>-21795</w:t>
        <w:tab/>
        <w:t>36829</w:t>
        <w:tab/>
        <w:t>-0.59</w:t>
        <w:tab/>
        <w:t>0.554</w:t>
      </w:r>
      <w:r>
        <w:rPr>
          <w:rFonts w:ascii="Courier New"/>
          <w:b/>
          <w:spacing w:val="94"/>
          <w:sz w:val="16"/>
        </w:rPr>
        <w:t> </w:t>
      </w:r>
      <w:r>
        <w:rPr>
          <w:rFonts w:ascii="Courier New"/>
          <w:b/>
          <w:sz w:val="16"/>
        </w:rPr>
        <w:t>1.05</w:t>
      </w:r>
    </w:p>
    <w:p>
      <w:pPr>
        <w:spacing w:line="180" w:lineRule="exact" w:before="0"/>
        <w:ind w:left="1040" w:right="0" w:firstLine="0"/>
        <w:jc w:val="left"/>
        <w:rPr>
          <w:rFonts w:ascii="Courier New"/>
          <w:b/>
          <w:sz w:val="16"/>
        </w:rPr>
      </w:pPr>
      <w:r>
        <w:rPr>
          <w:rFonts w:ascii="Courier New"/>
          <w:b/>
          <w:sz w:val="16"/>
        </w:rPr>
        <w:t>Vista a la Carpintera</w:t>
      </w:r>
    </w:p>
    <w:p>
      <w:pPr>
        <w:tabs>
          <w:tab w:pos="4401" w:val="left" w:leader="none"/>
          <w:tab w:pos="5265" w:val="left" w:leader="none"/>
          <w:tab w:pos="6225" w:val="left" w:leader="none"/>
          <w:tab w:pos="6993" w:val="left" w:leader="none"/>
        </w:tabs>
        <w:spacing w:line="181" w:lineRule="exact" w:before="0"/>
        <w:ind w:left="1232" w:right="0" w:firstLine="0"/>
        <w:jc w:val="left"/>
        <w:rPr>
          <w:rFonts w:ascii="Courier New"/>
          <w:b/>
          <w:sz w:val="16"/>
        </w:rPr>
      </w:pPr>
      <w:r>
        <w:rPr>
          <w:rFonts w:ascii="Courier New"/>
          <w:b/>
          <w:sz w:val="16"/>
        </w:rPr>
        <w:t>1</w:t>
        <w:tab/>
        <w:t>88530</w:t>
        <w:tab/>
        <w:t>25271</w:t>
        <w:tab/>
        <w:t>3.50</w:t>
        <w:tab/>
        <w:t>0.001</w:t>
      </w:r>
      <w:r>
        <w:rPr>
          <w:rFonts w:ascii="Courier New"/>
          <w:b/>
          <w:spacing w:val="94"/>
          <w:sz w:val="16"/>
        </w:rPr>
        <w:t> </w:t>
      </w:r>
      <w:r>
        <w:rPr>
          <w:rFonts w:ascii="Courier New"/>
          <w:b/>
          <w:sz w:val="16"/>
        </w:rPr>
        <w:t>1.07</w:t>
      </w:r>
    </w:p>
    <w:p>
      <w:pPr>
        <w:pStyle w:val="BodyText"/>
        <w:rPr>
          <w:rFonts w:ascii="Courier New"/>
          <w:b/>
          <w:sz w:val="18"/>
        </w:rPr>
      </w:pPr>
    </w:p>
    <w:p>
      <w:pPr>
        <w:pStyle w:val="Heading1"/>
        <w:spacing w:before="112"/>
      </w:pPr>
      <w:r>
        <w:rPr/>
        <w:drawing>
          <wp:anchor distT="0" distB="0" distL="0" distR="0" allowOverlap="1" layoutInCell="1" locked="0" behindDoc="0" simplePos="0" relativeHeight="108">
            <wp:simplePos x="0" y="0"/>
            <wp:positionH relativeFrom="page">
              <wp:posOffset>2508468</wp:posOffset>
            </wp:positionH>
            <wp:positionV relativeFrom="paragraph">
              <wp:posOffset>338133</wp:posOffset>
            </wp:positionV>
            <wp:extent cx="2803597" cy="2188464"/>
            <wp:effectExtent l="0" t="0" r="0" b="0"/>
            <wp:wrapTopAndBottom/>
            <wp:docPr id="137" name="image94.jpeg"/>
            <wp:cNvGraphicFramePr>
              <a:graphicFrameLocks noChangeAspect="1"/>
            </wp:cNvGraphicFramePr>
            <a:graphic>
              <a:graphicData uri="http://schemas.openxmlformats.org/drawingml/2006/picture">
                <pic:pic>
                  <pic:nvPicPr>
                    <pic:cNvPr id="138" name="image94.jpeg"/>
                    <pic:cNvPicPr/>
                  </pic:nvPicPr>
                  <pic:blipFill>
                    <a:blip r:embed="rId146" cstate="print"/>
                    <a:stretch>
                      <a:fillRect/>
                    </a:stretch>
                  </pic:blipFill>
                  <pic:spPr>
                    <a:xfrm>
                      <a:off x="0" y="0"/>
                      <a:ext cx="2803597" cy="2188464"/>
                    </a:xfrm>
                    <a:prstGeom prst="rect">
                      <a:avLst/>
                    </a:prstGeom>
                  </pic:spPr>
                </pic:pic>
              </a:graphicData>
            </a:graphic>
          </wp:anchor>
        </w:drawing>
      </w:r>
      <w:r>
        <w:rPr/>
        <w:t>B- Heterocedasticidad</w:t>
      </w:r>
    </w:p>
    <w:p>
      <w:pPr>
        <w:spacing w:after="0"/>
        <w:sectPr>
          <w:pgSz w:w="12240" w:h="15840"/>
          <w:pgMar w:header="0" w:footer="982" w:top="1440" w:bottom="1260" w:left="400" w:right="180"/>
        </w:sectPr>
      </w:pPr>
    </w:p>
    <w:p>
      <w:pPr>
        <w:pStyle w:val="BodyText"/>
        <w:spacing w:before="1"/>
        <w:rPr>
          <w:b/>
          <w:sz w:val="8"/>
        </w:rPr>
      </w:pPr>
    </w:p>
    <w:p>
      <w:pPr>
        <w:pStyle w:val="BodyText"/>
        <w:ind w:left="3218"/>
        <w:rPr>
          <w:sz w:val="20"/>
        </w:rPr>
      </w:pPr>
      <w:r>
        <w:rPr>
          <w:sz w:val="20"/>
        </w:rPr>
        <w:drawing>
          <wp:inline distT="0" distB="0" distL="0" distR="0">
            <wp:extent cx="3071934" cy="2535935"/>
            <wp:effectExtent l="0" t="0" r="0" b="0"/>
            <wp:docPr id="139" name="image95.jpeg"/>
            <wp:cNvGraphicFramePr>
              <a:graphicFrameLocks noChangeAspect="1"/>
            </wp:cNvGraphicFramePr>
            <a:graphic>
              <a:graphicData uri="http://schemas.openxmlformats.org/drawingml/2006/picture">
                <pic:pic>
                  <pic:nvPicPr>
                    <pic:cNvPr id="140" name="image95.jpeg"/>
                    <pic:cNvPicPr/>
                  </pic:nvPicPr>
                  <pic:blipFill>
                    <a:blip r:embed="rId147" cstate="print"/>
                    <a:stretch>
                      <a:fillRect/>
                    </a:stretch>
                  </pic:blipFill>
                  <pic:spPr>
                    <a:xfrm>
                      <a:off x="0" y="0"/>
                      <a:ext cx="3071934" cy="2535935"/>
                    </a:xfrm>
                    <a:prstGeom prst="rect">
                      <a:avLst/>
                    </a:prstGeom>
                  </pic:spPr>
                </pic:pic>
              </a:graphicData>
            </a:graphic>
          </wp:inline>
        </w:drawing>
      </w:r>
      <w:r>
        <w:rPr>
          <w:sz w:val="20"/>
        </w:rPr>
      </w:r>
    </w:p>
    <w:p>
      <w:pPr>
        <w:pStyle w:val="BodyText"/>
        <w:rPr>
          <w:b/>
          <w:sz w:val="20"/>
        </w:rPr>
      </w:pPr>
    </w:p>
    <w:p>
      <w:pPr>
        <w:pStyle w:val="BodyText"/>
        <w:spacing w:before="2"/>
        <w:rPr>
          <w:b/>
          <w:sz w:val="21"/>
        </w:rPr>
      </w:pPr>
    </w:p>
    <w:p>
      <w:pPr>
        <w:spacing w:before="96" w:after="6"/>
        <w:ind w:left="1713" w:right="1599" w:firstLine="0"/>
        <w:jc w:val="center"/>
        <w:rPr>
          <w:b/>
          <w:sz w:val="12"/>
        </w:rPr>
      </w:pPr>
      <w:r>
        <w:rPr>
          <w:b/>
          <w:sz w:val="18"/>
        </w:rPr>
        <w:t>ANOVA BREUSCH MODELO 10</w:t>
      </w:r>
      <w:r>
        <w:rPr>
          <w:b/>
          <w:position w:val="6"/>
          <w:sz w:val="12"/>
        </w:rPr>
        <w:t>a</w:t>
      </w:r>
    </w:p>
    <w:tbl>
      <w:tblPr>
        <w:tblW w:w="0" w:type="auto"/>
        <w:jc w:val="left"/>
        <w:tblInd w:w="5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84"/>
        <w:gridCol w:w="1436"/>
        <w:gridCol w:w="3033"/>
        <w:gridCol w:w="1004"/>
        <w:gridCol w:w="2865"/>
        <w:gridCol w:w="1009"/>
        <w:gridCol w:w="1004"/>
      </w:tblGrid>
      <w:tr>
        <w:trPr>
          <w:trHeight w:val="319" w:hRule="atLeast"/>
        </w:trPr>
        <w:tc>
          <w:tcPr>
            <w:tcW w:w="1920" w:type="dxa"/>
            <w:gridSpan w:val="2"/>
          </w:tcPr>
          <w:p>
            <w:pPr>
              <w:pStyle w:val="TableParagraph"/>
              <w:spacing w:line="189" w:lineRule="exact" w:before="110"/>
              <w:ind w:left="25"/>
              <w:jc w:val="left"/>
              <w:rPr>
                <w:sz w:val="18"/>
              </w:rPr>
            </w:pPr>
            <w:r>
              <w:rPr>
                <w:sz w:val="18"/>
              </w:rPr>
              <w:t>Modelo</w:t>
            </w:r>
          </w:p>
        </w:tc>
        <w:tc>
          <w:tcPr>
            <w:tcW w:w="3033" w:type="dxa"/>
            <w:tcBorders>
              <w:right w:val="single" w:sz="8" w:space="0" w:color="000000"/>
            </w:tcBorders>
          </w:tcPr>
          <w:p>
            <w:pPr>
              <w:pStyle w:val="TableParagraph"/>
              <w:spacing w:line="189" w:lineRule="exact" w:before="110"/>
              <w:ind w:left="686"/>
              <w:jc w:val="left"/>
              <w:rPr>
                <w:sz w:val="18"/>
              </w:rPr>
            </w:pPr>
            <w:r>
              <w:rPr>
                <w:sz w:val="18"/>
              </w:rPr>
              <w:t>Suma de cuadrados</w:t>
            </w:r>
          </w:p>
        </w:tc>
        <w:tc>
          <w:tcPr>
            <w:tcW w:w="1004" w:type="dxa"/>
            <w:tcBorders>
              <w:left w:val="single" w:sz="8" w:space="0" w:color="000000"/>
              <w:right w:val="single" w:sz="8" w:space="0" w:color="000000"/>
            </w:tcBorders>
          </w:tcPr>
          <w:p>
            <w:pPr>
              <w:pStyle w:val="TableParagraph"/>
              <w:spacing w:line="189" w:lineRule="exact" w:before="110"/>
              <w:ind w:left="393" w:right="406"/>
              <w:jc w:val="center"/>
              <w:rPr>
                <w:sz w:val="18"/>
              </w:rPr>
            </w:pPr>
            <w:r>
              <w:rPr>
                <w:sz w:val="18"/>
              </w:rPr>
              <w:t>gl</w:t>
            </w:r>
          </w:p>
        </w:tc>
        <w:tc>
          <w:tcPr>
            <w:tcW w:w="2865" w:type="dxa"/>
            <w:tcBorders>
              <w:left w:val="single" w:sz="8" w:space="0" w:color="000000"/>
              <w:right w:val="single" w:sz="8" w:space="0" w:color="000000"/>
            </w:tcBorders>
          </w:tcPr>
          <w:p>
            <w:pPr>
              <w:pStyle w:val="TableParagraph"/>
              <w:spacing w:line="189" w:lineRule="exact" w:before="110"/>
              <w:ind w:left="731"/>
              <w:jc w:val="left"/>
              <w:rPr>
                <w:sz w:val="18"/>
              </w:rPr>
            </w:pPr>
            <w:r>
              <w:rPr>
                <w:sz w:val="18"/>
              </w:rPr>
              <w:t>Media cuadrática</w:t>
            </w:r>
          </w:p>
        </w:tc>
        <w:tc>
          <w:tcPr>
            <w:tcW w:w="1009" w:type="dxa"/>
            <w:tcBorders>
              <w:left w:val="single" w:sz="8" w:space="0" w:color="000000"/>
              <w:right w:val="single" w:sz="8" w:space="0" w:color="000000"/>
            </w:tcBorders>
          </w:tcPr>
          <w:p>
            <w:pPr>
              <w:pStyle w:val="TableParagraph"/>
              <w:spacing w:line="189" w:lineRule="exact" w:before="110"/>
              <w:ind w:right="8"/>
              <w:jc w:val="center"/>
              <w:rPr>
                <w:sz w:val="18"/>
              </w:rPr>
            </w:pPr>
            <w:r>
              <w:rPr>
                <w:w w:val="100"/>
                <w:sz w:val="18"/>
              </w:rPr>
              <w:t>F</w:t>
            </w:r>
          </w:p>
        </w:tc>
        <w:tc>
          <w:tcPr>
            <w:tcW w:w="1004" w:type="dxa"/>
            <w:tcBorders>
              <w:left w:val="single" w:sz="8" w:space="0" w:color="000000"/>
            </w:tcBorders>
          </w:tcPr>
          <w:p>
            <w:pPr>
              <w:pStyle w:val="TableParagraph"/>
              <w:spacing w:line="189" w:lineRule="exact" w:before="110"/>
              <w:ind w:left="321"/>
              <w:jc w:val="left"/>
              <w:rPr>
                <w:sz w:val="18"/>
              </w:rPr>
            </w:pPr>
            <w:r>
              <w:rPr>
                <w:sz w:val="18"/>
              </w:rPr>
              <w:t>Sig.</w:t>
            </w:r>
          </w:p>
        </w:tc>
      </w:tr>
      <w:tr>
        <w:trPr>
          <w:trHeight w:val="380" w:hRule="atLeast"/>
        </w:trPr>
        <w:tc>
          <w:tcPr>
            <w:tcW w:w="484" w:type="dxa"/>
            <w:tcBorders>
              <w:bottom w:val="nil"/>
              <w:right w:val="nil"/>
            </w:tcBorders>
          </w:tcPr>
          <w:p>
            <w:pPr>
              <w:pStyle w:val="TableParagraph"/>
              <w:spacing w:line="240" w:lineRule="auto" w:before="0"/>
              <w:jc w:val="left"/>
              <w:rPr>
                <w:rFonts w:ascii="Times New Roman"/>
                <w:sz w:val="18"/>
              </w:rPr>
            </w:pPr>
          </w:p>
        </w:tc>
        <w:tc>
          <w:tcPr>
            <w:tcW w:w="1436" w:type="dxa"/>
            <w:tcBorders>
              <w:left w:val="nil"/>
              <w:bottom w:val="nil"/>
            </w:tcBorders>
          </w:tcPr>
          <w:p>
            <w:pPr>
              <w:pStyle w:val="TableParagraph"/>
              <w:spacing w:line="240" w:lineRule="auto" w:before="114"/>
              <w:ind w:left="280"/>
              <w:jc w:val="left"/>
              <w:rPr>
                <w:sz w:val="18"/>
              </w:rPr>
            </w:pPr>
            <w:r>
              <w:rPr>
                <w:sz w:val="18"/>
              </w:rPr>
              <w:t>Regresión</w:t>
            </w:r>
          </w:p>
        </w:tc>
        <w:tc>
          <w:tcPr>
            <w:tcW w:w="3033" w:type="dxa"/>
            <w:tcBorders>
              <w:bottom w:val="nil"/>
              <w:right w:val="single" w:sz="8" w:space="0" w:color="000000"/>
            </w:tcBorders>
          </w:tcPr>
          <w:p>
            <w:pPr>
              <w:pStyle w:val="TableParagraph"/>
              <w:spacing w:line="240" w:lineRule="auto" w:before="114"/>
              <w:ind w:right="36"/>
              <w:rPr>
                <w:sz w:val="18"/>
              </w:rPr>
            </w:pPr>
            <w:r>
              <w:rPr>
                <w:sz w:val="18"/>
              </w:rPr>
              <w:t>634254417765746700000000.000</w:t>
            </w:r>
          </w:p>
        </w:tc>
        <w:tc>
          <w:tcPr>
            <w:tcW w:w="1004" w:type="dxa"/>
            <w:tcBorders>
              <w:left w:val="single" w:sz="8" w:space="0" w:color="000000"/>
              <w:bottom w:val="nil"/>
              <w:right w:val="single" w:sz="8" w:space="0" w:color="000000"/>
            </w:tcBorders>
          </w:tcPr>
          <w:p>
            <w:pPr>
              <w:pStyle w:val="TableParagraph"/>
              <w:spacing w:line="240" w:lineRule="auto" w:before="114"/>
              <w:ind w:right="31"/>
              <w:rPr>
                <w:sz w:val="18"/>
              </w:rPr>
            </w:pPr>
            <w:r>
              <w:rPr>
                <w:w w:val="99"/>
                <w:sz w:val="18"/>
              </w:rPr>
              <w:t>9</w:t>
            </w:r>
          </w:p>
        </w:tc>
        <w:tc>
          <w:tcPr>
            <w:tcW w:w="2865" w:type="dxa"/>
            <w:tcBorders>
              <w:left w:val="single" w:sz="8" w:space="0" w:color="000000"/>
              <w:bottom w:val="nil"/>
              <w:right w:val="single" w:sz="8" w:space="0" w:color="000000"/>
            </w:tcBorders>
          </w:tcPr>
          <w:p>
            <w:pPr>
              <w:pStyle w:val="TableParagraph"/>
              <w:spacing w:line="240" w:lineRule="auto" w:before="114"/>
              <w:ind w:right="32"/>
              <w:rPr>
                <w:sz w:val="18"/>
              </w:rPr>
            </w:pPr>
            <w:r>
              <w:rPr>
                <w:sz w:val="18"/>
              </w:rPr>
              <w:t>70472713085082970000000.000</w:t>
            </w:r>
          </w:p>
        </w:tc>
        <w:tc>
          <w:tcPr>
            <w:tcW w:w="1009" w:type="dxa"/>
            <w:vMerge w:val="restart"/>
            <w:tcBorders>
              <w:left w:val="single" w:sz="8" w:space="0" w:color="000000"/>
              <w:right w:val="single" w:sz="8" w:space="0" w:color="000000"/>
            </w:tcBorders>
          </w:tcPr>
          <w:p>
            <w:pPr>
              <w:pStyle w:val="TableParagraph"/>
              <w:spacing w:line="240" w:lineRule="auto" w:before="114"/>
              <w:ind w:left="502"/>
              <w:jc w:val="left"/>
              <w:rPr>
                <w:sz w:val="18"/>
              </w:rPr>
            </w:pPr>
            <w:r>
              <w:rPr>
                <w:sz w:val="18"/>
              </w:rPr>
              <w:t>9.577</w:t>
            </w:r>
          </w:p>
        </w:tc>
        <w:tc>
          <w:tcPr>
            <w:tcW w:w="1004" w:type="dxa"/>
            <w:vMerge w:val="restart"/>
            <w:tcBorders>
              <w:left w:val="single" w:sz="8" w:space="0" w:color="000000"/>
            </w:tcBorders>
          </w:tcPr>
          <w:p>
            <w:pPr>
              <w:pStyle w:val="TableParagraph"/>
              <w:spacing w:line="240" w:lineRule="auto" w:before="114"/>
              <w:ind w:left="518"/>
              <w:jc w:val="left"/>
              <w:rPr>
                <w:sz w:val="12"/>
              </w:rPr>
            </w:pPr>
            <w:r>
              <w:rPr>
                <w:sz w:val="18"/>
              </w:rPr>
              <w:t>.000</w:t>
            </w:r>
            <w:r>
              <w:rPr>
                <w:position w:val="5"/>
                <w:sz w:val="12"/>
              </w:rPr>
              <w:t>b</w:t>
            </w:r>
          </w:p>
        </w:tc>
      </w:tr>
      <w:tr>
        <w:trPr>
          <w:trHeight w:val="319" w:hRule="atLeast"/>
        </w:trPr>
        <w:tc>
          <w:tcPr>
            <w:tcW w:w="484" w:type="dxa"/>
            <w:tcBorders>
              <w:top w:val="nil"/>
              <w:bottom w:val="nil"/>
              <w:right w:val="nil"/>
            </w:tcBorders>
          </w:tcPr>
          <w:p>
            <w:pPr>
              <w:pStyle w:val="TableParagraph"/>
              <w:spacing w:line="240" w:lineRule="auto" w:before="53"/>
              <w:ind w:left="25"/>
              <w:jc w:val="left"/>
              <w:rPr>
                <w:sz w:val="18"/>
              </w:rPr>
            </w:pPr>
            <w:r>
              <w:rPr>
                <w:sz w:val="18"/>
              </w:rPr>
              <w:t>10</w:t>
            </w:r>
          </w:p>
        </w:tc>
        <w:tc>
          <w:tcPr>
            <w:tcW w:w="1436" w:type="dxa"/>
            <w:tcBorders>
              <w:top w:val="nil"/>
              <w:left w:val="nil"/>
              <w:bottom w:val="nil"/>
            </w:tcBorders>
          </w:tcPr>
          <w:p>
            <w:pPr>
              <w:pStyle w:val="TableParagraph"/>
              <w:spacing w:line="240" w:lineRule="auto" w:before="53"/>
              <w:ind w:left="280"/>
              <w:jc w:val="left"/>
              <w:rPr>
                <w:sz w:val="18"/>
              </w:rPr>
            </w:pPr>
            <w:r>
              <w:rPr>
                <w:sz w:val="18"/>
              </w:rPr>
              <w:t>Residual</w:t>
            </w:r>
          </w:p>
        </w:tc>
        <w:tc>
          <w:tcPr>
            <w:tcW w:w="3033" w:type="dxa"/>
            <w:tcBorders>
              <w:top w:val="nil"/>
              <w:bottom w:val="nil"/>
              <w:right w:val="single" w:sz="8" w:space="0" w:color="000000"/>
            </w:tcBorders>
          </w:tcPr>
          <w:p>
            <w:pPr>
              <w:pStyle w:val="TableParagraph"/>
              <w:spacing w:line="240" w:lineRule="auto" w:before="53"/>
              <w:ind w:right="36"/>
              <w:rPr>
                <w:sz w:val="18"/>
              </w:rPr>
            </w:pPr>
            <w:r>
              <w:rPr>
                <w:sz w:val="18"/>
              </w:rPr>
              <w:t>2148677994587163700000000.000</w:t>
            </w:r>
          </w:p>
        </w:tc>
        <w:tc>
          <w:tcPr>
            <w:tcW w:w="1004" w:type="dxa"/>
            <w:tcBorders>
              <w:top w:val="nil"/>
              <w:left w:val="single" w:sz="8" w:space="0" w:color="000000"/>
              <w:bottom w:val="nil"/>
              <w:right w:val="single" w:sz="8" w:space="0" w:color="000000"/>
            </w:tcBorders>
          </w:tcPr>
          <w:p>
            <w:pPr>
              <w:pStyle w:val="TableParagraph"/>
              <w:spacing w:line="240" w:lineRule="auto" w:before="53"/>
              <w:ind w:right="31"/>
              <w:rPr>
                <w:sz w:val="18"/>
              </w:rPr>
            </w:pPr>
            <w:r>
              <w:rPr>
                <w:w w:val="95"/>
                <w:sz w:val="18"/>
              </w:rPr>
              <w:t>292</w:t>
            </w:r>
          </w:p>
        </w:tc>
        <w:tc>
          <w:tcPr>
            <w:tcW w:w="2865" w:type="dxa"/>
            <w:tcBorders>
              <w:top w:val="nil"/>
              <w:left w:val="single" w:sz="8" w:space="0" w:color="000000"/>
              <w:bottom w:val="nil"/>
              <w:right w:val="single" w:sz="8" w:space="0" w:color="000000"/>
            </w:tcBorders>
          </w:tcPr>
          <w:p>
            <w:pPr>
              <w:pStyle w:val="TableParagraph"/>
              <w:spacing w:line="240" w:lineRule="auto" w:before="53"/>
              <w:ind w:right="32"/>
              <w:rPr>
                <w:sz w:val="18"/>
              </w:rPr>
            </w:pPr>
            <w:r>
              <w:rPr>
                <w:sz w:val="18"/>
              </w:rPr>
              <w:t>7358486282832753000000.000</w:t>
            </w:r>
          </w:p>
        </w:tc>
        <w:tc>
          <w:tcPr>
            <w:tcW w:w="1009" w:type="dxa"/>
            <w:vMerge/>
            <w:tcBorders>
              <w:top w:val="nil"/>
              <w:left w:val="single" w:sz="8" w:space="0" w:color="000000"/>
              <w:right w:val="single" w:sz="8" w:space="0" w:color="000000"/>
            </w:tcBorders>
          </w:tcPr>
          <w:p>
            <w:pPr>
              <w:rPr>
                <w:sz w:val="2"/>
                <w:szCs w:val="2"/>
              </w:rPr>
            </w:pPr>
          </w:p>
        </w:tc>
        <w:tc>
          <w:tcPr>
            <w:tcW w:w="1004" w:type="dxa"/>
            <w:vMerge/>
            <w:tcBorders>
              <w:top w:val="nil"/>
              <w:left w:val="single" w:sz="8" w:space="0" w:color="000000"/>
            </w:tcBorders>
          </w:tcPr>
          <w:p>
            <w:pPr>
              <w:rPr>
                <w:sz w:val="2"/>
                <w:szCs w:val="2"/>
              </w:rPr>
            </w:pPr>
          </w:p>
        </w:tc>
      </w:tr>
      <w:tr>
        <w:trPr>
          <w:trHeight w:val="261" w:hRule="atLeast"/>
        </w:trPr>
        <w:tc>
          <w:tcPr>
            <w:tcW w:w="484" w:type="dxa"/>
            <w:tcBorders>
              <w:top w:val="nil"/>
              <w:right w:val="nil"/>
            </w:tcBorders>
          </w:tcPr>
          <w:p>
            <w:pPr>
              <w:pStyle w:val="TableParagraph"/>
              <w:spacing w:line="240" w:lineRule="auto" w:before="0"/>
              <w:jc w:val="left"/>
              <w:rPr>
                <w:rFonts w:ascii="Times New Roman"/>
                <w:sz w:val="18"/>
              </w:rPr>
            </w:pPr>
          </w:p>
        </w:tc>
        <w:tc>
          <w:tcPr>
            <w:tcW w:w="1436" w:type="dxa"/>
            <w:tcBorders>
              <w:top w:val="nil"/>
              <w:left w:val="nil"/>
            </w:tcBorders>
          </w:tcPr>
          <w:p>
            <w:pPr>
              <w:pStyle w:val="TableParagraph"/>
              <w:spacing w:line="188" w:lineRule="exact" w:before="53"/>
              <w:ind w:left="280"/>
              <w:jc w:val="left"/>
              <w:rPr>
                <w:sz w:val="18"/>
              </w:rPr>
            </w:pPr>
            <w:r>
              <w:rPr>
                <w:sz w:val="18"/>
              </w:rPr>
              <w:t>Total</w:t>
            </w:r>
          </w:p>
        </w:tc>
        <w:tc>
          <w:tcPr>
            <w:tcW w:w="3033" w:type="dxa"/>
            <w:tcBorders>
              <w:top w:val="nil"/>
              <w:right w:val="single" w:sz="8" w:space="0" w:color="000000"/>
            </w:tcBorders>
          </w:tcPr>
          <w:p>
            <w:pPr>
              <w:pStyle w:val="TableParagraph"/>
              <w:spacing w:line="188" w:lineRule="exact" w:before="53"/>
              <w:ind w:right="36"/>
              <w:rPr>
                <w:sz w:val="18"/>
              </w:rPr>
            </w:pPr>
            <w:r>
              <w:rPr>
                <w:sz w:val="18"/>
              </w:rPr>
              <w:t>2782932412352910400000000.000</w:t>
            </w:r>
          </w:p>
        </w:tc>
        <w:tc>
          <w:tcPr>
            <w:tcW w:w="1004" w:type="dxa"/>
            <w:tcBorders>
              <w:top w:val="nil"/>
              <w:left w:val="single" w:sz="8" w:space="0" w:color="000000"/>
              <w:right w:val="single" w:sz="8" w:space="0" w:color="000000"/>
            </w:tcBorders>
          </w:tcPr>
          <w:p>
            <w:pPr>
              <w:pStyle w:val="TableParagraph"/>
              <w:spacing w:line="188" w:lineRule="exact" w:before="53"/>
              <w:ind w:right="31"/>
              <w:rPr>
                <w:sz w:val="18"/>
              </w:rPr>
            </w:pPr>
            <w:r>
              <w:rPr>
                <w:w w:val="95"/>
                <w:sz w:val="18"/>
              </w:rPr>
              <w:t>301</w:t>
            </w:r>
          </w:p>
        </w:tc>
        <w:tc>
          <w:tcPr>
            <w:tcW w:w="2865" w:type="dxa"/>
            <w:tcBorders>
              <w:top w:val="nil"/>
              <w:left w:val="single" w:sz="8" w:space="0" w:color="000000"/>
              <w:right w:val="single" w:sz="8" w:space="0" w:color="000000"/>
            </w:tcBorders>
          </w:tcPr>
          <w:p>
            <w:pPr>
              <w:pStyle w:val="TableParagraph"/>
              <w:spacing w:line="240" w:lineRule="auto" w:before="0"/>
              <w:jc w:val="left"/>
              <w:rPr>
                <w:rFonts w:ascii="Times New Roman"/>
                <w:sz w:val="18"/>
              </w:rPr>
            </w:pPr>
          </w:p>
        </w:tc>
        <w:tc>
          <w:tcPr>
            <w:tcW w:w="1009" w:type="dxa"/>
            <w:vMerge/>
            <w:tcBorders>
              <w:top w:val="nil"/>
              <w:left w:val="single" w:sz="8" w:space="0" w:color="000000"/>
              <w:right w:val="single" w:sz="8" w:space="0" w:color="000000"/>
            </w:tcBorders>
          </w:tcPr>
          <w:p>
            <w:pPr>
              <w:rPr>
                <w:sz w:val="2"/>
                <w:szCs w:val="2"/>
              </w:rPr>
            </w:pPr>
          </w:p>
        </w:tc>
        <w:tc>
          <w:tcPr>
            <w:tcW w:w="1004"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984"/>
      </w:tblGrid>
      <w:tr>
        <w:trPr>
          <w:trHeight w:val="260" w:hRule="atLeast"/>
        </w:trPr>
        <w:tc>
          <w:tcPr>
            <w:tcW w:w="6984" w:type="dxa"/>
          </w:tcPr>
          <w:p>
            <w:pPr>
              <w:pStyle w:val="TableParagraph"/>
              <w:spacing w:line="201" w:lineRule="exact" w:before="0"/>
              <w:ind w:left="200"/>
              <w:jc w:val="left"/>
              <w:rPr>
                <w:sz w:val="18"/>
              </w:rPr>
            </w:pPr>
            <w:r>
              <w:rPr>
                <w:sz w:val="18"/>
              </w:rPr>
              <w:t>a. Variable dependiente: RES_102 BREUSCH</w:t>
            </w:r>
          </w:p>
        </w:tc>
      </w:tr>
      <w:tr>
        <w:trPr>
          <w:trHeight w:val="1221" w:hRule="atLeast"/>
        </w:trPr>
        <w:tc>
          <w:tcPr>
            <w:tcW w:w="6984" w:type="dxa"/>
          </w:tcPr>
          <w:p>
            <w:pPr>
              <w:pStyle w:val="TableParagraph"/>
              <w:spacing w:line="372" w:lineRule="auto" w:before="53"/>
              <w:ind w:left="200" w:right="260"/>
              <w:jc w:val="left"/>
              <w:rPr>
                <w:sz w:val="18"/>
              </w:rPr>
            </w:pPr>
            <w:r>
              <w:rPr>
                <w:sz w:val="18"/>
              </w:rPr>
              <w:t>b. Variables predictoras: (Constante), VistaalaCarpintera, Tipo1casa0Condo, DistanciaaSanJoséCentroporRutaVehicularoPedestre, ZonadeRiesgodedesastre, ÁreadeConstrucciónenmetroscuadrados, NúmerodePlantas, AñodeConstrucción,</w:t>
            </w:r>
          </w:p>
          <w:p>
            <w:pPr>
              <w:pStyle w:val="TableParagraph"/>
              <w:spacing w:line="185" w:lineRule="exact" w:before="0"/>
              <w:ind w:left="200"/>
              <w:jc w:val="left"/>
              <w:rPr>
                <w:sz w:val="18"/>
              </w:rPr>
            </w:pPr>
            <w:r>
              <w:rPr>
                <w:sz w:val="18"/>
              </w:rPr>
              <w:t>DistanciaaAglomeracionesdePobrezaRíoAzulTirrasesSan, NúmerodeHabitaciones</w:t>
            </w:r>
          </w:p>
        </w:tc>
      </w:tr>
    </w:tbl>
    <w:p>
      <w:pPr>
        <w:pStyle w:val="BodyText"/>
        <w:rPr>
          <w:b/>
          <w:sz w:val="20"/>
        </w:rPr>
      </w:pPr>
    </w:p>
    <w:p>
      <w:pPr>
        <w:pStyle w:val="BodyText"/>
        <w:spacing w:before="3"/>
        <w:rPr>
          <w:b/>
        </w:rPr>
      </w:pPr>
    </w:p>
    <w:p>
      <w:pPr>
        <w:spacing w:before="0" w:after="6"/>
        <w:ind w:left="1713" w:right="1776" w:firstLine="0"/>
        <w:jc w:val="center"/>
        <w:rPr>
          <w:b/>
          <w:sz w:val="18"/>
        </w:rPr>
      </w:pPr>
      <w:r>
        <w:rPr>
          <w:b/>
          <w:sz w:val="18"/>
        </w:rPr>
        <w:t>ANOVA ABRIDGED WHITE MODELO 10</w:t>
      </w:r>
      <w:r>
        <w:rPr>
          <w:b/>
          <w:sz w:val="18"/>
          <w:vertAlign w:val="superscript"/>
        </w:rPr>
        <w:t>a</w:t>
      </w: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84"/>
        <w:gridCol w:w="1436"/>
        <w:gridCol w:w="3032"/>
        <w:gridCol w:w="1003"/>
        <w:gridCol w:w="3044"/>
        <w:gridCol w:w="1008"/>
        <w:gridCol w:w="1003"/>
      </w:tblGrid>
      <w:tr>
        <w:trPr>
          <w:trHeight w:val="318" w:hRule="atLeast"/>
        </w:trPr>
        <w:tc>
          <w:tcPr>
            <w:tcW w:w="1920" w:type="dxa"/>
            <w:gridSpan w:val="2"/>
          </w:tcPr>
          <w:p>
            <w:pPr>
              <w:pStyle w:val="TableParagraph"/>
              <w:spacing w:line="188" w:lineRule="exact" w:before="110"/>
              <w:ind w:left="25"/>
              <w:jc w:val="left"/>
              <w:rPr>
                <w:sz w:val="18"/>
              </w:rPr>
            </w:pPr>
            <w:r>
              <w:rPr>
                <w:sz w:val="18"/>
              </w:rPr>
              <w:t>Modelo</w:t>
            </w:r>
          </w:p>
        </w:tc>
        <w:tc>
          <w:tcPr>
            <w:tcW w:w="3032" w:type="dxa"/>
            <w:tcBorders>
              <w:right w:val="single" w:sz="8" w:space="0" w:color="000000"/>
            </w:tcBorders>
          </w:tcPr>
          <w:p>
            <w:pPr>
              <w:pStyle w:val="TableParagraph"/>
              <w:spacing w:line="188" w:lineRule="exact" w:before="110"/>
              <w:ind w:left="6" w:right="16"/>
              <w:jc w:val="center"/>
              <w:rPr>
                <w:sz w:val="18"/>
              </w:rPr>
            </w:pPr>
            <w:r>
              <w:rPr>
                <w:sz w:val="18"/>
              </w:rPr>
              <w:t>Suma de cuadrados</w:t>
            </w:r>
          </w:p>
        </w:tc>
        <w:tc>
          <w:tcPr>
            <w:tcW w:w="1003" w:type="dxa"/>
            <w:tcBorders>
              <w:left w:val="single" w:sz="8" w:space="0" w:color="000000"/>
              <w:right w:val="single" w:sz="8" w:space="0" w:color="000000"/>
            </w:tcBorders>
          </w:tcPr>
          <w:p>
            <w:pPr>
              <w:pStyle w:val="TableParagraph"/>
              <w:spacing w:line="188" w:lineRule="exact" w:before="110"/>
              <w:ind w:left="396" w:right="405"/>
              <w:jc w:val="center"/>
              <w:rPr>
                <w:sz w:val="18"/>
              </w:rPr>
            </w:pPr>
            <w:r>
              <w:rPr>
                <w:sz w:val="18"/>
              </w:rPr>
              <w:t>gl</w:t>
            </w:r>
          </w:p>
        </w:tc>
        <w:tc>
          <w:tcPr>
            <w:tcW w:w="3044" w:type="dxa"/>
            <w:tcBorders>
              <w:left w:val="single" w:sz="8" w:space="0" w:color="000000"/>
              <w:right w:val="single" w:sz="8" w:space="0" w:color="000000"/>
            </w:tcBorders>
          </w:tcPr>
          <w:p>
            <w:pPr>
              <w:pStyle w:val="TableParagraph"/>
              <w:spacing w:line="188" w:lineRule="exact" w:before="110"/>
              <w:ind w:left="825"/>
              <w:jc w:val="left"/>
              <w:rPr>
                <w:sz w:val="18"/>
              </w:rPr>
            </w:pPr>
            <w:r>
              <w:rPr>
                <w:sz w:val="18"/>
              </w:rPr>
              <w:t>Media cuadrática</w:t>
            </w:r>
          </w:p>
        </w:tc>
        <w:tc>
          <w:tcPr>
            <w:tcW w:w="1008" w:type="dxa"/>
            <w:tcBorders>
              <w:left w:val="single" w:sz="8" w:space="0" w:color="000000"/>
              <w:right w:val="single" w:sz="8" w:space="0" w:color="000000"/>
            </w:tcBorders>
          </w:tcPr>
          <w:p>
            <w:pPr>
              <w:pStyle w:val="TableParagraph"/>
              <w:spacing w:line="188" w:lineRule="exact" w:before="110"/>
              <w:jc w:val="center"/>
              <w:rPr>
                <w:sz w:val="18"/>
              </w:rPr>
            </w:pPr>
            <w:r>
              <w:rPr>
                <w:w w:val="100"/>
                <w:sz w:val="18"/>
              </w:rPr>
              <w:t>F</w:t>
            </w:r>
          </w:p>
        </w:tc>
        <w:tc>
          <w:tcPr>
            <w:tcW w:w="1003" w:type="dxa"/>
            <w:tcBorders>
              <w:left w:val="single" w:sz="8" w:space="0" w:color="000000"/>
            </w:tcBorders>
          </w:tcPr>
          <w:p>
            <w:pPr>
              <w:pStyle w:val="TableParagraph"/>
              <w:spacing w:line="188" w:lineRule="exact" w:before="110"/>
              <w:ind w:left="307" w:right="312"/>
              <w:jc w:val="center"/>
              <w:rPr>
                <w:sz w:val="18"/>
              </w:rPr>
            </w:pPr>
            <w:r>
              <w:rPr>
                <w:sz w:val="18"/>
              </w:rPr>
              <w:t>Sig.</w:t>
            </w:r>
          </w:p>
        </w:tc>
      </w:tr>
      <w:tr>
        <w:trPr>
          <w:trHeight w:val="380" w:hRule="atLeast"/>
        </w:trPr>
        <w:tc>
          <w:tcPr>
            <w:tcW w:w="484" w:type="dxa"/>
            <w:tcBorders>
              <w:bottom w:val="nil"/>
              <w:right w:val="nil"/>
            </w:tcBorders>
          </w:tcPr>
          <w:p>
            <w:pPr>
              <w:pStyle w:val="TableParagraph"/>
              <w:spacing w:line="240" w:lineRule="auto" w:before="0"/>
              <w:jc w:val="left"/>
              <w:rPr>
                <w:rFonts w:ascii="Times New Roman"/>
                <w:sz w:val="18"/>
              </w:rPr>
            </w:pPr>
          </w:p>
        </w:tc>
        <w:tc>
          <w:tcPr>
            <w:tcW w:w="1436" w:type="dxa"/>
            <w:tcBorders>
              <w:left w:val="nil"/>
              <w:bottom w:val="nil"/>
            </w:tcBorders>
          </w:tcPr>
          <w:p>
            <w:pPr>
              <w:pStyle w:val="TableParagraph"/>
              <w:spacing w:line="240" w:lineRule="auto" w:before="115"/>
              <w:ind w:left="280"/>
              <w:jc w:val="left"/>
              <w:rPr>
                <w:sz w:val="18"/>
              </w:rPr>
            </w:pPr>
            <w:r>
              <w:rPr>
                <w:sz w:val="18"/>
              </w:rPr>
              <w:t>Regresión</w:t>
            </w:r>
          </w:p>
        </w:tc>
        <w:tc>
          <w:tcPr>
            <w:tcW w:w="3032" w:type="dxa"/>
            <w:tcBorders>
              <w:bottom w:val="nil"/>
              <w:right w:val="single" w:sz="8" w:space="0" w:color="000000"/>
            </w:tcBorders>
          </w:tcPr>
          <w:p>
            <w:pPr>
              <w:pStyle w:val="TableParagraph"/>
              <w:spacing w:line="240" w:lineRule="auto" w:before="115"/>
              <w:ind w:left="189" w:right="16"/>
              <w:jc w:val="center"/>
              <w:rPr>
                <w:sz w:val="18"/>
              </w:rPr>
            </w:pPr>
            <w:r>
              <w:rPr>
                <w:sz w:val="18"/>
              </w:rPr>
              <w:t>718708821264584100000000.000</w:t>
            </w:r>
          </w:p>
        </w:tc>
        <w:tc>
          <w:tcPr>
            <w:tcW w:w="1003" w:type="dxa"/>
            <w:tcBorders>
              <w:left w:val="single" w:sz="8" w:space="0" w:color="000000"/>
              <w:bottom w:val="nil"/>
              <w:right w:val="single" w:sz="8" w:space="0" w:color="000000"/>
            </w:tcBorders>
          </w:tcPr>
          <w:p>
            <w:pPr>
              <w:pStyle w:val="TableParagraph"/>
              <w:spacing w:line="240" w:lineRule="auto" w:before="115"/>
              <w:ind w:right="28"/>
              <w:rPr>
                <w:sz w:val="18"/>
              </w:rPr>
            </w:pPr>
            <w:r>
              <w:rPr>
                <w:w w:val="99"/>
                <w:sz w:val="18"/>
              </w:rPr>
              <w:t>2</w:t>
            </w:r>
          </w:p>
        </w:tc>
        <w:tc>
          <w:tcPr>
            <w:tcW w:w="3044" w:type="dxa"/>
            <w:tcBorders>
              <w:left w:val="single" w:sz="8" w:space="0" w:color="000000"/>
              <w:bottom w:val="nil"/>
              <w:right w:val="single" w:sz="8" w:space="0" w:color="000000"/>
            </w:tcBorders>
          </w:tcPr>
          <w:p>
            <w:pPr>
              <w:pStyle w:val="TableParagraph"/>
              <w:spacing w:line="240" w:lineRule="auto" w:before="115"/>
              <w:ind w:right="29"/>
              <w:rPr>
                <w:sz w:val="18"/>
              </w:rPr>
            </w:pPr>
            <w:r>
              <w:rPr>
                <w:sz w:val="18"/>
              </w:rPr>
              <w:t>359354410632292060000000.000</w:t>
            </w:r>
          </w:p>
        </w:tc>
        <w:tc>
          <w:tcPr>
            <w:tcW w:w="1008" w:type="dxa"/>
            <w:vMerge w:val="restart"/>
            <w:tcBorders>
              <w:left w:val="single" w:sz="8" w:space="0" w:color="000000"/>
              <w:right w:val="single" w:sz="8" w:space="0" w:color="000000"/>
            </w:tcBorders>
          </w:tcPr>
          <w:p>
            <w:pPr>
              <w:pStyle w:val="TableParagraph"/>
              <w:spacing w:line="240" w:lineRule="auto" w:before="115"/>
              <w:ind w:left="406"/>
              <w:jc w:val="left"/>
              <w:rPr>
                <w:sz w:val="18"/>
              </w:rPr>
            </w:pPr>
            <w:r>
              <w:rPr>
                <w:sz w:val="18"/>
              </w:rPr>
              <w:t>52.052</w:t>
            </w:r>
          </w:p>
        </w:tc>
        <w:tc>
          <w:tcPr>
            <w:tcW w:w="1003" w:type="dxa"/>
            <w:vMerge w:val="restart"/>
            <w:tcBorders>
              <w:left w:val="single" w:sz="8" w:space="0" w:color="000000"/>
            </w:tcBorders>
          </w:tcPr>
          <w:p>
            <w:pPr>
              <w:pStyle w:val="TableParagraph"/>
              <w:spacing w:line="240" w:lineRule="auto" w:before="115"/>
              <w:ind w:left="522"/>
              <w:jc w:val="left"/>
              <w:rPr>
                <w:sz w:val="12"/>
              </w:rPr>
            </w:pPr>
            <w:r>
              <w:rPr>
                <w:sz w:val="18"/>
              </w:rPr>
              <w:t>.000</w:t>
            </w:r>
            <w:r>
              <w:rPr>
                <w:position w:val="5"/>
                <w:sz w:val="12"/>
              </w:rPr>
              <w:t>b</w:t>
            </w:r>
          </w:p>
        </w:tc>
      </w:tr>
      <w:tr>
        <w:trPr>
          <w:trHeight w:val="319" w:hRule="atLeast"/>
        </w:trPr>
        <w:tc>
          <w:tcPr>
            <w:tcW w:w="484" w:type="dxa"/>
            <w:tcBorders>
              <w:top w:val="nil"/>
              <w:bottom w:val="nil"/>
              <w:right w:val="nil"/>
            </w:tcBorders>
          </w:tcPr>
          <w:p>
            <w:pPr>
              <w:pStyle w:val="TableParagraph"/>
              <w:spacing w:line="240" w:lineRule="auto" w:before="53"/>
              <w:ind w:left="25"/>
              <w:jc w:val="left"/>
              <w:rPr>
                <w:sz w:val="18"/>
              </w:rPr>
            </w:pPr>
            <w:r>
              <w:rPr>
                <w:sz w:val="18"/>
              </w:rPr>
              <w:t>10</w:t>
            </w:r>
          </w:p>
        </w:tc>
        <w:tc>
          <w:tcPr>
            <w:tcW w:w="1436" w:type="dxa"/>
            <w:tcBorders>
              <w:top w:val="nil"/>
              <w:left w:val="nil"/>
              <w:bottom w:val="nil"/>
            </w:tcBorders>
          </w:tcPr>
          <w:p>
            <w:pPr>
              <w:pStyle w:val="TableParagraph"/>
              <w:spacing w:line="240" w:lineRule="auto" w:before="53"/>
              <w:ind w:left="280"/>
              <w:jc w:val="left"/>
              <w:rPr>
                <w:sz w:val="18"/>
              </w:rPr>
            </w:pPr>
            <w:r>
              <w:rPr>
                <w:sz w:val="18"/>
              </w:rPr>
              <w:t>Residual</w:t>
            </w:r>
          </w:p>
        </w:tc>
        <w:tc>
          <w:tcPr>
            <w:tcW w:w="3032" w:type="dxa"/>
            <w:tcBorders>
              <w:top w:val="nil"/>
              <w:bottom w:val="nil"/>
              <w:right w:val="single" w:sz="8" w:space="0" w:color="000000"/>
            </w:tcBorders>
          </w:tcPr>
          <w:p>
            <w:pPr>
              <w:pStyle w:val="TableParagraph"/>
              <w:spacing w:line="240" w:lineRule="auto" w:before="53"/>
              <w:ind w:left="89" w:right="16"/>
              <w:jc w:val="center"/>
              <w:rPr>
                <w:sz w:val="18"/>
              </w:rPr>
            </w:pPr>
            <w:r>
              <w:rPr>
                <w:sz w:val="18"/>
              </w:rPr>
              <w:t>2064223591088326300000000.000</w:t>
            </w:r>
          </w:p>
        </w:tc>
        <w:tc>
          <w:tcPr>
            <w:tcW w:w="1003" w:type="dxa"/>
            <w:tcBorders>
              <w:top w:val="nil"/>
              <w:left w:val="single" w:sz="8" w:space="0" w:color="000000"/>
              <w:bottom w:val="nil"/>
              <w:right w:val="single" w:sz="8" w:space="0" w:color="000000"/>
            </w:tcBorders>
          </w:tcPr>
          <w:p>
            <w:pPr>
              <w:pStyle w:val="TableParagraph"/>
              <w:spacing w:line="240" w:lineRule="auto" w:before="53"/>
              <w:ind w:right="30"/>
              <w:rPr>
                <w:sz w:val="18"/>
              </w:rPr>
            </w:pPr>
            <w:r>
              <w:rPr>
                <w:w w:val="95"/>
                <w:sz w:val="18"/>
              </w:rPr>
              <w:t>299</w:t>
            </w:r>
          </w:p>
        </w:tc>
        <w:tc>
          <w:tcPr>
            <w:tcW w:w="3044" w:type="dxa"/>
            <w:tcBorders>
              <w:top w:val="nil"/>
              <w:left w:val="single" w:sz="8" w:space="0" w:color="000000"/>
              <w:bottom w:val="nil"/>
              <w:right w:val="single" w:sz="8" w:space="0" w:color="000000"/>
            </w:tcBorders>
          </w:tcPr>
          <w:p>
            <w:pPr>
              <w:pStyle w:val="TableParagraph"/>
              <w:spacing w:line="240" w:lineRule="auto" w:before="53"/>
              <w:ind w:right="29"/>
              <w:rPr>
                <w:sz w:val="18"/>
              </w:rPr>
            </w:pPr>
            <w:r>
              <w:rPr>
                <w:sz w:val="18"/>
              </w:rPr>
              <w:t>6903757829726844000000.000</w:t>
            </w:r>
          </w:p>
        </w:tc>
        <w:tc>
          <w:tcPr>
            <w:tcW w:w="1008" w:type="dxa"/>
            <w:vMerge/>
            <w:tcBorders>
              <w:top w:val="nil"/>
              <w:left w:val="single" w:sz="8" w:space="0" w:color="000000"/>
              <w:right w:val="single" w:sz="8" w:space="0" w:color="000000"/>
            </w:tcBorders>
          </w:tcPr>
          <w:p>
            <w:pPr>
              <w:rPr>
                <w:sz w:val="2"/>
                <w:szCs w:val="2"/>
              </w:rPr>
            </w:pPr>
          </w:p>
        </w:tc>
        <w:tc>
          <w:tcPr>
            <w:tcW w:w="1003" w:type="dxa"/>
            <w:vMerge/>
            <w:tcBorders>
              <w:top w:val="nil"/>
              <w:left w:val="single" w:sz="8" w:space="0" w:color="000000"/>
            </w:tcBorders>
          </w:tcPr>
          <w:p>
            <w:pPr>
              <w:rPr>
                <w:sz w:val="2"/>
                <w:szCs w:val="2"/>
              </w:rPr>
            </w:pPr>
          </w:p>
        </w:tc>
      </w:tr>
      <w:tr>
        <w:trPr>
          <w:trHeight w:val="261" w:hRule="atLeast"/>
        </w:trPr>
        <w:tc>
          <w:tcPr>
            <w:tcW w:w="484" w:type="dxa"/>
            <w:tcBorders>
              <w:top w:val="nil"/>
              <w:right w:val="nil"/>
            </w:tcBorders>
          </w:tcPr>
          <w:p>
            <w:pPr>
              <w:pStyle w:val="TableParagraph"/>
              <w:spacing w:line="240" w:lineRule="auto" w:before="0"/>
              <w:jc w:val="left"/>
              <w:rPr>
                <w:rFonts w:ascii="Times New Roman"/>
                <w:sz w:val="18"/>
              </w:rPr>
            </w:pPr>
          </w:p>
        </w:tc>
        <w:tc>
          <w:tcPr>
            <w:tcW w:w="1436" w:type="dxa"/>
            <w:tcBorders>
              <w:top w:val="nil"/>
              <w:left w:val="nil"/>
            </w:tcBorders>
          </w:tcPr>
          <w:p>
            <w:pPr>
              <w:pStyle w:val="TableParagraph"/>
              <w:spacing w:line="188" w:lineRule="exact" w:before="53"/>
              <w:ind w:left="280"/>
              <w:jc w:val="left"/>
              <w:rPr>
                <w:sz w:val="18"/>
              </w:rPr>
            </w:pPr>
            <w:r>
              <w:rPr>
                <w:sz w:val="18"/>
              </w:rPr>
              <w:t>Total</w:t>
            </w:r>
          </w:p>
        </w:tc>
        <w:tc>
          <w:tcPr>
            <w:tcW w:w="3032" w:type="dxa"/>
            <w:tcBorders>
              <w:top w:val="nil"/>
              <w:right w:val="single" w:sz="8" w:space="0" w:color="000000"/>
            </w:tcBorders>
          </w:tcPr>
          <w:p>
            <w:pPr>
              <w:pStyle w:val="TableParagraph"/>
              <w:spacing w:line="188" w:lineRule="exact" w:before="53"/>
              <w:ind w:left="89" w:right="16"/>
              <w:jc w:val="center"/>
              <w:rPr>
                <w:sz w:val="18"/>
              </w:rPr>
            </w:pPr>
            <w:r>
              <w:rPr>
                <w:sz w:val="18"/>
              </w:rPr>
              <w:t>2782932412352910400000000.000</w:t>
            </w:r>
          </w:p>
        </w:tc>
        <w:tc>
          <w:tcPr>
            <w:tcW w:w="1003" w:type="dxa"/>
            <w:tcBorders>
              <w:top w:val="nil"/>
              <w:left w:val="single" w:sz="8" w:space="0" w:color="000000"/>
              <w:right w:val="single" w:sz="8" w:space="0" w:color="000000"/>
            </w:tcBorders>
          </w:tcPr>
          <w:p>
            <w:pPr>
              <w:pStyle w:val="TableParagraph"/>
              <w:spacing w:line="188" w:lineRule="exact" w:before="53"/>
              <w:ind w:right="30"/>
              <w:rPr>
                <w:sz w:val="18"/>
              </w:rPr>
            </w:pPr>
            <w:r>
              <w:rPr>
                <w:w w:val="95"/>
                <w:sz w:val="18"/>
              </w:rPr>
              <w:t>301</w:t>
            </w:r>
          </w:p>
        </w:tc>
        <w:tc>
          <w:tcPr>
            <w:tcW w:w="3044" w:type="dxa"/>
            <w:tcBorders>
              <w:top w:val="nil"/>
              <w:left w:val="single" w:sz="8" w:space="0" w:color="000000"/>
              <w:right w:val="single" w:sz="8" w:space="0" w:color="000000"/>
            </w:tcBorders>
          </w:tcPr>
          <w:p>
            <w:pPr>
              <w:pStyle w:val="TableParagraph"/>
              <w:spacing w:line="240" w:lineRule="auto" w:before="0"/>
              <w:jc w:val="left"/>
              <w:rPr>
                <w:rFonts w:ascii="Times New Roman"/>
                <w:sz w:val="18"/>
              </w:rPr>
            </w:pPr>
          </w:p>
        </w:tc>
        <w:tc>
          <w:tcPr>
            <w:tcW w:w="1008" w:type="dxa"/>
            <w:vMerge/>
            <w:tcBorders>
              <w:top w:val="nil"/>
              <w:left w:val="single" w:sz="8" w:space="0" w:color="000000"/>
              <w:right w:val="single" w:sz="8" w:space="0" w:color="000000"/>
            </w:tcBorders>
          </w:tcPr>
          <w:p>
            <w:pPr>
              <w:rPr>
                <w:sz w:val="2"/>
                <w:szCs w:val="2"/>
              </w:rPr>
            </w:pPr>
          </w:p>
        </w:tc>
        <w:tc>
          <w:tcPr>
            <w:tcW w:w="1003" w:type="dxa"/>
            <w:vMerge/>
            <w:tcBorders>
              <w:top w:val="nil"/>
              <w:left w:val="single" w:sz="8" w:space="0" w:color="000000"/>
            </w:tcBorders>
          </w:tcPr>
          <w:p>
            <w:pPr>
              <w:rPr>
                <w:sz w:val="2"/>
                <w:szCs w:val="2"/>
              </w:rPr>
            </w:pPr>
          </w:p>
        </w:tc>
      </w:tr>
    </w:tbl>
    <w:p>
      <w:pPr>
        <w:pStyle w:val="BodyText"/>
        <w:rPr>
          <w:b/>
          <w:sz w:val="20"/>
        </w:rPr>
      </w:pPr>
    </w:p>
    <w:p>
      <w:pPr>
        <w:pStyle w:val="BodyText"/>
        <w:spacing w:before="2"/>
        <w:rPr>
          <w:b/>
          <w:sz w:val="14"/>
        </w:rPr>
      </w:pPr>
    </w:p>
    <w:tbl>
      <w:tblPr>
        <w:tblW w:w="0" w:type="auto"/>
        <w:jc w:val="left"/>
        <w:tblInd w:w="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886"/>
      </w:tblGrid>
      <w:tr>
        <w:trPr>
          <w:trHeight w:val="260" w:hRule="atLeast"/>
        </w:trPr>
        <w:tc>
          <w:tcPr>
            <w:tcW w:w="6886" w:type="dxa"/>
          </w:tcPr>
          <w:p>
            <w:pPr>
              <w:pStyle w:val="TableParagraph"/>
              <w:spacing w:line="201" w:lineRule="exact" w:before="0"/>
              <w:ind w:left="200"/>
              <w:jc w:val="left"/>
              <w:rPr>
                <w:sz w:val="18"/>
              </w:rPr>
            </w:pPr>
            <w:r>
              <w:rPr>
                <w:sz w:val="18"/>
              </w:rPr>
              <w:t>a. Variable dependiente: RES_102 WHITE</w:t>
            </w:r>
          </w:p>
        </w:tc>
      </w:tr>
      <w:tr>
        <w:trPr>
          <w:trHeight w:val="260" w:hRule="atLeast"/>
        </w:trPr>
        <w:tc>
          <w:tcPr>
            <w:tcW w:w="6886" w:type="dxa"/>
          </w:tcPr>
          <w:p>
            <w:pPr>
              <w:pStyle w:val="TableParagraph"/>
              <w:spacing w:line="187" w:lineRule="exact" w:before="53"/>
              <w:ind w:left="200"/>
              <w:jc w:val="left"/>
              <w:rPr>
                <w:sz w:val="18"/>
              </w:rPr>
            </w:pPr>
            <w:r>
              <w:rPr>
                <w:sz w:val="18"/>
              </w:rPr>
              <w:t>b. Variables predictoras: (Constante), PRE_102, Unstandardized Predicted Value</w:t>
            </w:r>
          </w:p>
        </w:tc>
      </w:tr>
    </w:tbl>
    <w:p>
      <w:pPr>
        <w:spacing w:after="0" w:line="187" w:lineRule="exact"/>
        <w:jc w:val="left"/>
        <w:rPr>
          <w:sz w:val="18"/>
        </w:rPr>
        <w:sectPr>
          <w:pgSz w:w="12240" w:h="15840"/>
          <w:pgMar w:header="0" w:footer="982" w:top="1500" w:bottom="1260" w:left="400" w:right="180"/>
        </w:sectPr>
      </w:pPr>
    </w:p>
    <w:p>
      <w:pPr>
        <w:pStyle w:val="Heading2"/>
        <w:tabs>
          <w:tab w:pos="1760" w:val="left" w:leader="none"/>
        </w:tabs>
        <w:ind w:left="1040"/>
      </w:pPr>
      <w:bookmarkStart w:name="_bookmark69" w:id="97"/>
      <w:bookmarkEnd w:id="97"/>
      <w:r>
        <w:rPr>
          <w:b w:val="0"/>
        </w:rPr>
      </w:r>
      <w:r>
        <w:rPr/>
        <w:t>XII-</w:t>
        <w:tab/>
        <w:t>Anexo 6: Memoria del Taller de Presentación de</w:t>
      </w:r>
      <w:r>
        <w:rPr>
          <w:spacing w:val="-28"/>
        </w:rPr>
        <w:t> </w:t>
      </w:r>
      <w:r>
        <w:rPr/>
        <w:t>Resultados</w:t>
      </w:r>
    </w:p>
    <w:p>
      <w:pPr>
        <w:pStyle w:val="BodyText"/>
        <w:rPr>
          <w:b/>
          <w:sz w:val="26"/>
        </w:rPr>
      </w:pPr>
    </w:p>
    <w:p>
      <w:pPr>
        <w:pStyle w:val="BodyText"/>
        <w:spacing w:before="1"/>
        <w:rPr>
          <w:b/>
          <w:sz w:val="21"/>
        </w:rPr>
      </w:pPr>
    </w:p>
    <w:p>
      <w:pPr>
        <w:spacing w:line="357" w:lineRule="auto" w:before="0"/>
        <w:ind w:left="2905" w:right="1417" w:hanging="1421"/>
        <w:jc w:val="left"/>
        <w:rPr>
          <w:b/>
          <w:sz w:val="20"/>
        </w:rPr>
      </w:pPr>
      <w:r>
        <w:rPr>
          <w:b/>
          <w:sz w:val="20"/>
          <w:u w:val="single"/>
        </w:rPr>
        <w:t>SISTEMATIZACIÓN: PRESENTACIÓN DE RESULTADOS INVESTIGACIÓN SOBRE</w:t>
      </w:r>
      <w:r>
        <w:rPr>
          <w:b/>
          <w:spacing w:val="-26"/>
          <w:sz w:val="20"/>
          <w:u w:val="single"/>
        </w:rPr>
        <w:t> </w:t>
      </w:r>
      <w:r>
        <w:rPr>
          <w:b/>
          <w:sz w:val="20"/>
          <w:u w:val="single"/>
        </w:rPr>
        <w:t>DEUDA</w:t>
      </w:r>
      <w:r>
        <w:rPr>
          <w:b/>
          <w:sz w:val="20"/>
        </w:rPr>
        <w:t> </w:t>
      </w:r>
      <w:r>
        <w:rPr>
          <w:b/>
          <w:sz w:val="20"/>
          <w:u w:val="single"/>
        </w:rPr>
        <w:t>ECOLÓGICA DE </w:t>
      </w:r>
      <w:r>
        <w:rPr>
          <w:b/>
          <w:spacing w:val="3"/>
          <w:sz w:val="20"/>
          <w:u w:val="single"/>
        </w:rPr>
        <w:t>LA </w:t>
      </w:r>
      <w:r>
        <w:rPr>
          <w:b/>
          <w:sz w:val="20"/>
          <w:u w:val="single"/>
        </w:rPr>
        <w:t>ZONA PROTECTORA LA</w:t>
      </w:r>
      <w:r>
        <w:rPr>
          <w:b/>
          <w:spacing w:val="-26"/>
          <w:sz w:val="20"/>
          <w:u w:val="single"/>
        </w:rPr>
        <w:t> </w:t>
      </w:r>
      <w:r>
        <w:rPr>
          <w:b/>
          <w:sz w:val="20"/>
          <w:u w:val="single"/>
        </w:rPr>
        <w:t>CARPINTERA</w:t>
      </w:r>
    </w:p>
    <w:p>
      <w:pPr>
        <w:spacing w:before="7"/>
        <w:ind w:left="6690" w:right="0" w:firstLine="0"/>
        <w:jc w:val="left"/>
        <w:rPr>
          <w:b/>
          <w:sz w:val="20"/>
        </w:rPr>
      </w:pPr>
      <w:r>
        <w:rPr>
          <w:b/>
          <w:sz w:val="20"/>
        </w:rPr>
        <w:t>Natalia Cordero, Fundación Neotrópica</w:t>
      </w:r>
    </w:p>
    <w:p>
      <w:pPr>
        <w:spacing w:line="360" w:lineRule="auto" w:before="114"/>
        <w:ind w:left="1040" w:right="6260" w:firstLine="0"/>
        <w:jc w:val="left"/>
        <w:rPr>
          <w:sz w:val="20"/>
        </w:rPr>
      </w:pPr>
      <w:r>
        <w:rPr>
          <w:b/>
          <w:sz w:val="20"/>
        </w:rPr>
        <w:t>Actividad: </w:t>
      </w:r>
      <w:r>
        <w:rPr>
          <w:sz w:val="20"/>
        </w:rPr>
        <w:t>Taller (2 horas de duración). </w:t>
      </w:r>
      <w:r>
        <w:rPr>
          <w:b/>
          <w:sz w:val="20"/>
        </w:rPr>
        <w:t>Elaboración del Taller: </w:t>
      </w:r>
      <w:r>
        <w:rPr>
          <w:sz w:val="20"/>
        </w:rPr>
        <w:t>Fundación Neotrópica. </w:t>
      </w:r>
      <w:r>
        <w:rPr>
          <w:b/>
          <w:sz w:val="20"/>
        </w:rPr>
        <w:t>Facilitadores: </w:t>
      </w:r>
      <w:r>
        <w:rPr>
          <w:sz w:val="20"/>
        </w:rPr>
        <w:t>Bernardo Aguilar González </w:t>
      </w:r>
      <w:r>
        <w:rPr>
          <w:b/>
          <w:sz w:val="20"/>
        </w:rPr>
        <w:t>Lugar: </w:t>
      </w:r>
      <w:r>
        <w:rPr>
          <w:sz w:val="20"/>
        </w:rPr>
        <w:t>Fundación Neotrópica.</w:t>
      </w:r>
    </w:p>
    <w:p>
      <w:pPr>
        <w:spacing w:before="0"/>
        <w:ind w:left="1040" w:right="0" w:firstLine="0"/>
        <w:jc w:val="left"/>
        <w:rPr>
          <w:sz w:val="20"/>
        </w:rPr>
      </w:pPr>
      <w:r>
        <w:rPr>
          <w:b/>
          <w:sz w:val="20"/>
        </w:rPr>
        <w:t>Día y Hora: </w:t>
      </w:r>
      <w:r>
        <w:rPr>
          <w:sz w:val="20"/>
        </w:rPr>
        <w:t>viernes 02 de febrero de 2018 de 10:00am a 12pm.</w:t>
      </w:r>
    </w:p>
    <w:p>
      <w:pPr>
        <w:pStyle w:val="BodyText"/>
        <w:rPr>
          <w:sz w:val="22"/>
        </w:rPr>
      </w:pPr>
    </w:p>
    <w:p>
      <w:pPr>
        <w:pStyle w:val="BodyText"/>
        <w:rPr>
          <w:sz w:val="22"/>
        </w:rPr>
      </w:pPr>
    </w:p>
    <w:p>
      <w:pPr>
        <w:spacing w:before="153"/>
        <w:ind w:left="1040" w:right="0" w:firstLine="0"/>
        <w:jc w:val="left"/>
        <w:rPr>
          <w:sz w:val="20"/>
        </w:rPr>
      </w:pPr>
      <w:r>
        <w:rPr>
          <w:b/>
          <w:sz w:val="20"/>
        </w:rPr>
        <w:t>Objetivo</w:t>
      </w:r>
      <w:r>
        <w:rPr>
          <w:sz w:val="20"/>
        </w:rPr>
        <w:t>:</w:t>
      </w:r>
    </w:p>
    <w:p>
      <w:pPr>
        <w:pStyle w:val="BodyText"/>
        <w:rPr>
          <w:sz w:val="28"/>
        </w:rPr>
      </w:pPr>
    </w:p>
    <w:p>
      <w:pPr>
        <w:spacing w:line="360" w:lineRule="auto" w:before="0"/>
        <w:ind w:left="1040" w:right="1417" w:firstLine="0"/>
        <w:jc w:val="left"/>
        <w:rPr>
          <w:sz w:val="20"/>
        </w:rPr>
      </w:pPr>
      <w:r>
        <w:rPr>
          <w:sz w:val="20"/>
        </w:rPr>
        <w:t>Dar a conocer los resultados de la investigación sobre Deuda Ecológica de la Zona Protectora la Carpintera a los actores locales, instituciones, organizaciones, etc., así como informar sobre el trabajo en el tema ambiental que se ha venido haciendo en la zona por muchos años.</w:t>
      </w:r>
    </w:p>
    <w:p>
      <w:pPr>
        <w:pStyle w:val="BodyText"/>
        <w:rPr>
          <w:sz w:val="22"/>
        </w:rPr>
      </w:pPr>
    </w:p>
    <w:p>
      <w:pPr>
        <w:pStyle w:val="BodyText"/>
        <w:rPr>
          <w:sz w:val="22"/>
        </w:rPr>
      </w:pPr>
    </w:p>
    <w:p>
      <w:pPr>
        <w:pStyle w:val="BodyText"/>
        <w:spacing w:before="6"/>
        <w:rPr>
          <w:sz w:val="20"/>
        </w:rPr>
      </w:pPr>
    </w:p>
    <w:p>
      <w:pPr>
        <w:spacing w:before="0"/>
        <w:ind w:left="1040" w:right="0" w:firstLine="0"/>
        <w:jc w:val="left"/>
        <w:rPr>
          <w:b/>
          <w:sz w:val="20"/>
        </w:rPr>
      </w:pPr>
      <w:r>
        <w:rPr>
          <w:b/>
          <w:sz w:val="20"/>
        </w:rPr>
        <w:t>Bienvenida y Actividad de Presentación</w:t>
      </w:r>
    </w:p>
    <w:p>
      <w:pPr>
        <w:pStyle w:val="BodyText"/>
        <w:spacing w:before="7"/>
        <w:rPr>
          <w:b/>
          <w:sz w:val="27"/>
        </w:rPr>
      </w:pPr>
    </w:p>
    <w:p>
      <w:pPr>
        <w:spacing w:line="360" w:lineRule="auto" w:before="0"/>
        <w:ind w:left="1040" w:right="1253" w:firstLine="0"/>
        <w:jc w:val="both"/>
        <w:rPr>
          <w:sz w:val="20"/>
        </w:rPr>
      </w:pPr>
      <w:r>
        <w:rPr>
          <w:sz w:val="20"/>
        </w:rPr>
        <w:t>Se procedió a dar la bienvenida por parte del Sr. Bernardo Aguilar González, Director Ejecutivo de Fundación Neotrópica, a todos/as los/as participantes al taller. Una vez concluida la introducción general, el Sr. Bernardo Aguilar González realizó una presentación de la organización (FN), así como de la visión, misión y experiencia de la FN. A continuación, se resaltó la importancia de la Zona Protectora la Carpintera, además de los resultados de la investigación sobre deuda ecológica.</w:t>
      </w:r>
    </w:p>
    <w:p>
      <w:pPr>
        <w:pStyle w:val="BodyText"/>
        <w:rPr>
          <w:sz w:val="22"/>
        </w:rPr>
      </w:pPr>
    </w:p>
    <w:p>
      <w:pPr>
        <w:spacing w:before="175"/>
        <w:ind w:left="1040" w:right="0" w:firstLine="0"/>
        <w:jc w:val="left"/>
        <w:rPr>
          <w:b/>
          <w:sz w:val="20"/>
        </w:rPr>
      </w:pPr>
      <w:r>
        <w:rPr>
          <w:b/>
          <w:sz w:val="20"/>
        </w:rPr>
        <w:t>Actividad: Preguntas y Respuestas</w:t>
      </w:r>
    </w:p>
    <w:p>
      <w:pPr>
        <w:pStyle w:val="BodyText"/>
        <w:rPr>
          <w:b/>
          <w:sz w:val="22"/>
        </w:rPr>
      </w:pPr>
    </w:p>
    <w:p>
      <w:pPr>
        <w:pStyle w:val="BodyText"/>
        <w:spacing w:before="6"/>
        <w:rPr>
          <w:b/>
          <w:sz w:val="25"/>
        </w:rPr>
      </w:pPr>
    </w:p>
    <w:p>
      <w:pPr>
        <w:spacing w:line="360" w:lineRule="auto" w:before="0"/>
        <w:ind w:left="1040" w:right="1265" w:firstLine="0"/>
        <w:jc w:val="both"/>
        <w:rPr>
          <w:sz w:val="20"/>
        </w:rPr>
      </w:pPr>
      <w:r>
        <w:rPr>
          <w:sz w:val="20"/>
        </w:rPr>
        <w:t>Después de la presentación del Proyecto, se abrió un espacio de aproximadamente una hora durante el cual todas las personas presentes pudieran compartir sus dudas, preguntas y solicitudes de información en relación al resultado de la investigación presentada. El Sr. Bernardo Aguilar, contesto a las preguntas para tratar de facilitar la máxima información, con la mayor claridad posible, a los/as participantes.</w:t>
      </w:r>
    </w:p>
    <w:p>
      <w:pPr>
        <w:pStyle w:val="BodyText"/>
        <w:spacing w:before="4"/>
        <w:rPr>
          <w:sz w:val="17"/>
        </w:rPr>
      </w:pPr>
    </w:p>
    <w:p>
      <w:pPr>
        <w:spacing w:line="362" w:lineRule="auto" w:before="1"/>
        <w:ind w:left="1040" w:right="1265" w:firstLine="0"/>
        <w:jc w:val="both"/>
        <w:rPr>
          <w:sz w:val="20"/>
        </w:rPr>
      </w:pPr>
      <w:r>
        <w:rPr>
          <w:sz w:val="20"/>
        </w:rPr>
        <w:t>En esta sesión de preguntas, las consultas más frecuentes tuvieron que ver con los resultados de la investigación, y los alcances. También se preguntó sobre la posibilidad de explorar diferentes mecanismos por medio de los cuales se puedan identificar recursos para mejorar el servicio de vista.</w:t>
      </w:r>
    </w:p>
    <w:p>
      <w:pPr>
        <w:spacing w:after="0" w:line="362" w:lineRule="auto"/>
        <w:jc w:val="both"/>
        <w:rPr>
          <w:sz w:val="20"/>
        </w:rPr>
        <w:sectPr>
          <w:pgSz w:w="12240" w:h="15840"/>
          <w:pgMar w:header="0" w:footer="982" w:top="1360" w:bottom="1260" w:left="400" w:right="180"/>
        </w:sectPr>
      </w:pPr>
    </w:p>
    <w:p>
      <w:pPr>
        <w:spacing w:line="360" w:lineRule="auto" w:before="77"/>
        <w:ind w:left="1040" w:right="1256" w:firstLine="0"/>
        <w:jc w:val="both"/>
        <w:rPr>
          <w:sz w:val="20"/>
        </w:rPr>
      </w:pPr>
      <w:r>
        <w:rPr>
          <w:sz w:val="20"/>
        </w:rPr>
        <w:t>Asimismo, los/as participantes preguntaron sobre la participación de actores en procesos o actividades para mantenerse informados, y los medios para mantener una relación de trabajo activa con diferentes actores relacionados a la Zona Protectora La Carpintera.</w:t>
      </w:r>
    </w:p>
    <w:p>
      <w:pPr>
        <w:pStyle w:val="BodyText"/>
        <w:spacing w:before="5"/>
        <w:rPr>
          <w:sz w:val="17"/>
        </w:rPr>
      </w:pPr>
    </w:p>
    <w:p>
      <w:pPr>
        <w:spacing w:line="360" w:lineRule="auto" w:before="0"/>
        <w:ind w:left="1040" w:right="1271" w:firstLine="0"/>
        <w:jc w:val="both"/>
        <w:rPr>
          <w:sz w:val="20"/>
        </w:rPr>
      </w:pPr>
      <w:r>
        <w:rPr>
          <w:sz w:val="20"/>
        </w:rPr>
        <w:t>Esta sesión permitió aclarar las dudas y las preguntas fueron contestadas dando toda la información necesaria a las personas presentes.</w:t>
      </w:r>
    </w:p>
    <w:p>
      <w:pPr>
        <w:pStyle w:val="BodyText"/>
        <w:rPr>
          <w:sz w:val="22"/>
        </w:rPr>
      </w:pPr>
    </w:p>
    <w:p>
      <w:pPr>
        <w:pStyle w:val="BodyText"/>
        <w:rPr>
          <w:sz w:val="22"/>
        </w:rPr>
      </w:pPr>
    </w:p>
    <w:p>
      <w:pPr>
        <w:pStyle w:val="BodyText"/>
        <w:spacing w:before="3"/>
        <w:rPr>
          <w:sz w:val="20"/>
        </w:rPr>
      </w:pPr>
    </w:p>
    <w:p>
      <w:pPr>
        <w:spacing w:before="0"/>
        <w:ind w:left="1040" w:right="0" w:firstLine="0"/>
        <w:jc w:val="left"/>
        <w:rPr>
          <w:b/>
          <w:sz w:val="20"/>
        </w:rPr>
      </w:pPr>
      <w:r>
        <w:rPr>
          <w:b/>
          <w:sz w:val="20"/>
        </w:rPr>
        <w:t>Cierre de la presentación</w:t>
      </w:r>
    </w:p>
    <w:p>
      <w:pPr>
        <w:pStyle w:val="BodyText"/>
        <w:spacing w:before="4"/>
        <w:rPr>
          <w:b/>
          <w:sz w:val="20"/>
        </w:rPr>
      </w:pPr>
    </w:p>
    <w:p>
      <w:pPr>
        <w:spacing w:line="362" w:lineRule="auto" w:before="0"/>
        <w:ind w:left="1040" w:right="1263" w:firstLine="0"/>
        <w:jc w:val="both"/>
        <w:rPr>
          <w:sz w:val="20"/>
        </w:rPr>
      </w:pPr>
      <w:r>
        <w:rPr>
          <w:sz w:val="20"/>
        </w:rPr>
        <w:t>Al cierre de la presentación de resultados se facilitó a cada participante una encuesta, con preguntas que servirán de insumo para el seguimiento de esta investigación. En esta herramienta se les pregunto:</w:t>
      </w:r>
    </w:p>
    <w:p>
      <w:pPr>
        <w:pStyle w:val="BodyText"/>
        <w:spacing w:before="2"/>
        <w:rPr>
          <w:sz w:val="17"/>
        </w:rPr>
      </w:pPr>
    </w:p>
    <w:p>
      <w:pPr>
        <w:pStyle w:val="ListParagraph"/>
        <w:numPr>
          <w:ilvl w:val="0"/>
          <w:numId w:val="44"/>
        </w:numPr>
        <w:tabs>
          <w:tab w:pos="1269" w:val="left" w:leader="none"/>
        </w:tabs>
        <w:spacing w:line="360" w:lineRule="auto" w:before="0" w:after="0"/>
        <w:ind w:left="1040" w:right="1253" w:firstLine="0"/>
        <w:jc w:val="both"/>
        <w:rPr>
          <w:sz w:val="20"/>
        </w:rPr>
      </w:pPr>
      <w:r>
        <w:rPr>
          <w:sz w:val="20"/>
        </w:rPr>
        <w:t>Como representante de un grupo de actores que de una u otra forma dependen </w:t>
      </w:r>
      <w:r>
        <w:rPr>
          <w:spacing w:val="-3"/>
          <w:sz w:val="20"/>
        </w:rPr>
        <w:t>del </w:t>
      </w:r>
      <w:r>
        <w:rPr>
          <w:sz w:val="20"/>
        </w:rPr>
        <w:t>manejo sostenible y</w:t>
      </w:r>
      <w:r>
        <w:rPr>
          <w:spacing w:val="-10"/>
          <w:sz w:val="20"/>
        </w:rPr>
        <w:t> </w:t>
      </w:r>
      <w:r>
        <w:rPr>
          <w:sz w:val="20"/>
        </w:rPr>
        <w:t>la</w:t>
      </w:r>
      <w:r>
        <w:rPr>
          <w:spacing w:val="-9"/>
          <w:sz w:val="20"/>
        </w:rPr>
        <w:t> </w:t>
      </w:r>
      <w:r>
        <w:rPr>
          <w:sz w:val="20"/>
        </w:rPr>
        <w:t>conservación</w:t>
      </w:r>
      <w:r>
        <w:rPr>
          <w:spacing w:val="-9"/>
          <w:sz w:val="20"/>
        </w:rPr>
        <w:t> </w:t>
      </w:r>
      <w:r>
        <w:rPr>
          <w:sz w:val="20"/>
        </w:rPr>
        <w:t>de</w:t>
      </w:r>
      <w:r>
        <w:rPr>
          <w:spacing w:val="-9"/>
          <w:sz w:val="20"/>
        </w:rPr>
        <w:t> </w:t>
      </w:r>
      <w:r>
        <w:rPr>
          <w:sz w:val="20"/>
        </w:rPr>
        <w:t>la</w:t>
      </w:r>
      <w:r>
        <w:rPr>
          <w:spacing w:val="-10"/>
          <w:sz w:val="20"/>
        </w:rPr>
        <w:t> </w:t>
      </w:r>
      <w:r>
        <w:rPr>
          <w:sz w:val="20"/>
        </w:rPr>
        <w:t>zona</w:t>
      </w:r>
      <w:r>
        <w:rPr>
          <w:spacing w:val="-9"/>
          <w:sz w:val="20"/>
        </w:rPr>
        <w:t> </w:t>
      </w:r>
      <w:r>
        <w:rPr>
          <w:sz w:val="20"/>
        </w:rPr>
        <w:t>protectora</w:t>
      </w:r>
      <w:r>
        <w:rPr>
          <w:spacing w:val="-13"/>
          <w:sz w:val="20"/>
        </w:rPr>
        <w:t> </w:t>
      </w:r>
      <w:r>
        <w:rPr>
          <w:sz w:val="20"/>
        </w:rPr>
        <w:t>la</w:t>
      </w:r>
      <w:r>
        <w:rPr>
          <w:spacing w:val="-9"/>
          <w:sz w:val="20"/>
        </w:rPr>
        <w:t> </w:t>
      </w:r>
      <w:r>
        <w:rPr>
          <w:sz w:val="20"/>
        </w:rPr>
        <w:t>Carpintera</w:t>
      </w:r>
      <w:r>
        <w:rPr>
          <w:spacing w:val="-9"/>
          <w:sz w:val="20"/>
        </w:rPr>
        <w:t> </w:t>
      </w:r>
      <w:r>
        <w:rPr>
          <w:sz w:val="20"/>
        </w:rPr>
        <w:t>¿Considera</w:t>
      </w:r>
      <w:r>
        <w:rPr>
          <w:spacing w:val="-9"/>
          <w:sz w:val="20"/>
        </w:rPr>
        <w:t> </w:t>
      </w:r>
      <w:r>
        <w:rPr>
          <w:sz w:val="20"/>
        </w:rPr>
        <w:t>Usted</w:t>
      </w:r>
      <w:r>
        <w:rPr>
          <w:spacing w:val="-9"/>
          <w:sz w:val="20"/>
        </w:rPr>
        <w:t> </w:t>
      </w:r>
      <w:r>
        <w:rPr>
          <w:sz w:val="20"/>
        </w:rPr>
        <w:t>que</w:t>
      </w:r>
      <w:r>
        <w:rPr>
          <w:spacing w:val="-9"/>
          <w:sz w:val="20"/>
        </w:rPr>
        <w:t> </w:t>
      </w:r>
      <w:r>
        <w:rPr>
          <w:sz w:val="20"/>
        </w:rPr>
        <w:t>el</w:t>
      </w:r>
      <w:r>
        <w:rPr>
          <w:spacing w:val="-7"/>
          <w:sz w:val="20"/>
        </w:rPr>
        <w:t> </w:t>
      </w:r>
      <w:r>
        <w:rPr>
          <w:sz w:val="20"/>
        </w:rPr>
        <w:t>servicio</w:t>
      </w:r>
      <w:r>
        <w:rPr>
          <w:spacing w:val="-9"/>
          <w:sz w:val="20"/>
        </w:rPr>
        <w:t> </w:t>
      </w:r>
      <w:r>
        <w:rPr>
          <w:sz w:val="20"/>
        </w:rPr>
        <w:t>de</w:t>
      </w:r>
      <w:r>
        <w:rPr>
          <w:spacing w:val="-9"/>
          <w:sz w:val="20"/>
        </w:rPr>
        <w:t> </w:t>
      </w:r>
      <w:r>
        <w:rPr>
          <w:sz w:val="20"/>
        </w:rPr>
        <w:t>vista</w:t>
      </w:r>
      <w:r>
        <w:rPr>
          <w:spacing w:val="-8"/>
          <w:sz w:val="20"/>
        </w:rPr>
        <w:t> </w:t>
      </w:r>
      <w:r>
        <w:rPr>
          <w:sz w:val="20"/>
        </w:rPr>
        <w:t>que</w:t>
      </w:r>
      <w:r>
        <w:rPr>
          <w:spacing w:val="-9"/>
          <w:sz w:val="20"/>
        </w:rPr>
        <w:t> </w:t>
      </w:r>
      <w:r>
        <w:rPr>
          <w:sz w:val="20"/>
        </w:rPr>
        <w:t>provee la zona es</w:t>
      </w:r>
      <w:r>
        <w:rPr>
          <w:spacing w:val="-4"/>
          <w:sz w:val="20"/>
        </w:rPr>
        <w:t> </w:t>
      </w:r>
      <w:r>
        <w:rPr>
          <w:sz w:val="20"/>
        </w:rPr>
        <w:t>importante?</w:t>
      </w:r>
    </w:p>
    <w:p>
      <w:pPr>
        <w:pStyle w:val="BodyText"/>
        <w:spacing w:before="6"/>
        <w:rPr>
          <w:sz w:val="17"/>
        </w:rPr>
      </w:pPr>
    </w:p>
    <w:p>
      <w:pPr>
        <w:pStyle w:val="ListParagraph"/>
        <w:numPr>
          <w:ilvl w:val="0"/>
          <w:numId w:val="44"/>
        </w:numPr>
        <w:tabs>
          <w:tab w:pos="1261" w:val="left" w:leader="none"/>
        </w:tabs>
        <w:spacing w:line="357" w:lineRule="auto" w:before="0" w:after="0"/>
        <w:ind w:left="1040" w:right="1252" w:firstLine="0"/>
        <w:jc w:val="both"/>
        <w:rPr>
          <w:sz w:val="20"/>
        </w:rPr>
      </w:pPr>
      <w:r>
        <w:rPr>
          <w:sz w:val="20"/>
        </w:rPr>
        <w:t>¿Qué</w:t>
      </w:r>
      <w:r>
        <w:rPr>
          <w:spacing w:val="-5"/>
          <w:sz w:val="20"/>
        </w:rPr>
        <w:t> </w:t>
      </w:r>
      <w:r>
        <w:rPr>
          <w:sz w:val="20"/>
        </w:rPr>
        <w:t>otro</w:t>
      </w:r>
      <w:r>
        <w:rPr>
          <w:spacing w:val="-4"/>
          <w:sz w:val="20"/>
        </w:rPr>
        <w:t> </w:t>
      </w:r>
      <w:r>
        <w:rPr>
          <w:sz w:val="20"/>
        </w:rPr>
        <w:t>servicio</w:t>
      </w:r>
      <w:r>
        <w:rPr>
          <w:spacing w:val="-4"/>
          <w:sz w:val="20"/>
        </w:rPr>
        <w:t> </w:t>
      </w:r>
      <w:r>
        <w:rPr>
          <w:sz w:val="20"/>
        </w:rPr>
        <w:t>eco</w:t>
      </w:r>
      <w:r>
        <w:rPr>
          <w:spacing w:val="-4"/>
          <w:sz w:val="20"/>
        </w:rPr>
        <w:t> </w:t>
      </w:r>
      <w:r>
        <w:rPr>
          <w:sz w:val="20"/>
        </w:rPr>
        <w:t>sistémico</w:t>
      </w:r>
      <w:r>
        <w:rPr>
          <w:spacing w:val="-4"/>
          <w:sz w:val="20"/>
        </w:rPr>
        <w:t> </w:t>
      </w:r>
      <w:r>
        <w:rPr>
          <w:sz w:val="20"/>
        </w:rPr>
        <w:t>considera</w:t>
      </w:r>
      <w:r>
        <w:rPr>
          <w:spacing w:val="-8"/>
          <w:sz w:val="20"/>
        </w:rPr>
        <w:t> </w:t>
      </w:r>
      <w:r>
        <w:rPr>
          <w:sz w:val="20"/>
        </w:rPr>
        <w:t>usted</w:t>
      </w:r>
      <w:r>
        <w:rPr>
          <w:spacing w:val="-4"/>
          <w:sz w:val="20"/>
        </w:rPr>
        <w:t> </w:t>
      </w:r>
      <w:r>
        <w:rPr>
          <w:sz w:val="20"/>
        </w:rPr>
        <w:t>que</w:t>
      </w:r>
      <w:r>
        <w:rPr>
          <w:spacing w:val="-4"/>
          <w:sz w:val="20"/>
        </w:rPr>
        <w:t> </w:t>
      </w:r>
      <w:r>
        <w:rPr>
          <w:sz w:val="20"/>
        </w:rPr>
        <w:t>es</w:t>
      </w:r>
      <w:r>
        <w:rPr>
          <w:spacing w:val="-9"/>
          <w:sz w:val="20"/>
        </w:rPr>
        <w:t> </w:t>
      </w:r>
      <w:r>
        <w:rPr>
          <w:sz w:val="20"/>
        </w:rPr>
        <w:t>importante</w:t>
      </w:r>
      <w:r>
        <w:rPr>
          <w:spacing w:val="-4"/>
          <w:sz w:val="20"/>
        </w:rPr>
        <w:t> </w:t>
      </w:r>
      <w:r>
        <w:rPr>
          <w:sz w:val="20"/>
        </w:rPr>
        <w:t>para</w:t>
      </w:r>
      <w:r>
        <w:rPr>
          <w:spacing w:val="-5"/>
          <w:sz w:val="20"/>
        </w:rPr>
        <w:t> </w:t>
      </w:r>
      <w:r>
        <w:rPr>
          <w:sz w:val="20"/>
        </w:rPr>
        <w:t>el</w:t>
      </w:r>
      <w:r>
        <w:rPr>
          <w:spacing w:val="-2"/>
          <w:sz w:val="20"/>
        </w:rPr>
        <w:t> </w:t>
      </w:r>
      <w:r>
        <w:rPr>
          <w:sz w:val="20"/>
        </w:rPr>
        <w:t>grupo</w:t>
      </w:r>
      <w:r>
        <w:rPr>
          <w:spacing w:val="-4"/>
          <w:sz w:val="20"/>
        </w:rPr>
        <w:t> </w:t>
      </w:r>
      <w:r>
        <w:rPr>
          <w:sz w:val="20"/>
        </w:rPr>
        <w:t>de</w:t>
      </w:r>
      <w:r>
        <w:rPr>
          <w:spacing w:val="-4"/>
          <w:sz w:val="20"/>
        </w:rPr>
        <w:t> </w:t>
      </w:r>
      <w:r>
        <w:rPr>
          <w:sz w:val="20"/>
        </w:rPr>
        <w:t>actores</w:t>
      </w:r>
      <w:r>
        <w:rPr>
          <w:spacing w:val="-5"/>
          <w:sz w:val="20"/>
        </w:rPr>
        <w:t> </w:t>
      </w:r>
      <w:r>
        <w:rPr>
          <w:spacing w:val="4"/>
          <w:sz w:val="20"/>
        </w:rPr>
        <w:t>que</w:t>
      </w:r>
      <w:r>
        <w:rPr>
          <w:spacing w:val="-4"/>
          <w:sz w:val="20"/>
        </w:rPr>
        <w:t> </w:t>
      </w:r>
      <w:r>
        <w:rPr>
          <w:sz w:val="20"/>
        </w:rPr>
        <w:t>usted representa?</w:t>
      </w:r>
    </w:p>
    <w:p>
      <w:pPr>
        <w:pStyle w:val="BodyText"/>
        <w:spacing w:before="7"/>
        <w:rPr>
          <w:sz w:val="17"/>
        </w:rPr>
      </w:pPr>
    </w:p>
    <w:p>
      <w:pPr>
        <w:pStyle w:val="ListParagraph"/>
        <w:numPr>
          <w:ilvl w:val="0"/>
          <w:numId w:val="44"/>
        </w:numPr>
        <w:tabs>
          <w:tab w:pos="1277" w:val="left" w:leader="none"/>
        </w:tabs>
        <w:spacing w:line="360" w:lineRule="auto" w:before="1" w:after="0"/>
        <w:ind w:left="1040" w:right="1265" w:firstLine="0"/>
        <w:jc w:val="both"/>
        <w:rPr>
          <w:sz w:val="20"/>
        </w:rPr>
      </w:pPr>
      <w:r>
        <w:rPr>
          <w:sz w:val="20"/>
        </w:rPr>
        <w:t>¿Considera usted que la situación social de las comunidades que están dentro de la Zona Protectora La</w:t>
      </w:r>
      <w:r>
        <w:rPr>
          <w:spacing w:val="-9"/>
          <w:sz w:val="20"/>
        </w:rPr>
        <w:t> </w:t>
      </w:r>
      <w:r>
        <w:rPr>
          <w:sz w:val="20"/>
        </w:rPr>
        <w:t>Carpintera</w:t>
      </w:r>
      <w:r>
        <w:rPr>
          <w:spacing w:val="-9"/>
          <w:sz w:val="20"/>
        </w:rPr>
        <w:t> </w:t>
      </w:r>
      <w:r>
        <w:rPr>
          <w:sz w:val="20"/>
        </w:rPr>
        <w:t>podría</w:t>
      </w:r>
      <w:r>
        <w:rPr>
          <w:spacing w:val="-9"/>
          <w:sz w:val="20"/>
        </w:rPr>
        <w:t> </w:t>
      </w:r>
      <w:r>
        <w:rPr>
          <w:sz w:val="20"/>
        </w:rPr>
        <w:t>mejorarse</w:t>
      </w:r>
      <w:r>
        <w:rPr>
          <w:spacing w:val="-9"/>
          <w:sz w:val="20"/>
        </w:rPr>
        <w:t> </w:t>
      </w:r>
      <w:r>
        <w:rPr>
          <w:sz w:val="20"/>
        </w:rPr>
        <w:t>con</w:t>
      </w:r>
      <w:r>
        <w:rPr>
          <w:spacing w:val="-9"/>
          <w:sz w:val="20"/>
        </w:rPr>
        <w:t> </w:t>
      </w:r>
      <w:r>
        <w:rPr>
          <w:sz w:val="20"/>
        </w:rPr>
        <w:t>recursos</w:t>
      </w:r>
      <w:r>
        <w:rPr>
          <w:spacing w:val="-14"/>
          <w:sz w:val="20"/>
        </w:rPr>
        <w:t> </w:t>
      </w:r>
      <w:r>
        <w:rPr>
          <w:sz w:val="20"/>
        </w:rPr>
        <w:t>provenientes</w:t>
      </w:r>
      <w:r>
        <w:rPr>
          <w:spacing w:val="-10"/>
          <w:sz w:val="20"/>
        </w:rPr>
        <w:t> </w:t>
      </w:r>
      <w:r>
        <w:rPr>
          <w:sz w:val="20"/>
        </w:rPr>
        <w:t>del</w:t>
      </w:r>
      <w:r>
        <w:rPr>
          <w:spacing w:val="-7"/>
          <w:sz w:val="20"/>
        </w:rPr>
        <w:t> </w:t>
      </w:r>
      <w:r>
        <w:rPr>
          <w:sz w:val="20"/>
        </w:rPr>
        <w:t>servicio</w:t>
      </w:r>
      <w:r>
        <w:rPr>
          <w:spacing w:val="-8"/>
          <w:sz w:val="20"/>
        </w:rPr>
        <w:t> </w:t>
      </w:r>
      <w:r>
        <w:rPr>
          <w:sz w:val="20"/>
        </w:rPr>
        <w:t>de</w:t>
      </w:r>
      <w:r>
        <w:rPr>
          <w:spacing w:val="-9"/>
          <w:sz w:val="20"/>
        </w:rPr>
        <w:t> </w:t>
      </w:r>
      <w:r>
        <w:rPr>
          <w:sz w:val="20"/>
        </w:rPr>
        <w:t>vista</w:t>
      </w:r>
      <w:r>
        <w:rPr>
          <w:spacing w:val="-9"/>
          <w:sz w:val="20"/>
        </w:rPr>
        <w:t> </w:t>
      </w:r>
      <w:r>
        <w:rPr>
          <w:sz w:val="20"/>
        </w:rPr>
        <w:t>que</w:t>
      </w:r>
      <w:r>
        <w:rPr>
          <w:spacing w:val="-9"/>
          <w:sz w:val="20"/>
        </w:rPr>
        <w:t> </w:t>
      </w:r>
      <w:r>
        <w:rPr>
          <w:sz w:val="20"/>
        </w:rPr>
        <w:t>se</w:t>
      </w:r>
      <w:r>
        <w:rPr>
          <w:spacing w:val="-9"/>
          <w:sz w:val="20"/>
        </w:rPr>
        <w:t> </w:t>
      </w:r>
      <w:r>
        <w:rPr>
          <w:sz w:val="20"/>
        </w:rPr>
        <w:t>ha</w:t>
      </w:r>
      <w:r>
        <w:rPr>
          <w:spacing w:val="-9"/>
          <w:sz w:val="20"/>
        </w:rPr>
        <w:t> </w:t>
      </w:r>
      <w:r>
        <w:rPr>
          <w:sz w:val="20"/>
        </w:rPr>
        <w:t>presentado</w:t>
      </w:r>
      <w:r>
        <w:rPr>
          <w:spacing w:val="-9"/>
          <w:sz w:val="20"/>
        </w:rPr>
        <w:t> </w:t>
      </w:r>
      <w:r>
        <w:rPr>
          <w:sz w:val="20"/>
        </w:rPr>
        <w:t>hoy?</w:t>
      </w:r>
    </w:p>
    <w:p>
      <w:pPr>
        <w:pStyle w:val="BodyText"/>
        <w:spacing w:before="6"/>
        <w:rPr>
          <w:sz w:val="17"/>
        </w:rPr>
      </w:pPr>
    </w:p>
    <w:p>
      <w:pPr>
        <w:pStyle w:val="ListParagraph"/>
        <w:numPr>
          <w:ilvl w:val="0"/>
          <w:numId w:val="44"/>
        </w:numPr>
        <w:tabs>
          <w:tab w:pos="1253" w:val="left" w:leader="none"/>
        </w:tabs>
        <w:spacing w:line="360" w:lineRule="auto" w:before="0" w:after="0"/>
        <w:ind w:left="1040" w:right="1256" w:firstLine="0"/>
        <w:jc w:val="both"/>
        <w:rPr>
          <w:sz w:val="20"/>
        </w:rPr>
      </w:pPr>
      <w:r>
        <w:rPr>
          <w:sz w:val="20"/>
        </w:rPr>
        <w:t>¿Estaría</w:t>
      </w:r>
      <w:r>
        <w:rPr>
          <w:spacing w:val="-14"/>
          <w:sz w:val="20"/>
        </w:rPr>
        <w:t> </w:t>
      </w:r>
      <w:r>
        <w:rPr>
          <w:sz w:val="20"/>
        </w:rPr>
        <w:t>de</w:t>
      </w:r>
      <w:r>
        <w:rPr>
          <w:spacing w:val="-13"/>
          <w:sz w:val="20"/>
        </w:rPr>
        <w:t> </w:t>
      </w:r>
      <w:r>
        <w:rPr>
          <w:sz w:val="20"/>
        </w:rPr>
        <w:t>acuerdo</w:t>
      </w:r>
      <w:r>
        <w:rPr>
          <w:spacing w:val="-14"/>
          <w:sz w:val="20"/>
        </w:rPr>
        <w:t> </w:t>
      </w:r>
      <w:r>
        <w:rPr>
          <w:sz w:val="20"/>
        </w:rPr>
        <w:t>en</w:t>
      </w:r>
      <w:r>
        <w:rPr>
          <w:spacing w:val="-13"/>
          <w:sz w:val="20"/>
        </w:rPr>
        <w:t> </w:t>
      </w:r>
      <w:r>
        <w:rPr>
          <w:sz w:val="20"/>
        </w:rPr>
        <w:t>participar</w:t>
      </w:r>
      <w:r>
        <w:rPr>
          <w:spacing w:val="-14"/>
          <w:sz w:val="20"/>
        </w:rPr>
        <w:t> </w:t>
      </w:r>
      <w:r>
        <w:rPr>
          <w:sz w:val="20"/>
        </w:rPr>
        <w:t>en</w:t>
      </w:r>
      <w:r>
        <w:rPr>
          <w:spacing w:val="-13"/>
          <w:sz w:val="20"/>
        </w:rPr>
        <w:t> </w:t>
      </w:r>
      <w:r>
        <w:rPr>
          <w:sz w:val="20"/>
        </w:rPr>
        <w:t>un</w:t>
      </w:r>
      <w:r>
        <w:rPr>
          <w:spacing w:val="-13"/>
          <w:sz w:val="20"/>
        </w:rPr>
        <w:t> </w:t>
      </w:r>
      <w:r>
        <w:rPr>
          <w:sz w:val="20"/>
        </w:rPr>
        <w:t>proceso</w:t>
      </w:r>
      <w:r>
        <w:rPr>
          <w:spacing w:val="-14"/>
          <w:sz w:val="20"/>
        </w:rPr>
        <w:t> </w:t>
      </w:r>
      <w:r>
        <w:rPr>
          <w:sz w:val="20"/>
        </w:rPr>
        <w:t>de</w:t>
      </w:r>
      <w:r>
        <w:rPr>
          <w:spacing w:val="-13"/>
          <w:sz w:val="20"/>
        </w:rPr>
        <w:t> </w:t>
      </w:r>
      <w:r>
        <w:rPr>
          <w:sz w:val="20"/>
        </w:rPr>
        <w:t>diálogo</w:t>
      </w:r>
      <w:r>
        <w:rPr>
          <w:spacing w:val="-14"/>
          <w:sz w:val="20"/>
        </w:rPr>
        <w:t> </w:t>
      </w:r>
      <w:r>
        <w:rPr>
          <w:sz w:val="20"/>
        </w:rPr>
        <w:t>entre</w:t>
      </w:r>
      <w:r>
        <w:rPr>
          <w:spacing w:val="-13"/>
          <w:sz w:val="20"/>
        </w:rPr>
        <w:t> </w:t>
      </w:r>
      <w:r>
        <w:rPr>
          <w:sz w:val="20"/>
        </w:rPr>
        <w:t>diferentes</w:t>
      </w:r>
      <w:r>
        <w:rPr>
          <w:spacing w:val="-14"/>
          <w:sz w:val="20"/>
        </w:rPr>
        <w:t> </w:t>
      </w:r>
      <w:r>
        <w:rPr>
          <w:sz w:val="20"/>
        </w:rPr>
        <w:t>actores</w:t>
      </w:r>
      <w:r>
        <w:rPr>
          <w:spacing w:val="-15"/>
          <w:sz w:val="20"/>
        </w:rPr>
        <w:t> </w:t>
      </w:r>
      <w:r>
        <w:rPr>
          <w:sz w:val="20"/>
        </w:rPr>
        <w:t>con</w:t>
      </w:r>
      <w:r>
        <w:rPr>
          <w:spacing w:val="-13"/>
          <w:sz w:val="20"/>
        </w:rPr>
        <w:t> </w:t>
      </w:r>
      <w:r>
        <w:rPr>
          <w:sz w:val="20"/>
        </w:rPr>
        <w:t>el</w:t>
      </w:r>
      <w:r>
        <w:rPr>
          <w:spacing w:val="-15"/>
          <w:sz w:val="20"/>
        </w:rPr>
        <w:t> </w:t>
      </w:r>
      <w:r>
        <w:rPr>
          <w:sz w:val="20"/>
        </w:rPr>
        <w:t>fin</w:t>
      </w:r>
      <w:r>
        <w:rPr>
          <w:spacing w:val="-13"/>
          <w:sz w:val="20"/>
        </w:rPr>
        <w:t> </w:t>
      </w:r>
      <w:r>
        <w:rPr>
          <w:sz w:val="20"/>
        </w:rPr>
        <w:t>de</w:t>
      </w:r>
      <w:r>
        <w:rPr>
          <w:spacing w:val="-13"/>
          <w:sz w:val="20"/>
        </w:rPr>
        <w:t> </w:t>
      </w:r>
      <w:r>
        <w:rPr>
          <w:sz w:val="20"/>
        </w:rPr>
        <w:t>explorar mecanismos por medio de los cuales se pueda identificar recursos provenientes de este servicio de vista por ejemplo (impuestos que se están cobrando) que puedan orientarse no solo a mejorar las condiciones sociales de esas comunidades, sino también a mejorar la conservación de la Zona Protectora La Carpintera?</w:t>
      </w:r>
    </w:p>
    <w:p>
      <w:pPr>
        <w:pStyle w:val="BodyText"/>
        <w:rPr>
          <w:sz w:val="22"/>
        </w:rPr>
      </w:pPr>
    </w:p>
    <w:p>
      <w:pPr>
        <w:pStyle w:val="BodyText"/>
        <w:rPr>
          <w:sz w:val="22"/>
        </w:rPr>
      </w:pPr>
    </w:p>
    <w:p>
      <w:pPr>
        <w:pStyle w:val="BodyText"/>
        <w:spacing w:before="4"/>
        <w:rPr>
          <w:sz w:val="20"/>
        </w:rPr>
      </w:pPr>
    </w:p>
    <w:p>
      <w:pPr>
        <w:spacing w:before="0"/>
        <w:ind w:left="1040" w:right="0" w:firstLine="0"/>
        <w:jc w:val="left"/>
        <w:rPr>
          <w:b/>
          <w:sz w:val="20"/>
        </w:rPr>
      </w:pPr>
      <w:r>
        <w:rPr>
          <w:b/>
          <w:sz w:val="20"/>
        </w:rPr>
        <w:t>Resultados</w:t>
      </w:r>
    </w:p>
    <w:p>
      <w:pPr>
        <w:pStyle w:val="BodyText"/>
        <w:spacing w:before="10"/>
        <w:rPr>
          <w:b/>
          <w:sz w:val="27"/>
        </w:rPr>
      </w:pPr>
    </w:p>
    <w:p>
      <w:pPr>
        <w:pStyle w:val="ListParagraph"/>
        <w:numPr>
          <w:ilvl w:val="1"/>
          <w:numId w:val="44"/>
        </w:numPr>
        <w:tabs>
          <w:tab w:pos="1761" w:val="left" w:leader="none"/>
        </w:tabs>
        <w:spacing w:line="240" w:lineRule="auto" w:before="0" w:after="0"/>
        <w:ind w:left="1760" w:right="1262" w:hanging="360"/>
        <w:jc w:val="both"/>
        <w:rPr>
          <w:sz w:val="20"/>
        </w:rPr>
      </w:pPr>
      <w:r>
        <w:rPr>
          <w:sz w:val="20"/>
        </w:rPr>
        <w:t>De</w:t>
      </w:r>
      <w:r>
        <w:rPr>
          <w:spacing w:val="-10"/>
          <w:sz w:val="20"/>
        </w:rPr>
        <w:t> </w:t>
      </w:r>
      <w:r>
        <w:rPr>
          <w:sz w:val="20"/>
        </w:rPr>
        <w:t>la</w:t>
      </w:r>
      <w:r>
        <w:rPr>
          <w:spacing w:val="35"/>
          <w:sz w:val="20"/>
        </w:rPr>
        <w:t> </w:t>
      </w:r>
      <w:r>
        <w:rPr>
          <w:sz w:val="20"/>
        </w:rPr>
        <w:t>presentación</w:t>
      </w:r>
      <w:r>
        <w:rPr>
          <w:spacing w:val="-13"/>
          <w:sz w:val="20"/>
        </w:rPr>
        <w:t> </w:t>
      </w:r>
      <w:r>
        <w:rPr>
          <w:sz w:val="20"/>
        </w:rPr>
        <w:t>de</w:t>
      </w:r>
      <w:r>
        <w:rPr>
          <w:spacing w:val="-12"/>
          <w:sz w:val="20"/>
        </w:rPr>
        <w:t> </w:t>
      </w:r>
      <w:r>
        <w:rPr>
          <w:sz w:val="20"/>
        </w:rPr>
        <w:t>resultados</w:t>
      </w:r>
      <w:r>
        <w:rPr>
          <w:spacing w:val="-13"/>
          <w:sz w:val="20"/>
        </w:rPr>
        <w:t> </w:t>
      </w:r>
      <w:r>
        <w:rPr>
          <w:sz w:val="20"/>
        </w:rPr>
        <w:t>de</w:t>
      </w:r>
      <w:r>
        <w:rPr>
          <w:spacing w:val="-12"/>
          <w:sz w:val="20"/>
        </w:rPr>
        <w:t> </w:t>
      </w:r>
      <w:r>
        <w:rPr>
          <w:sz w:val="20"/>
        </w:rPr>
        <w:t>la</w:t>
      </w:r>
      <w:r>
        <w:rPr>
          <w:spacing w:val="-16"/>
          <w:sz w:val="20"/>
        </w:rPr>
        <w:t> </w:t>
      </w:r>
      <w:r>
        <w:rPr>
          <w:sz w:val="20"/>
        </w:rPr>
        <w:t>investigación</w:t>
      </w:r>
      <w:r>
        <w:rPr>
          <w:spacing w:val="-8"/>
          <w:sz w:val="20"/>
        </w:rPr>
        <w:t> </w:t>
      </w:r>
      <w:r>
        <w:rPr>
          <w:sz w:val="20"/>
        </w:rPr>
        <w:t>sobre</w:t>
      </w:r>
      <w:r>
        <w:rPr>
          <w:spacing w:val="-12"/>
          <w:sz w:val="20"/>
        </w:rPr>
        <w:t> </w:t>
      </w:r>
      <w:r>
        <w:rPr>
          <w:sz w:val="20"/>
        </w:rPr>
        <w:t>Deuda</w:t>
      </w:r>
      <w:r>
        <w:rPr>
          <w:spacing w:val="-12"/>
          <w:sz w:val="20"/>
        </w:rPr>
        <w:t> </w:t>
      </w:r>
      <w:r>
        <w:rPr>
          <w:sz w:val="20"/>
        </w:rPr>
        <w:t>Ecológica</w:t>
      </w:r>
      <w:r>
        <w:rPr>
          <w:spacing w:val="-12"/>
          <w:sz w:val="20"/>
        </w:rPr>
        <w:t> </w:t>
      </w:r>
      <w:r>
        <w:rPr>
          <w:sz w:val="20"/>
        </w:rPr>
        <w:t>de</w:t>
      </w:r>
      <w:r>
        <w:rPr>
          <w:spacing w:val="-12"/>
          <w:sz w:val="20"/>
        </w:rPr>
        <w:t> </w:t>
      </w:r>
      <w:r>
        <w:rPr>
          <w:sz w:val="20"/>
        </w:rPr>
        <w:t>la</w:t>
      </w:r>
      <w:r>
        <w:rPr>
          <w:spacing w:val="-13"/>
          <w:sz w:val="20"/>
        </w:rPr>
        <w:t> </w:t>
      </w:r>
      <w:r>
        <w:rPr>
          <w:sz w:val="20"/>
        </w:rPr>
        <w:t>Zona</w:t>
      </w:r>
      <w:r>
        <w:rPr>
          <w:spacing w:val="-8"/>
          <w:sz w:val="20"/>
        </w:rPr>
        <w:t> </w:t>
      </w:r>
      <w:r>
        <w:rPr>
          <w:sz w:val="20"/>
        </w:rPr>
        <w:t>Protectora la Carpintera, se vio una participación, a nivel de diversidad de organizaciones / instituciones representadas.</w:t>
      </w:r>
    </w:p>
    <w:p>
      <w:pPr>
        <w:pStyle w:val="BodyText"/>
        <w:spacing w:before="8"/>
        <w:rPr>
          <w:sz w:val="17"/>
        </w:rPr>
      </w:pPr>
    </w:p>
    <w:p>
      <w:pPr>
        <w:pStyle w:val="ListParagraph"/>
        <w:numPr>
          <w:ilvl w:val="1"/>
          <w:numId w:val="44"/>
        </w:numPr>
        <w:tabs>
          <w:tab w:pos="1761" w:val="left" w:leader="none"/>
        </w:tabs>
        <w:spacing w:line="235" w:lineRule="auto" w:before="0" w:after="0"/>
        <w:ind w:left="1760" w:right="1264" w:hanging="360"/>
        <w:jc w:val="both"/>
        <w:rPr>
          <w:sz w:val="20"/>
        </w:rPr>
      </w:pPr>
      <w:r>
        <w:rPr>
          <w:sz w:val="20"/>
        </w:rPr>
        <w:t>Se logra presentar los resultados y así mismo contestar las preguntas y dudas a los/as participantes con el fin de estuvieran </w:t>
      </w:r>
      <w:r>
        <w:rPr>
          <w:spacing w:val="-3"/>
          <w:sz w:val="20"/>
        </w:rPr>
        <w:t>más </w:t>
      </w:r>
      <w:r>
        <w:rPr>
          <w:sz w:val="20"/>
        </w:rPr>
        <w:t>informados/as y </w:t>
      </w:r>
      <w:r>
        <w:rPr>
          <w:spacing w:val="2"/>
          <w:sz w:val="20"/>
        </w:rPr>
        <w:t>con </w:t>
      </w:r>
      <w:r>
        <w:rPr>
          <w:spacing w:val="-3"/>
          <w:sz w:val="20"/>
        </w:rPr>
        <w:t>más </w:t>
      </w:r>
      <w:r>
        <w:rPr>
          <w:sz w:val="20"/>
        </w:rPr>
        <w:t>claridad sobre el</w:t>
      </w:r>
      <w:r>
        <w:rPr>
          <w:spacing w:val="-9"/>
          <w:sz w:val="20"/>
        </w:rPr>
        <w:t> </w:t>
      </w:r>
      <w:r>
        <w:rPr>
          <w:sz w:val="20"/>
        </w:rPr>
        <w:t>tema.</w:t>
      </w:r>
    </w:p>
    <w:p>
      <w:pPr>
        <w:pStyle w:val="BodyText"/>
        <w:spacing w:before="11"/>
        <w:rPr>
          <w:sz w:val="17"/>
        </w:rPr>
      </w:pPr>
    </w:p>
    <w:p>
      <w:pPr>
        <w:pStyle w:val="ListParagraph"/>
        <w:numPr>
          <w:ilvl w:val="1"/>
          <w:numId w:val="44"/>
        </w:numPr>
        <w:tabs>
          <w:tab w:pos="1761" w:val="left" w:leader="none"/>
        </w:tabs>
        <w:spacing w:line="235" w:lineRule="auto" w:before="0" w:after="0"/>
        <w:ind w:left="1760" w:right="1266" w:hanging="360"/>
        <w:jc w:val="both"/>
        <w:rPr>
          <w:sz w:val="20"/>
        </w:rPr>
      </w:pPr>
      <w:r>
        <w:rPr>
          <w:sz w:val="20"/>
        </w:rPr>
        <w:t>La herramienta que se aplicó, logró los resultados deseados en cuanto a recopilación de información necesaria para el seguimiento de los procesos de la</w:t>
      </w:r>
      <w:r>
        <w:rPr>
          <w:spacing w:val="-13"/>
          <w:sz w:val="20"/>
        </w:rPr>
        <w:t> </w:t>
      </w:r>
      <w:r>
        <w:rPr>
          <w:sz w:val="20"/>
        </w:rPr>
        <w:t>investigación.</w:t>
      </w:r>
    </w:p>
    <w:p>
      <w:pPr>
        <w:spacing w:after="0" w:line="235" w:lineRule="auto"/>
        <w:jc w:val="both"/>
        <w:rPr>
          <w:sz w:val="20"/>
        </w:rPr>
        <w:sectPr>
          <w:pgSz w:w="12240" w:h="15840"/>
          <w:pgMar w:header="0" w:footer="982" w:top="1360" w:bottom="1260" w:left="400" w:right="180"/>
        </w:sectPr>
      </w:pPr>
    </w:p>
    <w:p>
      <w:pPr>
        <w:pStyle w:val="ListParagraph"/>
        <w:numPr>
          <w:ilvl w:val="1"/>
          <w:numId w:val="44"/>
        </w:numPr>
        <w:tabs>
          <w:tab w:pos="1761" w:val="left" w:leader="none"/>
        </w:tabs>
        <w:spacing w:line="237" w:lineRule="auto" w:before="81" w:after="0"/>
        <w:ind w:left="1760" w:right="1258" w:hanging="360"/>
        <w:jc w:val="both"/>
        <w:rPr>
          <w:sz w:val="20"/>
        </w:rPr>
      </w:pPr>
      <w:r>
        <w:rPr>
          <w:sz w:val="20"/>
        </w:rPr>
        <w:t>De manera general, se alcanzaron los objetivos de la actividad, a saber: informar de manera óptima a los actores involucrados sobre los resultados de la investigación, así como escuchar y recopilar las preguntas e interrogaciones sobre el desarrollo del</w:t>
      </w:r>
      <w:r>
        <w:rPr>
          <w:spacing w:val="-16"/>
          <w:sz w:val="20"/>
        </w:rPr>
        <w:t> </w:t>
      </w:r>
      <w:r>
        <w:rPr>
          <w:sz w:val="20"/>
        </w:rPr>
        <w:t>proyecto.</w:t>
      </w:r>
    </w:p>
    <w:p>
      <w:pPr>
        <w:pStyle w:val="BodyText"/>
        <w:rPr>
          <w:sz w:val="22"/>
        </w:rPr>
      </w:pPr>
    </w:p>
    <w:p>
      <w:pPr>
        <w:pStyle w:val="BodyText"/>
        <w:rPr>
          <w:sz w:val="22"/>
        </w:rPr>
      </w:pPr>
    </w:p>
    <w:p>
      <w:pPr>
        <w:pStyle w:val="BodyText"/>
        <w:spacing w:before="5"/>
        <w:rPr>
          <w:sz w:val="20"/>
        </w:rPr>
      </w:pPr>
    </w:p>
    <w:p>
      <w:pPr>
        <w:spacing w:before="1"/>
        <w:ind w:left="1040" w:right="0" w:firstLine="0"/>
        <w:jc w:val="left"/>
        <w:rPr>
          <w:b/>
          <w:sz w:val="20"/>
        </w:rPr>
      </w:pPr>
      <w:r>
        <w:rPr>
          <w:b/>
          <w:sz w:val="20"/>
        </w:rPr>
        <w:t>Registro Fotográfico</w:t>
      </w:r>
    </w:p>
    <w:p>
      <w:pPr>
        <w:pStyle w:val="BodyText"/>
        <w:rPr>
          <w:b/>
          <w:sz w:val="20"/>
        </w:rPr>
      </w:pPr>
    </w:p>
    <w:p>
      <w:pPr>
        <w:pStyle w:val="BodyText"/>
        <w:rPr>
          <w:b/>
          <w:sz w:val="20"/>
        </w:rPr>
      </w:pPr>
    </w:p>
    <w:p>
      <w:pPr>
        <w:pStyle w:val="BodyText"/>
        <w:rPr>
          <w:b/>
          <w:sz w:val="20"/>
        </w:rPr>
      </w:pPr>
    </w:p>
    <w:p>
      <w:pPr>
        <w:pStyle w:val="BodyText"/>
        <w:spacing w:before="8"/>
        <w:rPr>
          <w:b/>
        </w:rPr>
      </w:pPr>
      <w:r>
        <w:rPr/>
        <w:drawing>
          <wp:anchor distT="0" distB="0" distL="0" distR="0" allowOverlap="1" layoutInCell="1" locked="0" behindDoc="0" simplePos="0" relativeHeight="109">
            <wp:simplePos x="0" y="0"/>
            <wp:positionH relativeFrom="page">
              <wp:posOffset>993634</wp:posOffset>
            </wp:positionH>
            <wp:positionV relativeFrom="paragraph">
              <wp:posOffset>205206</wp:posOffset>
            </wp:positionV>
            <wp:extent cx="5689687" cy="5676709"/>
            <wp:effectExtent l="0" t="0" r="0" b="0"/>
            <wp:wrapTopAndBottom/>
            <wp:docPr id="141" name="image96.jpeg" descr="IMG_20180202_105548-COLLAGE"/>
            <wp:cNvGraphicFramePr>
              <a:graphicFrameLocks noChangeAspect="1"/>
            </wp:cNvGraphicFramePr>
            <a:graphic>
              <a:graphicData uri="http://schemas.openxmlformats.org/drawingml/2006/picture">
                <pic:pic>
                  <pic:nvPicPr>
                    <pic:cNvPr id="142" name="image96.jpeg"/>
                    <pic:cNvPicPr/>
                  </pic:nvPicPr>
                  <pic:blipFill>
                    <a:blip r:embed="rId148" cstate="print"/>
                    <a:stretch>
                      <a:fillRect/>
                    </a:stretch>
                  </pic:blipFill>
                  <pic:spPr>
                    <a:xfrm>
                      <a:off x="0" y="0"/>
                      <a:ext cx="5689687" cy="5676709"/>
                    </a:xfrm>
                    <a:prstGeom prst="rect">
                      <a:avLst/>
                    </a:prstGeom>
                  </pic:spPr>
                </pic:pic>
              </a:graphicData>
            </a:graphic>
          </wp:anchor>
        </w:drawing>
      </w:r>
    </w:p>
    <w:p>
      <w:pPr>
        <w:spacing w:after="0"/>
        <w:sectPr>
          <w:pgSz w:w="12240" w:h="15840"/>
          <w:pgMar w:header="0" w:footer="982" w:top="1360" w:bottom="1260" w:left="400" w:right="180"/>
        </w:sectPr>
      </w:pPr>
    </w:p>
    <w:p>
      <w:pPr>
        <w:spacing w:before="73"/>
        <w:ind w:left="1040" w:right="0" w:firstLine="0"/>
        <w:jc w:val="left"/>
        <w:rPr>
          <w:b/>
          <w:sz w:val="20"/>
        </w:rPr>
      </w:pPr>
      <w:r>
        <w:rPr>
          <w:b/>
          <w:sz w:val="20"/>
        </w:rPr>
        <w:t>Herramienta de recolección de Información</w:t>
      </w:r>
    </w:p>
    <w:p>
      <w:pPr>
        <w:pStyle w:val="BodyText"/>
        <w:rPr>
          <w:b/>
          <w:sz w:val="20"/>
        </w:rPr>
      </w:pPr>
    </w:p>
    <w:p>
      <w:pPr>
        <w:pStyle w:val="BodyText"/>
        <w:rPr>
          <w:b/>
          <w:sz w:val="20"/>
        </w:rPr>
      </w:pPr>
    </w:p>
    <w:p>
      <w:pPr>
        <w:pStyle w:val="BodyText"/>
        <w:rPr>
          <w:b/>
          <w:sz w:val="20"/>
        </w:rPr>
      </w:pPr>
    </w:p>
    <w:p>
      <w:pPr>
        <w:pStyle w:val="BodyText"/>
        <w:spacing w:before="4"/>
        <w:rPr>
          <w:b/>
          <w:sz w:val="15"/>
        </w:rPr>
      </w:pPr>
      <w:r>
        <w:rPr/>
        <w:drawing>
          <wp:anchor distT="0" distB="0" distL="0" distR="0" allowOverlap="1" layoutInCell="1" locked="0" behindDoc="0" simplePos="0" relativeHeight="110">
            <wp:simplePos x="0" y="0"/>
            <wp:positionH relativeFrom="page">
              <wp:posOffset>826886</wp:posOffset>
            </wp:positionH>
            <wp:positionV relativeFrom="paragraph">
              <wp:posOffset>137209</wp:posOffset>
            </wp:positionV>
            <wp:extent cx="6265530" cy="3261360"/>
            <wp:effectExtent l="0" t="0" r="0" b="0"/>
            <wp:wrapTopAndBottom/>
            <wp:docPr id="143" name="image97.jpeg"/>
            <wp:cNvGraphicFramePr>
              <a:graphicFrameLocks noChangeAspect="1"/>
            </wp:cNvGraphicFramePr>
            <a:graphic>
              <a:graphicData uri="http://schemas.openxmlformats.org/drawingml/2006/picture">
                <pic:pic>
                  <pic:nvPicPr>
                    <pic:cNvPr id="144" name="image97.jpeg"/>
                    <pic:cNvPicPr/>
                  </pic:nvPicPr>
                  <pic:blipFill>
                    <a:blip r:embed="rId149" cstate="print"/>
                    <a:stretch>
                      <a:fillRect/>
                    </a:stretch>
                  </pic:blipFill>
                  <pic:spPr>
                    <a:xfrm>
                      <a:off x="0" y="0"/>
                      <a:ext cx="6265530" cy="3261360"/>
                    </a:xfrm>
                    <a:prstGeom prst="rect">
                      <a:avLst/>
                    </a:prstGeom>
                  </pic:spPr>
                </pic:pic>
              </a:graphicData>
            </a:graphic>
          </wp:anchor>
        </w:drawing>
      </w:r>
    </w:p>
    <w:p>
      <w:pPr>
        <w:pStyle w:val="BodyText"/>
        <w:rPr>
          <w:b/>
          <w:sz w:val="22"/>
        </w:rPr>
      </w:pPr>
    </w:p>
    <w:p>
      <w:pPr>
        <w:pStyle w:val="BodyText"/>
        <w:spacing w:before="3"/>
        <w:rPr>
          <w:b/>
          <w:sz w:val="32"/>
        </w:rPr>
      </w:pPr>
    </w:p>
    <w:p>
      <w:pPr>
        <w:spacing w:before="0"/>
        <w:ind w:left="1040" w:right="0" w:firstLine="0"/>
        <w:jc w:val="left"/>
        <w:rPr>
          <w:b/>
          <w:sz w:val="20"/>
        </w:rPr>
      </w:pPr>
      <w:r>
        <w:rPr>
          <w:b/>
          <w:sz w:val="20"/>
        </w:rPr>
        <w:t>Listas de Asistencia</w:t>
      </w:r>
    </w:p>
    <w:p>
      <w:pPr>
        <w:pStyle w:val="BodyText"/>
        <w:rPr>
          <w:b/>
          <w:sz w:val="20"/>
        </w:rPr>
      </w:pPr>
    </w:p>
    <w:p>
      <w:pPr>
        <w:pStyle w:val="BodyText"/>
        <w:spacing w:before="1"/>
        <w:rPr>
          <w:b/>
          <w:sz w:val="15"/>
        </w:rPr>
      </w:pPr>
      <w:r>
        <w:rPr/>
        <w:drawing>
          <wp:anchor distT="0" distB="0" distL="0" distR="0" allowOverlap="1" layoutInCell="1" locked="0" behindDoc="0" simplePos="0" relativeHeight="111">
            <wp:simplePos x="0" y="0"/>
            <wp:positionH relativeFrom="page">
              <wp:posOffset>1400175</wp:posOffset>
            </wp:positionH>
            <wp:positionV relativeFrom="paragraph">
              <wp:posOffset>134932</wp:posOffset>
            </wp:positionV>
            <wp:extent cx="5457127" cy="2980944"/>
            <wp:effectExtent l="0" t="0" r="0" b="0"/>
            <wp:wrapTopAndBottom/>
            <wp:docPr id="145" name="image98.jpeg" descr="IMG_20180216_100419"/>
            <wp:cNvGraphicFramePr>
              <a:graphicFrameLocks noChangeAspect="1"/>
            </wp:cNvGraphicFramePr>
            <a:graphic>
              <a:graphicData uri="http://schemas.openxmlformats.org/drawingml/2006/picture">
                <pic:pic>
                  <pic:nvPicPr>
                    <pic:cNvPr id="146" name="image98.jpeg"/>
                    <pic:cNvPicPr/>
                  </pic:nvPicPr>
                  <pic:blipFill>
                    <a:blip r:embed="rId150" cstate="print"/>
                    <a:stretch>
                      <a:fillRect/>
                    </a:stretch>
                  </pic:blipFill>
                  <pic:spPr>
                    <a:xfrm>
                      <a:off x="0" y="0"/>
                      <a:ext cx="5457127" cy="2980944"/>
                    </a:xfrm>
                    <a:prstGeom prst="rect">
                      <a:avLst/>
                    </a:prstGeom>
                  </pic:spPr>
                </pic:pic>
              </a:graphicData>
            </a:graphic>
          </wp:anchor>
        </w:drawing>
      </w:r>
    </w:p>
    <w:p>
      <w:pPr>
        <w:spacing w:after="0"/>
        <w:rPr>
          <w:sz w:val="15"/>
        </w:rPr>
        <w:sectPr>
          <w:pgSz w:w="12240" w:h="15840"/>
          <w:pgMar w:header="0" w:footer="982" w:top="1360" w:bottom="1260" w:left="400" w:right="1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5"/>
        </w:rPr>
      </w:pPr>
    </w:p>
    <w:p>
      <w:pPr>
        <w:pStyle w:val="BodyText"/>
        <w:ind w:left="1835"/>
        <w:rPr>
          <w:sz w:val="20"/>
        </w:rPr>
      </w:pPr>
      <w:r>
        <w:rPr>
          <w:sz w:val="20"/>
        </w:rPr>
        <w:drawing>
          <wp:inline distT="0" distB="0" distL="0" distR="0">
            <wp:extent cx="5431192" cy="3547872"/>
            <wp:effectExtent l="0" t="0" r="0" b="0"/>
            <wp:docPr id="147" name="image99.jpeg" descr="IMG_20180216_100453"/>
            <wp:cNvGraphicFramePr>
              <a:graphicFrameLocks noChangeAspect="1"/>
            </wp:cNvGraphicFramePr>
            <a:graphic>
              <a:graphicData uri="http://schemas.openxmlformats.org/drawingml/2006/picture">
                <pic:pic>
                  <pic:nvPicPr>
                    <pic:cNvPr id="148" name="image99.jpeg"/>
                    <pic:cNvPicPr/>
                  </pic:nvPicPr>
                  <pic:blipFill>
                    <a:blip r:embed="rId151" cstate="print"/>
                    <a:stretch>
                      <a:fillRect/>
                    </a:stretch>
                  </pic:blipFill>
                  <pic:spPr>
                    <a:xfrm>
                      <a:off x="0" y="0"/>
                      <a:ext cx="5431192" cy="3547872"/>
                    </a:xfrm>
                    <a:prstGeom prst="rect">
                      <a:avLst/>
                    </a:prstGeom>
                  </pic:spPr>
                </pic:pic>
              </a:graphicData>
            </a:graphic>
          </wp:inline>
        </w:drawing>
      </w:r>
      <w:r>
        <w:rPr>
          <w:sz w:val="20"/>
        </w:rPr>
      </w:r>
    </w:p>
    <w:p>
      <w:pPr>
        <w:spacing w:after="0"/>
        <w:rPr>
          <w:sz w:val="20"/>
        </w:rPr>
        <w:sectPr>
          <w:pgSz w:w="12240" w:h="15840"/>
          <w:pgMar w:header="0" w:footer="982" w:top="1500" w:bottom="1180" w:left="400" w:right="180"/>
        </w:sectPr>
      </w:pPr>
    </w:p>
    <w:p>
      <w:pPr>
        <w:spacing w:line="357" w:lineRule="auto" w:before="73"/>
        <w:ind w:left="2521" w:right="1417" w:hanging="1193"/>
        <w:jc w:val="left"/>
        <w:rPr>
          <w:b/>
          <w:sz w:val="20"/>
        </w:rPr>
      </w:pPr>
      <w:r>
        <w:rPr>
          <w:b/>
          <w:sz w:val="20"/>
          <w:u w:val="single"/>
        </w:rPr>
        <w:t>TABULACIÓN CUANTITATIVA - PRESENTACIÓN DE RESULTADOS INVESTIGACIÓN SOBRE</w:t>
      </w:r>
      <w:r>
        <w:rPr>
          <w:b/>
          <w:sz w:val="20"/>
        </w:rPr>
        <w:t> </w:t>
      </w:r>
      <w:r>
        <w:rPr>
          <w:b/>
          <w:sz w:val="20"/>
          <w:u w:val="single"/>
        </w:rPr>
        <w:t>DEUDA ECOLÓGICA DE LA ZONA PROTECTORA LA CARPINTERA</w:t>
      </w:r>
    </w:p>
    <w:p>
      <w:pPr>
        <w:pStyle w:val="BodyText"/>
        <w:spacing w:before="5"/>
        <w:rPr>
          <w:b/>
          <w:sz w:val="9"/>
        </w:rPr>
      </w:pPr>
    </w:p>
    <w:p>
      <w:pPr>
        <w:spacing w:before="94"/>
        <w:ind w:left="1713" w:right="1925" w:firstLine="0"/>
        <w:jc w:val="center"/>
        <w:rPr>
          <w:b/>
          <w:sz w:val="20"/>
        </w:rPr>
      </w:pPr>
      <w:r>
        <w:rPr>
          <w:b/>
          <w:sz w:val="20"/>
          <w:u w:val="single"/>
        </w:rPr>
        <w:t>02 DE FEBRERO 2018</w:t>
      </w:r>
    </w:p>
    <w:p>
      <w:pPr>
        <w:pStyle w:val="BodyText"/>
        <w:spacing w:before="6"/>
        <w:rPr>
          <w:b/>
          <w:sz w:val="19"/>
        </w:rPr>
      </w:pPr>
    </w:p>
    <w:p>
      <w:pPr>
        <w:spacing w:before="93"/>
        <w:ind w:left="6690" w:right="0" w:firstLine="0"/>
        <w:jc w:val="left"/>
        <w:rPr>
          <w:b/>
          <w:sz w:val="20"/>
        </w:rPr>
      </w:pPr>
      <w:r>
        <w:rPr>
          <w:b/>
          <w:sz w:val="20"/>
        </w:rPr>
        <w:t>Natalia Cordero, Fundación Neotrópica</w:t>
      </w:r>
    </w:p>
    <w:p>
      <w:pPr>
        <w:pStyle w:val="BodyText"/>
        <w:spacing w:before="3"/>
        <w:rPr>
          <w:b/>
          <w:sz w:val="19"/>
        </w:rPr>
      </w:pPr>
    </w:p>
    <w:p>
      <w:pPr>
        <w:spacing w:before="93"/>
        <w:ind w:left="1040" w:right="0" w:firstLine="0"/>
        <w:jc w:val="left"/>
        <w:rPr>
          <w:b/>
          <w:sz w:val="20"/>
        </w:rPr>
      </w:pPr>
      <w:r>
        <w:rPr>
          <w:b/>
          <w:sz w:val="20"/>
        </w:rPr>
        <w:t>PREGUNTA # 1</w:t>
      </w:r>
    </w:p>
    <w:p>
      <w:pPr>
        <w:pStyle w:val="BodyText"/>
        <w:spacing w:before="8"/>
        <w:rPr>
          <w:b/>
          <w:sz w:val="27"/>
        </w:rPr>
      </w:pPr>
    </w:p>
    <w:p>
      <w:pPr>
        <w:spacing w:line="360" w:lineRule="auto" w:before="0"/>
        <w:ind w:left="1040" w:right="1267" w:firstLine="0"/>
        <w:jc w:val="left"/>
        <w:rPr>
          <w:sz w:val="20"/>
        </w:rPr>
      </w:pPr>
      <w:r>
        <w:rPr>
          <w:sz w:val="20"/>
        </w:rPr>
        <w:t>Como representante de un grupo de actores que de una u otra forma dependen del manejo sostenible y la conservación de la zona protectora la Carpintera ¿Considera Usted que el servicio de vista que provee la zona es importante?</w:t>
      </w:r>
    </w:p>
    <w:p>
      <w:pPr>
        <w:pStyle w:val="BodyText"/>
        <w:spacing w:before="6"/>
        <w:rPr>
          <w:sz w:val="17"/>
        </w:rPr>
      </w:pPr>
    </w:p>
    <w:p>
      <w:pPr>
        <w:spacing w:before="0"/>
        <w:ind w:left="1713" w:right="1934" w:firstLine="0"/>
        <w:jc w:val="center"/>
        <w:rPr>
          <w:sz w:val="20"/>
        </w:rPr>
      </w:pPr>
      <w:r>
        <w:rPr>
          <w:sz w:val="20"/>
        </w:rPr>
        <w:t>¿Considera Usted que el servicio de vista que provee la zona es importante?</w:t>
      </w:r>
    </w:p>
    <w:p>
      <w:pPr>
        <w:pStyle w:val="BodyText"/>
        <w:rPr>
          <w:sz w:val="20"/>
        </w:rPr>
      </w:pPr>
    </w:p>
    <w:p>
      <w:pPr>
        <w:pStyle w:val="BodyText"/>
        <w:rPr>
          <w:sz w:val="20"/>
        </w:rPr>
      </w:pPr>
    </w:p>
    <w:p>
      <w:pPr>
        <w:pStyle w:val="BodyText"/>
        <w:rPr>
          <w:sz w:val="20"/>
        </w:rPr>
      </w:pPr>
    </w:p>
    <w:p>
      <w:pPr>
        <w:pStyle w:val="BodyText"/>
        <w:spacing w:before="10" w:after="1"/>
        <w:rPr>
          <w:sz w:val="14"/>
        </w:rPr>
      </w:pPr>
    </w:p>
    <w:tbl>
      <w:tblPr>
        <w:tblW w:w="0" w:type="auto"/>
        <w:jc w:val="left"/>
        <w:tblInd w:w="2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49"/>
        <w:gridCol w:w="1441"/>
        <w:gridCol w:w="1533"/>
      </w:tblGrid>
      <w:tr>
        <w:trPr>
          <w:trHeight w:val="346" w:hRule="atLeast"/>
        </w:trPr>
        <w:tc>
          <w:tcPr>
            <w:tcW w:w="3149" w:type="dxa"/>
            <w:vMerge w:val="restart"/>
            <w:shd w:val="clear" w:color="auto" w:fill="D4DCE3"/>
          </w:tcPr>
          <w:p>
            <w:pPr>
              <w:pStyle w:val="TableParagraph"/>
              <w:spacing w:line="240" w:lineRule="auto" w:before="171"/>
              <w:ind w:left="1107"/>
              <w:jc w:val="left"/>
              <w:rPr>
                <w:b/>
                <w:sz w:val="20"/>
              </w:rPr>
            </w:pPr>
            <w:r>
              <w:rPr>
                <w:b/>
                <w:sz w:val="20"/>
              </w:rPr>
              <w:t>RESPUESTA</w:t>
            </w:r>
          </w:p>
        </w:tc>
        <w:tc>
          <w:tcPr>
            <w:tcW w:w="2974" w:type="dxa"/>
            <w:gridSpan w:val="2"/>
            <w:shd w:val="clear" w:color="auto" w:fill="D4DCE3"/>
          </w:tcPr>
          <w:p>
            <w:pPr>
              <w:pStyle w:val="TableParagraph"/>
              <w:spacing w:line="226" w:lineRule="exact" w:before="0"/>
              <w:ind w:left="1128" w:right="1129"/>
              <w:jc w:val="center"/>
              <w:rPr>
                <w:b/>
                <w:sz w:val="20"/>
              </w:rPr>
            </w:pPr>
            <w:r>
              <w:rPr>
                <w:b/>
                <w:sz w:val="20"/>
              </w:rPr>
              <w:t>TOTAL</w:t>
            </w:r>
          </w:p>
        </w:tc>
      </w:tr>
      <w:tr>
        <w:trPr>
          <w:trHeight w:val="346" w:hRule="atLeast"/>
        </w:trPr>
        <w:tc>
          <w:tcPr>
            <w:tcW w:w="3149" w:type="dxa"/>
            <w:vMerge/>
            <w:tcBorders>
              <w:top w:val="nil"/>
            </w:tcBorders>
            <w:shd w:val="clear" w:color="auto" w:fill="D4DCE3"/>
          </w:tcPr>
          <w:p>
            <w:pPr>
              <w:rPr>
                <w:sz w:val="2"/>
                <w:szCs w:val="2"/>
              </w:rPr>
            </w:pPr>
          </w:p>
        </w:tc>
        <w:tc>
          <w:tcPr>
            <w:tcW w:w="1441" w:type="dxa"/>
            <w:shd w:val="clear" w:color="auto" w:fill="D4DCE3"/>
          </w:tcPr>
          <w:p>
            <w:pPr>
              <w:pStyle w:val="TableParagraph"/>
              <w:spacing w:line="225" w:lineRule="exact" w:before="0"/>
              <w:ind w:left="107"/>
              <w:jc w:val="left"/>
              <w:rPr>
                <w:b/>
                <w:sz w:val="20"/>
              </w:rPr>
            </w:pPr>
            <w:r>
              <w:rPr>
                <w:b/>
                <w:sz w:val="20"/>
              </w:rPr>
              <w:t>CANTIDAD</w:t>
            </w:r>
          </w:p>
        </w:tc>
        <w:tc>
          <w:tcPr>
            <w:tcW w:w="1533" w:type="dxa"/>
            <w:shd w:val="clear" w:color="auto" w:fill="D4DCE3"/>
          </w:tcPr>
          <w:p>
            <w:pPr>
              <w:pStyle w:val="TableParagraph"/>
              <w:spacing w:line="225" w:lineRule="exact" w:before="0"/>
              <w:ind w:right="122"/>
              <w:jc w:val="center"/>
              <w:rPr>
                <w:b/>
                <w:sz w:val="20"/>
              </w:rPr>
            </w:pPr>
            <w:r>
              <w:rPr>
                <w:b/>
                <w:w w:val="99"/>
                <w:sz w:val="20"/>
              </w:rPr>
              <w:t>%</w:t>
            </w:r>
          </w:p>
        </w:tc>
      </w:tr>
      <w:tr>
        <w:trPr>
          <w:trHeight w:val="346" w:hRule="atLeast"/>
        </w:trPr>
        <w:tc>
          <w:tcPr>
            <w:tcW w:w="3149" w:type="dxa"/>
          </w:tcPr>
          <w:p>
            <w:pPr>
              <w:pStyle w:val="TableParagraph"/>
              <w:spacing w:line="225" w:lineRule="exact" w:before="0"/>
              <w:ind w:left="103"/>
              <w:jc w:val="left"/>
              <w:rPr>
                <w:sz w:val="20"/>
              </w:rPr>
            </w:pPr>
            <w:r>
              <w:rPr>
                <w:sz w:val="20"/>
              </w:rPr>
              <w:t>SI</w:t>
            </w:r>
          </w:p>
        </w:tc>
        <w:tc>
          <w:tcPr>
            <w:tcW w:w="1441" w:type="dxa"/>
          </w:tcPr>
          <w:p>
            <w:pPr>
              <w:pStyle w:val="TableParagraph"/>
              <w:spacing w:line="225" w:lineRule="exact" w:before="0"/>
              <w:ind w:left="107"/>
              <w:jc w:val="left"/>
              <w:rPr>
                <w:sz w:val="20"/>
              </w:rPr>
            </w:pPr>
            <w:r>
              <w:rPr>
                <w:sz w:val="20"/>
              </w:rPr>
              <w:t>11</w:t>
            </w:r>
          </w:p>
        </w:tc>
        <w:tc>
          <w:tcPr>
            <w:tcW w:w="1533" w:type="dxa"/>
          </w:tcPr>
          <w:p>
            <w:pPr>
              <w:pStyle w:val="TableParagraph"/>
              <w:spacing w:line="225" w:lineRule="exact" w:before="0"/>
              <w:ind w:left="162"/>
              <w:jc w:val="left"/>
              <w:rPr>
                <w:sz w:val="20"/>
              </w:rPr>
            </w:pPr>
            <w:r>
              <w:rPr>
                <w:sz w:val="20"/>
              </w:rPr>
              <w:t>100%</w:t>
            </w:r>
          </w:p>
        </w:tc>
      </w:tr>
      <w:tr>
        <w:trPr>
          <w:trHeight w:val="342" w:hRule="atLeast"/>
        </w:trPr>
        <w:tc>
          <w:tcPr>
            <w:tcW w:w="3149" w:type="dxa"/>
          </w:tcPr>
          <w:p>
            <w:pPr>
              <w:pStyle w:val="TableParagraph"/>
              <w:spacing w:line="225" w:lineRule="exact" w:before="0"/>
              <w:ind w:left="103"/>
              <w:jc w:val="left"/>
              <w:rPr>
                <w:sz w:val="20"/>
              </w:rPr>
            </w:pPr>
            <w:r>
              <w:rPr>
                <w:sz w:val="20"/>
              </w:rPr>
              <w:t>NO</w:t>
            </w:r>
          </w:p>
        </w:tc>
        <w:tc>
          <w:tcPr>
            <w:tcW w:w="1441" w:type="dxa"/>
          </w:tcPr>
          <w:p>
            <w:pPr>
              <w:pStyle w:val="TableParagraph"/>
              <w:spacing w:line="225" w:lineRule="exact" w:before="0"/>
              <w:ind w:left="107"/>
              <w:jc w:val="left"/>
              <w:rPr>
                <w:sz w:val="20"/>
              </w:rPr>
            </w:pPr>
            <w:r>
              <w:rPr>
                <w:w w:val="99"/>
                <w:sz w:val="20"/>
              </w:rPr>
              <w:t>0</w:t>
            </w:r>
          </w:p>
        </w:tc>
        <w:tc>
          <w:tcPr>
            <w:tcW w:w="1533" w:type="dxa"/>
          </w:tcPr>
          <w:p>
            <w:pPr>
              <w:pStyle w:val="TableParagraph"/>
              <w:spacing w:line="225" w:lineRule="exact" w:before="0"/>
              <w:ind w:left="218"/>
              <w:jc w:val="left"/>
              <w:rPr>
                <w:sz w:val="20"/>
              </w:rPr>
            </w:pPr>
            <w:r>
              <w:rPr>
                <w:sz w:val="20"/>
              </w:rPr>
              <w:t>0%</w:t>
            </w:r>
          </w:p>
        </w:tc>
      </w:tr>
      <w:tr>
        <w:trPr>
          <w:trHeight w:val="350" w:hRule="atLeast"/>
        </w:trPr>
        <w:tc>
          <w:tcPr>
            <w:tcW w:w="3149" w:type="dxa"/>
          </w:tcPr>
          <w:p>
            <w:pPr>
              <w:pStyle w:val="TableParagraph"/>
              <w:spacing w:line="229" w:lineRule="exact" w:before="0"/>
              <w:ind w:left="103"/>
              <w:jc w:val="left"/>
              <w:rPr>
                <w:sz w:val="20"/>
              </w:rPr>
            </w:pPr>
            <w:r>
              <w:rPr>
                <w:sz w:val="20"/>
              </w:rPr>
              <w:t>TOTAL</w:t>
            </w:r>
          </w:p>
        </w:tc>
        <w:tc>
          <w:tcPr>
            <w:tcW w:w="1441" w:type="dxa"/>
          </w:tcPr>
          <w:p>
            <w:pPr>
              <w:pStyle w:val="TableParagraph"/>
              <w:spacing w:line="229" w:lineRule="exact" w:before="0"/>
              <w:ind w:left="107"/>
              <w:jc w:val="left"/>
              <w:rPr>
                <w:sz w:val="20"/>
              </w:rPr>
            </w:pPr>
            <w:r>
              <w:rPr>
                <w:sz w:val="20"/>
              </w:rPr>
              <w:t>11</w:t>
            </w:r>
          </w:p>
        </w:tc>
        <w:tc>
          <w:tcPr>
            <w:tcW w:w="1533" w:type="dxa"/>
          </w:tcPr>
          <w:p>
            <w:pPr>
              <w:pStyle w:val="TableParagraph"/>
              <w:spacing w:line="229" w:lineRule="exact" w:before="0"/>
              <w:ind w:left="162"/>
              <w:jc w:val="left"/>
              <w:rPr>
                <w:sz w:val="20"/>
              </w:rPr>
            </w:pPr>
            <w:r>
              <w:rPr>
                <w:sz w:val="20"/>
              </w:rPr>
              <w:t>100%</w:t>
            </w:r>
          </w:p>
        </w:tc>
      </w:tr>
    </w:tbl>
    <w:p>
      <w:pPr>
        <w:pStyle w:val="BodyText"/>
        <w:spacing w:before="8"/>
        <w:rPr>
          <w:sz w:val="26"/>
        </w:rPr>
      </w:pPr>
      <w:r>
        <w:rPr/>
        <w:pict>
          <v:group style="position:absolute;margin-left:120.974998pt;margin-top:17.355pt;width:410.95pt;height:188.25pt;mso-position-horizontal-relative:page;mso-position-vertical-relative:paragraph;z-index:-15670272;mso-wrap-distance-left:0;mso-wrap-distance-right:0" coordorigin="2419,347" coordsize="8219,3765">
            <v:shape style="position:absolute;left:2427;top:354;width:8204;height:3750" type="#_x0000_t75" stroked="false">
              <v:imagedata r:id="rId152" o:title=""/>
            </v:shape>
            <v:shape style="position:absolute;left:2644;top:574;width:7093;height:3309" type="#_x0000_t75" stroked="false">
              <v:imagedata r:id="rId153" o:title=""/>
            </v:shape>
            <v:shape style="position:absolute;left:5864;top:2429;width:737;height:469" type="#_x0000_t75" stroked="false">
              <v:imagedata r:id="rId154" o:title=""/>
            </v:shape>
            <v:shape style="position:absolute;left:5907;top:2472;width:570;height:305" type="#_x0000_t75" stroked="false">
              <v:imagedata r:id="rId155" o:title=""/>
            </v:shape>
            <v:shape style="position:absolute;left:5968;top:1049;width:533;height:469" type="#_x0000_t75" stroked="false">
              <v:imagedata r:id="rId156" o:title=""/>
            </v:shape>
            <v:shape style="position:absolute;left:6008;top:1089;width:368;height:305" type="#_x0000_t75" stroked="false">
              <v:imagedata r:id="rId157" o:title=""/>
            </v:shape>
            <v:rect style="position:absolute;left:9957;top:1892;width:554;height:675" filled="true" fillcolor="#f1f1f1" stroked="false">
              <v:fill opacity="25443f" type="solid"/>
            </v:rect>
            <v:rect style="position:absolute;left:10052;top:2011;width:99;height:99" filled="true" fillcolor="#96b8df" stroked="false">
              <v:fill type="solid"/>
            </v:rect>
            <v:rect style="position:absolute;left:10052;top:2348;width:99;height:99" filled="true" fillcolor="#5088bb" stroked="false">
              <v:fill type="solid"/>
            </v:rect>
            <v:shape style="position:absolute;left:2427;top:354;width:8204;height:3750" type="#_x0000_t202" filled="false" stroked="true" strokeweight=".75pt" strokecolor="#bebebe">
              <v:textbox inset="0,0,0,0">
                <w:txbxContent>
                  <w:p>
                    <w:pPr>
                      <w:spacing w:line="240" w:lineRule="auto" w:before="0"/>
                      <w:rPr>
                        <w:sz w:val="20"/>
                      </w:rPr>
                    </w:pPr>
                  </w:p>
                  <w:p>
                    <w:pPr>
                      <w:spacing w:line="240" w:lineRule="auto" w:before="0"/>
                      <w:rPr>
                        <w:sz w:val="20"/>
                      </w:rPr>
                    </w:pPr>
                  </w:p>
                  <w:p>
                    <w:pPr>
                      <w:spacing w:line="240" w:lineRule="auto" w:before="2"/>
                      <w:rPr>
                        <w:sz w:val="26"/>
                      </w:rPr>
                    </w:pPr>
                  </w:p>
                  <w:p>
                    <w:pPr>
                      <w:spacing w:before="0"/>
                      <w:ind w:left="3514" w:right="4185" w:firstLine="0"/>
                      <w:jc w:val="center"/>
                      <w:rPr>
                        <w:rFonts w:ascii="Carlito"/>
                        <w:b/>
                        <w:sz w:val="20"/>
                      </w:rPr>
                    </w:pPr>
                    <w:r>
                      <w:rPr>
                        <w:rFonts w:ascii="Carlito"/>
                        <w:b/>
                        <w:color w:val="FFFFFF"/>
                        <w:sz w:val="20"/>
                      </w:rPr>
                      <w:t>0%</w:t>
                    </w:r>
                  </w:p>
                  <w:p>
                    <w:pPr>
                      <w:spacing w:line="240" w:lineRule="auto" w:before="0"/>
                      <w:rPr>
                        <w:rFonts w:ascii="Carlito"/>
                        <w:b/>
                        <w:sz w:val="20"/>
                      </w:rPr>
                    </w:pPr>
                  </w:p>
                  <w:p>
                    <w:pPr>
                      <w:spacing w:line="240" w:lineRule="auto" w:before="0"/>
                      <w:rPr>
                        <w:rFonts w:ascii="Carlito"/>
                        <w:b/>
                        <w:sz w:val="20"/>
                      </w:rPr>
                    </w:pPr>
                  </w:p>
                  <w:p>
                    <w:pPr>
                      <w:spacing w:line="240" w:lineRule="auto" w:before="0"/>
                      <w:rPr>
                        <w:rFonts w:ascii="Carlito"/>
                        <w:b/>
                        <w:sz w:val="20"/>
                      </w:rPr>
                    </w:pPr>
                  </w:p>
                  <w:p>
                    <w:pPr>
                      <w:spacing w:line="240" w:lineRule="auto" w:before="0"/>
                      <w:rPr>
                        <w:rFonts w:ascii="Carlito"/>
                        <w:b/>
                        <w:sz w:val="20"/>
                      </w:rPr>
                    </w:pPr>
                  </w:p>
                  <w:p>
                    <w:pPr>
                      <w:spacing w:before="162"/>
                      <w:ind w:left="3514" w:right="4185" w:firstLine="0"/>
                      <w:jc w:val="center"/>
                      <w:rPr>
                        <w:rFonts w:ascii="Carlito"/>
                        <w:b/>
                        <w:sz w:val="20"/>
                      </w:rPr>
                    </w:pPr>
                    <w:r>
                      <w:rPr>
                        <w:rFonts w:ascii="Carlito"/>
                        <w:b/>
                        <w:color w:val="FFFFFF"/>
                        <w:sz w:val="20"/>
                      </w:rPr>
                      <w:t>100%</w:t>
                    </w:r>
                  </w:p>
                </w:txbxContent>
              </v:textbox>
              <v:stroke dashstyle="solid"/>
              <w10:wrap type="none"/>
            </v:shape>
            <v:shape style="position:absolute;left:9957;top:1892;width:554;height:675" type="#_x0000_t202" filled="false" stroked="false">
              <v:textbox inset="0,0,0,0">
                <w:txbxContent>
                  <w:p>
                    <w:pPr>
                      <w:spacing w:before="52"/>
                      <w:ind w:left="238" w:right="0" w:firstLine="0"/>
                      <w:jc w:val="left"/>
                      <w:rPr>
                        <w:rFonts w:ascii="Carlito"/>
                        <w:sz w:val="18"/>
                      </w:rPr>
                    </w:pPr>
                    <w:r>
                      <w:rPr>
                        <w:rFonts w:ascii="Carlito"/>
                        <w:color w:val="404040"/>
                        <w:sz w:val="18"/>
                      </w:rPr>
                      <w:t>SI</w:t>
                    </w:r>
                  </w:p>
                  <w:p>
                    <w:pPr>
                      <w:spacing w:before="118"/>
                      <w:ind w:left="238" w:right="0" w:firstLine="0"/>
                      <w:jc w:val="left"/>
                      <w:rPr>
                        <w:rFonts w:ascii="Carlito"/>
                        <w:sz w:val="18"/>
                      </w:rPr>
                    </w:pPr>
                    <w:r>
                      <w:rPr>
                        <w:rFonts w:ascii="Carlito"/>
                        <w:color w:val="404040"/>
                        <w:sz w:val="18"/>
                      </w:rPr>
                      <w:t>NO</w:t>
                    </w:r>
                  </w:p>
                </w:txbxContent>
              </v:textbox>
              <w10:wrap type="none"/>
            </v:shape>
            <w10:wrap type="topAndBottom"/>
          </v:group>
        </w:pict>
      </w:r>
    </w:p>
    <w:p>
      <w:pPr>
        <w:pStyle w:val="BodyText"/>
        <w:rPr>
          <w:sz w:val="20"/>
        </w:rPr>
      </w:pPr>
    </w:p>
    <w:p>
      <w:pPr>
        <w:pStyle w:val="BodyText"/>
        <w:spacing w:before="5"/>
        <w:rPr>
          <w:sz w:val="23"/>
        </w:rPr>
      </w:pPr>
    </w:p>
    <w:p>
      <w:pPr>
        <w:spacing w:before="0"/>
        <w:ind w:left="1040" w:right="0" w:firstLine="0"/>
        <w:jc w:val="left"/>
        <w:rPr>
          <w:b/>
          <w:sz w:val="20"/>
        </w:rPr>
      </w:pPr>
      <w:r>
        <w:rPr>
          <w:b/>
          <w:sz w:val="20"/>
        </w:rPr>
        <w:t>INTERPRETACIÓN</w:t>
      </w:r>
    </w:p>
    <w:p>
      <w:pPr>
        <w:pStyle w:val="BodyText"/>
        <w:spacing w:before="7"/>
        <w:rPr>
          <w:b/>
          <w:sz w:val="27"/>
        </w:rPr>
      </w:pPr>
    </w:p>
    <w:p>
      <w:pPr>
        <w:spacing w:line="362" w:lineRule="auto" w:before="1"/>
        <w:ind w:left="1760" w:right="1289" w:firstLine="0"/>
        <w:jc w:val="left"/>
        <w:rPr>
          <w:sz w:val="20"/>
        </w:rPr>
      </w:pPr>
      <w:r>
        <w:rPr>
          <w:sz w:val="20"/>
        </w:rPr>
        <w:t>EL 100 % de los encuestados consideran que el servicio de vista que provee la zona Protectora la Carpintera es importante.</w:t>
      </w:r>
    </w:p>
    <w:p>
      <w:pPr>
        <w:spacing w:after="0" w:line="362" w:lineRule="auto"/>
        <w:jc w:val="left"/>
        <w:rPr>
          <w:sz w:val="20"/>
        </w:rPr>
        <w:sectPr>
          <w:pgSz w:w="12240" w:h="15840"/>
          <w:pgMar w:header="0" w:footer="982" w:top="1360" w:bottom="1180" w:left="400" w:right="180"/>
        </w:sectPr>
      </w:pPr>
    </w:p>
    <w:p>
      <w:pPr>
        <w:spacing w:before="73"/>
        <w:ind w:left="1040" w:right="0" w:firstLine="0"/>
        <w:jc w:val="left"/>
        <w:rPr>
          <w:b/>
          <w:sz w:val="20"/>
        </w:rPr>
      </w:pPr>
      <w:r>
        <w:rPr>
          <w:b/>
          <w:sz w:val="20"/>
        </w:rPr>
        <w:t>ANÁLISIS</w:t>
      </w:r>
    </w:p>
    <w:p>
      <w:pPr>
        <w:pStyle w:val="BodyText"/>
        <w:spacing w:before="7"/>
        <w:rPr>
          <w:b/>
          <w:sz w:val="27"/>
        </w:rPr>
      </w:pPr>
    </w:p>
    <w:p>
      <w:pPr>
        <w:spacing w:before="0"/>
        <w:ind w:left="1713" w:right="1535" w:firstLine="0"/>
        <w:jc w:val="center"/>
        <w:rPr>
          <w:sz w:val="20"/>
        </w:rPr>
      </w:pPr>
      <w:r>
        <w:rPr>
          <w:sz w:val="20"/>
        </w:rPr>
        <w:t>Del 100 % de los encuestados que respondieron que sí, lo hicieron por las siguientes razones:</w:t>
      </w:r>
    </w:p>
    <w:p>
      <w:pPr>
        <w:pStyle w:val="BodyText"/>
        <w:spacing w:before="5"/>
        <w:rPr>
          <w:sz w:val="27"/>
        </w:rPr>
      </w:pPr>
    </w:p>
    <w:p>
      <w:pPr>
        <w:pStyle w:val="ListParagraph"/>
        <w:numPr>
          <w:ilvl w:val="0"/>
          <w:numId w:val="45"/>
        </w:numPr>
        <w:tabs>
          <w:tab w:pos="2240" w:val="left" w:leader="none"/>
          <w:tab w:pos="2241" w:val="left" w:leader="none"/>
        </w:tabs>
        <w:spacing w:line="240" w:lineRule="auto" w:before="0" w:after="0"/>
        <w:ind w:left="2241" w:right="0" w:hanging="361"/>
        <w:jc w:val="left"/>
        <w:rPr>
          <w:sz w:val="20"/>
        </w:rPr>
      </w:pPr>
      <w:r>
        <w:rPr>
          <w:sz w:val="20"/>
        </w:rPr>
        <w:t>Aumentar la plusvalía de las</w:t>
      </w:r>
      <w:r>
        <w:rPr>
          <w:spacing w:val="-6"/>
          <w:sz w:val="20"/>
        </w:rPr>
        <w:t> </w:t>
      </w:r>
      <w:r>
        <w:rPr>
          <w:sz w:val="20"/>
        </w:rPr>
        <w:t>propiedades</w:t>
      </w:r>
    </w:p>
    <w:p>
      <w:pPr>
        <w:pStyle w:val="ListParagraph"/>
        <w:numPr>
          <w:ilvl w:val="0"/>
          <w:numId w:val="45"/>
        </w:numPr>
        <w:tabs>
          <w:tab w:pos="2240" w:val="left" w:leader="none"/>
          <w:tab w:pos="2241" w:val="left" w:leader="none"/>
        </w:tabs>
        <w:spacing w:line="240" w:lineRule="auto" w:before="8" w:after="0"/>
        <w:ind w:left="2241" w:right="0" w:hanging="361"/>
        <w:jc w:val="left"/>
        <w:rPr>
          <w:sz w:val="20"/>
        </w:rPr>
      </w:pPr>
      <w:r>
        <w:rPr>
          <w:sz w:val="20"/>
        </w:rPr>
        <w:t>Armonía con el medio</w:t>
      </w:r>
      <w:r>
        <w:rPr>
          <w:spacing w:val="46"/>
          <w:sz w:val="20"/>
        </w:rPr>
        <w:t> </w:t>
      </w:r>
      <w:r>
        <w:rPr>
          <w:sz w:val="20"/>
        </w:rPr>
        <w:t>ambiente</w:t>
      </w:r>
    </w:p>
    <w:p>
      <w:pPr>
        <w:pStyle w:val="ListParagraph"/>
        <w:numPr>
          <w:ilvl w:val="0"/>
          <w:numId w:val="45"/>
        </w:numPr>
        <w:tabs>
          <w:tab w:pos="2240" w:val="left" w:leader="none"/>
          <w:tab w:pos="2241" w:val="left" w:leader="none"/>
        </w:tabs>
        <w:spacing w:line="240" w:lineRule="auto" w:before="8" w:after="0"/>
        <w:ind w:left="2241" w:right="0" w:hanging="361"/>
        <w:jc w:val="left"/>
        <w:rPr>
          <w:sz w:val="20"/>
        </w:rPr>
      </w:pPr>
      <w:r>
        <w:rPr>
          <w:sz w:val="20"/>
        </w:rPr>
        <w:t>Un mejor comportamiento</w:t>
      </w:r>
      <w:r>
        <w:rPr>
          <w:spacing w:val="-7"/>
          <w:sz w:val="20"/>
        </w:rPr>
        <w:t> </w:t>
      </w:r>
      <w:r>
        <w:rPr>
          <w:sz w:val="20"/>
        </w:rPr>
        <w:t>social</w:t>
      </w:r>
    </w:p>
    <w:p>
      <w:pPr>
        <w:pStyle w:val="BodyText"/>
        <w:rPr>
          <w:sz w:val="22"/>
        </w:rPr>
      </w:pPr>
    </w:p>
    <w:p>
      <w:pPr>
        <w:pStyle w:val="BodyText"/>
        <w:rPr>
          <w:sz w:val="22"/>
        </w:rPr>
      </w:pPr>
    </w:p>
    <w:p>
      <w:pPr>
        <w:pStyle w:val="BodyText"/>
        <w:spacing w:before="5"/>
        <w:rPr>
          <w:sz w:val="17"/>
        </w:rPr>
      </w:pPr>
    </w:p>
    <w:p>
      <w:pPr>
        <w:spacing w:before="0"/>
        <w:ind w:left="1040" w:right="0" w:firstLine="0"/>
        <w:jc w:val="left"/>
        <w:rPr>
          <w:b/>
          <w:sz w:val="20"/>
        </w:rPr>
      </w:pPr>
      <w:r>
        <w:rPr>
          <w:b/>
          <w:sz w:val="20"/>
        </w:rPr>
        <w:t>PREGUNTA # 2</w:t>
      </w:r>
    </w:p>
    <w:p>
      <w:pPr>
        <w:pStyle w:val="BodyText"/>
        <w:spacing w:before="8"/>
        <w:rPr>
          <w:b/>
          <w:sz w:val="27"/>
        </w:rPr>
      </w:pPr>
    </w:p>
    <w:p>
      <w:pPr>
        <w:spacing w:line="360" w:lineRule="auto" w:before="0"/>
        <w:ind w:left="1040" w:right="1417" w:firstLine="0"/>
        <w:jc w:val="left"/>
        <w:rPr>
          <w:sz w:val="20"/>
        </w:rPr>
      </w:pPr>
      <w:r>
        <w:rPr>
          <w:sz w:val="20"/>
        </w:rPr>
        <w:t>¿Qué otro servicio eco sistémico considera usted que es importante para el grupo de actores que usted representa?</w:t>
      </w:r>
    </w:p>
    <w:p>
      <w:pPr>
        <w:pStyle w:val="BodyText"/>
        <w:rPr>
          <w:sz w:val="20"/>
        </w:rPr>
      </w:pPr>
    </w:p>
    <w:p>
      <w:pPr>
        <w:pStyle w:val="BodyText"/>
        <w:rPr>
          <w:sz w:val="20"/>
        </w:rPr>
      </w:pPr>
    </w:p>
    <w:p>
      <w:pPr>
        <w:pStyle w:val="BodyText"/>
        <w:spacing w:before="2"/>
        <w:rPr>
          <w:sz w:val="25"/>
        </w:rPr>
      </w:pPr>
    </w:p>
    <w:tbl>
      <w:tblPr>
        <w:tblW w:w="0" w:type="auto"/>
        <w:jc w:val="left"/>
        <w:tblInd w:w="2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3"/>
        <w:gridCol w:w="1441"/>
        <w:gridCol w:w="1529"/>
      </w:tblGrid>
      <w:tr>
        <w:trPr>
          <w:trHeight w:val="346" w:hRule="atLeast"/>
        </w:trPr>
        <w:tc>
          <w:tcPr>
            <w:tcW w:w="3153" w:type="dxa"/>
            <w:vMerge w:val="restart"/>
            <w:shd w:val="clear" w:color="auto" w:fill="D4DCE3"/>
          </w:tcPr>
          <w:p>
            <w:pPr>
              <w:pStyle w:val="TableParagraph"/>
              <w:spacing w:line="240" w:lineRule="auto" w:before="2"/>
              <w:jc w:val="left"/>
              <w:rPr>
                <w:sz w:val="21"/>
              </w:rPr>
            </w:pPr>
          </w:p>
          <w:p>
            <w:pPr>
              <w:pStyle w:val="TableParagraph"/>
              <w:spacing w:line="240" w:lineRule="auto" w:before="0"/>
              <w:ind w:left="1111"/>
              <w:jc w:val="left"/>
              <w:rPr>
                <w:b/>
                <w:sz w:val="20"/>
              </w:rPr>
            </w:pPr>
            <w:r>
              <w:rPr>
                <w:b/>
                <w:sz w:val="20"/>
              </w:rPr>
              <w:t>RESPUESTA</w:t>
            </w:r>
          </w:p>
        </w:tc>
        <w:tc>
          <w:tcPr>
            <w:tcW w:w="2970" w:type="dxa"/>
            <w:gridSpan w:val="2"/>
            <w:shd w:val="clear" w:color="auto" w:fill="D4DCE3"/>
          </w:tcPr>
          <w:p>
            <w:pPr>
              <w:pStyle w:val="TableParagraph"/>
              <w:spacing w:line="221" w:lineRule="exact" w:before="0"/>
              <w:ind w:left="1123" w:right="1129"/>
              <w:jc w:val="center"/>
              <w:rPr>
                <w:b/>
                <w:sz w:val="20"/>
              </w:rPr>
            </w:pPr>
            <w:r>
              <w:rPr>
                <w:b/>
                <w:sz w:val="20"/>
              </w:rPr>
              <w:t>TOTAL</w:t>
            </w:r>
          </w:p>
        </w:tc>
      </w:tr>
      <w:tr>
        <w:trPr>
          <w:trHeight w:val="493" w:hRule="atLeast"/>
        </w:trPr>
        <w:tc>
          <w:tcPr>
            <w:tcW w:w="3153" w:type="dxa"/>
            <w:vMerge/>
            <w:tcBorders>
              <w:top w:val="nil"/>
            </w:tcBorders>
            <w:shd w:val="clear" w:color="auto" w:fill="D4DCE3"/>
          </w:tcPr>
          <w:p>
            <w:pPr>
              <w:rPr>
                <w:sz w:val="2"/>
                <w:szCs w:val="2"/>
              </w:rPr>
            </w:pPr>
          </w:p>
        </w:tc>
        <w:tc>
          <w:tcPr>
            <w:tcW w:w="1441" w:type="dxa"/>
            <w:shd w:val="clear" w:color="auto" w:fill="D4DCE3"/>
          </w:tcPr>
          <w:p>
            <w:pPr>
              <w:pStyle w:val="TableParagraph"/>
              <w:spacing w:line="221" w:lineRule="exact" w:before="0"/>
              <w:ind w:left="102"/>
              <w:jc w:val="left"/>
              <w:rPr>
                <w:b/>
                <w:sz w:val="20"/>
              </w:rPr>
            </w:pPr>
            <w:r>
              <w:rPr>
                <w:b/>
                <w:sz w:val="20"/>
              </w:rPr>
              <w:t>CANTIDAD</w:t>
            </w:r>
          </w:p>
        </w:tc>
        <w:tc>
          <w:tcPr>
            <w:tcW w:w="1529" w:type="dxa"/>
            <w:shd w:val="clear" w:color="auto" w:fill="D4DCE3"/>
          </w:tcPr>
          <w:p>
            <w:pPr>
              <w:pStyle w:val="TableParagraph"/>
              <w:spacing w:line="221" w:lineRule="exact" w:before="0"/>
              <w:ind w:right="126"/>
              <w:jc w:val="center"/>
              <w:rPr>
                <w:b/>
                <w:sz w:val="20"/>
              </w:rPr>
            </w:pPr>
            <w:r>
              <w:rPr>
                <w:b/>
                <w:w w:val="99"/>
                <w:sz w:val="20"/>
              </w:rPr>
              <w:t>%</w:t>
            </w:r>
          </w:p>
        </w:tc>
      </w:tr>
      <w:tr>
        <w:trPr>
          <w:trHeight w:val="342" w:hRule="atLeast"/>
        </w:trPr>
        <w:tc>
          <w:tcPr>
            <w:tcW w:w="3153" w:type="dxa"/>
          </w:tcPr>
          <w:p>
            <w:pPr>
              <w:pStyle w:val="TableParagraph"/>
              <w:spacing w:line="226" w:lineRule="exact" w:before="0"/>
              <w:ind w:left="106"/>
              <w:jc w:val="left"/>
              <w:rPr>
                <w:sz w:val="20"/>
              </w:rPr>
            </w:pPr>
            <w:r>
              <w:rPr>
                <w:sz w:val="20"/>
              </w:rPr>
              <w:t>BELLEZA ESCENICA</w:t>
            </w:r>
          </w:p>
        </w:tc>
        <w:tc>
          <w:tcPr>
            <w:tcW w:w="1441" w:type="dxa"/>
          </w:tcPr>
          <w:p>
            <w:pPr>
              <w:pStyle w:val="TableParagraph"/>
              <w:spacing w:line="226" w:lineRule="exact" w:before="0"/>
              <w:ind w:left="102"/>
              <w:jc w:val="left"/>
              <w:rPr>
                <w:sz w:val="20"/>
              </w:rPr>
            </w:pPr>
            <w:r>
              <w:rPr>
                <w:w w:val="99"/>
                <w:sz w:val="20"/>
              </w:rPr>
              <w:t>5</w:t>
            </w:r>
          </w:p>
        </w:tc>
        <w:tc>
          <w:tcPr>
            <w:tcW w:w="1529" w:type="dxa"/>
          </w:tcPr>
          <w:p>
            <w:pPr>
              <w:pStyle w:val="TableParagraph"/>
              <w:spacing w:line="226" w:lineRule="exact" w:before="0"/>
              <w:ind w:left="102"/>
              <w:jc w:val="left"/>
              <w:rPr>
                <w:sz w:val="20"/>
              </w:rPr>
            </w:pPr>
            <w:r>
              <w:rPr>
                <w:sz w:val="20"/>
              </w:rPr>
              <w:t>46%</w:t>
            </w:r>
          </w:p>
        </w:tc>
      </w:tr>
      <w:tr>
        <w:trPr>
          <w:trHeight w:val="346" w:hRule="atLeast"/>
        </w:trPr>
        <w:tc>
          <w:tcPr>
            <w:tcW w:w="3153" w:type="dxa"/>
          </w:tcPr>
          <w:p>
            <w:pPr>
              <w:pStyle w:val="TableParagraph"/>
              <w:spacing w:line="240" w:lineRule="auto" w:before="0"/>
              <w:ind w:left="106"/>
              <w:jc w:val="left"/>
              <w:rPr>
                <w:sz w:val="20"/>
              </w:rPr>
            </w:pPr>
            <w:r>
              <w:rPr>
                <w:sz w:val="20"/>
              </w:rPr>
              <w:t>AGUA POTABLE</w:t>
            </w:r>
          </w:p>
        </w:tc>
        <w:tc>
          <w:tcPr>
            <w:tcW w:w="1441" w:type="dxa"/>
          </w:tcPr>
          <w:p>
            <w:pPr>
              <w:pStyle w:val="TableParagraph"/>
              <w:spacing w:line="240" w:lineRule="auto" w:before="0"/>
              <w:ind w:left="102"/>
              <w:jc w:val="left"/>
              <w:rPr>
                <w:sz w:val="20"/>
              </w:rPr>
            </w:pPr>
            <w:r>
              <w:rPr>
                <w:w w:val="99"/>
                <w:sz w:val="20"/>
              </w:rPr>
              <w:t>2</w:t>
            </w:r>
          </w:p>
        </w:tc>
        <w:tc>
          <w:tcPr>
            <w:tcW w:w="1529" w:type="dxa"/>
          </w:tcPr>
          <w:p>
            <w:pPr>
              <w:pStyle w:val="TableParagraph"/>
              <w:spacing w:line="240" w:lineRule="auto" w:before="0"/>
              <w:ind w:left="102"/>
              <w:jc w:val="left"/>
              <w:rPr>
                <w:sz w:val="20"/>
              </w:rPr>
            </w:pPr>
            <w:r>
              <w:rPr>
                <w:sz w:val="20"/>
              </w:rPr>
              <w:t>18%</w:t>
            </w:r>
          </w:p>
        </w:tc>
      </w:tr>
      <w:tr>
        <w:trPr>
          <w:trHeight w:val="346" w:hRule="atLeast"/>
        </w:trPr>
        <w:tc>
          <w:tcPr>
            <w:tcW w:w="3153" w:type="dxa"/>
          </w:tcPr>
          <w:p>
            <w:pPr>
              <w:pStyle w:val="TableParagraph"/>
              <w:spacing w:line="229" w:lineRule="exact" w:before="0"/>
              <w:ind w:left="106"/>
              <w:jc w:val="left"/>
              <w:rPr>
                <w:sz w:val="20"/>
              </w:rPr>
            </w:pPr>
            <w:r>
              <w:rPr>
                <w:sz w:val="20"/>
              </w:rPr>
              <w:t>SIN CONOCIMIENTO</w:t>
            </w:r>
          </w:p>
        </w:tc>
        <w:tc>
          <w:tcPr>
            <w:tcW w:w="1441" w:type="dxa"/>
          </w:tcPr>
          <w:p>
            <w:pPr>
              <w:pStyle w:val="TableParagraph"/>
              <w:spacing w:line="229" w:lineRule="exact" w:before="0"/>
              <w:ind w:left="102"/>
              <w:jc w:val="left"/>
              <w:rPr>
                <w:sz w:val="20"/>
              </w:rPr>
            </w:pPr>
            <w:r>
              <w:rPr>
                <w:w w:val="99"/>
                <w:sz w:val="20"/>
              </w:rPr>
              <w:t>4</w:t>
            </w:r>
          </w:p>
        </w:tc>
        <w:tc>
          <w:tcPr>
            <w:tcW w:w="1529" w:type="dxa"/>
          </w:tcPr>
          <w:p>
            <w:pPr>
              <w:pStyle w:val="TableParagraph"/>
              <w:spacing w:line="229" w:lineRule="exact" w:before="0"/>
              <w:ind w:left="102"/>
              <w:jc w:val="left"/>
              <w:rPr>
                <w:sz w:val="20"/>
              </w:rPr>
            </w:pPr>
            <w:r>
              <w:rPr>
                <w:sz w:val="20"/>
              </w:rPr>
              <w:t>36%</w:t>
            </w:r>
          </w:p>
        </w:tc>
      </w:tr>
      <w:tr>
        <w:trPr>
          <w:trHeight w:val="345" w:hRule="atLeast"/>
        </w:trPr>
        <w:tc>
          <w:tcPr>
            <w:tcW w:w="3153" w:type="dxa"/>
          </w:tcPr>
          <w:p>
            <w:pPr>
              <w:pStyle w:val="TableParagraph"/>
              <w:spacing w:line="225" w:lineRule="exact" w:before="0"/>
              <w:ind w:left="106"/>
              <w:jc w:val="left"/>
              <w:rPr>
                <w:sz w:val="20"/>
              </w:rPr>
            </w:pPr>
            <w:r>
              <w:rPr>
                <w:sz w:val="20"/>
              </w:rPr>
              <w:t>TOTAL</w:t>
            </w:r>
          </w:p>
        </w:tc>
        <w:tc>
          <w:tcPr>
            <w:tcW w:w="1441" w:type="dxa"/>
          </w:tcPr>
          <w:p>
            <w:pPr>
              <w:pStyle w:val="TableParagraph"/>
              <w:spacing w:line="225" w:lineRule="exact" w:before="0"/>
              <w:ind w:left="102"/>
              <w:jc w:val="left"/>
              <w:rPr>
                <w:sz w:val="20"/>
              </w:rPr>
            </w:pPr>
            <w:r>
              <w:rPr>
                <w:sz w:val="20"/>
              </w:rPr>
              <w:t>11</w:t>
            </w:r>
          </w:p>
        </w:tc>
        <w:tc>
          <w:tcPr>
            <w:tcW w:w="1529" w:type="dxa"/>
          </w:tcPr>
          <w:p>
            <w:pPr>
              <w:pStyle w:val="TableParagraph"/>
              <w:spacing w:line="225" w:lineRule="exact" w:before="0"/>
              <w:ind w:left="102"/>
              <w:jc w:val="left"/>
              <w:rPr>
                <w:sz w:val="20"/>
              </w:rPr>
            </w:pPr>
            <w:r>
              <w:rPr>
                <w:sz w:val="20"/>
              </w:rPr>
              <w:t>100%</w:t>
            </w:r>
          </w:p>
        </w:tc>
      </w:tr>
    </w:tbl>
    <w:p>
      <w:pPr>
        <w:pStyle w:val="BodyText"/>
        <w:spacing w:before="8"/>
        <w:rPr>
          <w:sz w:val="23"/>
        </w:rPr>
      </w:pPr>
      <w:r>
        <w:rPr/>
        <w:pict>
          <v:group style="position:absolute;margin-left:129.375pt;margin-top:15.615pt;width:358.2pt;height:217.55pt;mso-position-horizontal-relative:page;mso-position-vertical-relative:paragraph;z-index:-15668736;mso-wrap-distance-left:0;mso-wrap-distance-right:0" coordorigin="2588,312" coordsize="7164,4351">
            <v:shape style="position:absolute;left:2595;top:319;width:7149;height:4336" type="#_x0000_t75" stroked="false">
              <v:imagedata r:id="rId158" o:title=""/>
            </v:shape>
            <v:shape style="position:absolute;left:4784;top:318;width:2778;height:4336" type="#_x0000_t75" stroked="false">
              <v:imagedata r:id="rId159" o:title=""/>
            </v:shape>
            <v:shape style="position:absolute;left:3284;top:2066;width:2814;height:2588" type="#_x0000_t75" stroked="false">
              <v:imagedata r:id="rId160" o:title=""/>
            </v:shape>
            <v:shape style="position:absolute;left:2836;top:318;width:2778;height:3830" type="#_x0000_t75" stroked="false">
              <v:imagedata r:id="rId161" o:title=""/>
            </v:shape>
            <v:shape style="position:absolute;left:5207;top:539;width:1948;height:3835" coordorigin="5207,540" coordsize="1948,3835" path="m5207,540l5207,2488,5691,4375,5765,4354,5836,4331,5907,4306,5976,4278,6044,4247,6110,4214,6174,4179,6237,4141,6299,4101,6358,4059,6416,4015,6472,3969,6526,3921,6579,3871,6629,3819,6677,3765,6724,3710,6768,3653,6810,3594,6850,3534,6888,3472,6923,3409,6956,3345,6987,3279,7016,3212,7041,3144,7065,3075,7085,3004,7104,2933,7119,2861,7132,2788,7142,2714,7149,2639,7154,2564,7155,2488,7154,2411,7149,2336,7142,2261,7132,2186,7119,2113,7104,2041,7085,1970,7065,1900,7041,1831,7016,1763,6988,1696,6957,1631,6924,1567,6889,1505,6852,1443,6812,1384,6771,1326,6727,1269,6681,1215,6634,1162,6584,1110,6533,1061,6480,1013,6425,968,6369,924,6311,883,6251,843,6190,806,6128,771,6064,738,5998,707,5932,679,5864,653,5795,630,5725,609,5654,591,5581,576,5508,563,5434,553,5359,546,5283,541,5207,540xe" filled="true" fillcolor="#497eaf" stroked="false">
              <v:path arrowok="t"/>
              <v:fill type="solid"/>
            </v:shape>
            <v:shape style="position:absolute;left:3706;top:2487;width:1986;height:1948" coordorigin="3706,2488" coordsize="1986,1948" path="m5207,2488l3706,3729,3757,3788,3810,3845,3864,3899,3921,3951,3979,4000,4039,4047,4101,4091,4164,4133,4228,4172,4294,4209,4361,4243,4430,4274,4499,4303,4569,4328,4641,4352,4713,4372,4786,4390,4860,4405,4934,4417,5009,4426,5084,4432,5159,4435,5235,4436,5311,4433,5387,4427,5464,4419,5540,4407,5616,4392,5691,4375,5207,2488xe" filled="true" fillcolor="#5b9bd4" stroked="false">
              <v:path arrowok="t"/>
              <v:fill type="solid"/>
            </v:shape>
            <v:shape style="position:absolute;left:3259;top:539;width:1948;height:3190" coordorigin="3259,540" coordsize="1948,3190" path="m5207,540l5127,541,5048,546,4969,554,4890,566,4813,580,4736,598,4659,618,4584,642,4510,669,4437,698,4365,731,4295,766,4226,805,4158,846,4092,890,4028,937,3965,987,3907,1037,3852,1088,3799,1142,3748,1197,3700,1253,3654,1311,3611,1371,3570,1431,3531,1493,3496,1556,3462,1620,3431,1685,3403,1751,3377,1818,3354,1886,3333,1955,3315,2024,3299,2093,3286,2163,3276,2234,3268,2304,3262,2375,3259,2447,3259,2518,3261,2589,3266,2660,3274,2731,3284,2802,3297,2873,3312,2943,3331,3013,3351,3082,3375,3151,3401,3219,3430,3286,3461,3352,3495,3418,3532,3483,3571,3546,3613,3608,3658,3670,3706,3729,5207,2488,5207,540xe" filled="true" fillcolor="#acc5e4" stroked="false">
              <v:path arrowok="t"/>
              <v:fill type="solid"/>
            </v:shape>
            <v:shape style="position:absolute;left:5896;top:2173;width:637;height:469" type="#_x0000_t75" stroked="false">
              <v:imagedata r:id="rId162" o:title=""/>
            </v:shape>
            <v:shape style="position:absolute;left:5939;top:2213;width:469;height:305" type="#_x0000_t75" stroked="false">
              <v:imagedata r:id="rId163" o:title=""/>
            </v:shape>
            <v:shape style="position:absolute;left:4632;top:3221;width:633;height:469" type="#_x0000_t75" stroked="false">
              <v:imagedata r:id="rId164" o:title=""/>
            </v:shape>
            <v:shape style="position:absolute;left:4671;top:3261;width:469;height:305" type="#_x0000_t75" stroked="false">
              <v:imagedata r:id="rId165" o:title=""/>
            </v:shape>
            <v:shape style="position:absolute;left:4048;top:1877;width:637;height:469" type="#_x0000_t75" stroked="false">
              <v:imagedata r:id="rId166" o:title=""/>
            </v:shape>
            <v:shape style="position:absolute;left:4091;top:1920;width:469;height:305" type="#_x0000_t75" stroked="false">
              <v:imagedata r:id="rId167" o:title=""/>
            </v:shape>
            <v:rect style="position:absolute;left:7819;top:1981;width:1806;height:1013" filled="true" fillcolor="#f1f1f1" stroked="false">
              <v:fill opacity="25443f" type="solid"/>
            </v:rect>
            <v:rect style="position:absolute;left:7913;top:2100;width:99;height:99" filled="true" fillcolor="#497eaf" stroked="false">
              <v:fill type="solid"/>
            </v:rect>
            <v:rect style="position:absolute;left:7913;top:2438;width:99;height:99" filled="true" fillcolor="#5b9bd4" stroked="false">
              <v:fill type="solid"/>
            </v:rect>
            <v:rect style="position:absolute;left:7913;top:2775;width:99;height:99" filled="true" fillcolor="#acc5e4" stroked="false">
              <v:fill type="solid"/>
            </v:rect>
            <v:shape style="position:absolute;left:2595;top:319;width:7149;height:4336" type="#_x0000_t202" filled="false" stroked="true" strokeweight=".75pt" strokecolor="#bebeb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6"/>
                      <w:rPr>
                        <w:sz w:val="21"/>
                      </w:rPr>
                    </w:pPr>
                  </w:p>
                  <w:p>
                    <w:pPr>
                      <w:spacing w:before="0"/>
                      <w:ind w:left="1528" w:right="5216" w:firstLine="0"/>
                      <w:jc w:val="center"/>
                      <w:rPr>
                        <w:rFonts w:ascii="Carlito"/>
                        <w:b/>
                        <w:sz w:val="20"/>
                      </w:rPr>
                    </w:pPr>
                    <w:r>
                      <w:rPr>
                        <w:rFonts w:ascii="Carlito"/>
                        <w:b/>
                        <w:color w:val="FFFFFF"/>
                        <w:sz w:val="20"/>
                      </w:rPr>
                      <w:t>36%</w:t>
                    </w:r>
                  </w:p>
                  <w:p>
                    <w:pPr>
                      <w:spacing w:before="48"/>
                      <w:ind w:left="1528" w:right="1522" w:firstLine="0"/>
                      <w:jc w:val="center"/>
                      <w:rPr>
                        <w:rFonts w:ascii="Carlito"/>
                        <w:b/>
                        <w:sz w:val="20"/>
                      </w:rPr>
                    </w:pPr>
                    <w:r>
                      <w:rPr>
                        <w:rFonts w:ascii="Carlito"/>
                        <w:b/>
                        <w:color w:val="FFFFFF"/>
                        <w:sz w:val="20"/>
                      </w:rPr>
                      <w:t>46%</w:t>
                    </w:r>
                  </w:p>
                  <w:p>
                    <w:pPr>
                      <w:spacing w:line="240" w:lineRule="auto" w:before="0"/>
                      <w:rPr>
                        <w:rFonts w:ascii="Carlito"/>
                        <w:b/>
                        <w:sz w:val="20"/>
                      </w:rPr>
                    </w:pPr>
                  </w:p>
                  <w:p>
                    <w:pPr>
                      <w:spacing w:line="240" w:lineRule="auto" w:before="0"/>
                      <w:rPr>
                        <w:rFonts w:ascii="Carlito"/>
                        <w:b/>
                        <w:sz w:val="20"/>
                      </w:rPr>
                    </w:pPr>
                  </w:p>
                  <w:p>
                    <w:pPr>
                      <w:spacing w:line="240" w:lineRule="auto" w:before="12"/>
                      <w:rPr>
                        <w:rFonts w:ascii="Carlito"/>
                        <w:b/>
                        <w:sz w:val="25"/>
                      </w:rPr>
                    </w:pPr>
                  </w:p>
                  <w:p>
                    <w:pPr>
                      <w:spacing w:before="0"/>
                      <w:ind w:left="2130" w:right="0" w:firstLine="0"/>
                      <w:jc w:val="left"/>
                      <w:rPr>
                        <w:rFonts w:ascii="Carlito"/>
                        <w:b/>
                        <w:sz w:val="20"/>
                      </w:rPr>
                    </w:pPr>
                    <w:r>
                      <w:rPr>
                        <w:rFonts w:ascii="Carlito"/>
                        <w:b/>
                        <w:color w:val="FFFFFF"/>
                        <w:sz w:val="20"/>
                      </w:rPr>
                      <w:t>18%</w:t>
                    </w:r>
                  </w:p>
                </w:txbxContent>
              </v:textbox>
              <v:stroke dashstyle="solid"/>
              <w10:wrap type="none"/>
            </v:shape>
            <v:shape style="position:absolute;left:7819;top:1981;width:1806;height:1013" type="#_x0000_t202" filled="false" stroked="false">
              <v:textbox inset="0,0,0,0">
                <w:txbxContent>
                  <w:p>
                    <w:pPr>
                      <w:spacing w:line="369" w:lineRule="auto" w:before="52"/>
                      <w:ind w:left="237" w:right="178" w:firstLine="0"/>
                      <w:jc w:val="left"/>
                      <w:rPr>
                        <w:rFonts w:ascii="Carlito"/>
                        <w:sz w:val="18"/>
                      </w:rPr>
                    </w:pPr>
                    <w:r>
                      <w:rPr>
                        <w:rFonts w:ascii="Carlito"/>
                        <w:color w:val="404040"/>
                        <w:sz w:val="18"/>
                      </w:rPr>
                      <w:t>BELLEZA ESCENICA AGUA POTABLE</w:t>
                    </w:r>
                  </w:p>
                  <w:p>
                    <w:pPr>
                      <w:spacing w:line="218" w:lineRule="exact" w:before="0"/>
                      <w:ind w:left="237" w:right="0" w:firstLine="0"/>
                      <w:jc w:val="left"/>
                      <w:rPr>
                        <w:rFonts w:ascii="Carlito"/>
                        <w:sz w:val="18"/>
                      </w:rPr>
                    </w:pPr>
                    <w:r>
                      <w:rPr>
                        <w:rFonts w:ascii="Carlito"/>
                        <w:color w:val="404040"/>
                        <w:sz w:val="18"/>
                      </w:rPr>
                      <w:t>SIN CONOCIMIENTO</w:t>
                    </w:r>
                  </w:p>
                </w:txbxContent>
              </v:textbox>
              <w10:wrap type="none"/>
            </v:shape>
            <w10:wrap type="topAndBottom"/>
          </v:group>
        </w:pict>
      </w:r>
    </w:p>
    <w:p>
      <w:pPr>
        <w:pStyle w:val="BodyText"/>
        <w:spacing w:before="7"/>
        <w:rPr>
          <w:sz w:val="9"/>
        </w:rPr>
      </w:pPr>
    </w:p>
    <w:p>
      <w:pPr>
        <w:spacing w:before="94"/>
        <w:ind w:left="1040" w:right="0" w:firstLine="0"/>
        <w:jc w:val="left"/>
        <w:rPr>
          <w:b/>
          <w:sz w:val="20"/>
        </w:rPr>
      </w:pPr>
      <w:r>
        <w:rPr>
          <w:b/>
          <w:sz w:val="20"/>
        </w:rPr>
        <w:t>INTERPRETACIÓN</w:t>
      </w:r>
    </w:p>
    <w:p>
      <w:pPr>
        <w:pStyle w:val="BodyText"/>
        <w:rPr>
          <w:b/>
          <w:sz w:val="28"/>
        </w:rPr>
      </w:pPr>
    </w:p>
    <w:p>
      <w:pPr>
        <w:spacing w:line="360" w:lineRule="auto" w:before="0"/>
        <w:ind w:left="1040" w:right="1417" w:firstLine="0"/>
        <w:jc w:val="left"/>
        <w:rPr>
          <w:sz w:val="20"/>
        </w:rPr>
      </w:pPr>
      <w:r>
        <w:rPr>
          <w:sz w:val="20"/>
        </w:rPr>
        <w:t>De las encuestas realizadas 46% corresponden al servicio eco sistémico correspondiente a Belleza Escénica, 36% corresponde al servicio de Agua Potable y el 18% no contestan acorde a la pregunta.</w:t>
      </w:r>
    </w:p>
    <w:p>
      <w:pPr>
        <w:spacing w:after="0" w:line="360" w:lineRule="auto"/>
        <w:jc w:val="left"/>
        <w:rPr>
          <w:sz w:val="20"/>
        </w:rPr>
        <w:sectPr>
          <w:pgSz w:w="12240" w:h="15840"/>
          <w:pgMar w:header="0" w:footer="982" w:top="1360" w:bottom="1260" w:left="400" w:right="180"/>
        </w:sectPr>
      </w:pPr>
    </w:p>
    <w:p>
      <w:pPr>
        <w:pStyle w:val="BodyText"/>
        <w:rPr>
          <w:sz w:val="20"/>
        </w:rPr>
      </w:pPr>
    </w:p>
    <w:p>
      <w:pPr>
        <w:pStyle w:val="BodyText"/>
        <w:spacing w:before="5"/>
        <w:rPr>
          <w:sz w:val="21"/>
        </w:rPr>
      </w:pPr>
    </w:p>
    <w:p>
      <w:pPr>
        <w:spacing w:before="0"/>
        <w:ind w:left="1040" w:right="0" w:firstLine="0"/>
        <w:jc w:val="left"/>
        <w:rPr>
          <w:b/>
          <w:sz w:val="20"/>
        </w:rPr>
      </w:pPr>
      <w:r>
        <w:rPr>
          <w:b/>
          <w:sz w:val="20"/>
        </w:rPr>
        <w:t>ANÁLISIS</w:t>
      </w:r>
    </w:p>
    <w:p>
      <w:pPr>
        <w:pStyle w:val="BodyText"/>
        <w:spacing w:before="7"/>
        <w:rPr>
          <w:b/>
          <w:sz w:val="27"/>
        </w:rPr>
      </w:pPr>
    </w:p>
    <w:p>
      <w:pPr>
        <w:spacing w:line="360" w:lineRule="auto" w:before="1"/>
        <w:ind w:left="1040" w:right="1461" w:firstLine="0"/>
        <w:jc w:val="left"/>
        <w:rPr>
          <w:sz w:val="20"/>
        </w:rPr>
      </w:pPr>
      <w:r>
        <w:rPr>
          <w:sz w:val="20"/>
        </w:rPr>
        <w:t>La mayoría de los encuestados considera que la Belleza Escénica es uno de los servicios eco sistémicos más importante para el grupo de actores que representa, el siguiente rubro corresponde a agua potable con el siguiente de importancia con 18%, y el 36% restante no conoce sobre los servicios eco sistémicos, con lo cual no pudieron responder a la pregunta.</w:t>
      </w:r>
    </w:p>
    <w:p>
      <w:pPr>
        <w:pStyle w:val="BodyText"/>
        <w:rPr>
          <w:sz w:val="22"/>
        </w:rPr>
      </w:pPr>
    </w:p>
    <w:p>
      <w:pPr>
        <w:pStyle w:val="BodyText"/>
        <w:rPr>
          <w:sz w:val="22"/>
        </w:rPr>
      </w:pPr>
    </w:p>
    <w:p>
      <w:pPr>
        <w:pStyle w:val="BodyText"/>
        <w:spacing w:before="8"/>
        <w:rPr>
          <w:sz w:val="20"/>
        </w:rPr>
      </w:pPr>
    </w:p>
    <w:p>
      <w:pPr>
        <w:spacing w:before="0"/>
        <w:ind w:left="1040" w:right="0" w:firstLine="0"/>
        <w:jc w:val="left"/>
        <w:rPr>
          <w:b/>
          <w:sz w:val="20"/>
        </w:rPr>
      </w:pPr>
      <w:r>
        <w:rPr>
          <w:b/>
          <w:sz w:val="20"/>
        </w:rPr>
        <w:t>PREGUNTA # 3</w:t>
      </w:r>
    </w:p>
    <w:p>
      <w:pPr>
        <w:pStyle w:val="BodyText"/>
        <w:spacing w:before="8"/>
        <w:rPr>
          <w:b/>
          <w:sz w:val="27"/>
        </w:rPr>
      </w:pPr>
    </w:p>
    <w:p>
      <w:pPr>
        <w:spacing w:line="360" w:lineRule="auto" w:before="1"/>
        <w:ind w:left="1040" w:right="1267" w:firstLine="0"/>
        <w:jc w:val="left"/>
        <w:rPr>
          <w:sz w:val="20"/>
        </w:rPr>
      </w:pPr>
      <w:r>
        <w:rPr>
          <w:sz w:val="20"/>
        </w:rPr>
        <w:t>¿Considera usted que la situación social de las comunidades que están dentro de la Zona Protectora La Carpintera podría mejorarse con recursos provenientes del servicio de vista que se ha presentado hoy?</w:t>
      </w:r>
    </w:p>
    <w:p>
      <w:pPr>
        <w:pStyle w:val="BodyText"/>
        <w:rPr>
          <w:sz w:val="20"/>
        </w:rPr>
      </w:pPr>
    </w:p>
    <w:p>
      <w:pPr>
        <w:pStyle w:val="BodyText"/>
        <w:rPr>
          <w:sz w:val="20"/>
        </w:rPr>
      </w:pPr>
    </w:p>
    <w:p>
      <w:pPr>
        <w:pStyle w:val="BodyText"/>
        <w:spacing w:before="1" w:after="1"/>
        <w:rPr>
          <w:sz w:val="25"/>
        </w:rPr>
      </w:pPr>
    </w:p>
    <w:tbl>
      <w:tblPr>
        <w:tblW w:w="0" w:type="auto"/>
        <w:jc w:val="left"/>
        <w:tblInd w:w="2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49"/>
        <w:gridCol w:w="1441"/>
        <w:gridCol w:w="1533"/>
      </w:tblGrid>
      <w:tr>
        <w:trPr>
          <w:trHeight w:val="342" w:hRule="atLeast"/>
        </w:trPr>
        <w:tc>
          <w:tcPr>
            <w:tcW w:w="3149" w:type="dxa"/>
            <w:vMerge w:val="restart"/>
            <w:shd w:val="clear" w:color="auto" w:fill="D4DCE3"/>
          </w:tcPr>
          <w:p>
            <w:pPr>
              <w:pStyle w:val="TableParagraph"/>
              <w:spacing w:line="240" w:lineRule="auto" w:before="171"/>
              <w:ind w:left="1107"/>
              <w:jc w:val="left"/>
              <w:rPr>
                <w:b/>
                <w:sz w:val="20"/>
              </w:rPr>
            </w:pPr>
            <w:r>
              <w:rPr>
                <w:b/>
                <w:sz w:val="20"/>
              </w:rPr>
              <w:t>RESPUESTA</w:t>
            </w:r>
          </w:p>
        </w:tc>
        <w:tc>
          <w:tcPr>
            <w:tcW w:w="2974" w:type="dxa"/>
            <w:gridSpan w:val="2"/>
            <w:shd w:val="clear" w:color="auto" w:fill="D4DCE3"/>
          </w:tcPr>
          <w:p>
            <w:pPr>
              <w:pStyle w:val="TableParagraph"/>
              <w:spacing w:line="221" w:lineRule="exact" w:before="0"/>
              <w:ind w:left="1128" w:right="1129"/>
              <w:jc w:val="center"/>
              <w:rPr>
                <w:b/>
                <w:sz w:val="20"/>
              </w:rPr>
            </w:pPr>
            <w:r>
              <w:rPr>
                <w:b/>
                <w:sz w:val="20"/>
              </w:rPr>
              <w:t>TOTAL</w:t>
            </w:r>
          </w:p>
        </w:tc>
      </w:tr>
      <w:tr>
        <w:trPr>
          <w:trHeight w:val="346" w:hRule="atLeast"/>
        </w:trPr>
        <w:tc>
          <w:tcPr>
            <w:tcW w:w="3149" w:type="dxa"/>
            <w:vMerge/>
            <w:tcBorders>
              <w:top w:val="nil"/>
            </w:tcBorders>
            <w:shd w:val="clear" w:color="auto" w:fill="D4DCE3"/>
          </w:tcPr>
          <w:p>
            <w:pPr>
              <w:rPr>
                <w:sz w:val="2"/>
                <w:szCs w:val="2"/>
              </w:rPr>
            </w:pPr>
          </w:p>
        </w:tc>
        <w:tc>
          <w:tcPr>
            <w:tcW w:w="1441" w:type="dxa"/>
            <w:shd w:val="clear" w:color="auto" w:fill="D4DCE3"/>
          </w:tcPr>
          <w:p>
            <w:pPr>
              <w:pStyle w:val="TableParagraph"/>
              <w:spacing w:line="225" w:lineRule="exact" w:before="0"/>
              <w:ind w:left="107"/>
              <w:jc w:val="left"/>
              <w:rPr>
                <w:b/>
                <w:sz w:val="20"/>
              </w:rPr>
            </w:pPr>
            <w:r>
              <w:rPr>
                <w:b/>
                <w:sz w:val="20"/>
              </w:rPr>
              <w:t>CANTIDAD</w:t>
            </w:r>
          </w:p>
        </w:tc>
        <w:tc>
          <w:tcPr>
            <w:tcW w:w="1533" w:type="dxa"/>
            <w:shd w:val="clear" w:color="auto" w:fill="D4DCE3"/>
          </w:tcPr>
          <w:p>
            <w:pPr>
              <w:pStyle w:val="TableParagraph"/>
              <w:spacing w:line="225" w:lineRule="exact" w:before="0"/>
              <w:ind w:right="122"/>
              <w:jc w:val="center"/>
              <w:rPr>
                <w:b/>
                <w:sz w:val="20"/>
              </w:rPr>
            </w:pPr>
            <w:r>
              <w:rPr>
                <w:b/>
                <w:w w:val="99"/>
                <w:sz w:val="20"/>
              </w:rPr>
              <w:t>%</w:t>
            </w:r>
          </w:p>
        </w:tc>
      </w:tr>
      <w:tr>
        <w:trPr>
          <w:trHeight w:val="346" w:hRule="atLeast"/>
        </w:trPr>
        <w:tc>
          <w:tcPr>
            <w:tcW w:w="3149" w:type="dxa"/>
          </w:tcPr>
          <w:p>
            <w:pPr>
              <w:pStyle w:val="TableParagraph"/>
              <w:spacing w:line="229" w:lineRule="exact" w:before="0"/>
              <w:ind w:left="103"/>
              <w:jc w:val="left"/>
              <w:rPr>
                <w:sz w:val="20"/>
              </w:rPr>
            </w:pPr>
            <w:r>
              <w:rPr>
                <w:sz w:val="20"/>
              </w:rPr>
              <w:t>SI</w:t>
            </w:r>
          </w:p>
        </w:tc>
        <w:tc>
          <w:tcPr>
            <w:tcW w:w="1441" w:type="dxa"/>
          </w:tcPr>
          <w:p>
            <w:pPr>
              <w:pStyle w:val="TableParagraph"/>
              <w:spacing w:line="229" w:lineRule="exact" w:before="0"/>
              <w:ind w:left="107"/>
              <w:jc w:val="left"/>
              <w:rPr>
                <w:sz w:val="20"/>
              </w:rPr>
            </w:pPr>
            <w:r>
              <w:rPr>
                <w:sz w:val="20"/>
              </w:rPr>
              <w:t>10</w:t>
            </w:r>
          </w:p>
        </w:tc>
        <w:tc>
          <w:tcPr>
            <w:tcW w:w="1533" w:type="dxa"/>
          </w:tcPr>
          <w:p>
            <w:pPr>
              <w:pStyle w:val="TableParagraph"/>
              <w:spacing w:line="229" w:lineRule="exact" w:before="0"/>
              <w:ind w:left="162"/>
              <w:jc w:val="left"/>
              <w:rPr>
                <w:sz w:val="20"/>
              </w:rPr>
            </w:pPr>
            <w:r>
              <w:rPr>
                <w:sz w:val="20"/>
              </w:rPr>
              <w:t>90%</w:t>
            </w:r>
          </w:p>
        </w:tc>
      </w:tr>
      <w:tr>
        <w:trPr>
          <w:trHeight w:val="345" w:hRule="atLeast"/>
        </w:trPr>
        <w:tc>
          <w:tcPr>
            <w:tcW w:w="3149" w:type="dxa"/>
          </w:tcPr>
          <w:p>
            <w:pPr>
              <w:pStyle w:val="TableParagraph"/>
              <w:spacing w:line="225" w:lineRule="exact" w:before="0"/>
              <w:ind w:left="103"/>
              <w:jc w:val="left"/>
              <w:rPr>
                <w:sz w:val="20"/>
              </w:rPr>
            </w:pPr>
            <w:r>
              <w:rPr>
                <w:sz w:val="20"/>
              </w:rPr>
              <w:t>NO</w:t>
            </w:r>
          </w:p>
        </w:tc>
        <w:tc>
          <w:tcPr>
            <w:tcW w:w="1441" w:type="dxa"/>
          </w:tcPr>
          <w:p>
            <w:pPr>
              <w:pStyle w:val="TableParagraph"/>
              <w:spacing w:line="225" w:lineRule="exact" w:before="0"/>
              <w:ind w:left="107"/>
              <w:jc w:val="left"/>
              <w:rPr>
                <w:sz w:val="20"/>
              </w:rPr>
            </w:pPr>
            <w:r>
              <w:rPr>
                <w:sz w:val="20"/>
              </w:rPr>
              <w:t>01</w:t>
            </w:r>
          </w:p>
        </w:tc>
        <w:tc>
          <w:tcPr>
            <w:tcW w:w="1533" w:type="dxa"/>
          </w:tcPr>
          <w:p>
            <w:pPr>
              <w:pStyle w:val="TableParagraph"/>
              <w:spacing w:line="225" w:lineRule="exact" w:before="0"/>
              <w:ind w:left="162"/>
              <w:jc w:val="left"/>
              <w:rPr>
                <w:sz w:val="20"/>
              </w:rPr>
            </w:pPr>
            <w:r>
              <w:rPr>
                <w:sz w:val="20"/>
              </w:rPr>
              <w:t>10%</w:t>
            </w:r>
          </w:p>
        </w:tc>
      </w:tr>
      <w:tr>
        <w:trPr>
          <w:trHeight w:val="346" w:hRule="atLeast"/>
        </w:trPr>
        <w:tc>
          <w:tcPr>
            <w:tcW w:w="3149" w:type="dxa"/>
          </w:tcPr>
          <w:p>
            <w:pPr>
              <w:pStyle w:val="TableParagraph"/>
              <w:spacing w:line="225" w:lineRule="exact" w:before="0"/>
              <w:ind w:left="103"/>
              <w:jc w:val="left"/>
              <w:rPr>
                <w:sz w:val="20"/>
              </w:rPr>
            </w:pPr>
            <w:r>
              <w:rPr>
                <w:sz w:val="20"/>
              </w:rPr>
              <w:t>TOTAL</w:t>
            </w:r>
          </w:p>
        </w:tc>
        <w:tc>
          <w:tcPr>
            <w:tcW w:w="1441" w:type="dxa"/>
          </w:tcPr>
          <w:p>
            <w:pPr>
              <w:pStyle w:val="TableParagraph"/>
              <w:spacing w:line="225" w:lineRule="exact" w:before="0"/>
              <w:ind w:left="107"/>
              <w:jc w:val="left"/>
              <w:rPr>
                <w:sz w:val="20"/>
              </w:rPr>
            </w:pPr>
            <w:r>
              <w:rPr>
                <w:sz w:val="20"/>
              </w:rPr>
              <w:t>11</w:t>
            </w:r>
          </w:p>
        </w:tc>
        <w:tc>
          <w:tcPr>
            <w:tcW w:w="1533" w:type="dxa"/>
          </w:tcPr>
          <w:p>
            <w:pPr>
              <w:pStyle w:val="TableParagraph"/>
              <w:spacing w:line="225" w:lineRule="exact" w:before="0"/>
              <w:ind w:left="162"/>
              <w:jc w:val="left"/>
              <w:rPr>
                <w:sz w:val="20"/>
              </w:rPr>
            </w:pPr>
            <w:r>
              <w:rPr>
                <w:sz w:val="20"/>
              </w:rPr>
              <w:t>100%</w:t>
            </w:r>
          </w:p>
        </w:tc>
      </w:tr>
    </w:tbl>
    <w:p>
      <w:pPr>
        <w:pStyle w:val="BodyText"/>
        <w:rPr>
          <w:sz w:val="23"/>
        </w:rPr>
      </w:pPr>
      <w:r>
        <w:rPr/>
        <w:pict>
          <v:group style="position:absolute;margin-left:119.67971pt;margin-top:15.179883pt;width:372.9pt;height:183.25pt;mso-position-horizontal-relative:page;mso-position-vertical-relative:paragraph;z-index:-15667200;mso-wrap-distance-left:0;mso-wrap-distance-right:0" coordorigin="2394,304" coordsize="7458,3665">
            <v:shape style="position:absolute;left:2393;top:303;width:7458;height:3665" type="#_x0000_t75" stroked="false">
              <v:imagedata r:id="rId168" o:title=""/>
            </v:shape>
            <v:shape style="position:absolute;left:2415;top:323;width:7333;height:3536" type="#_x0000_t75" stroked="false">
              <v:imagedata r:id="rId169" o:title=""/>
            </v:shape>
            <v:shape style="position:absolute;left:2632;top:542;width:6221;height:3097" type="#_x0000_t75" stroked="false">
              <v:imagedata r:id="rId170" o:title=""/>
            </v:shape>
            <v:shape style="position:absolute;left:6244;top:1913;width:633;height:469" type="#_x0000_t75" stroked="false">
              <v:imagedata r:id="rId171" o:title=""/>
            </v:shape>
            <v:shape style="position:absolute;left:6284;top:1955;width:469;height:305" type="#_x0000_t75" stroked="false">
              <v:imagedata r:id="rId172" o:title=""/>
            </v:shape>
            <v:shape style="position:absolute;left:4732;top:1281;width:633;height:469" type="#_x0000_t75" stroked="false">
              <v:imagedata r:id="rId173" o:title=""/>
            </v:shape>
            <v:shape style="position:absolute;left:4772;top:1322;width:469;height:305" type="#_x0000_t75" stroked="false">
              <v:imagedata r:id="rId174" o:title=""/>
            </v:shape>
            <v:rect style="position:absolute;left:9074;top:1754;width:554;height:675" filled="true" fillcolor="#f1f1f1" stroked="false">
              <v:fill opacity="25443f" type="solid"/>
            </v:rect>
            <v:rect style="position:absolute;left:9169;top:1873;width:99;height:99" filled="true" fillcolor="#5b9bd4" stroked="false">
              <v:fill type="solid"/>
            </v:rect>
            <v:rect style="position:absolute;left:9169;top:2210;width:99;height:99" filled="true" fillcolor="#a4a4a4" stroked="false">
              <v:fill type="solid"/>
            </v:rect>
            <v:shape style="position:absolute;left:2415;top:323;width:7333;height:3536" type="#_x0000_t202" filled="false" stroked="true" strokeweight=".75pt" strokecolor="#bebeb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
                      <w:rPr>
                        <w:sz w:val="29"/>
                      </w:rPr>
                    </w:pPr>
                  </w:p>
                  <w:p>
                    <w:pPr>
                      <w:spacing w:before="0"/>
                      <w:ind w:left="2412" w:right="0" w:firstLine="0"/>
                      <w:jc w:val="left"/>
                      <w:rPr>
                        <w:rFonts w:ascii="Carlito"/>
                        <w:b/>
                        <w:sz w:val="20"/>
                      </w:rPr>
                    </w:pPr>
                    <w:r>
                      <w:rPr>
                        <w:rFonts w:ascii="Carlito"/>
                        <w:b/>
                        <w:color w:val="FFFFFF"/>
                        <w:sz w:val="20"/>
                      </w:rPr>
                      <w:t>10%</w:t>
                    </w:r>
                  </w:p>
                  <w:p>
                    <w:pPr>
                      <w:spacing w:line="240" w:lineRule="auto" w:before="0"/>
                      <w:rPr>
                        <w:rFonts w:ascii="Carlito"/>
                        <w:b/>
                        <w:sz w:val="20"/>
                      </w:rPr>
                    </w:pPr>
                  </w:p>
                  <w:p>
                    <w:pPr>
                      <w:spacing w:before="144"/>
                      <w:ind w:left="3902" w:right="3027" w:firstLine="0"/>
                      <w:jc w:val="center"/>
                      <w:rPr>
                        <w:rFonts w:ascii="Carlito"/>
                        <w:b/>
                        <w:sz w:val="20"/>
                      </w:rPr>
                    </w:pPr>
                    <w:r>
                      <w:rPr>
                        <w:rFonts w:ascii="Carlito"/>
                        <w:b/>
                        <w:color w:val="FFFFFF"/>
                        <w:sz w:val="20"/>
                      </w:rPr>
                      <w:t>90%</w:t>
                    </w:r>
                  </w:p>
                </w:txbxContent>
              </v:textbox>
              <v:stroke dashstyle="solid"/>
              <w10:wrap type="none"/>
            </v:shape>
            <v:shape style="position:absolute;left:9074;top:1754;width:554;height:675" type="#_x0000_t202" filled="false" stroked="false">
              <v:textbox inset="0,0,0,0">
                <w:txbxContent>
                  <w:p>
                    <w:pPr>
                      <w:spacing w:before="52"/>
                      <w:ind w:left="238" w:right="0" w:firstLine="0"/>
                      <w:jc w:val="left"/>
                      <w:rPr>
                        <w:rFonts w:ascii="Carlito"/>
                        <w:sz w:val="18"/>
                      </w:rPr>
                    </w:pPr>
                    <w:r>
                      <w:rPr>
                        <w:rFonts w:ascii="Carlito"/>
                        <w:color w:val="404040"/>
                        <w:sz w:val="18"/>
                      </w:rPr>
                      <w:t>SI</w:t>
                    </w:r>
                  </w:p>
                  <w:p>
                    <w:pPr>
                      <w:spacing w:before="118"/>
                      <w:ind w:left="238" w:right="0" w:firstLine="0"/>
                      <w:jc w:val="left"/>
                      <w:rPr>
                        <w:rFonts w:ascii="Carlito"/>
                        <w:sz w:val="18"/>
                      </w:rPr>
                    </w:pPr>
                    <w:r>
                      <w:rPr>
                        <w:rFonts w:ascii="Carlito"/>
                        <w:color w:val="404040"/>
                        <w:sz w:val="18"/>
                      </w:rPr>
                      <w:t>NO</w:t>
                    </w:r>
                  </w:p>
                </w:txbxContent>
              </v:textbox>
              <w10:wrap type="none"/>
            </v:shape>
            <w10:wrap type="topAndBottom"/>
          </v:group>
        </w:pict>
      </w:r>
    </w:p>
    <w:p>
      <w:pPr>
        <w:pStyle w:val="BodyText"/>
        <w:spacing w:before="9"/>
        <w:rPr>
          <w:sz w:val="22"/>
        </w:rPr>
      </w:pPr>
    </w:p>
    <w:p>
      <w:pPr>
        <w:spacing w:before="94"/>
        <w:ind w:left="1040" w:right="0" w:firstLine="0"/>
        <w:jc w:val="left"/>
        <w:rPr>
          <w:b/>
          <w:sz w:val="20"/>
        </w:rPr>
      </w:pPr>
      <w:r>
        <w:rPr>
          <w:b/>
          <w:sz w:val="20"/>
        </w:rPr>
        <w:t>INTERPRETACIÓN</w:t>
      </w:r>
    </w:p>
    <w:p>
      <w:pPr>
        <w:pStyle w:val="BodyText"/>
        <w:spacing w:before="7"/>
        <w:rPr>
          <w:b/>
          <w:sz w:val="27"/>
        </w:rPr>
      </w:pPr>
    </w:p>
    <w:p>
      <w:pPr>
        <w:spacing w:line="362" w:lineRule="auto" w:before="1"/>
        <w:ind w:left="1040" w:right="1256" w:firstLine="0"/>
        <w:jc w:val="both"/>
        <w:rPr>
          <w:sz w:val="20"/>
        </w:rPr>
      </w:pPr>
      <w:r>
        <w:rPr>
          <w:sz w:val="20"/>
        </w:rPr>
        <w:t>El 90% de los encuestados opina que situación social de las comunidades que están dentro de la Zona Protectora La Carpintera, sí podría mejorarse con recursos provenientes del servicio de vista presentado, mientras que el otro 10% opina que no.</w:t>
      </w:r>
    </w:p>
    <w:p>
      <w:pPr>
        <w:spacing w:after="0" w:line="362" w:lineRule="auto"/>
        <w:jc w:val="both"/>
        <w:rPr>
          <w:sz w:val="20"/>
        </w:rPr>
        <w:sectPr>
          <w:pgSz w:w="12240" w:h="15840"/>
          <w:pgMar w:header="0" w:footer="982" w:top="1500" w:bottom="1260" w:left="400" w:right="180"/>
        </w:sectPr>
      </w:pPr>
    </w:p>
    <w:p>
      <w:pPr>
        <w:spacing w:before="73"/>
        <w:ind w:left="1040" w:right="0" w:firstLine="0"/>
        <w:jc w:val="left"/>
        <w:rPr>
          <w:b/>
          <w:sz w:val="20"/>
        </w:rPr>
      </w:pPr>
      <w:r>
        <w:rPr>
          <w:b/>
          <w:sz w:val="20"/>
        </w:rPr>
        <w:t>ANÁLISIS</w:t>
      </w:r>
    </w:p>
    <w:p>
      <w:pPr>
        <w:pStyle w:val="BodyText"/>
        <w:spacing w:before="7"/>
        <w:rPr>
          <w:b/>
          <w:sz w:val="27"/>
        </w:rPr>
      </w:pPr>
    </w:p>
    <w:p>
      <w:pPr>
        <w:spacing w:line="360" w:lineRule="auto" w:before="0"/>
        <w:ind w:left="1040" w:right="1267" w:firstLine="0"/>
        <w:jc w:val="left"/>
        <w:rPr>
          <w:sz w:val="20"/>
        </w:rPr>
      </w:pPr>
      <w:r>
        <w:rPr>
          <w:sz w:val="20"/>
        </w:rPr>
        <w:t>El 90% de los encuestados que están de acuerdo en que la situación social de las comunidades que están dentro de la Zona Protectora La Carpintera, sí podría mejorarse con recursos provenientes del servicio de vista, opinar que se podría tomar recursos económicos para poder capacitar a los vecinos de las comunidades en manejo ambiental, además de poner más recursos en el tema de seguridad.</w:t>
      </w:r>
    </w:p>
    <w:p>
      <w:pPr>
        <w:pStyle w:val="BodyText"/>
        <w:spacing w:before="5"/>
        <w:rPr>
          <w:sz w:val="17"/>
        </w:rPr>
      </w:pPr>
    </w:p>
    <w:p>
      <w:pPr>
        <w:spacing w:line="360" w:lineRule="auto" w:before="0"/>
        <w:ind w:left="1040" w:right="1289" w:firstLine="0"/>
        <w:jc w:val="left"/>
        <w:rPr>
          <w:sz w:val="20"/>
        </w:rPr>
      </w:pPr>
      <w:r>
        <w:rPr>
          <w:sz w:val="20"/>
        </w:rPr>
        <w:t>El 10% restante que no está de acuerdo, indica que se requieren fuertes alianzas públicas para mejorar la situación social de las comunidades aledañas a la ZPLC.</w:t>
      </w:r>
    </w:p>
    <w:p>
      <w:pPr>
        <w:pStyle w:val="BodyText"/>
        <w:rPr>
          <w:sz w:val="22"/>
        </w:rPr>
      </w:pPr>
    </w:p>
    <w:p>
      <w:pPr>
        <w:pStyle w:val="BodyText"/>
        <w:rPr>
          <w:sz w:val="22"/>
        </w:rPr>
      </w:pPr>
    </w:p>
    <w:p>
      <w:pPr>
        <w:pStyle w:val="BodyText"/>
        <w:spacing w:before="6"/>
        <w:rPr>
          <w:sz w:val="20"/>
        </w:rPr>
      </w:pPr>
    </w:p>
    <w:p>
      <w:pPr>
        <w:spacing w:before="0"/>
        <w:ind w:left="1040" w:right="0" w:firstLine="0"/>
        <w:jc w:val="left"/>
        <w:rPr>
          <w:b/>
          <w:sz w:val="20"/>
        </w:rPr>
      </w:pPr>
      <w:r>
        <w:rPr>
          <w:b/>
          <w:sz w:val="20"/>
        </w:rPr>
        <w:t>PREGUNTA # 4</w:t>
      </w:r>
    </w:p>
    <w:p>
      <w:pPr>
        <w:pStyle w:val="BodyText"/>
        <w:spacing w:before="8"/>
        <w:rPr>
          <w:b/>
          <w:sz w:val="27"/>
        </w:rPr>
      </w:pPr>
    </w:p>
    <w:p>
      <w:pPr>
        <w:spacing w:line="360" w:lineRule="auto" w:before="1"/>
        <w:ind w:left="1040" w:right="1257" w:firstLine="0"/>
        <w:jc w:val="both"/>
        <w:rPr>
          <w:sz w:val="20"/>
        </w:rPr>
      </w:pPr>
      <w:r>
        <w:rPr>
          <w:sz w:val="20"/>
        </w:rPr>
        <w:t>¿Estaría de acuerdo en participar en un proceso de diálogo entre diferentes actores con el fin de explorar mecanismos por medio de los cuales se pueda identificar recursos provenientes de este servicio de vista por ejemplo (impuestos que se están cobrando) que puedan orientarse no solo a mejorar las condiciones sociales de esas comunidades, sino también a mejorar la conservación de la Zona Protectora La Carpintera?</w:t>
      </w:r>
    </w:p>
    <w:p>
      <w:pPr>
        <w:pStyle w:val="BodyText"/>
        <w:rPr>
          <w:sz w:val="20"/>
        </w:rPr>
      </w:pPr>
    </w:p>
    <w:p>
      <w:pPr>
        <w:pStyle w:val="BodyText"/>
        <w:rPr>
          <w:sz w:val="20"/>
        </w:rPr>
      </w:pPr>
    </w:p>
    <w:p>
      <w:pPr>
        <w:pStyle w:val="BodyText"/>
        <w:spacing w:before="3"/>
        <w:rPr>
          <w:sz w:val="25"/>
        </w:rPr>
      </w:pPr>
    </w:p>
    <w:tbl>
      <w:tblPr>
        <w:tblW w:w="0" w:type="auto"/>
        <w:jc w:val="left"/>
        <w:tblInd w:w="2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49"/>
        <w:gridCol w:w="1441"/>
        <w:gridCol w:w="1533"/>
      </w:tblGrid>
      <w:tr>
        <w:trPr>
          <w:trHeight w:val="342" w:hRule="atLeast"/>
        </w:trPr>
        <w:tc>
          <w:tcPr>
            <w:tcW w:w="3149" w:type="dxa"/>
            <w:vMerge w:val="restart"/>
            <w:shd w:val="clear" w:color="auto" w:fill="D4DCE3"/>
          </w:tcPr>
          <w:p>
            <w:pPr>
              <w:pStyle w:val="TableParagraph"/>
              <w:spacing w:line="240" w:lineRule="auto" w:before="171"/>
              <w:ind w:left="1107"/>
              <w:jc w:val="left"/>
              <w:rPr>
                <w:b/>
                <w:sz w:val="20"/>
              </w:rPr>
            </w:pPr>
            <w:r>
              <w:rPr>
                <w:b/>
                <w:sz w:val="20"/>
              </w:rPr>
              <w:t>RESPUESTA</w:t>
            </w:r>
          </w:p>
        </w:tc>
        <w:tc>
          <w:tcPr>
            <w:tcW w:w="2974" w:type="dxa"/>
            <w:gridSpan w:val="2"/>
            <w:shd w:val="clear" w:color="auto" w:fill="D4DCE3"/>
          </w:tcPr>
          <w:p>
            <w:pPr>
              <w:pStyle w:val="TableParagraph"/>
              <w:spacing w:line="221" w:lineRule="exact" w:before="0"/>
              <w:ind w:left="1128" w:right="1129"/>
              <w:jc w:val="center"/>
              <w:rPr>
                <w:b/>
                <w:sz w:val="20"/>
              </w:rPr>
            </w:pPr>
            <w:r>
              <w:rPr>
                <w:b/>
                <w:sz w:val="20"/>
              </w:rPr>
              <w:t>TOTAL</w:t>
            </w:r>
          </w:p>
        </w:tc>
      </w:tr>
      <w:tr>
        <w:trPr>
          <w:trHeight w:val="346" w:hRule="atLeast"/>
        </w:trPr>
        <w:tc>
          <w:tcPr>
            <w:tcW w:w="3149" w:type="dxa"/>
            <w:vMerge/>
            <w:tcBorders>
              <w:top w:val="nil"/>
            </w:tcBorders>
            <w:shd w:val="clear" w:color="auto" w:fill="D4DCE3"/>
          </w:tcPr>
          <w:p>
            <w:pPr>
              <w:rPr>
                <w:sz w:val="2"/>
                <w:szCs w:val="2"/>
              </w:rPr>
            </w:pPr>
          </w:p>
        </w:tc>
        <w:tc>
          <w:tcPr>
            <w:tcW w:w="1441" w:type="dxa"/>
            <w:shd w:val="clear" w:color="auto" w:fill="D4DCE3"/>
          </w:tcPr>
          <w:p>
            <w:pPr>
              <w:pStyle w:val="TableParagraph"/>
              <w:spacing w:line="225" w:lineRule="exact" w:before="0"/>
              <w:ind w:left="107"/>
              <w:jc w:val="left"/>
              <w:rPr>
                <w:b/>
                <w:sz w:val="20"/>
              </w:rPr>
            </w:pPr>
            <w:r>
              <w:rPr>
                <w:b/>
                <w:sz w:val="20"/>
              </w:rPr>
              <w:t>CANTIDAD</w:t>
            </w:r>
          </w:p>
        </w:tc>
        <w:tc>
          <w:tcPr>
            <w:tcW w:w="1533" w:type="dxa"/>
            <w:shd w:val="clear" w:color="auto" w:fill="D4DCE3"/>
          </w:tcPr>
          <w:p>
            <w:pPr>
              <w:pStyle w:val="TableParagraph"/>
              <w:spacing w:line="225" w:lineRule="exact" w:before="0"/>
              <w:ind w:right="122"/>
              <w:jc w:val="center"/>
              <w:rPr>
                <w:b/>
                <w:sz w:val="20"/>
              </w:rPr>
            </w:pPr>
            <w:r>
              <w:rPr>
                <w:b/>
                <w:w w:val="99"/>
                <w:sz w:val="20"/>
              </w:rPr>
              <w:t>%</w:t>
            </w:r>
          </w:p>
        </w:tc>
      </w:tr>
      <w:tr>
        <w:trPr>
          <w:trHeight w:val="346" w:hRule="atLeast"/>
        </w:trPr>
        <w:tc>
          <w:tcPr>
            <w:tcW w:w="3149" w:type="dxa"/>
          </w:tcPr>
          <w:p>
            <w:pPr>
              <w:pStyle w:val="TableParagraph"/>
              <w:spacing w:line="229" w:lineRule="exact" w:before="0"/>
              <w:ind w:left="103"/>
              <w:jc w:val="left"/>
              <w:rPr>
                <w:sz w:val="20"/>
              </w:rPr>
            </w:pPr>
            <w:r>
              <w:rPr>
                <w:sz w:val="20"/>
              </w:rPr>
              <w:t>SI</w:t>
            </w:r>
          </w:p>
        </w:tc>
        <w:tc>
          <w:tcPr>
            <w:tcW w:w="1441" w:type="dxa"/>
          </w:tcPr>
          <w:p>
            <w:pPr>
              <w:pStyle w:val="TableParagraph"/>
              <w:spacing w:line="229" w:lineRule="exact" w:before="0"/>
              <w:ind w:left="107"/>
              <w:jc w:val="left"/>
              <w:rPr>
                <w:sz w:val="20"/>
              </w:rPr>
            </w:pPr>
            <w:r>
              <w:rPr>
                <w:sz w:val="20"/>
              </w:rPr>
              <w:t>10</w:t>
            </w:r>
          </w:p>
        </w:tc>
        <w:tc>
          <w:tcPr>
            <w:tcW w:w="1533" w:type="dxa"/>
          </w:tcPr>
          <w:p>
            <w:pPr>
              <w:pStyle w:val="TableParagraph"/>
              <w:spacing w:line="229" w:lineRule="exact" w:before="0"/>
              <w:ind w:left="162"/>
              <w:jc w:val="left"/>
              <w:rPr>
                <w:sz w:val="20"/>
              </w:rPr>
            </w:pPr>
            <w:r>
              <w:rPr>
                <w:sz w:val="20"/>
              </w:rPr>
              <w:t>90%</w:t>
            </w:r>
          </w:p>
        </w:tc>
      </w:tr>
      <w:tr>
        <w:trPr>
          <w:trHeight w:val="346" w:hRule="atLeast"/>
        </w:trPr>
        <w:tc>
          <w:tcPr>
            <w:tcW w:w="3149" w:type="dxa"/>
          </w:tcPr>
          <w:p>
            <w:pPr>
              <w:pStyle w:val="TableParagraph"/>
              <w:spacing w:line="225" w:lineRule="exact" w:before="0"/>
              <w:ind w:left="103"/>
              <w:jc w:val="left"/>
              <w:rPr>
                <w:sz w:val="20"/>
              </w:rPr>
            </w:pPr>
            <w:r>
              <w:rPr>
                <w:sz w:val="20"/>
              </w:rPr>
              <w:t>NO</w:t>
            </w:r>
          </w:p>
        </w:tc>
        <w:tc>
          <w:tcPr>
            <w:tcW w:w="1441" w:type="dxa"/>
          </w:tcPr>
          <w:p>
            <w:pPr>
              <w:pStyle w:val="TableParagraph"/>
              <w:spacing w:line="225" w:lineRule="exact" w:before="0"/>
              <w:ind w:left="107"/>
              <w:jc w:val="left"/>
              <w:rPr>
                <w:sz w:val="20"/>
              </w:rPr>
            </w:pPr>
            <w:r>
              <w:rPr>
                <w:sz w:val="20"/>
              </w:rPr>
              <w:t>01</w:t>
            </w:r>
          </w:p>
        </w:tc>
        <w:tc>
          <w:tcPr>
            <w:tcW w:w="1533" w:type="dxa"/>
          </w:tcPr>
          <w:p>
            <w:pPr>
              <w:pStyle w:val="TableParagraph"/>
              <w:spacing w:line="225" w:lineRule="exact" w:before="0"/>
              <w:ind w:left="162"/>
              <w:jc w:val="left"/>
              <w:rPr>
                <w:sz w:val="20"/>
              </w:rPr>
            </w:pPr>
            <w:r>
              <w:rPr>
                <w:sz w:val="20"/>
              </w:rPr>
              <w:t>10%</w:t>
            </w:r>
          </w:p>
        </w:tc>
      </w:tr>
      <w:tr>
        <w:trPr>
          <w:trHeight w:val="345" w:hRule="atLeast"/>
        </w:trPr>
        <w:tc>
          <w:tcPr>
            <w:tcW w:w="3149" w:type="dxa"/>
          </w:tcPr>
          <w:p>
            <w:pPr>
              <w:pStyle w:val="TableParagraph"/>
              <w:spacing w:line="225" w:lineRule="exact" w:before="0"/>
              <w:ind w:left="103"/>
              <w:jc w:val="left"/>
              <w:rPr>
                <w:sz w:val="20"/>
              </w:rPr>
            </w:pPr>
            <w:r>
              <w:rPr>
                <w:sz w:val="20"/>
              </w:rPr>
              <w:t>TOTAL</w:t>
            </w:r>
          </w:p>
        </w:tc>
        <w:tc>
          <w:tcPr>
            <w:tcW w:w="1441" w:type="dxa"/>
          </w:tcPr>
          <w:p>
            <w:pPr>
              <w:pStyle w:val="TableParagraph"/>
              <w:spacing w:line="225" w:lineRule="exact" w:before="0"/>
              <w:ind w:left="107"/>
              <w:jc w:val="left"/>
              <w:rPr>
                <w:sz w:val="20"/>
              </w:rPr>
            </w:pPr>
            <w:r>
              <w:rPr>
                <w:sz w:val="20"/>
              </w:rPr>
              <w:t>11</w:t>
            </w:r>
          </w:p>
        </w:tc>
        <w:tc>
          <w:tcPr>
            <w:tcW w:w="1533" w:type="dxa"/>
          </w:tcPr>
          <w:p>
            <w:pPr>
              <w:pStyle w:val="TableParagraph"/>
              <w:spacing w:line="225" w:lineRule="exact" w:before="0"/>
              <w:ind w:left="162"/>
              <w:jc w:val="left"/>
              <w:rPr>
                <w:sz w:val="20"/>
              </w:rPr>
            </w:pPr>
            <w:r>
              <w:rPr>
                <w:sz w:val="20"/>
              </w:rPr>
              <w:t>100%</w:t>
            </w:r>
          </w:p>
        </w:tc>
      </w:tr>
    </w:tbl>
    <w:p>
      <w:pPr>
        <w:pStyle w:val="BodyText"/>
        <w:rPr>
          <w:sz w:val="20"/>
        </w:rPr>
      </w:pPr>
    </w:p>
    <w:p>
      <w:pPr>
        <w:pStyle w:val="BodyText"/>
        <w:spacing w:before="2"/>
        <w:rPr>
          <w:sz w:val="26"/>
        </w:rPr>
      </w:pPr>
      <w:r>
        <w:rPr/>
        <w:drawing>
          <wp:anchor distT="0" distB="0" distL="0" distR="0" allowOverlap="1" layoutInCell="1" locked="0" behindDoc="0" simplePos="0" relativeHeight="121">
            <wp:simplePos x="0" y="0"/>
            <wp:positionH relativeFrom="page">
              <wp:posOffset>1521587</wp:posOffset>
            </wp:positionH>
            <wp:positionV relativeFrom="paragraph">
              <wp:posOffset>216007</wp:posOffset>
            </wp:positionV>
            <wp:extent cx="5121134" cy="2460307"/>
            <wp:effectExtent l="0" t="0" r="0" b="0"/>
            <wp:wrapTopAndBottom/>
            <wp:docPr id="149" name="image123.png"/>
            <wp:cNvGraphicFramePr>
              <a:graphicFrameLocks noChangeAspect="1"/>
            </wp:cNvGraphicFramePr>
            <a:graphic>
              <a:graphicData uri="http://schemas.openxmlformats.org/drawingml/2006/picture">
                <pic:pic>
                  <pic:nvPicPr>
                    <pic:cNvPr id="150" name="image123.png"/>
                    <pic:cNvPicPr/>
                  </pic:nvPicPr>
                  <pic:blipFill>
                    <a:blip r:embed="rId175" cstate="print"/>
                    <a:stretch>
                      <a:fillRect/>
                    </a:stretch>
                  </pic:blipFill>
                  <pic:spPr>
                    <a:xfrm>
                      <a:off x="0" y="0"/>
                      <a:ext cx="5121134" cy="2460307"/>
                    </a:xfrm>
                    <a:prstGeom prst="rect">
                      <a:avLst/>
                    </a:prstGeom>
                  </pic:spPr>
                </pic:pic>
              </a:graphicData>
            </a:graphic>
          </wp:anchor>
        </w:drawing>
      </w:r>
    </w:p>
    <w:p>
      <w:pPr>
        <w:spacing w:after="0"/>
        <w:rPr>
          <w:sz w:val="26"/>
        </w:rPr>
        <w:sectPr>
          <w:pgSz w:w="12240" w:h="15840"/>
          <w:pgMar w:header="0" w:footer="982" w:top="1360" w:bottom="1260" w:left="400" w:right="180"/>
        </w:sectPr>
      </w:pPr>
    </w:p>
    <w:p>
      <w:pPr>
        <w:pStyle w:val="BodyText"/>
        <w:rPr>
          <w:sz w:val="20"/>
        </w:rPr>
      </w:pPr>
    </w:p>
    <w:p>
      <w:pPr>
        <w:pStyle w:val="BodyText"/>
        <w:rPr>
          <w:sz w:val="20"/>
        </w:rPr>
      </w:pPr>
    </w:p>
    <w:p>
      <w:pPr>
        <w:pStyle w:val="BodyText"/>
        <w:rPr>
          <w:sz w:val="20"/>
        </w:rPr>
      </w:pPr>
    </w:p>
    <w:p>
      <w:pPr>
        <w:pStyle w:val="BodyText"/>
        <w:spacing w:before="7"/>
        <w:rPr>
          <w:sz w:val="20"/>
        </w:rPr>
      </w:pPr>
    </w:p>
    <w:p>
      <w:pPr>
        <w:spacing w:before="94"/>
        <w:ind w:left="1040" w:right="0" w:firstLine="0"/>
        <w:jc w:val="left"/>
        <w:rPr>
          <w:b/>
          <w:sz w:val="20"/>
        </w:rPr>
      </w:pPr>
      <w:r>
        <w:rPr>
          <w:b/>
          <w:sz w:val="20"/>
        </w:rPr>
        <w:t>INTERPRETACIÓN</w:t>
      </w:r>
    </w:p>
    <w:p>
      <w:pPr>
        <w:pStyle w:val="BodyText"/>
        <w:rPr>
          <w:b/>
          <w:sz w:val="28"/>
        </w:rPr>
      </w:pPr>
    </w:p>
    <w:p>
      <w:pPr>
        <w:spacing w:line="360" w:lineRule="auto" w:before="0"/>
        <w:ind w:left="1040" w:right="1417" w:firstLine="0"/>
        <w:jc w:val="left"/>
        <w:rPr>
          <w:sz w:val="20"/>
        </w:rPr>
      </w:pPr>
      <w:r>
        <w:rPr>
          <w:sz w:val="20"/>
        </w:rPr>
        <w:t>El 90% de los encuestados estaría de acuerdo en participar en un proceso de diálogo entre diferentes actores, el 10% restante no está de acuerdo en participar.</w:t>
      </w:r>
    </w:p>
    <w:p>
      <w:pPr>
        <w:spacing w:before="194"/>
        <w:ind w:left="1040" w:right="0" w:firstLine="0"/>
        <w:jc w:val="left"/>
        <w:rPr>
          <w:b/>
          <w:sz w:val="20"/>
        </w:rPr>
      </w:pPr>
      <w:r>
        <w:rPr>
          <w:b/>
          <w:sz w:val="20"/>
        </w:rPr>
        <w:t>ANÁLISIS</w:t>
      </w:r>
    </w:p>
    <w:p>
      <w:pPr>
        <w:pStyle w:val="BodyText"/>
        <w:spacing w:before="8"/>
        <w:rPr>
          <w:b/>
          <w:sz w:val="27"/>
        </w:rPr>
      </w:pPr>
    </w:p>
    <w:p>
      <w:pPr>
        <w:spacing w:line="360" w:lineRule="auto" w:before="0"/>
        <w:ind w:left="1040" w:right="1417" w:firstLine="0"/>
        <w:jc w:val="left"/>
        <w:rPr>
          <w:sz w:val="20"/>
        </w:rPr>
      </w:pPr>
      <w:r>
        <w:rPr>
          <w:sz w:val="20"/>
        </w:rPr>
        <w:t>El 90 % de los encuestados que estarían de acuerdo en participar en un proceso de diálogo entre diferentes actores lo haría por la importancia de sensibilizar a diferentes sectores sociales, así como a los vecinos de las comunidades aledañas, integrando diferentes sectores al tema ambiental para la conservación de la ZPLC.</w:t>
      </w:r>
    </w:p>
    <w:p>
      <w:pPr>
        <w:pStyle w:val="BodyText"/>
        <w:spacing w:before="5"/>
        <w:rPr>
          <w:sz w:val="17"/>
        </w:rPr>
      </w:pPr>
    </w:p>
    <w:p>
      <w:pPr>
        <w:spacing w:line="360" w:lineRule="auto" w:before="0"/>
        <w:ind w:left="1040" w:right="1417" w:firstLine="0"/>
        <w:jc w:val="left"/>
        <w:rPr>
          <w:sz w:val="20"/>
        </w:rPr>
      </w:pPr>
      <w:r>
        <w:rPr>
          <w:sz w:val="20"/>
        </w:rPr>
        <w:t>El 10% restante que no asistiría, indica que si en algún momento formaría parte de este dialogo sería hasta que los vecinos actuales de diferentes clases sociales tanto la alta como la muy baja, estén de acuerdo en conversar.</w:t>
      </w:r>
    </w:p>
    <w:sectPr>
      <w:pgSz w:w="12240" w:h="15840"/>
      <w:pgMar w:header="0" w:footer="982" w:top="1500" w:bottom="1260" w:left="400" w:right="1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rlito">
    <w:altName w:val="Carlito"/>
    <w:charset w:val="0"/>
    <w:family w:val="swiss"/>
    <w:pitch w:val="variable"/>
  </w:font>
  <w:font w:name="Georgia">
    <w:altName w:val="Georgia"/>
    <w:charset w:val="0"/>
    <w:family w:val="roman"/>
    <w:pitch w:val="variable"/>
  </w:font>
  <w:font w:name="Caladea">
    <w:altName w:val="Caladea"/>
    <w:charset w:val="0"/>
    <w:family w:val="roman"/>
    <w:pitch w:val="variable"/>
  </w:font>
  <w:font w:name="Symbol">
    <w:altName w:val="Symbol"/>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3.169983pt;margin-top:727.911743pt;width:20.5pt;height:15.45pt;mso-position-horizontal-relative:page;mso-position-vertical-relative:page;z-index:-30054912" type="#_x0000_t202" filled="false" stroked="false">
          <v:textbox inset="0,0,0,0">
            <w:txbxContent>
              <w:p>
                <w:pPr>
                  <w:pStyle w:val="BodyText"/>
                  <w:spacing w:before="12"/>
                  <w:ind w:left="60"/>
                </w:pPr>
                <w:r>
                  <w:rPr/>
                  <w:fldChar w:fldCharType="begin"/>
                </w:r>
                <w:r>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727.911743pt;width:19.2pt;height:15.45pt;mso-position-horizontal-relative:page;mso-position-vertical-relative:page;z-index:-30051328" type="#_x0000_t202" filled="false" stroked="false">
          <v:textbox inset="0,0,0,0">
            <w:txbxContent>
              <w:p>
                <w:pPr>
                  <w:pStyle w:val="BodyText"/>
                  <w:spacing w:before="12"/>
                  <w:ind w:left="60"/>
                </w:pPr>
                <w:r>
                  <w:rPr/>
                  <w:fldChar w:fldCharType="begin"/>
                </w:r>
                <w:r>
                  <w:rPr/>
                  <w:instrText> PAGE </w:instrText>
                </w:r>
                <w:r>
                  <w:rPr/>
                  <w:fldChar w:fldCharType="separate"/>
                </w:r>
                <w:r>
                  <w:rPr/>
                  <w:t>77</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2.580017pt;margin-top:547.911743pt;width:15.2pt;height:15.45pt;mso-position-horizontal-relative:page;mso-position-vertical-relative:page;z-index:-30050816" type="#_x0000_t202" filled="false" stroked="false">
          <v:textbox inset="0,0,0,0">
            <w:txbxContent>
              <w:p>
                <w:pPr>
                  <w:pStyle w:val="BodyText"/>
                  <w:spacing w:before="12"/>
                  <w:ind w:left="20"/>
                </w:pPr>
                <w:r>
                  <w:rPr/>
                  <w:t>94</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169983pt;margin-top:727.911743pt;width:25.85pt;height:15.45pt;mso-position-horizontal-relative:page;mso-position-vertical-relative:page;z-index:-30050304" type="#_x0000_t202" filled="false" stroked="false">
          <v:textbox inset="0,0,0,0">
            <w:txbxContent>
              <w:p>
                <w:pPr>
                  <w:pStyle w:val="BodyText"/>
                  <w:spacing w:before="12"/>
                  <w:ind w:left="60"/>
                </w:pPr>
                <w:r>
                  <w:rPr/>
                  <w:fldChar w:fldCharType="begin"/>
                </w:r>
                <w:r>
                  <w:rPr/>
                  <w:instrText> PAGE </w:instrText>
                </w:r>
                <w:r>
                  <w:rPr/>
                  <w:fldChar w:fldCharType="separate"/>
                </w:r>
                <w:r>
                  <w:rPr/>
                  <w:t>100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7.179993pt;margin-top:547.911743pt;width:25.8pt;height:15.45pt;mso-position-horizontal-relative:page;mso-position-vertical-relative:page;z-index:-30049792" type="#_x0000_t202" filled="false" stroked="false">
          <v:textbox inset="0,0,0,0">
            <w:txbxContent>
              <w:p>
                <w:pPr>
                  <w:pStyle w:val="BodyText"/>
                  <w:spacing w:before="12"/>
                  <w:ind w:left="60"/>
                </w:pPr>
                <w:r>
                  <w:rPr/>
                  <w:fldChar w:fldCharType="begin"/>
                </w:r>
                <w:r>
                  <w:rPr/>
                  <w:instrText> PAGE </w:instrText>
                </w:r>
                <w:r>
                  <w:rPr/>
                  <w:fldChar w:fldCharType="separate"/>
                </w:r>
                <w:r>
                  <w:rPr/>
                  <w:t>104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517.169983pt;margin-top:727.911743pt;width:25.9pt;height:15.45pt;mso-position-horizontal-relative:page;mso-position-vertical-relative:page;z-index:-30049280" type="#_x0000_t202" filled="false" stroked="false">
          <v:textbox inset="0,0,0,0">
            <w:txbxContent>
              <w:p>
                <w:pPr>
                  <w:pStyle w:val="BodyText"/>
                  <w:spacing w:before="12"/>
                  <w:ind w:left="60"/>
                </w:pPr>
                <w:r>
                  <w:rPr/>
                  <w:fldChar w:fldCharType="begin"/>
                </w:r>
                <w:r>
                  <w:rPr/>
                  <w:instrText> PAGE </w:instrText>
                </w:r>
                <w:r>
                  <w:rPr/>
                  <w:fldChar w:fldCharType="separate"/>
                </w:r>
                <w:r>
                  <w:rPr/>
                  <w:t>159</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7.179993pt;margin-top:547.911743pt;width:25.8pt;height:15.45pt;mso-position-horizontal-relative:page;mso-position-vertical-relative:page;z-index:-30048768" type="#_x0000_t202" filled="false" stroked="false">
          <v:textbox inset="0,0,0,0">
            <w:txbxContent>
              <w:p>
                <w:pPr>
                  <w:pStyle w:val="BodyText"/>
                  <w:spacing w:before="12"/>
                  <w:ind w:left="60"/>
                </w:pPr>
                <w:r>
                  <w:rPr/>
                  <w:fldChar w:fldCharType="begin"/>
                </w:r>
                <w:r>
                  <w:rPr/>
                  <w:instrText> PAGE </w:instrText>
                </w:r>
                <w:r>
                  <w:rPr/>
                  <w:fldChar w:fldCharType="separate"/>
                </w:r>
                <w:r>
                  <w:rPr/>
                  <w:t>165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517.169983pt;margin-top:727.911743pt;width:25.8pt;height:15.45pt;mso-position-horizontal-relative:page;mso-position-vertical-relative:page;z-index:-30048256" type="#_x0000_t202" filled="false" stroked="false">
          <v:textbox inset="0,0,0,0">
            <w:txbxContent>
              <w:p>
                <w:pPr>
                  <w:pStyle w:val="BodyText"/>
                  <w:spacing w:before="12"/>
                  <w:ind w:left="60"/>
                </w:pPr>
                <w:r>
                  <w:rPr/>
                  <w:fldChar w:fldCharType="begin"/>
                </w:r>
                <w:r>
                  <w:rPr/>
                  <w:instrText> PAGE </w:instrText>
                </w:r>
                <w:r>
                  <w:rPr/>
                  <w:fldChar w:fldCharType="separate"/>
                </w:r>
                <w:r>
                  <w:rPr/>
                  <w:t>202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780029pt;margin-top:727.911743pt;width:19.5pt;height:15.45pt;mso-position-horizontal-relative:page;mso-position-vertical-relative:page;z-index:-30054400" type="#_x0000_t202" filled="false" stroked="false">
          <v:textbox inset="0,0,0,0">
            <w:txbxContent>
              <w:p>
                <w:pPr>
                  <w:pStyle w:val="BodyText"/>
                  <w:spacing w:before="12"/>
                  <w:ind w:left="60"/>
                </w:pPr>
                <w:r>
                  <w:rPr/>
                  <w:fldChar w:fldCharType="begin"/>
                </w:r>
                <w:r>
                  <w:rPr/>
                  <w:instrText> PAGE </w:instrText>
                </w:r>
                <w:r>
                  <w:rPr/>
                  <w:fldChar w:fldCharType="separate"/>
                </w:r>
                <w:r>
                  <w:rPr/>
                  <w:t>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780029pt;margin-top:547.911743pt;width:15.2pt;height:15.45pt;mso-position-horizontal-relative:page;mso-position-vertical-relative:page;z-index:-30053888" type="#_x0000_t202" filled="false" stroked="false">
          <v:textbox inset="0,0,0,0">
            <w:txbxContent>
              <w:p>
                <w:pPr>
                  <w:pStyle w:val="BodyText"/>
                  <w:spacing w:before="12"/>
                  <w:ind w:left="20"/>
                </w:pPr>
                <w:r>
                  <w:rPr/>
                  <w:t>29</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780029pt;margin-top:711.111694pt;width:19.3pt;height:15.45pt;mso-position-horizontal-relative:page;mso-position-vertical-relative:page;z-index:-30053376" type="#_x0000_t202" filled="false" stroked="false">
          <v:textbox inset="0,0,0,0">
            <w:txbxContent>
              <w:p>
                <w:pPr>
                  <w:pStyle w:val="BodyText"/>
                  <w:spacing w:before="12"/>
                  <w:ind w:left="60"/>
                </w:pPr>
                <w:r>
                  <w:rPr/>
                  <w:fldChar w:fldCharType="begin"/>
                </w:r>
                <w:r>
                  <w:rPr/>
                  <w:instrText> PAGE </w:instrText>
                </w:r>
                <w:r>
                  <w:rPr/>
                  <w:fldChar w:fldCharType="separate"/>
                </w:r>
                <w:r>
                  <w:rPr/>
                  <w:t>42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780029pt;margin-top:531.111694pt;width:15.2pt;height:15.45pt;mso-position-horizontal-relative:page;mso-position-vertical-relative:page;z-index:-30052864" type="#_x0000_t202" filled="false" stroked="false">
          <v:textbox inset="0,0,0,0">
            <w:txbxContent>
              <w:p>
                <w:pPr>
                  <w:pStyle w:val="BodyText"/>
                  <w:spacing w:before="12"/>
                  <w:ind w:left="20"/>
                </w:pPr>
                <w:r>
                  <w:rPr/>
                  <w:t>56</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780029pt;margin-top:711.111694pt;width:19.2pt;height:15.45pt;mso-position-horizontal-relative:page;mso-position-vertical-relative:page;z-index:-30052352" type="#_x0000_t202" filled="false" stroked="false">
          <v:textbox inset="0,0,0,0">
            <w:txbxContent>
              <w:p>
                <w:pPr>
                  <w:pStyle w:val="BodyText"/>
                  <w:spacing w:before="12"/>
                  <w:ind w:left="60"/>
                </w:pPr>
                <w:r>
                  <w:rPr/>
                  <w:fldChar w:fldCharType="begin"/>
                </w:r>
                <w:r>
                  <w:rPr/>
                  <w:instrText> PAGE </w:instrText>
                </w:r>
                <w:r>
                  <w:rPr/>
                  <w:fldChar w:fldCharType="separate"/>
                </w:r>
                <w:r>
                  <w:rPr/>
                  <w:t>71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780029pt;margin-top:531.111694pt;width:15.2pt;height:15.45pt;mso-position-horizontal-relative:page;mso-position-vertical-relative:page;z-index:-30051840" type="#_x0000_t202" filled="false" stroked="false">
          <v:textbox inset="0,0,0,0">
            <w:txbxContent>
              <w:p>
                <w:pPr>
                  <w:pStyle w:val="BodyText"/>
                  <w:spacing w:before="12"/>
                  <w:ind w:left="20"/>
                </w:pPr>
                <w:r>
                  <w:rPr/>
                  <w:t>74</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4">
    <w:multiLevelType w:val="hybridMultilevel"/>
    <w:lvl w:ilvl="0">
      <w:start w:val="0"/>
      <w:numFmt w:val="bullet"/>
      <w:lvlText w:val="-"/>
      <w:lvlJc w:val="left"/>
      <w:pPr>
        <w:ind w:left="2241" w:hanging="361"/>
      </w:pPr>
      <w:rPr>
        <w:rFonts w:hint="default" w:ascii="Carlito" w:hAnsi="Carlito" w:eastAsia="Carlito" w:cs="Carlito"/>
        <w:spacing w:val="-7"/>
        <w:w w:val="99"/>
        <w:sz w:val="20"/>
        <w:szCs w:val="20"/>
        <w:lang w:val="es-ES" w:eastAsia="en-US" w:bidi="ar-SA"/>
      </w:rPr>
    </w:lvl>
    <w:lvl w:ilvl="1">
      <w:start w:val="0"/>
      <w:numFmt w:val="bullet"/>
      <w:lvlText w:val="•"/>
      <w:lvlJc w:val="left"/>
      <w:pPr>
        <w:ind w:left="3182" w:hanging="361"/>
      </w:pPr>
      <w:rPr>
        <w:rFonts w:hint="default"/>
        <w:lang w:val="es-ES" w:eastAsia="en-US" w:bidi="ar-SA"/>
      </w:rPr>
    </w:lvl>
    <w:lvl w:ilvl="2">
      <w:start w:val="0"/>
      <w:numFmt w:val="bullet"/>
      <w:lvlText w:val="•"/>
      <w:lvlJc w:val="left"/>
      <w:pPr>
        <w:ind w:left="4124" w:hanging="361"/>
      </w:pPr>
      <w:rPr>
        <w:rFonts w:hint="default"/>
        <w:lang w:val="es-ES" w:eastAsia="en-US" w:bidi="ar-SA"/>
      </w:rPr>
    </w:lvl>
    <w:lvl w:ilvl="3">
      <w:start w:val="0"/>
      <w:numFmt w:val="bullet"/>
      <w:lvlText w:val="•"/>
      <w:lvlJc w:val="left"/>
      <w:pPr>
        <w:ind w:left="5066" w:hanging="361"/>
      </w:pPr>
      <w:rPr>
        <w:rFonts w:hint="default"/>
        <w:lang w:val="es-ES" w:eastAsia="en-US" w:bidi="ar-SA"/>
      </w:rPr>
    </w:lvl>
    <w:lvl w:ilvl="4">
      <w:start w:val="0"/>
      <w:numFmt w:val="bullet"/>
      <w:lvlText w:val="•"/>
      <w:lvlJc w:val="left"/>
      <w:pPr>
        <w:ind w:left="6008" w:hanging="361"/>
      </w:pPr>
      <w:rPr>
        <w:rFonts w:hint="default"/>
        <w:lang w:val="es-ES" w:eastAsia="en-US" w:bidi="ar-SA"/>
      </w:rPr>
    </w:lvl>
    <w:lvl w:ilvl="5">
      <w:start w:val="0"/>
      <w:numFmt w:val="bullet"/>
      <w:lvlText w:val="•"/>
      <w:lvlJc w:val="left"/>
      <w:pPr>
        <w:ind w:left="6950" w:hanging="361"/>
      </w:pPr>
      <w:rPr>
        <w:rFonts w:hint="default"/>
        <w:lang w:val="es-ES" w:eastAsia="en-US" w:bidi="ar-SA"/>
      </w:rPr>
    </w:lvl>
    <w:lvl w:ilvl="6">
      <w:start w:val="0"/>
      <w:numFmt w:val="bullet"/>
      <w:lvlText w:val="•"/>
      <w:lvlJc w:val="left"/>
      <w:pPr>
        <w:ind w:left="7892" w:hanging="361"/>
      </w:pPr>
      <w:rPr>
        <w:rFonts w:hint="default"/>
        <w:lang w:val="es-ES" w:eastAsia="en-US" w:bidi="ar-SA"/>
      </w:rPr>
    </w:lvl>
    <w:lvl w:ilvl="7">
      <w:start w:val="0"/>
      <w:numFmt w:val="bullet"/>
      <w:lvlText w:val="•"/>
      <w:lvlJc w:val="left"/>
      <w:pPr>
        <w:ind w:left="8834" w:hanging="361"/>
      </w:pPr>
      <w:rPr>
        <w:rFonts w:hint="default"/>
        <w:lang w:val="es-ES" w:eastAsia="en-US" w:bidi="ar-SA"/>
      </w:rPr>
    </w:lvl>
    <w:lvl w:ilvl="8">
      <w:start w:val="0"/>
      <w:numFmt w:val="bullet"/>
      <w:lvlText w:val="•"/>
      <w:lvlJc w:val="left"/>
      <w:pPr>
        <w:ind w:left="9776" w:hanging="361"/>
      </w:pPr>
      <w:rPr>
        <w:rFonts w:hint="default"/>
        <w:lang w:val="es-ES" w:eastAsia="en-US" w:bidi="ar-SA"/>
      </w:rPr>
    </w:lvl>
  </w:abstractNum>
  <w:abstractNum w:abstractNumId="43">
    <w:multiLevelType w:val="hybridMultilevel"/>
    <w:lvl w:ilvl="0">
      <w:start w:val="1"/>
      <w:numFmt w:val="decimal"/>
      <w:lvlText w:val="%1."/>
      <w:lvlJc w:val="left"/>
      <w:pPr>
        <w:ind w:left="1040" w:hanging="228"/>
        <w:jc w:val="left"/>
      </w:pPr>
      <w:rPr>
        <w:rFonts w:hint="default" w:ascii="Arial" w:hAnsi="Arial" w:eastAsia="Arial" w:cs="Arial"/>
        <w:w w:val="99"/>
        <w:sz w:val="20"/>
        <w:szCs w:val="20"/>
        <w:lang w:val="es-ES" w:eastAsia="en-US" w:bidi="ar-SA"/>
      </w:rPr>
    </w:lvl>
    <w:lvl w:ilvl="1">
      <w:start w:val="0"/>
      <w:numFmt w:val="bullet"/>
      <w:lvlText w:val=""/>
      <w:lvlJc w:val="left"/>
      <w:pPr>
        <w:ind w:left="1760" w:hanging="360"/>
      </w:pPr>
      <w:rPr>
        <w:rFonts w:hint="default" w:ascii="Symbol" w:hAnsi="Symbol" w:eastAsia="Symbol" w:cs="Symbol"/>
        <w:w w:val="100"/>
        <w:sz w:val="20"/>
        <w:szCs w:val="20"/>
        <w:lang w:val="es-ES" w:eastAsia="en-US" w:bidi="ar-SA"/>
      </w:rPr>
    </w:lvl>
    <w:lvl w:ilvl="2">
      <w:start w:val="0"/>
      <w:numFmt w:val="bullet"/>
      <w:lvlText w:val="•"/>
      <w:lvlJc w:val="left"/>
      <w:pPr>
        <w:ind w:left="4960" w:hanging="360"/>
      </w:pPr>
      <w:rPr>
        <w:rFonts w:hint="default"/>
        <w:lang w:val="es-ES" w:eastAsia="en-US" w:bidi="ar-SA"/>
      </w:rPr>
    </w:lvl>
    <w:lvl w:ilvl="3">
      <w:start w:val="0"/>
      <w:numFmt w:val="bullet"/>
      <w:lvlText w:val="•"/>
      <w:lvlJc w:val="left"/>
      <w:pPr>
        <w:ind w:left="5797" w:hanging="360"/>
      </w:pPr>
      <w:rPr>
        <w:rFonts w:hint="default"/>
        <w:lang w:val="es-ES" w:eastAsia="en-US" w:bidi="ar-SA"/>
      </w:rPr>
    </w:lvl>
    <w:lvl w:ilvl="4">
      <w:start w:val="0"/>
      <w:numFmt w:val="bullet"/>
      <w:lvlText w:val="•"/>
      <w:lvlJc w:val="left"/>
      <w:pPr>
        <w:ind w:left="6635" w:hanging="360"/>
      </w:pPr>
      <w:rPr>
        <w:rFonts w:hint="default"/>
        <w:lang w:val="es-ES" w:eastAsia="en-US" w:bidi="ar-SA"/>
      </w:rPr>
    </w:lvl>
    <w:lvl w:ilvl="5">
      <w:start w:val="0"/>
      <w:numFmt w:val="bullet"/>
      <w:lvlText w:val="•"/>
      <w:lvlJc w:val="left"/>
      <w:pPr>
        <w:ind w:left="7472" w:hanging="360"/>
      </w:pPr>
      <w:rPr>
        <w:rFonts w:hint="default"/>
        <w:lang w:val="es-ES" w:eastAsia="en-US" w:bidi="ar-SA"/>
      </w:rPr>
    </w:lvl>
    <w:lvl w:ilvl="6">
      <w:start w:val="0"/>
      <w:numFmt w:val="bullet"/>
      <w:lvlText w:val="•"/>
      <w:lvlJc w:val="left"/>
      <w:pPr>
        <w:ind w:left="8310" w:hanging="360"/>
      </w:pPr>
      <w:rPr>
        <w:rFonts w:hint="default"/>
        <w:lang w:val="es-ES" w:eastAsia="en-US" w:bidi="ar-SA"/>
      </w:rPr>
    </w:lvl>
    <w:lvl w:ilvl="7">
      <w:start w:val="0"/>
      <w:numFmt w:val="bullet"/>
      <w:lvlText w:val="•"/>
      <w:lvlJc w:val="left"/>
      <w:pPr>
        <w:ind w:left="9147" w:hanging="360"/>
      </w:pPr>
      <w:rPr>
        <w:rFonts w:hint="default"/>
        <w:lang w:val="es-ES" w:eastAsia="en-US" w:bidi="ar-SA"/>
      </w:rPr>
    </w:lvl>
    <w:lvl w:ilvl="8">
      <w:start w:val="0"/>
      <w:numFmt w:val="bullet"/>
      <w:lvlText w:val="•"/>
      <w:lvlJc w:val="left"/>
      <w:pPr>
        <w:ind w:left="9985" w:hanging="360"/>
      </w:pPr>
      <w:rPr>
        <w:rFonts w:hint="default"/>
        <w:lang w:val="es-ES" w:eastAsia="en-US" w:bidi="ar-SA"/>
      </w:rPr>
    </w:lvl>
  </w:abstractNum>
  <w:abstractNum w:abstractNumId="42">
    <w:multiLevelType w:val="hybridMultilevel"/>
    <w:lvl w:ilvl="0">
      <w:start w:val="1"/>
      <w:numFmt w:val="lowerLetter"/>
      <w:lvlText w:val="%1."/>
      <w:lvlJc w:val="left"/>
      <w:pPr>
        <w:ind w:left="1244" w:hanging="204"/>
        <w:jc w:val="left"/>
      </w:pPr>
      <w:rPr>
        <w:rFonts w:hint="default" w:ascii="Arial" w:hAnsi="Arial" w:eastAsia="Arial" w:cs="Arial"/>
        <w:w w:val="100"/>
        <w:sz w:val="18"/>
        <w:szCs w:val="18"/>
        <w:lang w:val="es-ES" w:eastAsia="en-US" w:bidi="ar-SA"/>
      </w:rPr>
    </w:lvl>
    <w:lvl w:ilvl="1">
      <w:start w:val="0"/>
      <w:numFmt w:val="bullet"/>
      <w:lvlText w:val="•"/>
      <w:lvlJc w:val="left"/>
      <w:pPr>
        <w:ind w:left="2282" w:hanging="204"/>
      </w:pPr>
      <w:rPr>
        <w:rFonts w:hint="default"/>
        <w:lang w:val="es-ES" w:eastAsia="en-US" w:bidi="ar-SA"/>
      </w:rPr>
    </w:lvl>
    <w:lvl w:ilvl="2">
      <w:start w:val="0"/>
      <w:numFmt w:val="bullet"/>
      <w:lvlText w:val="•"/>
      <w:lvlJc w:val="left"/>
      <w:pPr>
        <w:ind w:left="3324" w:hanging="204"/>
      </w:pPr>
      <w:rPr>
        <w:rFonts w:hint="default"/>
        <w:lang w:val="es-ES" w:eastAsia="en-US" w:bidi="ar-SA"/>
      </w:rPr>
    </w:lvl>
    <w:lvl w:ilvl="3">
      <w:start w:val="0"/>
      <w:numFmt w:val="bullet"/>
      <w:lvlText w:val="•"/>
      <w:lvlJc w:val="left"/>
      <w:pPr>
        <w:ind w:left="4366" w:hanging="204"/>
      </w:pPr>
      <w:rPr>
        <w:rFonts w:hint="default"/>
        <w:lang w:val="es-ES" w:eastAsia="en-US" w:bidi="ar-SA"/>
      </w:rPr>
    </w:lvl>
    <w:lvl w:ilvl="4">
      <w:start w:val="0"/>
      <w:numFmt w:val="bullet"/>
      <w:lvlText w:val="•"/>
      <w:lvlJc w:val="left"/>
      <w:pPr>
        <w:ind w:left="5408" w:hanging="204"/>
      </w:pPr>
      <w:rPr>
        <w:rFonts w:hint="default"/>
        <w:lang w:val="es-ES" w:eastAsia="en-US" w:bidi="ar-SA"/>
      </w:rPr>
    </w:lvl>
    <w:lvl w:ilvl="5">
      <w:start w:val="0"/>
      <w:numFmt w:val="bullet"/>
      <w:lvlText w:val="•"/>
      <w:lvlJc w:val="left"/>
      <w:pPr>
        <w:ind w:left="6450" w:hanging="204"/>
      </w:pPr>
      <w:rPr>
        <w:rFonts w:hint="default"/>
        <w:lang w:val="es-ES" w:eastAsia="en-US" w:bidi="ar-SA"/>
      </w:rPr>
    </w:lvl>
    <w:lvl w:ilvl="6">
      <w:start w:val="0"/>
      <w:numFmt w:val="bullet"/>
      <w:lvlText w:val="•"/>
      <w:lvlJc w:val="left"/>
      <w:pPr>
        <w:ind w:left="7492" w:hanging="204"/>
      </w:pPr>
      <w:rPr>
        <w:rFonts w:hint="default"/>
        <w:lang w:val="es-ES" w:eastAsia="en-US" w:bidi="ar-SA"/>
      </w:rPr>
    </w:lvl>
    <w:lvl w:ilvl="7">
      <w:start w:val="0"/>
      <w:numFmt w:val="bullet"/>
      <w:lvlText w:val="•"/>
      <w:lvlJc w:val="left"/>
      <w:pPr>
        <w:ind w:left="8534" w:hanging="204"/>
      </w:pPr>
      <w:rPr>
        <w:rFonts w:hint="default"/>
        <w:lang w:val="es-ES" w:eastAsia="en-US" w:bidi="ar-SA"/>
      </w:rPr>
    </w:lvl>
    <w:lvl w:ilvl="8">
      <w:start w:val="0"/>
      <w:numFmt w:val="bullet"/>
      <w:lvlText w:val="•"/>
      <w:lvlJc w:val="left"/>
      <w:pPr>
        <w:ind w:left="9576" w:hanging="204"/>
      </w:pPr>
      <w:rPr>
        <w:rFonts w:hint="default"/>
        <w:lang w:val="es-ES" w:eastAsia="en-US" w:bidi="ar-SA"/>
      </w:rPr>
    </w:lvl>
  </w:abstractNum>
  <w:abstractNum w:abstractNumId="41">
    <w:multiLevelType w:val="hybridMultilevel"/>
    <w:lvl w:ilvl="0">
      <w:start w:val="1"/>
      <w:numFmt w:val="lowerLetter"/>
      <w:lvlText w:val="%1."/>
      <w:lvlJc w:val="left"/>
      <w:pPr>
        <w:ind w:left="343" w:hanging="204"/>
        <w:jc w:val="left"/>
      </w:pPr>
      <w:rPr>
        <w:rFonts w:hint="default" w:ascii="Arial" w:hAnsi="Arial" w:eastAsia="Arial" w:cs="Arial"/>
        <w:w w:val="100"/>
        <w:sz w:val="18"/>
        <w:szCs w:val="18"/>
        <w:lang w:val="es-ES" w:eastAsia="en-US" w:bidi="ar-SA"/>
      </w:rPr>
    </w:lvl>
    <w:lvl w:ilvl="1">
      <w:start w:val="1"/>
      <w:numFmt w:val="lowerLetter"/>
      <w:lvlText w:val="%2."/>
      <w:lvlJc w:val="left"/>
      <w:pPr>
        <w:ind w:left="523" w:hanging="204"/>
        <w:jc w:val="left"/>
      </w:pPr>
      <w:rPr>
        <w:rFonts w:hint="default" w:ascii="Arial" w:hAnsi="Arial" w:eastAsia="Arial" w:cs="Arial"/>
        <w:w w:val="100"/>
        <w:sz w:val="18"/>
        <w:szCs w:val="18"/>
        <w:lang w:val="es-ES" w:eastAsia="en-US" w:bidi="ar-SA"/>
      </w:rPr>
    </w:lvl>
    <w:lvl w:ilvl="2">
      <w:start w:val="0"/>
      <w:numFmt w:val="bullet"/>
      <w:lvlText w:val="•"/>
      <w:lvlJc w:val="left"/>
      <w:pPr>
        <w:ind w:left="1757" w:hanging="204"/>
      </w:pPr>
      <w:rPr>
        <w:rFonts w:hint="default"/>
        <w:lang w:val="es-ES" w:eastAsia="en-US" w:bidi="ar-SA"/>
      </w:rPr>
    </w:lvl>
    <w:lvl w:ilvl="3">
      <w:start w:val="0"/>
      <w:numFmt w:val="bullet"/>
      <w:lvlText w:val="•"/>
      <w:lvlJc w:val="left"/>
      <w:pPr>
        <w:ind w:left="2995" w:hanging="204"/>
      </w:pPr>
      <w:rPr>
        <w:rFonts w:hint="default"/>
        <w:lang w:val="es-ES" w:eastAsia="en-US" w:bidi="ar-SA"/>
      </w:rPr>
    </w:lvl>
    <w:lvl w:ilvl="4">
      <w:start w:val="0"/>
      <w:numFmt w:val="bullet"/>
      <w:lvlText w:val="•"/>
      <w:lvlJc w:val="left"/>
      <w:pPr>
        <w:ind w:left="4233" w:hanging="204"/>
      </w:pPr>
      <w:rPr>
        <w:rFonts w:hint="default"/>
        <w:lang w:val="es-ES" w:eastAsia="en-US" w:bidi="ar-SA"/>
      </w:rPr>
    </w:lvl>
    <w:lvl w:ilvl="5">
      <w:start w:val="0"/>
      <w:numFmt w:val="bullet"/>
      <w:lvlText w:val="•"/>
      <w:lvlJc w:val="left"/>
      <w:pPr>
        <w:ind w:left="5471" w:hanging="204"/>
      </w:pPr>
      <w:rPr>
        <w:rFonts w:hint="default"/>
        <w:lang w:val="es-ES" w:eastAsia="en-US" w:bidi="ar-SA"/>
      </w:rPr>
    </w:lvl>
    <w:lvl w:ilvl="6">
      <w:start w:val="0"/>
      <w:numFmt w:val="bullet"/>
      <w:lvlText w:val="•"/>
      <w:lvlJc w:val="left"/>
      <w:pPr>
        <w:ind w:left="6708" w:hanging="204"/>
      </w:pPr>
      <w:rPr>
        <w:rFonts w:hint="default"/>
        <w:lang w:val="es-ES" w:eastAsia="en-US" w:bidi="ar-SA"/>
      </w:rPr>
    </w:lvl>
    <w:lvl w:ilvl="7">
      <w:start w:val="0"/>
      <w:numFmt w:val="bullet"/>
      <w:lvlText w:val="•"/>
      <w:lvlJc w:val="left"/>
      <w:pPr>
        <w:ind w:left="7946" w:hanging="204"/>
      </w:pPr>
      <w:rPr>
        <w:rFonts w:hint="default"/>
        <w:lang w:val="es-ES" w:eastAsia="en-US" w:bidi="ar-SA"/>
      </w:rPr>
    </w:lvl>
    <w:lvl w:ilvl="8">
      <w:start w:val="0"/>
      <w:numFmt w:val="bullet"/>
      <w:lvlText w:val="•"/>
      <w:lvlJc w:val="left"/>
      <w:pPr>
        <w:ind w:left="9184" w:hanging="204"/>
      </w:pPr>
      <w:rPr>
        <w:rFonts w:hint="default"/>
        <w:lang w:val="es-ES" w:eastAsia="en-US" w:bidi="ar-SA"/>
      </w:rPr>
    </w:lvl>
  </w:abstractNum>
  <w:abstractNum w:abstractNumId="40">
    <w:multiLevelType w:val="hybridMultilevel"/>
    <w:lvl w:ilvl="0">
      <w:start w:val="8"/>
      <w:numFmt w:val="upperRoman"/>
      <w:lvlText w:val="%1-"/>
      <w:lvlJc w:val="left"/>
      <w:pPr>
        <w:ind w:left="1040" w:hanging="720"/>
        <w:jc w:val="right"/>
      </w:pPr>
      <w:rPr>
        <w:rFonts w:hint="default" w:ascii="Arial" w:hAnsi="Arial" w:eastAsia="Arial" w:cs="Arial"/>
        <w:b/>
        <w:bCs/>
        <w:spacing w:val="-6"/>
        <w:w w:val="99"/>
        <w:sz w:val="24"/>
        <w:szCs w:val="24"/>
        <w:lang w:val="es-ES" w:eastAsia="en-US" w:bidi="ar-SA"/>
      </w:rPr>
    </w:lvl>
    <w:lvl w:ilvl="1">
      <w:start w:val="0"/>
      <w:numFmt w:val="bullet"/>
      <w:lvlText w:val="•"/>
      <w:lvlJc w:val="left"/>
      <w:pPr>
        <w:ind w:left="2080" w:hanging="720"/>
      </w:pPr>
      <w:rPr>
        <w:rFonts w:hint="default"/>
        <w:lang w:val="es-ES" w:eastAsia="en-US" w:bidi="ar-SA"/>
      </w:rPr>
    </w:lvl>
    <w:lvl w:ilvl="2">
      <w:start w:val="0"/>
      <w:numFmt w:val="bullet"/>
      <w:lvlText w:val="•"/>
      <w:lvlJc w:val="left"/>
      <w:pPr>
        <w:ind w:left="3120" w:hanging="720"/>
      </w:pPr>
      <w:rPr>
        <w:rFonts w:hint="default"/>
        <w:lang w:val="es-ES" w:eastAsia="en-US" w:bidi="ar-SA"/>
      </w:rPr>
    </w:lvl>
    <w:lvl w:ilvl="3">
      <w:start w:val="0"/>
      <w:numFmt w:val="bullet"/>
      <w:lvlText w:val="•"/>
      <w:lvlJc w:val="left"/>
      <w:pPr>
        <w:ind w:left="4160" w:hanging="720"/>
      </w:pPr>
      <w:rPr>
        <w:rFonts w:hint="default"/>
        <w:lang w:val="es-ES" w:eastAsia="en-US" w:bidi="ar-SA"/>
      </w:rPr>
    </w:lvl>
    <w:lvl w:ilvl="4">
      <w:start w:val="0"/>
      <w:numFmt w:val="bullet"/>
      <w:lvlText w:val="•"/>
      <w:lvlJc w:val="left"/>
      <w:pPr>
        <w:ind w:left="5200" w:hanging="720"/>
      </w:pPr>
      <w:rPr>
        <w:rFonts w:hint="default"/>
        <w:lang w:val="es-ES" w:eastAsia="en-US" w:bidi="ar-SA"/>
      </w:rPr>
    </w:lvl>
    <w:lvl w:ilvl="5">
      <w:start w:val="0"/>
      <w:numFmt w:val="bullet"/>
      <w:lvlText w:val="•"/>
      <w:lvlJc w:val="left"/>
      <w:pPr>
        <w:ind w:left="6240" w:hanging="720"/>
      </w:pPr>
      <w:rPr>
        <w:rFonts w:hint="default"/>
        <w:lang w:val="es-ES" w:eastAsia="en-US" w:bidi="ar-SA"/>
      </w:rPr>
    </w:lvl>
    <w:lvl w:ilvl="6">
      <w:start w:val="0"/>
      <w:numFmt w:val="bullet"/>
      <w:lvlText w:val="•"/>
      <w:lvlJc w:val="left"/>
      <w:pPr>
        <w:ind w:left="7280" w:hanging="720"/>
      </w:pPr>
      <w:rPr>
        <w:rFonts w:hint="default"/>
        <w:lang w:val="es-ES" w:eastAsia="en-US" w:bidi="ar-SA"/>
      </w:rPr>
    </w:lvl>
    <w:lvl w:ilvl="7">
      <w:start w:val="0"/>
      <w:numFmt w:val="bullet"/>
      <w:lvlText w:val="•"/>
      <w:lvlJc w:val="left"/>
      <w:pPr>
        <w:ind w:left="8320" w:hanging="720"/>
      </w:pPr>
      <w:rPr>
        <w:rFonts w:hint="default"/>
        <w:lang w:val="es-ES" w:eastAsia="en-US" w:bidi="ar-SA"/>
      </w:rPr>
    </w:lvl>
    <w:lvl w:ilvl="8">
      <w:start w:val="0"/>
      <w:numFmt w:val="bullet"/>
      <w:lvlText w:val="•"/>
      <w:lvlJc w:val="left"/>
      <w:pPr>
        <w:ind w:left="9360" w:hanging="720"/>
      </w:pPr>
      <w:rPr>
        <w:rFonts w:hint="default"/>
        <w:lang w:val="es-ES" w:eastAsia="en-US" w:bidi="ar-SA"/>
      </w:rPr>
    </w:lvl>
  </w:abstractNum>
  <w:abstractNum w:abstractNumId="39">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38">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37">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36">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35">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34">
    <w:multiLevelType w:val="hybridMultilevel"/>
    <w:lvl w:ilvl="0">
      <w:start w:val="3"/>
      <w:numFmt w:val="lowerLetter"/>
      <w:lvlText w:val="%1-"/>
      <w:lvlJc w:val="left"/>
      <w:pPr>
        <w:ind w:left="1264" w:hanging="224"/>
        <w:jc w:val="left"/>
      </w:pPr>
      <w:rPr>
        <w:rFonts w:hint="default" w:ascii="Arial" w:hAnsi="Arial" w:eastAsia="Arial" w:cs="Arial"/>
        <w:w w:val="100"/>
        <w:sz w:val="20"/>
        <w:szCs w:val="20"/>
        <w:lang w:val="es-ES" w:eastAsia="en-US" w:bidi="ar-SA"/>
      </w:rPr>
    </w:lvl>
    <w:lvl w:ilvl="1">
      <w:start w:val="0"/>
      <w:numFmt w:val="bullet"/>
      <w:lvlText w:val="•"/>
      <w:lvlJc w:val="left"/>
      <w:pPr>
        <w:ind w:left="2278" w:hanging="224"/>
      </w:pPr>
      <w:rPr>
        <w:rFonts w:hint="default"/>
        <w:lang w:val="es-ES" w:eastAsia="en-US" w:bidi="ar-SA"/>
      </w:rPr>
    </w:lvl>
    <w:lvl w:ilvl="2">
      <w:start w:val="0"/>
      <w:numFmt w:val="bullet"/>
      <w:lvlText w:val="•"/>
      <w:lvlJc w:val="left"/>
      <w:pPr>
        <w:ind w:left="3296" w:hanging="224"/>
      </w:pPr>
      <w:rPr>
        <w:rFonts w:hint="default"/>
        <w:lang w:val="es-ES" w:eastAsia="en-US" w:bidi="ar-SA"/>
      </w:rPr>
    </w:lvl>
    <w:lvl w:ilvl="3">
      <w:start w:val="0"/>
      <w:numFmt w:val="bullet"/>
      <w:lvlText w:val="•"/>
      <w:lvlJc w:val="left"/>
      <w:pPr>
        <w:ind w:left="4314" w:hanging="224"/>
      </w:pPr>
      <w:rPr>
        <w:rFonts w:hint="default"/>
        <w:lang w:val="es-ES" w:eastAsia="en-US" w:bidi="ar-SA"/>
      </w:rPr>
    </w:lvl>
    <w:lvl w:ilvl="4">
      <w:start w:val="0"/>
      <w:numFmt w:val="bullet"/>
      <w:lvlText w:val="•"/>
      <w:lvlJc w:val="left"/>
      <w:pPr>
        <w:ind w:left="5332" w:hanging="224"/>
      </w:pPr>
      <w:rPr>
        <w:rFonts w:hint="default"/>
        <w:lang w:val="es-ES" w:eastAsia="en-US" w:bidi="ar-SA"/>
      </w:rPr>
    </w:lvl>
    <w:lvl w:ilvl="5">
      <w:start w:val="0"/>
      <w:numFmt w:val="bullet"/>
      <w:lvlText w:val="•"/>
      <w:lvlJc w:val="left"/>
      <w:pPr>
        <w:ind w:left="6350" w:hanging="224"/>
      </w:pPr>
      <w:rPr>
        <w:rFonts w:hint="default"/>
        <w:lang w:val="es-ES" w:eastAsia="en-US" w:bidi="ar-SA"/>
      </w:rPr>
    </w:lvl>
    <w:lvl w:ilvl="6">
      <w:start w:val="0"/>
      <w:numFmt w:val="bullet"/>
      <w:lvlText w:val="•"/>
      <w:lvlJc w:val="left"/>
      <w:pPr>
        <w:ind w:left="7368" w:hanging="224"/>
      </w:pPr>
      <w:rPr>
        <w:rFonts w:hint="default"/>
        <w:lang w:val="es-ES" w:eastAsia="en-US" w:bidi="ar-SA"/>
      </w:rPr>
    </w:lvl>
    <w:lvl w:ilvl="7">
      <w:start w:val="0"/>
      <w:numFmt w:val="bullet"/>
      <w:lvlText w:val="•"/>
      <w:lvlJc w:val="left"/>
      <w:pPr>
        <w:ind w:left="8386" w:hanging="224"/>
      </w:pPr>
      <w:rPr>
        <w:rFonts w:hint="default"/>
        <w:lang w:val="es-ES" w:eastAsia="en-US" w:bidi="ar-SA"/>
      </w:rPr>
    </w:lvl>
    <w:lvl w:ilvl="8">
      <w:start w:val="0"/>
      <w:numFmt w:val="bullet"/>
      <w:lvlText w:val="•"/>
      <w:lvlJc w:val="left"/>
      <w:pPr>
        <w:ind w:left="9404" w:hanging="224"/>
      </w:pPr>
      <w:rPr>
        <w:rFonts w:hint="default"/>
        <w:lang w:val="es-ES" w:eastAsia="en-US" w:bidi="ar-SA"/>
      </w:rPr>
    </w:lvl>
  </w:abstractNum>
  <w:abstractNum w:abstractNumId="33">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32">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31">
    <w:multiLevelType w:val="hybridMultilevel"/>
    <w:lvl w:ilvl="0">
      <w:start w:val="4"/>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30">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29">
    <w:multiLevelType w:val="hybridMultilevel"/>
    <w:lvl w:ilvl="0">
      <w:start w:val="5"/>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28">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27">
    <w:multiLevelType w:val="hybridMultilevel"/>
    <w:lvl w:ilvl="0">
      <w:start w:val="4"/>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26">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25">
    <w:multiLevelType w:val="hybridMultilevel"/>
    <w:lvl w:ilvl="0">
      <w:start w:val="3"/>
      <w:numFmt w:val="lowerLetter"/>
      <w:lvlText w:val="%1-"/>
      <w:lvlJc w:val="left"/>
      <w:pPr>
        <w:ind w:left="1264" w:hanging="224"/>
        <w:jc w:val="left"/>
      </w:pPr>
      <w:rPr>
        <w:rFonts w:hint="default" w:ascii="Arial" w:hAnsi="Arial" w:eastAsia="Arial" w:cs="Arial"/>
        <w:w w:val="100"/>
        <w:sz w:val="20"/>
        <w:szCs w:val="20"/>
        <w:lang w:val="es-ES" w:eastAsia="en-US" w:bidi="ar-SA"/>
      </w:rPr>
    </w:lvl>
    <w:lvl w:ilvl="1">
      <w:start w:val="0"/>
      <w:numFmt w:val="bullet"/>
      <w:lvlText w:val="•"/>
      <w:lvlJc w:val="left"/>
      <w:pPr>
        <w:ind w:left="2278" w:hanging="224"/>
      </w:pPr>
      <w:rPr>
        <w:rFonts w:hint="default"/>
        <w:lang w:val="es-ES" w:eastAsia="en-US" w:bidi="ar-SA"/>
      </w:rPr>
    </w:lvl>
    <w:lvl w:ilvl="2">
      <w:start w:val="0"/>
      <w:numFmt w:val="bullet"/>
      <w:lvlText w:val="•"/>
      <w:lvlJc w:val="left"/>
      <w:pPr>
        <w:ind w:left="3296" w:hanging="224"/>
      </w:pPr>
      <w:rPr>
        <w:rFonts w:hint="default"/>
        <w:lang w:val="es-ES" w:eastAsia="en-US" w:bidi="ar-SA"/>
      </w:rPr>
    </w:lvl>
    <w:lvl w:ilvl="3">
      <w:start w:val="0"/>
      <w:numFmt w:val="bullet"/>
      <w:lvlText w:val="•"/>
      <w:lvlJc w:val="left"/>
      <w:pPr>
        <w:ind w:left="4314" w:hanging="224"/>
      </w:pPr>
      <w:rPr>
        <w:rFonts w:hint="default"/>
        <w:lang w:val="es-ES" w:eastAsia="en-US" w:bidi="ar-SA"/>
      </w:rPr>
    </w:lvl>
    <w:lvl w:ilvl="4">
      <w:start w:val="0"/>
      <w:numFmt w:val="bullet"/>
      <w:lvlText w:val="•"/>
      <w:lvlJc w:val="left"/>
      <w:pPr>
        <w:ind w:left="5332" w:hanging="224"/>
      </w:pPr>
      <w:rPr>
        <w:rFonts w:hint="default"/>
        <w:lang w:val="es-ES" w:eastAsia="en-US" w:bidi="ar-SA"/>
      </w:rPr>
    </w:lvl>
    <w:lvl w:ilvl="5">
      <w:start w:val="0"/>
      <w:numFmt w:val="bullet"/>
      <w:lvlText w:val="•"/>
      <w:lvlJc w:val="left"/>
      <w:pPr>
        <w:ind w:left="6350" w:hanging="224"/>
      </w:pPr>
      <w:rPr>
        <w:rFonts w:hint="default"/>
        <w:lang w:val="es-ES" w:eastAsia="en-US" w:bidi="ar-SA"/>
      </w:rPr>
    </w:lvl>
    <w:lvl w:ilvl="6">
      <w:start w:val="0"/>
      <w:numFmt w:val="bullet"/>
      <w:lvlText w:val="•"/>
      <w:lvlJc w:val="left"/>
      <w:pPr>
        <w:ind w:left="7368" w:hanging="224"/>
      </w:pPr>
      <w:rPr>
        <w:rFonts w:hint="default"/>
        <w:lang w:val="es-ES" w:eastAsia="en-US" w:bidi="ar-SA"/>
      </w:rPr>
    </w:lvl>
    <w:lvl w:ilvl="7">
      <w:start w:val="0"/>
      <w:numFmt w:val="bullet"/>
      <w:lvlText w:val="•"/>
      <w:lvlJc w:val="left"/>
      <w:pPr>
        <w:ind w:left="8386" w:hanging="224"/>
      </w:pPr>
      <w:rPr>
        <w:rFonts w:hint="default"/>
        <w:lang w:val="es-ES" w:eastAsia="en-US" w:bidi="ar-SA"/>
      </w:rPr>
    </w:lvl>
    <w:lvl w:ilvl="8">
      <w:start w:val="0"/>
      <w:numFmt w:val="bullet"/>
      <w:lvlText w:val="•"/>
      <w:lvlJc w:val="left"/>
      <w:pPr>
        <w:ind w:left="9404" w:hanging="224"/>
      </w:pPr>
      <w:rPr>
        <w:rFonts w:hint="default"/>
        <w:lang w:val="es-ES" w:eastAsia="en-US" w:bidi="ar-SA"/>
      </w:rPr>
    </w:lvl>
  </w:abstractNum>
  <w:abstractNum w:abstractNumId="24">
    <w:multiLevelType w:val="hybridMultilevel"/>
    <w:lvl w:ilvl="0">
      <w:start w:val="1"/>
      <w:numFmt w:val="lowerLetter"/>
      <w:lvlText w:val="%1-"/>
      <w:lvlJc w:val="left"/>
      <w:pPr>
        <w:ind w:left="1040" w:hanging="236"/>
        <w:jc w:val="left"/>
      </w:pPr>
      <w:rPr>
        <w:rFonts w:hint="default" w:ascii="Arial" w:hAnsi="Arial" w:eastAsia="Arial" w:cs="Arial"/>
        <w:w w:val="99"/>
        <w:sz w:val="20"/>
        <w:szCs w:val="20"/>
        <w:lang w:val="es-ES" w:eastAsia="en-US" w:bidi="ar-SA"/>
      </w:rPr>
    </w:lvl>
    <w:lvl w:ilvl="1">
      <w:start w:val="0"/>
      <w:numFmt w:val="bullet"/>
      <w:lvlText w:val="•"/>
      <w:lvlJc w:val="left"/>
      <w:pPr>
        <w:ind w:left="2080" w:hanging="236"/>
      </w:pPr>
      <w:rPr>
        <w:rFonts w:hint="default"/>
        <w:lang w:val="es-ES" w:eastAsia="en-US" w:bidi="ar-SA"/>
      </w:rPr>
    </w:lvl>
    <w:lvl w:ilvl="2">
      <w:start w:val="0"/>
      <w:numFmt w:val="bullet"/>
      <w:lvlText w:val="•"/>
      <w:lvlJc w:val="left"/>
      <w:pPr>
        <w:ind w:left="3120" w:hanging="236"/>
      </w:pPr>
      <w:rPr>
        <w:rFonts w:hint="default"/>
        <w:lang w:val="es-ES" w:eastAsia="en-US" w:bidi="ar-SA"/>
      </w:rPr>
    </w:lvl>
    <w:lvl w:ilvl="3">
      <w:start w:val="0"/>
      <w:numFmt w:val="bullet"/>
      <w:lvlText w:val="•"/>
      <w:lvlJc w:val="left"/>
      <w:pPr>
        <w:ind w:left="4160" w:hanging="236"/>
      </w:pPr>
      <w:rPr>
        <w:rFonts w:hint="default"/>
        <w:lang w:val="es-ES" w:eastAsia="en-US" w:bidi="ar-SA"/>
      </w:rPr>
    </w:lvl>
    <w:lvl w:ilvl="4">
      <w:start w:val="0"/>
      <w:numFmt w:val="bullet"/>
      <w:lvlText w:val="•"/>
      <w:lvlJc w:val="left"/>
      <w:pPr>
        <w:ind w:left="5200" w:hanging="236"/>
      </w:pPr>
      <w:rPr>
        <w:rFonts w:hint="default"/>
        <w:lang w:val="es-ES" w:eastAsia="en-US" w:bidi="ar-SA"/>
      </w:rPr>
    </w:lvl>
    <w:lvl w:ilvl="5">
      <w:start w:val="0"/>
      <w:numFmt w:val="bullet"/>
      <w:lvlText w:val="•"/>
      <w:lvlJc w:val="left"/>
      <w:pPr>
        <w:ind w:left="6240" w:hanging="236"/>
      </w:pPr>
      <w:rPr>
        <w:rFonts w:hint="default"/>
        <w:lang w:val="es-ES" w:eastAsia="en-US" w:bidi="ar-SA"/>
      </w:rPr>
    </w:lvl>
    <w:lvl w:ilvl="6">
      <w:start w:val="0"/>
      <w:numFmt w:val="bullet"/>
      <w:lvlText w:val="•"/>
      <w:lvlJc w:val="left"/>
      <w:pPr>
        <w:ind w:left="7280" w:hanging="236"/>
      </w:pPr>
      <w:rPr>
        <w:rFonts w:hint="default"/>
        <w:lang w:val="es-ES" w:eastAsia="en-US" w:bidi="ar-SA"/>
      </w:rPr>
    </w:lvl>
    <w:lvl w:ilvl="7">
      <w:start w:val="0"/>
      <w:numFmt w:val="bullet"/>
      <w:lvlText w:val="•"/>
      <w:lvlJc w:val="left"/>
      <w:pPr>
        <w:ind w:left="8320" w:hanging="236"/>
      </w:pPr>
      <w:rPr>
        <w:rFonts w:hint="default"/>
        <w:lang w:val="es-ES" w:eastAsia="en-US" w:bidi="ar-SA"/>
      </w:rPr>
    </w:lvl>
    <w:lvl w:ilvl="8">
      <w:start w:val="0"/>
      <w:numFmt w:val="bullet"/>
      <w:lvlText w:val="•"/>
      <w:lvlJc w:val="left"/>
      <w:pPr>
        <w:ind w:left="9360" w:hanging="236"/>
      </w:pPr>
      <w:rPr>
        <w:rFonts w:hint="default"/>
        <w:lang w:val="es-ES" w:eastAsia="en-US" w:bidi="ar-SA"/>
      </w:rPr>
    </w:lvl>
  </w:abstractNum>
  <w:abstractNum w:abstractNumId="23">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22">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21">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20">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19">
    <w:multiLevelType w:val="hybridMultilevel"/>
    <w:lvl w:ilvl="0">
      <w:start w:val="4"/>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18">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17">
    <w:multiLevelType w:val="hybridMultilevel"/>
    <w:lvl w:ilvl="0">
      <w:start w:val="4"/>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16">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15">
    <w:multiLevelType w:val="hybridMultilevel"/>
    <w:lvl w:ilvl="0">
      <w:start w:val="4"/>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14">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13">
    <w:multiLevelType w:val="hybridMultilevel"/>
    <w:lvl w:ilvl="0">
      <w:start w:val="4"/>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12">
    <w:multiLevelType w:val="hybridMultilevel"/>
    <w:lvl w:ilvl="0">
      <w:start w:val="1"/>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11">
    <w:multiLevelType w:val="hybridMultilevel"/>
    <w:lvl w:ilvl="0">
      <w:start w:val="4"/>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10">
    <w:multiLevelType w:val="hybridMultilevel"/>
    <w:lvl w:ilvl="0">
      <w:start w:val="4"/>
      <w:numFmt w:val="lowerLetter"/>
      <w:lvlText w:val="%1-"/>
      <w:lvlJc w:val="left"/>
      <w:pPr>
        <w:ind w:left="1276" w:hanging="236"/>
        <w:jc w:val="left"/>
      </w:pPr>
      <w:rPr>
        <w:rFonts w:hint="default" w:ascii="Arial" w:hAnsi="Arial" w:eastAsia="Arial" w:cs="Arial"/>
        <w:w w:val="99"/>
        <w:sz w:val="20"/>
        <w:szCs w:val="20"/>
        <w:lang w:val="es-ES" w:eastAsia="en-US" w:bidi="ar-SA"/>
      </w:rPr>
    </w:lvl>
    <w:lvl w:ilvl="1">
      <w:start w:val="0"/>
      <w:numFmt w:val="bullet"/>
      <w:lvlText w:val="•"/>
      <w:lvlJc w:val="left"/>
      <w:pPr>
        <w:ind w:left="2296" w:hanging="236"/>
      </w:pPr>
      <w:rPr>
        <w:rFonts w:hint="default"/>
        <w:lang w:val="es-ES" w:eastAsia="en-US" w:bidi="ar-SA"/>
      </w:rPr>
    </w:lvl>
    <w:lvl w:ilvl="2">
      <w:start w:val="0"/>
      <w:numFmt w:val="bullet"/>
      <w:lvlText w:val="•"/>
      <w:lvlJc w:val="left"/>
      <w:pPr>
        <w:ind w:left="3312" w:hanging="236"/>
      </w:pPr>
      <w:rPr>
        <w:rFonts w:hint="default"/>
        <w:lang w:val="es-ES" w:eastAsia="en-US" w:bidi="ar-SA"/>
      </w:rPr>
    </w:lvl>
    <w:lvl w:ilvl="3">
      <w:start w:val="0"/>
      <w:numFmt w:val="bullet"/>
      <w:lvlText w:val="•"/>
      <w:lvlJc w:val="left"/>
      <w:pPr>
        <w:ind w:left="4328" w:hanging="236"/>
      </w:pPr>
      <w:rPr>
        <w:rFonts w:hint="default"/>
        <w:lang w:val="es-ES" w:eastAsia="en-US" w:bidi="ar-SA"/>
      </w:rPr>
    </w:lvl>
    <w:lvl w:ilvl="4">
      <w:start w:val="0"/>
      <w:numFmt w:val="bullet"/>
      <w:lvlText w:val="•"/>
      <w:lvlJc w:val="left"/>
      <w:pPr>
        <w:ind w:left="5344" w:hanging="236"/>
      </w:pPr>
      <w:rPr>
        <w:rFonts w:hint="default"/>
        <w:lang w:val="es-ES" w:eastAsia="en-US" w:bidi="ar-SA"/>
      </w:rPr>
    </w:lvl>
    <w:lvl w:ilvl="5">
      <w:start w:val="0"/>
      <w:numFmt w:val="bullet"/>
      <w:lvlText w:val="•"/>
      <w:lvlJc w:val="left"/>
      <w:pPr>
        <w:ind w:left="6360" w:hanging="236"/>
      </w:pPr>
      <w:rPr>
        <w:rFonts w:hint="default"/>
        <w:lang w:val="es-ES" w:eastAsia="en-US" w:bidi="ar-SA"/>
      </w:rPr>
    </w:lvl>
    <w:lvl w:ilvl="6">
      <w:start w:val="0"/>
      <w:numFmt w:val="bullet"/>
      <w:lvlText w:val="•"/>
      <w:lvlJc w:val="left"/>
      <w:pPr>
        <w:ind w:left="7376" w:hanging="236"/>
      </w:pPr>
      <w:rPr>
        <w:rFonts w:hint="default"/>
        <w:lang w:val="es-ES" w:eastAsia="en-US" w:bidi="ar-SA"/>
      </w:rPr>
    </w:lvl>
    <w:lvl w:ilvl="7">
      <w:start w:val="0"/>
      <w:numFmt w:val="bullet"/>
      <w:lvlText w:val="•"/>
      <w:lvlJc w:val="left"/>
      <w:pPr>
        <w:ind w:left="8392" w:hanging="236"/>
      </w:pPr>
      <w:rPr>
        <w:rFonts w:hint="default"/>
        <w:lang w:val="es-ES" w:eastAsia="en-US" w:bidi="ar-SA"/>
      </w:rPr>
    </w:lvl>
    <w:lvl w:ilvl="8">
      <w:start w:val="0"/>
      <w:numFmt w:val="bullet"/>
      <w:lvlText w:val="•"/>
      <w:lvlJc w:val="left"/>
      <w:pPr>
        <w:ind w:left="9408" w:hanging="236"/>
      </w:pPr>
      <w:rPr>
        <w:rFonts w:hint="default"/>
        <w:lang w:val="es-ES" w:eastAsia="en-US" w:bidi="ar-SA"/>
      </w:rPr>
    </w:lvl>
  </w:abstractNum>
  <w:abstractNum w:abstractNumId="9">
    <w:multiLevelType w:val="hybridMultilevel"/>
    <w:lvl w:ilvl="0">
      <w:start w:val="0"/>
      <w:numFmt w:val="bullet"/>
      <w:lvlText w:val="*"/>
      <w:lvlJc w:val="left"/>
      <w:pPr>
        <w:ind w:left="1284" w:hanging="188"/>
      </w:pPr>
      <w:rPr>
        <w:rFonts w:hint="default" w:ascii="Arial" w:hAnsi="Arial" w:eastAsia="Arial" w:cs="Arial"/>
        <w:w w:val="99"/>
        <w:sz w:val="20"/>
        <w:szCs w:val="20"/>
        <w:lang w:val="es-ES" w:eastAsia="en-US" w:bidi="ar-SA"/>
      </w:rPr>
    </w:lvl>
    <w:lvl w:ilvl="1">
      <w:start w:val="0"/>
      <w:numFmt w:val="bullet"/>
      <w:lvlText w:val="•"/>
      <w:lvlJc w:val="left"/>
      <w:pPr>
        <w:ind w:left="2296" w:hanging="188"/>
      </w:pPr>
      <w:rPr>
        <w:rFonts w:hint="default"/>
        <w:lang w:val="es-ES" w:eastAsia="en-US" w:bidi="ar-SA"/>
      </w:rPr>
    </w:lvl>
    <w:lvl w:ilvl="2">
      <w:start w:val="0"/>
      <w:numFmt w:val="bullet"/>
      <w:lvlText w:val="•"/>
      <w:lvlJc w:val="left"/>
      <w:pPr>
        <w:ind w:left="3312" w:hanging="188"/>
      </w:pPr>
      <w:rPr>
        <w:rFonts w:hint="default"/>
        <w:lang w:val="es-ES" w:eastAsia="en-US" w:bidi="ar-SA"/>
      </w:rPr>
    </w:lvl>
    <w:lvl w:ilvl="3">
      <w:start w:val="0"/>
      <w:numFmt w:val="bullet"/>
      <w:lvlText w:val="•"/>
      <w:lvlJc w:val="left"/>
      <w:pPr>
        <w:ind w:left="4328" w:hanging="188"/>
      </w:pPr>
      <w:rPr>
        <w:rFonts w:hint="default"/>
        <w:lang w:val="es-ES" w:eastAsia="en-US" w:bidi="ar-SA"/>
      </w:rPr>
    </w:lvl>
    <w:lvl w:ilvl="4">
      <w:start w:val="0"/>
      <w:numFmt w:val="bullet"/>
      <w:lvlText w:val="•"/>
      <w:lvlJc w:val="left"/>
      <w:pPr>
        <w:ind w:left="5344" w:hanging="188"/>
      </w:pPr>
      <w:rPr>
        <w:rFonts w:hint="default"/>
        <w:lang w:val="es-ES" w:eastAsia="en-US" w:bidi="ar-SA"/>
      </w:rPr>
    </w:lvl>
    <w:lvl w:ilvl="5">
      <w:start w:val="0"/>
      <w:numFmt w:val="bullet"/>
      <w:lvlText w:val="•"/>
      <w:lvlJc w:val="left"/>
      <w:pPr>
        <w:ind w:left="6360" w:hanging="188"/>
      </w:pPr>
      <w:rPr>
        <w:rFonts w:hint="default"/>
        <w:lang w:val="es-ES" w:eastAsia="en-US" w:bidi="ar-SA"/>
      </w:rPr>
    </w:lvl>
    <w:lvl w:ilvl="6">
      <w:start w:val="0"/>
      <w:numFmt w:val="bullet"/>
      <w:lvlText w:val="•"/>
      <w:lvlJc w:val="left"/>
      <w:pPr>
        <w:ind w:left="7376" w:hanging="188"/>
      </w:pPr>
      <w:rPr>
        <w:rFonts w:hint="default"/>
        <w:lang w:val="es-ES" w:eastAsia="en-US" w:bidi="ar-SA"/>
      </w:rPr>
    </w:lvl>
    <w:lvl w:ilvl="7">
      <w:start w:val="0"/>
      <w:numFmt w:val="bullet"/>
      <w:lvlText w:val="•"/>
      <w:lvlJc w:val="left"/>
      <w:pPr>
        <w:ind w:left="8392" w:hanging="188"/>
      </w:pPr>
      <w:rPr>
        <w:rFonts w:hint="default"/>
        <w:lang w:val="es-ES" w:eastAsia="en-US" w:bidi="ar-SA"/>
      </w:rPr>
    </w:lvl>
    <w:lvl w:ilvl="8">
      <w:start w:val="0"/>
      <w:numFmt w:val="bullet"/>
      <w:lvlText w:val="•"/>
      <w:lvlJc w:val="left"/>
      <w:pPr>
        <w:ind w:left="9408" w:hanging="188"/>
      </w:pPr>
      <w:rPr>
        <w:rFonts w:hint="default"/>
        <w:lang w:val="es-ES" w:eastAsia="en-US" w:bidi="ar-SA"/>
      </w:rPr>
    </w:lvl>
  </w:abstractNum>
  <w:abstractNum w:abstractNumId="8">
    <w:multiLevelType w:val="hybridMultilevel"/>
    <w:lvl w:ilvl="0">
      <w:start w:val="1"/>
      <w:numFmt w:val="upperRoman"/>
      <w:lvlText w:val="%1-"/>
      <w:lvlJc w:val="left"/>
      <w:pPr>
        <w:ind w:left="1220" w:hanging="180"/>
        <w:jc w:val="left"/>
      </w:pPr>
      <w:rPr>
        <w:rFonts w:hint="default" w:ascii="Arial" w:hAnsi="Arial" w:eastAsia="Arial" w:cs="Arial"/>
        <w:b/>
        <w:bCs/>
        <w:spacing w:val="-4"/>
        <w:w w:val="99"/>
        <w:sz w:val="20"/>
        <w:szCs w:val="20"/>
        <w:lang w:val="es-ES" w:eastAsia="en-US" w:bidi="ar-SA"/>
      </w:rPr>
    </w:lvl>
    <w:lvl w:ilvl="1">
      <w:start w:val="1"/>
      <w:numFmt w:val="decimal"/>
      <w:lvlText w:val="%2-"/>
      <w:lvlJc w:val="left"/>
      <w:pPr>
        <w:ind w:left="1276" w:hanging="236"/>
        <w:jc w:val="left"/>
      </w:pPr>
      <w:rPr>
        <w:rFonts w:hint="default" w:ascii="Arial" w:hAnsi="Arial" w:eastAsia="Arial" w:cs="Arial"/>
        <w:b/>
        <w:bCs/>
        <w:w w:val="99"/>
        <w:sz w:val="20"/>
        <w:szCs w:val="20"/>
        <w:lang w:val="es-ES" w:eastAsia="en-US" w:bidi="ar-SA"/>
      </w:rPr>
    </w:lvl>
    <w:lvl w:ilvl="2">
      <w:start w:val="1"/>
      <w:numFmt w:val="lowerLetter"/>
      <w:lvlText w:val="%3-"/>
      <w:lvlJc w:val="left"/>
      <w:pPr>
        <w:ind w:left="1276" w:hanging="236"/>
        <w:jc w:val="left"/>
      </w:pPr>
      <w:rPr>
        <w:rFonts w:hint="default" w:ascii="Arial" w:hAnsi="Arial" w:eastAsia="Arial" w:cs="Arial"/>
        <w:w w:val="99"/>
        <w:sz w:val="20"/>
        <w:szCs w:val="20"/>
        <w:lang w:val="es-ES" w:eastAsia="en-US" w:bidi="ar-SA"/>
      </w:rPr>
    </w:lvl>
    <w:lvl w:ilvl="3">
      <w:start w:val="0"/>
      <w:numFmt w:val="bullet"/>
      <w:lvlText w:val="•"/>
      <w:lvlJc w:val="left"/>
      <w:pPr>
        <w:ind w:left="3537" w:hanging="236"/>
      </w:pPr>
      <w:rPr>
        <w:rFonts w:hint="default"/>
        <w:lang w:val="es-ES" w:eastAsia="en-US" w:bidi="ar-SA"/>
      </w:rPr>
    </w:lvl>
    <w:lvl w:ilvl="4">
      <w:start w:val="0"/>
      <w:numFmt w:val="bullet"/>
      <w:lvlText w:val="•"/>
      <w:lvlJc w:val="left"/>
      <w:pPr>
        <w:ind w:left="4666" w:hanging="236"/>
      </w:pPr>
      <w:rPr>
        <w:rFonts w:hint="default"/>
        <w:lang w:val="es-ES" w:eastAsia="en-US" w:bidi="ar-SA"/>
      </w:rPr>
    </w:lvl>
    <w:lvl w:ilvl="5">
      <w:start w:val="0"/>
      <w:numFmt w:val="bullet"/>
      <w:lvlText w:val="•"/>
      <w:lvlJc w:val="left"/>
      <w:pPr>
        <w:ind w:left="5795" w:hanging="236"/>
      </w:pPr>
      <w:rPr>
        <w:rFonts w:hint="default"/>
        <w:lang w:val="es-ES" w:eastAsia="en-US" w:bidi="ar-SA"/>
      </w:rPr>
    </w:lvl>
    <w:lvl w:ilvl="6">
      <w:start w:val="0"/>
      <w:numFmt w:val="bullet"/>
      <w:lvlText w:val="•"/>
      <w:lvlJc w:val="left"/>
      <w:pPr>
        <w:ind w:left="6924" w:hanging="236"/>
      </w:pPr>
      <w:rPr>
        <w:rFonts w:hint="default"/>
        <w:lang w:val="es-ES" w:eastAsia="en-US" w:bidi="ar-SA"/>
      </w:rPr>
    </w:lvl>
    <w:lvl w:ilvl="7">
      <w:start w:val="0"/>
      <w:numFmt w:val="bullet"/>
      <w:lvlText w:val="•"/>
      <w:lvlJc w:val="left"/>
      <w:pPr>
        <w:ind w:left="8053" w:hanging="236"/>
      </w:pPr>
      <w:rPr>
        <w:rFonts w:hint="default"/>
        <w:lang w:val="es-ES" w:eastAsia="en-US" w:bidi="ar-SA"/>
      </w:rPr>
    </w:lvl>
    <w:lvl w:ilvl="8">
      <w:start w:val="0"/>
      <w:numFmt w:val="bullet"/>
      <w:lvlText w:val="•"/>
      <w:lvlJc w:val="left"/>
      <w:pPr>
        <w:ind w:left="9182" w:hanging="236"/>
      </w:pPr>
      <w:rPr>
        <w:rFonts w:hint="default"/>
        <w:lang w:val="es-ES" w:eastAsia="en-US" w:bidi="ar-SA"/>
      </w:rPr>
    </w:lvl>
  </w:abstractNum>
  <w:abstractNum w:abstractNumId="7">
    <w:multiLevelType w:val="hybridMultilevel"/>
    <w:lvl w:ilvl="0">
      <w:start w:val="1"/>
      <w:numFmt w:val="upperLetter"/>
      <w:lvlText w:val="%1."/>
      <w:lvlJc w:val="left"/>
      <w:pPr>
        <w:ind w:left="1660" w:hanging="720"/>
        <w:jc w:val="right"/>
      </w:pPr>
      <w:rPr>
        <w:rFonts w:hint="default" w:ascii="Arial" w:hAnsi="Arial" w:eastAsia="Arial" w:cs="Arial"/>
        <w:b/>
        <w:bCs/>
        <w:spacing w:val="-6"/>
        <w:w w:val="99"/>
        <w:sz w:val="24"/>
        <w:szCs w:val="24"/>
        <w:lang w:val="es-ES" w:eastAsia="en-US" w:bidi="ar-SA"/>
      </w:rPr>
    </w:lvl>
    <w:lvl w:ilvl="1">
      <w:start w:val="0"/>
      <w:numFmt w:val="bullet"/>
      <w:lvlText w:val="•"/>
      <w:lvlJc w:val="left"/>
      <w:pPr>
        <w:ind w:left="1760" w:hanging="720"/>
      </w:pPr>
      <w:rPr>
        <w:rFonts w:hint="default"/>
        <w:lang w:val="es-ES" w:eastAsia="en-US" w:bidi="ar-SA"/>
      </w:rPr>
    </w:lvl>
    <w:lvl w:ilvl="2">
      <w:start w:val="0"/>
      <w:numFmt w:val="bullet"/>
      <w:lvlText w:val="•"/>
      <w:lvlJc w:val="left"/>
      <w:pPr>
        <w:ind w:left="2813" w:hanging="720"/>
      </w:pPr>
      <w:rPr>
        <w:rFonts w:hint="default"/>
        <w:lang w:val="es-ES" w:eastAsia="en-US" w:bidi="ar-SA"/>
      </w:rPr>
    </w:lvl>
    <w:lvl w:ilvl="3">
      <w:start w:val="0"/>
      <w:numFmt w:val="bullet"/>
      <w:lvlText w:val="•"/>
      <w:lvlJc w:val="left"/>
      <w:pPr>
        <w:ind w:left="3866" w:hanging="720"/>
      </w:pPr>
      <w:rPr>
        <w:rFonts w:hint="default"/>
        <w:lang w:val="es-ES" w:eastAsia="en-US" w:bidi="ar-SA"/>
      </w:rPr>
    </w:lvl>
    <w:lvl w:ilvl="4">
      <w:start w:val="0"/>
      <w:numFmt w:val="bullet"/>
      <w:lvlText w:val="•"/>
      <w:lvlJc w:val="left"/>
      <w:pPr>
        <w:ind w:left="4920" w:hanging="720"/>
      </w:pPr>
      <w:rPr>
        <w:rFonts w:hint="default"/>
        <w:lang w:val="es-ES" w:eastAsia="en-US" w:bidi="ar-SA"/>
      </w:rPr>
    </w:lvl>
    <w:lvl w:ilvl="5">
      <w:start w:val="0"/>
      <w:numFmt w:val="bullet"/>
      <w:lvlText w:val="•"/>
      <w:lvlJc w:val="left"/>
      <w:pPr>
        <w:ind w:left="5973" w:hanging="720"/>
      </w:pPr>
      <w:rPr>
        <w:rFonts w:hint="default"/>
        <w:lang w:val="es-ES" w:eastAsia="en-US" w:bidi="ar-SA"/>
      </w:rPr>
    </w:lvl>
    <w:lvl w:ilvl="6">
      <w:start w:val="0"/>
      <w:numFmt w:val="bullet"/>
      <w:lvlText w:val="•"/>
      <w:lvlJc w:val="left"/>
      <w:pPr>
        <w:ind w:left="7026" w:hanging="720"/>
      </w:pPr>
      <w:rPr>
        <w:rFonts w:hint="default"/>
        <w:lang w:val="es-ES" w:eastAsia="en-US" w:bidi="ar-SA"/>
      </w:rPr>
    </w:lvl>
    <w:lvl w:ilvl="7">
      <w:start w:val="0"/>
      <w:numFmt w:val="bullet"/>
      <w:lvlText w:val="•"/>
      <w:lvlJc w:val="left"/>
      <w:pPr>
        <w:ind w:left="8080" w:hanging="720"/>
      </w:pPr>
      <w:rPr>
        <w:rFonts w:hint="default"/>
        <w:lang w:val="es-ES" w:eastAsia="en-US" w:bidi="ar-SA"/>
      </w:rPr>
    </w:lvl>
    <w:lvl w:ilvl="8">
      <w:start w:val="0"/>
      <w:numFmt w:val="bullet"/>
      <w:lvlText w:val="•"/>
      <w:lvlJc w:val="left"/>
      <w:pPr>
        <w:ind w:left="9133" w:hanging="720"/>
      </w:pPr>
      <w:rPr>
        <w:rFonts w:hint="default"/>
        <w:lang w:val="es-ES" w:eastAsia="en-US" w:bidi="ar-SA"/>
      </w:rPr>
    </w:lvl>
  </w:abstractNum>
  <w:abstractNum w:abstractNumId="6">
    <w:multiLevelType w:val="hybridMultilevel"/>
    <w:lvl w:ilvl="0">
      <w:start w:val="1"/>
      <w:numFmt w:val="decimal"/>
      <w:lvlText w:val="%1."/>
      <w:lvlJc w:val="left"/>
      <w:pPr>
        <w:ind w:left="941" w:hanging="721"/>
        <w:jc w:val="left"/>
      </w:pPr>
      <w:rPr>
        <w:rFonts w:hint="default" w:ascii="Arial" w:hAnsi="Arial" w:eastAsia="Arial" w:cs="Arial"/>
        <w:b/>
        <w:bCs/>
        <w:spacing w:val="-12"/>
        <w:w w:val="99"/>
        <w:sz w:val="24"/>
        <w:szCs w:val="24"/>
        <w:lang w:val="es-ES" w:eastAsia="en-US" w:bidi="ar-SA"/>
      </w:rPr>
    </w:lvl>
    <w:lvl w:ilvl="1">
      <w:start w:val="0"/>
      <w:numFmt w:val="bullet"/>
      <w:lvlText w:val="•"/>
      <w:lvlJc w:val="left"/>
      <w:pPr>
        <w:ind w:left="1840" w:hanging="721"/>
      </w:pPr>
      <w:rPr>
        <w:rFonts w:hint="default"/>
        <w:lang w:val="es-ES" w:eastAsia="en-US" w:bidi="ar-SA"/>
      </w:rPr>
    </w:lvl>
    <w:lvl w:ilvl="2">
      <w:start w:val="0"/>
      <w:numFmt w:val="bullet"/>
      <w:lvlText w:val="•"/>
      <w:lvlJc w:val="left"/>
      <w:pPr>
        <w:ind w:left="2740" w:hanging="721"/>
      </w:pPr>
      <w:rPr>
        <w:rFonts w:hint="default"/>
        <w:lang w:val="es-ES" w:eastAsia="en-US" w:bidi="ar-SA"/>
      </w:rPr>
    </w:lvl>
    <w:lvl w:ilvl="3">
      <w:start w:val="0"/>
      <w:numFmt w:val="bullet"/>
      <w:lvlText w:val="•"/>
      <w:lvlJc w:val="left"/>
      <w:pPr>
        <w:ind w:left="3640" w:hanging="721"/>
      </w:pPr>
      <w:rPr>
        <w:rFonts w:hint="default"/>
        <w:lang w:val="es-ES" w:eastAsia="en-US" w:bidi="ar-SA"/>
      </w:rPr>
    </w:lvl>
    <w:lvl w:ilvl="4">
      <w:start w:val="0"/>
      <w:numFmt w:val="bullet"/>
      <w:lvlText w:val="•"/>
      <w:lvlJc w:val="left"/>
      <w:pPr>
        <w:ind w:left="4540" w:hanging="721"/>
      </w:pPr>
      <w:rPr>
        <w:rFonts w:hint="default"/>
        <w:lang w:val="es-ES" w:eastAsia="en-US" w:bidi="ar-SA"/>
      </w:rPr>
    </w:lvl>
    <w:lvl w:ilvl="5">
      <w:start w:val="0"/>
      <w:numFmt w:val="bullet"/>
      <w:lvlText w:val="•"/>
      <w:lvlJc w:val="left"/>
      <w:pPr>
        <w:ind w:left="5440" w:hanging="721"/>
      </w:pPr>
      <w:rPr>
        <w:rFonts w:hint="default"/>
        <w:lang w:val="es-ES" w:eastAsia="en-US" w:bidi="ar-SA"/>
      </w:rPr>
    </w:lvl>
    <w:lvl w:ilvl="6">
      <w:start w:val="0"/>
      <w:numFmt w:val="bullet"/>
      <w:lvlText w:val="•"/>
      <w:lvlJc w:val="left"/>
      <w:pPr>
        <w:ind w:left="6340" w:hanging="721"/>
      </w:pPr>
      <w:rPr>
        <w:rFonts w:hint="default"/>
        <w:lang w:val="es-ES" w:eastAsia="en-US" w:bidi="ar-SA"/>
      </w:rPr>
    </w:lvl>
    <w:lvl w:ilvl="7">
      <w:start w:val="0"/>
      <w:numFmt w:val="bullet"/>
      <w:lvlText w:val="•"/>
      <w:lvlJc w:val="left"/>
      <w:pPr>
        <w:ind w:left="7240" w:hanging="721"/>
      </w:pPr>
      <w:rPr>
        <w:rFonts w:hint="default"/>
        <w:lang w:val="es-ES" w:eastAsia="en-US" w:bidi="ar-SA"/>
      </w:rPr>
    </w:lvl>
    <w:lvl w:ilvl="8">
      <w:start w:val="0"/>
      <w:numFmt w:val="bullet"/>
      <w:lvlText w:val="•"/>
      <w:lvlJc w:val="left"/>
      <w:pPr>
        <w:ind w:left="8140" w:hanging="721"/>
      </w:pPr>
      <w:rPr>
        <w:rFonts w:hint="default"/>
        <w:lang w:val="es-ES" w:eastAsia="en-US" w:bidi="ar-SA"/>
      </w:rPr>
    </w:lvl>
  </w:abstractNum>
  <w:abstractNum w:abstractNumId="5">
    <w:multiLevelType w:val="hybridMultilevel"/>
    <w:lvl w:ilvl="0">
      <w:start w:val="1"/>
      <w:numFmt w:val="upperLetter"/>
      <w:lvlText w:val="%1."/>
      <w:lvlJc w:val="left"/>
      <w:pPr>
        <w:ind w:left="900" w:hanging="720"/>
        <w:jc w:val="right"/>
      </w:pPr>
      <w:rPr>
        <w:rFonts w:hint="default" w:ascii="Arial" w:hAnsi="Arial" w:eastAsia="Arial" w:cs="Arial"/>
        <w:b/>
        <w:bCs/>
        <w:spacing w:val="-10"/>
        <w:w w:val="99"/>
        <w:sz w:val="24"/>
        <w:szCs w:val="24"/>
        <w:lang w:val="es-ES" w:eastAsia="en-US" w:bidi="ar-SA"/>
      </w:rPr>
    </w:lvl>
    <w:lvl w:ilvl="1">
      <w:start w:val="0"/>
      <w:numFmt w:val="bullet"/>
      <w:lvlText w:val="•"/>
      <w:lvlJc w:val="left"/>
      <w:pPr>
        <w:ind w:left="3840" w:hanging="720"/>
      </w:pPr>
      <w:rPr>
        <w:rFonts w:hint="default"/>
        <w:lang w:val="es-ES" w:eastAsia="en-US" w:bidi="ar-SA"/>
      </w:rPr>
    </w:lvl>
    <w:lvl w:ilvl="2">
      <w:start w:val="0"/>
      <w:numFmt w:val="bullet"/>
      <w:lvlText w:val="•"/>
      <w:lvlJc w:val="left"/>
      <w:pPr>
        <w:ind w:left="4462" w:hanging="720"/>
      </w:pPr>
      <w:rPr>
        <w:rFonts w:hint="default"/>
        <w:lang w:val="es-ES" w:eastAsia="en-US" w:bidi="ar-SA"/>
      </w:rPr>
    </w:lvl>
    <w:lvl w:ilvl="3">
      <w:start w:val="0"/>
      <w:numFmt w:val="bullet"/>
      <w:lvlText w:val="•"/>
      <w:lvlJc w:val="left"/>
      <w:pPr>
        <w:ind w:left="5084" w:hanging="720"/>
      </w:pPr>
      <w:rPr>
        <w:rFonts w:hint="default"/>
        <w:lang w:val="es-ES" w:eastAsia="en-US" w:bidi="ar-SA"/>
      </w:rPr>
    </w:lvl>
    <w:lvl w:ilvl="4">
      <w:start w:val="0"/>
      <w:numFmt w:val="bullet"/>
      <w:lvlText w:val="•"/>
      <w:lvlJc w:val="left"/>
      <w:pPr>
        <w:ind w:left="5706" w:hanging="720"/>
      </w:pPr>
      <w:rPr>
        <w:rFonts w:hint="default"/>
        <w:lang w:val="es-ES" w:eastAsia="en-US" w:bidi="ar-SA"/>
      </w:rPr>
    </w:lvl>
    <w:lvl w:ilvl="5">
      <w:start w:val="0"/>
      <w:numFmt w:val="bullet"/>
      <w:lvlText w:val="•"/>
      <w:lvlJc w:val="left"/>
      <w:pPr>
        <w:ind w:left="6328" w:hanging="720"/>
      </w:pPr>
      <w:rPr>
        <w:rFonts w:hint="default"/>
        <w:lang w:val="es-ES" w:eastAsia="en-US" w:bidi="ar-SA"/>
      </w:rPr>
    </w:lvl>
    <w:lvl w:ilvl="6">
      <w:start w:val="0"/>
      <w:numFmt w:val="bullet"/>
      <w:lvlText w:val="•"/>
      <w:lvlJc w:val="left"/>
      <w:pPr>
        <w:ind w:left="6951" w:hanging="720"/>
      </w:pPr>
      <w:rPr>
        <w:rFonts w:hint="default"/>
        <w:lang w:val="es-ES" w:eastAsia="en-US" w:bidi="ar-SA"/>
      </w:rPr>
    </w:lvl>
    <w:lvl w:ilvl="7">
      <w:start w:val="0"/>
      <w:numFmt w:val="bullet"/>
      <w:lvlText w:val="•"/>
      <w:lvlJc w:val="left"/>
      <w:pPr>
        <w:ind w:left="7573" w:hanging="720"/>
      </w:pPr>
      <w:rPr>
        <w:rFonts w:hint="default"/>
        <w:lang w:val="es-ES" w:eastAsia="en-US" w:bidi="ar-SA"/>
      </w:rPr>
    </w:lvl>
    <w:lvl w:ilvl="8">
      <w:start w:val="0"/>
      <w:numFmt w:val="bullet"/>
      <w:lvlText w:val="•"/>
      <w:lvlJc w:val="left"/>
      <w:pPr>
        <w:ind w:left="8195" w:hanging="720"/>
      </w:pPr>
      <w:rPr>
        <w:rFonts w:hint="default"/>
        <w:lang w:val="es-ES" w:eastAsia="en-US" w:bidi="ar-SA"/>
      </w:rPr>
    </w:lvl>
  </w:abstractNum>
  <w:abstractNum w:abstractNumId="4">
    <w:multiLevelType w:val="hybridMultilevel"/>
    <w:lvl w:ilvl="0">
      <w:start w:val="1"/>
      <w:numFmt w:val="lowerLetter"/>
      <w:lvlText w:val="%1)"/>
      <w:lvlJc w:val="left"/>
      <w:pPr>
        <w:ind w:left="820" w:hanging="720"/>
        <w:jc w:val="left"/>
      </w:pPr>
      <w:rPr>
        <w:rFonts w:hint="default" w:ascii="Arial" w:hAnsi="Arial" w:eastAsia="Arial" w:cs="Arial"/>
        <w:spacing w:val="-2"/>
        <w:w w:val="99"/>
        <w:sz w:val="24"/>
        <w:szCs w:val="24"/>
        <w:lang w:val="es-ES" w:eastAsia="en-US" w:bidi="ar-SA"/>
      </w:rPr>
    </w:lvl>
    <w:lvl w:ilvl="1">
      <w:start w:val="0"/>
      <w:numFmt w:val="bullet"/>
      <w:lvlText w:val="•"/>
      <w:lvlJc w:val="left"/>
      <w:pPr>
        <w:ind w:left="1696" w:hanging="720"/>
      </w:pPr>
      <w:rPr>
        <w:rFonts w:hint="default"/>
        <w:lang w:val="es-ES" w:eastAsia="en-US" w:bidi="ar-SA"/>
      </w:rPr>
    </w:lvl>
    <w:lvl w:ilvl="2">
      <w:start w:val="0"/>
      <w:numFmt w:val="bullet"/>
      <w:lvlText w:val="•"/>
      <w:lvlJc w:val="left"/>
      <w:pPr>
        <w:ind w:left="2572" w:hanging="720"/>
      </w:pPr>
      <w:rPr>
        <w:rFonts w:hint="default"/>
        <w:lang w:val="es-ES" w:eastAsia="en-US" w:bidi="ar-SA"/>
      </w:rPr>
    </w:lvl>
    <w:lvl w:ilvl="3">
      <w:start w:val="0"/>
      <w:numFmt w:val="bullet"/>
      <w:lvlText w:val="•"/>
      <w:lvlJc w:val="left"/>
      <w:pPr>
        <w:ind w:left="3448" w:hanging="720"/>
      </w:pPr>
      <w:rPr>
        <w:rFonts w:hint="default"/>
        <w:lang w:val="es-ES" w:eastAsia="en-US" w:bidi="ar-SA"/>
      </w:rPr>
    </w:lvl>
    <w:lvl w:ilvl="4">
      <w:start w:val="0"/>
      <w:numFmt w:val="bullet"/>
      <w:lvlText w:val="•"/>
      <w:lvlJc w:val="left"/>
      <w:pPr>
        <w:ind w:left="4324" w:hanging="720"/>
      </w:pPr>
      <w:rPr>
        <w:rFonts w:hint="default"/>
        <w:lang w:val="es-ES" w:eastAsia="en-US" w:bidi="ar-SA"/>
      </w:rPr>
    </w:lvl>
    <w:lvl w:ilvl="5">
      <w:start w:val="0"/>
      <w:numFmt w:val="bullet"/>
      <w:lvlText w:val="•"/>
      <w:lvlJc w:val="left"/>
      <w:pPr>
        <w:ind w:left="5200" w:hanging="720"/>
      </w:pPr>
      <w:rPr>
        <w:rFonts w:hint="default"/>
        <w:lang w:val="es-ES" w:eastAsia="en-US" w:bidi="ar-SA"/>
      </w:rPr>
    </w:lvl>
    <w:lvl w:ilvl="6">
      <w:start w:val="0"/>
      <w:numFmt w:val="bullet"/>
      <w:lvlText w:val="•"/>
      <w:lvlJc w:val="left"/>
      <w:pPr>
        <w:ind w:left="6076" w:hanging="720"/>
      </w:pPr>
      <w:rPr>
        <w:rFonts w:hint="default"/>
        <w:lang w:val="es-ES" w:eastAsia="en-US" w:bidi="ar-SA"/>
      </w:rPr>
    </w:lvl>
    <w:lvl w:ilvl="7">
      <w:start w:val="0"/>
      <w:numFmt w:val="bullet"/>
      <w:lvlText w:val="•"/>
      <w:lvlJc w:val="left"/>
      <w:pPr>
        <w:ind w:left="6952" w:hanging="720"/>
      </w:pPr>
      <w:rPr>
        <w:rFonts w:hint="default"/>
        <w:lang w:val="es-ES" w:eastAsia="en-US" w:bidi="ar-SA"/>
      </w:rPr>
    </w:lvl>
    <w:lvl w:ilvl="8">
      <w:start w:val="0"/>
      <w:numFmt w:val="bullet"/>
      <w:lvlText w:val="•"/>
      <w:lvlJc w:val="left"/>
      <w:pPr>
        <w:ind w:left="7828" w:hanging="720"/>
      </w:pPr>
      <w:rPr>
        <w:rFonts w:hint="default"/>
        <w:lang w:val="es-ES" w:eastAsia="en-US" w:bidi="ar-SA"/>
      </w:rPr>
    </w:lvl>
  </w:abstractNum>
  <w:abstractNum w:abstractNumId="3">
    <w:multiLevelType w:val="hybridMultilevel"/>
    <w:lvl w:ilvl="0">
      <w:start w:val="1"/>
      <w:numFmt w:val="lowerLetter"/>
      <w:lvlText w:val="%1)"/>
      <w:lvlJc w:val="left"/>
      <w:pPr>
        <w:ind w:left="820" w:hanging="720"/>
        <w:jc w:val="left"/>
      </w:pPr>
      <w:rPr>
        <w:rFonts w:hint="default" w:ascii="Arial" w:hAnsi="Arial" w:eastAsia="Arial" w:cs="Arial"/>
        <w:spacing w:val="-2"/>
        <w:w w:val="99"/>
        <w:sz w:val="24"/>
        <w:szCs w:val="24"/>
        <w:lang w:val="es-ES" w:eastAsia="en-US" w:bidi="ar-SA"/>
      </w:rPr>
    </w:lvl>
    <w:lvl w:ilvl="1">
      <w:start w:val="0"/>
      <w:numFmt w:val="bullet"/>
      <w:lvlText w:val="•"/>
      <w:lvlJc w:val="left"/>
      <w:pPr>
        <w:ind w:left="1696" w:hanging="720"/>
      </w:pPr>
      <w:rPr>
        <w:rFonts w:hint="default"/>
        <w:lang w:val="es-ES" w:eastAsia="en-US" w:bidi="ar-SA"/>
      </w:rPr>
    </w:lvl>
    <w:lvl w:ilvl="2">
      <w:start w:val="0"/>
      <w:numFmt w:val="bullet"/>
      <w:lvlText w:val="•"/>
      <w:lvlJc w:val="left"/>
      <w:pPr>
        <w:ind w:left="2572" w:hanging="720"/>
      </w:pPr>
      <w:rPr>
        <w:rFonts w:hint="default"/>
        <w:lang w:val="es-ES" w:eastAsia="en-US" w:bidi="ar-SA"/>
      </w:rPr>
    </w:lvl>
    <w:lvl w:ilvl="3">
      <w:start w:val="0"/>
      <w:numFmt w:val="bullet"/>
      <w:lvlText w:val="•"/>
      <w:lvlJc w:val="left"/>
      <w:pPr>
        <w:ind w:left="3448" w:hanging="720"/>
      </w:pPr>
      <w:rPr>
        <w:rFonts w:hint="default"/>
        <w:lang w:val="es-ES" w:eastAsia="en-US" w:bidi="ar-SA"/>
      </w:rPr>
    </w:lvl>
    <w:lvl w:ilvl="4">
      <w:start w:val="0"/>
      <w:numFmt w:val="bullet"/>
      <w:lvlText w:val="•"/>
      <w:lvlJc w:val="left"/>
      <w:pPr>
        <w:ind w:left="4324" w:hanging="720"/>
      </w:pPr>
      <w:rPr>
        <w:rFonts w:hint="default"/>
        <w:lang w:val="es-ES" w:eastAsia="en-US" w:bidi="ar-SA"/>
      </w:rPr>
    </w:lvl>
    <w:lvl w:ilvl="5">
      <w:start w:val="0"/>
      <w:numFmt w:val="bullet"/>
      <w:lvlText w:val="•"/>
      <w:lvlJc w:val="left"/>
      <w:pPr>
        <w:ind w:left="5200" w:hanging="720"/>
      </w:pPr>
      <w:rPr>
        <w:rFonts w:hint="default"/>
        <w:lang w:val="es-ES" w:eastAsia="en-US" w:bidi="ar-SA"/>
      </w:rPr>
    </w:lvl>
    <w:lvl w:ilvl="6">
      <w:start w:val="0"/>
      <w:numFmt w:val="bullet"/>
      <w:lvlText w:val="•"/>
      <w:lvlJc w:val="left"/>
      <w:pPr>
        <w:ind w:left="6076" w:hanging="720"/>
      </w:pPr>
      <w:rPr>
        <w:rFonts w:hint="default"/>
        <w:lang w:val="es-ES" w:eastAsia="en-US" w:bidi="ar-SA"/>
      </w:rPr>
    </w:lvl>
    <w:lvl w:ilvl="7">
      <w:start w:val="0"/>
      <w:numFmt w:val="bullet"/>
      <w:lvlText w:val="•"/>
      <w:lvlJc w:val="left"/>
      <w:pPr>
        <w:ind w:left="6952" w:hanging="720"/>
      </w:pPr>
      <w:rPr>
        <w:rFonts w:hint="default"/>
        <w:lang w:val="es-ES" w:eastAsia="en-US" w:bidi="ar-SA"/>
      </w:rPr>
    </w:lvl>
    <w:lvl w:ilvl="8">
      <w:start w:val="0"/>
      <w:numFmt w:val="bullet"/>
      <w:lvlText w:val="•"/>
      <w:lvlJc w:val="left"/>
      <w:pPr>
        <w:ind w:left="7828" w:hanging="720"/>
      </w:pPr>
      <w:rPr>
        <w:rFonts w:hint="default"/>
        <w:lang w:val="es-ES" w:eastAsia="en-US" w:bidi="ar-SA"/>
      </w:rPr>
    </w:lvl>
  </w:abstractNum>
  <w:abstractNum w:abstractNumId="2">
    <w:multiLevelType w:val="hybridMultilevel"/>
    <w:lvl w:ilvl="0">
      <w:start w:val="1"/>
      <w:numFmt w:val="upperLetter"/>
      <w:lvlText w:val="%1."/>
      <w:lvlJc w:val="left"/>
      <w:pPr>
        <w:ind w:left="1200" w:hanging="720"/>
        <w:jc w:val="right"/>
      </w:pPr>
      <w:rPr>
        <w:rFonts w:hint="default" w:ascii="Arial" w:hAnsi="Arial" w:eastAsia="Arial" w:cs="Arial"/>
        <w:b/>
        <w:bCs/>
        <w:spacing w:val="-33"/>
        <w:w w:val="99"/>
        <w:sz w:val="24"/>
        <w:szCs w:val="24"/>
        <w:lang w:val="es-ES" w:eastAsia="en-US" w:bidi="ar-SA"/>
      </w:rPr>
    </w:lvl>
    <w:lvl w:ilvl="1">
      <w:start w:val="1"/>
      <w:numFmt w:val="decimal"/>
      <w:lvlText w:val="%2."/>
      <w:lvlJc w:val="left"/>
      <w:pPr>
        <w:ind w:left="820" w:hanging="720"/>
        <w:jc w:val="right"/>
      </w:pPr>
      <w:rPr>
        <w:rFonts w:hint="default" w:ascii="Arial" w:hAnsi="Arial" w:eastAsia="Arial" w:cs="Arial"/>
        <w:b/>
        <w:bCs/>
        <w:spacing w:val="-3"/>
        <w:w w:val="99"/>
        <w:sz w:val="24"/>
        <w:szCs w:val="24"/>
        <w:lang w:val="es-ES" w:eastAsia="en-US" w:bidi="ar-SA"/>
      </w:rPr>
    </w:lvl>
    <w:lvl w:ilvl="2">
      <w:start w:val="0"/>
      <w:numFmt w:val="bullet"/>
      <w:lvlText w:val="•"/>
      <w:lvlJc w:val="left"/>
      <w:pPr>
        <w:ind w:left="2131" w:hanging="720"/>
      </w:pPr>
      <w:rPr>
        <w:rFonts w:hint="default"/>
        <w:lang w:val="es-ES" w:eastAsia="en-US" w:bidi="ar-SA"/>
      </w:rPr>
    </w:lvl>
    <w:lvl w:ilvl="3">
      <w:start w:val="0"/>
      <w:numFmt w:val="bullet"/>
      <w:lvlText w:val="•"/>
      <w:lvlJc w:val="left"/>
      <w:pPr>
        <w:ind w:left="3062" w:hanging="720"/>
      </w:pPr>
      <w:rPr>
        <w:rFonts w:hint="default"/>
        <w:lang w:val="es-ES" w:eastAsia="en-US" w:bidi="ar-SA"/>
      </w:rPr>
    </w:lvl>
    <w:lvl w:ilvl="4">
      <w:start w:val="0"/>
      <w:numFmt w:val="bullet"/>
      <w:lvlText w:val="•"/>
      <w:lvlJc w:val="left"/>
      <w:pPr>
        <w:ind w:left="3993" w:hanging="720"/>
      </w:pPr>
      <w:rPr>
        <w:rFonts w:hint="default"/>
        <w:lang w:val="es-ES" w:eastAsia="en-US" w:bidi="ar-SA"/>
      </w:rPr>
    </w:lvl>
    <w:lvl w:ilvl="5">
      <w:start w:val="0"/>
      <w:numFmt w:val="bullet"/>
      <w:lvlText w:val="•"/>
      <w:lvlJc w:val="left"/>
      <w:pPr>
        <w:ind w:left="4924" w:hanging="720"/>
      </w:pPr>
      <w:rPr>
        <w:rFonts w:hint="default"/>
        <w:lang w:val="es-ES" w:eastAsia="en-US" w:bidi="ar-SA"/>
      </w:rPr>
    </w:lvl>
    <w:lvl w:ilvl="6">
      <w:start w:val="0"/>
      <w:numFmt w:val="bullet"/>
      <w:lvlText w:val="•"/>
      <w:lvlJc w:val="left"/>
      <w:pPr>
        <w:ind w:left="5855" w:hanging="720"/>
      </w:pPr>
      <w:rPr>
        <w:rFonts w:hint="default"/>
        <w:lang w:val="es-ES" w:eastAsia="en-US" w:bidi="ar-SA"/>
      </w:rPr>
    </w:lvl>
    <w:lvl w:ilvl="7">
      <w:start w:val="0"/>
      <w:numFmt w:val="bullet"/>
      <w:lvlText w:val="•"/>
      <w:lvlJc w:val="left"/>
      <w:pPr>
        <w:ind w:left="6786" w:hanging="720"/>
      </w:pPr>
      <w:rPr>
        <w:rFonts w:hint="default"/>
        <w:lang w:val="es-ES" w:eastAsia="en-US" w:bidi="ar-SA"/>
      </w:rPr>
    </w:lvl>
    <w:lvl w:ilvl="8">
      <w:start w:val="0"/>
      <w:numFmt w:val="bullet"/>
      <w:lvlText w:val="•"/>
      <w:lvlJc w:val="left"/>
      <w:pPr>
        <w:ind w:left="7717" w:hanging="720"/>
      </w:pPr>
      <w:rPr>
        <w:rFonts w:hint="default"/>
        <w:lang w:val="es-ES" w:eastAsia="en-US" w:bidi="ar-SA"/>
      </w:rPr>
    </w:lvl>
  </w:abstractNum>
  <w:abstractNum w:abstractNumId="1">
    <w:multiLevelType w:val="hybridMultilevel"/>
    <w:lvl w:ilvl="0">
      <w:start w:val="1"/>
      <w:numFmt w:val="upperRoman"/>
      <w:lvlText w:val="%1-"/>
      <w:lvlJc w:val="left"/>
      <w:pPr>
        <w:ind w:left="1920" w:hanging="720"/>
        <w:jc w:val="right"/>
      </w:pPr>
      <w:rPr>
        <w:rFonts w:hint="default" w:ascii="Arial" w:hAnsi="Arial" w:eastAsia="Arial" w:cs="Arial"/>
        <w:b/>
        <w:bCs/>
        <w:spacing w:val="-29"/>
        <w:w w:val="99"/>
        <w:sz w:val="24"/>
        <w:szCs w:val="24"/>
        <w:lang w:val="es-ES" w:eastAsia="en-US" w:bidi="ar-SA"/>
      </w:rPr>
    </w:lvl>
    <w:lvl w:ilvl="1">
      <w:start w:val="0"/>
      <w:numFmt w:val="bullet"/>
      <w:lvlText w:val="•"/>
      <w:lvlJc w:val="left"/>
      <w:pPr>
        <w:ind w:left="2904" w:hanging="720"/>
      </w:pPr>
      <w:rPr>
        <w:rFonts w:hint="default"/>
        <w:lang w:val="es-ES" w:eastAsia="en-US" w:bidi="ar-SA"/>
      </w:rPr>
    </w:lvl>
    <w:lvl w:ilvl="2">
      <w:start w:val="0"/>
      <w:numFmt w:val="bullet"/>
      <w:lvlText w:val="•"/>
      <w:lvlJc w:val="left"/>
      <w:pPr>
        <w:ind w:left="3888" w:hanging="720"/>
      </w:pPr>
      <w:rPr>
        <w:rFonts w:hint="default"/>
        <w:lang w:val="es-ES" w:eastAsia="en-US" w:bidi="ar-SA"/>
      </w:rPr>
    </w:lvl>
    <w:lvl w:ilvl="3">
      <w:start w:val="0"/>
      <w:numFmt w:val="bullet"/>
      <w:lvlText w:val="•"/>
      <w:lvlJc w:val="left"/>
      <w:pPr>
        <w:ind w:left="4872" w:hanging="720"/>
      </w:pPr>
      <w:rPr>
        <w:rFonts w:hint="default"/>
        <w:lang w:val="es-ES" w:eastAsia="en-US" w:bidi="ar-SA"/>
      </w:rPr>
    </w:lvl>
    <w:lvl w:ilvl="4">
      <w:start w:val="0"/>
      <w:numFmt w:val="bullet"/>
      <w:lvlText w:val="•"/>
      <w:lvlJc w:val="left"/>
      <w:pPr>
        <w:ind w:left="5856" w:hanging="720"/>
      </w:pPr>
      <w:rPr>
        <w:rFonts w:hint="default"/>
        <w:lang w:val="es-ES" w:eastAsia="en-US" w:bidi="ar-SA"/>
      </w:rPr>
    </w:lvl>
    <w:lvl w:ilvl="5">
      <w:start w:val="0"/>
      <w:numFmt w:val="bullet"/>
      <w:lvlText w:val="•"/>
      <w:lvlJc w:val="left"/>
      <w:pPr>
        <w:ind w:left="6840" w:hanging="720"/>
      </w:pPr>
      <w:rPr>
        <w:rFonts w:hint="default"/>
        <w:lang w:val="es-ES" w:eastAsia="en-US" w:bidi="ar-SA"/>
      </w:rPr>
    </w:lvl>
    <w:lvl w:ilvl="6">
      <w:start w:val="0"/>
      <w:numFmt w:val="bullet"/>
      <w:lvlText w:val="•"/>
      <w:lvlJc w:val="left"/>
      <w:pPr>
        <w:ind w:left="7824" w:hanging="720"/>
      </w:pPr>
      <w:rPr>
        <w:rFonts w:hint="default"/>
        <w:lang w:val="es-ES" w:eastAsia="en-US" w:bidi="ar-SA"/>
      </w:rPr>
    </w:lvl>
    <w:lvl w:ilvl="7">
      <w:start w:val="0"/>
      <w:numFmt w:val="bullet"/>
      <w:lvlText w:val="•"/>
      <w:lvlJc w:val="left"/>
      <w:pPr>
        <w:ind w:left="8808" w:hanging="720"/>
      </w:pPr>
      <w:rPr>
        <w:rFonts w:hint="default"/>
        <w:lang w:val="es-ES" w:eastAsia="en-US" w:bidi="ar-SA"/>
      </w:rPr>
    </w:lvl>
    <w:lvl w:ilvl="8">
      <w:start w:val="0"/>
      <w:numFmt w:val="bullet"/>
      <w:lvlText w:val="•"/>
      <w:lvlJc w:val="left"/>
      <w:pPr>
        <w:ind w:left="9792" w:hanging="720"/>
      </w:pPr>
      <w:rPr>
        <w:rFonts w:hint="default"/>
        <w:lang w:val="es-ES" w:eastAsia="en-US" w:bidi="ar-SA"/>
      </w:rPr>
    </w:lvl>
  </w:abstractNum>
  <w:abstractNum w:abstractNumId="0">
    <w:multiLevelType w:val="hybridMultilevel"/>
    <w:lvl w:ilvl="0">
      <w:start w:val="1"/>
      <w:numFmt w:val="upperRoman"/>
      <w:lvlText w:val="%1-"/>
      <w:lvlJc w:val="left"/>
      <w:pPr>
        <w:ind w:left="1640" w:hanging="440"/>
        <w:jc w:val="left"/>
      </w:pPr>
      <w:rPr>
        <w:rFonts w:hint="default" w:ascii="Arial" w:hAnsi="Arial" w:eastAsia="Arial" w:cs="Arial"/>
        <w:spacing w:val="-3"/>
        <w:w w:val="99"/>
        <w:sz w:val="24"/>
        <w:szCs w:val="24"/>
        <w:lang w:val="es-ES" w:eastAsia="en-US" w:bidi="ar-SA"/>
      </w:rPr>
    </w:lvl>
    <w:lvl w:ilvl="1">
      <w:start w:val="1"/>
      <w:numFmt w:val="upperLetter"/>
      <w:lvlText w:val="%2."/>
      <w:lvlJc w:val="left"/>
      <w:pPr>
        <w:ind w:left="1420" w:hanging="660"/>
        <w:jc w:val="left"/>
      </w:pPr>
      <w:rPr>
        <w:rFonts w:hint="default" w:ascii="Arial" w:hAnsi="Arial" w:eastAsia="Arial" w:cs="Arial"/>
        <w:spacing w:val="-1"/>
        <w:w w:val="100"/>
        <w:sz w:val="24"/>
        <w:szCs w:val="24"/>
        <w:lang w:val="es-ES" w:eastAsia="en-US" w:bidi="ar-SA"/>
      </w:rPr>
    </w:lvl>
    <w:lvl w:ilvl="2">
      <w:start w:val="1"/>
      <w:numFmt w:val="decimal"/>
      <w:lvlText w:val="%3."/>
      <w:lvlJc w:val="left"/>
      <w:pPr>
        <w:ind w:left="2080" w:hanging="440"/>
        <w:jc w:val="left"/>
      </w:pPr>
      <w:rPr>
        <w:rFonts w:hint="default" w:ascii="Arial" w:hAnsi="Arial" w:eastAsia="Arial" w:cs="Arial"/>
        <w:spacing w:val="-4"/>
        <w:w w:val="99"/>
        <w:sz w:val="24"/>
        <w:szCs w:val="24"/>
        <w:lang w:val="es-ES" w:eastAsia="en-US" w:bidi="ar-SA"/>
      </w:rPr>
    </w:lvl>
    <w:lvl w:ilvl="3">
      <w:start w:val="0"/>
      <w:numFmt w:val="bullet"/>
      <w:lvlText w:val="•"/>
      <w:lvlJc w:val="left"/>
      <w:pPr>
        <w:ind w:left="3290" w:hanging="440"/>
      </w:pPr>
      <w:rPr>
        <w:rFonts w:hint="default"/>
        <w:lang w:val="es-ES" w:eastAsia="en-US" w:bidi="ar-SA"/>
      </w:rPr>
    </w:lvl>
    <w:lvl w:ilvl="4">
      <w:start w:val="0"/>
      <w:numFmt w:val="bullet"/>
      <w:lvlText w:val="•"/>
      <w:lvlJc w:val="left"/>
      <w:pPr>
        <w:ind w:left="4500" w:hanging="440"/>
      </w:pPr>
      <w:rPr>
        <w:rFonts w:hint="default"/>
        <w:lang w:val="es-ES" w:eastAsia="en-US" w:bidi="ar-SA"/>
      </w:rPr>
    </w:lvl>
    <w:lvl w:ilvl="5">
      <w:start w:val="0"/>
      <w:numFmt w:val="bullet"/>
      <w:lvlText w:val="•"/>
      <w:lvlJc w:val="left"/>
      <w:pPr>
        <w:ind w:left="5710" w:hanging="440"/>
      </w:pPr>
      <w:rPr>
        <w:rFonts w:hint="default"/>
        <w:lang w:val="es-ES" w:eastAsia="en-US" w:bidi="ar-SA"/>
      </w:rPr>
    </w:lvl>
    <w:lvl w:ilvl="6">
      <w:start w:val="0"/>
      <w:numFmt w:val="bullet"/>
      <w:lvlText w:val="•"/>
      <w:lvlJc w:val="left"/>
      <w:pPr>
        <w:ind w:left="6920" w:hanging="440"/>
      </w:pPr>
      <w:rPr>
        <w:rFonts w:hint="default"/>
        <w:lang w:val="es-ES" w:eastAsia="en-US" w:bidi="ar-SA"/>
      </w:rPr>
    </w:lvl>
    <w:lvl w:ilvl="7">
      <w:start w:val="0"/>
      <w:numFmt w:val="bullet"/>
      <w:lvlText w:val="•"/>
      <w:lvlJc w:val="left"/>
      <w:pPr>
        <w:ind w:left="8130" w:hanging="440"/>
      </w:pPr>
      <w:rPr>
        <w:rFonts w:hint="default"/>
        <w:lang w:val="es-ES" w:eastAsia="en-US" w:bidi="ar-SA"/>
      </w:rPr>
    </w:lvl>
    <w:lvl w:ilvl="8">
      <w:start w:val="0"/>
      <w:numFmt w:val="bullet"/>
      <w:lvlText w:val="•"/>
      <w:lvlJc w:val="left"/>
      <w:pPr>
        <w:ind w:left="9340" w:hanging="440"/>
      </w:pPr>
      <w:rPr>
        <w:rFonts w:hint="default"/>
        <w:lang w:val="es-ES" w:eastAsia="en-US" w:bidi="ar-SA"/>
      </w:rPr>
    </w:lvl>
  </w:abstract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s-ES" w:eastAsia="en-US" w:bidi="ar-SA"/>
    </w:rPr>
  </w:style>
  <w:style w:styleId="TOC1" w:type="paragraph">
    <w:name w:val="TOC 1"/>
    <w:basedOn w:val="Normal"/>
    <w:uiPriority w:val="1"/>
    <w:qFormat/>
    <w:pPr>
      <w:spacing w:before="336"/>
      <w:ind w:left="1860" w:hanging="661"/>
    </w:pPr>
    <w:rPr>
      <w:rFonts w:ascii="Arial" w:hAnsi="Arial" w:eastAsia="Arial" w:cs="Arial"/>
      <w:sz w:val="24"/>
      <w:szCs w:val="24"/>
      <w:lang w:val="es-ES" w:eastAsia="en-US" w:bidi="ar-SA"/>
    </w:rPr>
  </w:style>
  <w:style w:styleId="TOC2" w:type="paragraph">
    <w:name w:val="TOC 2"/>
    <w:basedOn w:val="Normal"/>
    <w:uiPriority w:val="1"/>
    <w:qFormat/>
    <w:pPr>
      <w:spacing w:before="195"/>
      <w:ind w:left="2080" w:hanging="661"/>
    </w:pPr>
    <w:rPr>
      <w:rFonts w:ascii="Arial" w:hAnsi="Arial" w:eastAsia="Arial" w:cs="Arial"/>
      <w:sz w:val="24"/>
      <w:szCs w:val="24"/>
      <w:lang w:val="es-ES" w:eastAsia="en-US" w:bidi="ar-SA"/>
    </w:rPr>
  </w:style>
  <w:style w:styleId="TOC3" w:type="paragraph">
    <w:name w:val="TOC 3"/>
    <w:basedOn w:val="Normal"/>
    <w:uiPriority w:val="1"/>
    <w:qFormat/>
    <w:pPr>
      <w:spacing w:before="336"/>
      <w:ind w:left="1420" w:right="1206"/>
    </w:pPr>
    <w:rPr>
      <w:rFonts w:ascii="Arial" w:hAnsi="Arial" w:eastAsia="Arial" w:cs="Arial"/>
      <w:sz w:val="24"/>
      <w:szCs w:val="24"/>
      <w:lang w:val="es-ES" w:eastAsia="en-US" w:bidi="ar-SA"/>
    </w:rPr>
  </w:style>
  <w:style w:styleId="TOC4" w:type="paragraph">
    <w:name w:val="TOC 4"/>
    <w:basedOn w:val="Normal"/>
    <w:uiPriority w:val="1"/>
    <w:qFormat/>
    <w:pPr>
      <w:spacing w:before="340"/>
      <w:ind w:left="2080" w:hanging="441"/>
    </w:pPr>
    <w:rPr>
      <w:rFonts w:ascii="Arial" w:hAnsi="Arial" w:eastAsia="Arial" w:cs="Arial"/>
      <w:sz w:val="24"/>
      <w:szCs w:val="24"/>
      <w:lang w:val="es-ES" w:eastAsia="en-US" w:bidi="ar-SA"/>
    </w:rPr>
  </w:style>
  <w:style w:styleId="BodyText" w:type="paragraph">
    <w:name w:val="Body Text"/>
    <w:basedOn w:val="Normal"/>
    <w:uiPriority w:val="1"/>
    <w:qFormat/>
    <w:pPr/>
    <w:rPr>
      <w:rFonts w:ascii="Arial" w:hAnsi="Arial" w:eastAsia="Arial" w:cs="Arial"/>
      <w:sz w:val="24"/>
      <w:szCs w:val="24"/>
      <w:lang w:val="es-ES" w:eastAsia="en-US" w:bidi="ar-SA"/>
    </w:rPr>
  </w:style>
  <w:style w:styleId="Heading1" w:type="paragraph">
    <w:name w:val="Heading 1"/>
    <w:basedOn w:val="Normal"/>
    <w:uiPriority w:val="1"/>
    <w:qFormat/>
    <w:pPr>
      <w:ind w:left="1040"/>
      <w:outlineLvl w:val="1"/>
    </w:pPr>
    <w:rPr>
      <w:rFonts w:ascii="Arial" w:hAnsi="Arial" w:eastAsia="Arial" w:cs="Arial"/>
      <w:b/>
      <w:bCs/>
      <w:sz w:val="26"/>
      <w:szCs w:val="26"/>
      <w:lang w:val="es-ES" w:eastAsia="en-US" w:bidi="ar-SA"/>
    </w:rPr>
  </w:style>
  <w:style w:styleId="Heading2" w:type="paragraph">
    <w:name w:val="Heading 2"/>
    <w:basedOn w:val="Normal"/>
    <w:uiPriority w:val="1"/>
    <w:qFormat/>
    <w:pPr>
      <w:spacing w:before="75"/>
      <w:ind w:left="1200"/>
      <w:outlineLvl w:val="2"/>
    </w:pPr>
    <w:rPr>
      <w:rFonts w:ascii="Arial" w:hAnsi="Arial" w:eastAsia="Arial" w:cs="Arial"/>
      <w:b/>
      <w:bCs/>
      <w:sz w:val="24"/>
      <w:szCs w:val="24"/>
      <w:lang w:val="es-ES" w:eastAsia="en-US" w:bidi="ar-SA"/>
    </w:rPr>
  </w:style>
  <w:style w:styleId="ListParagraph" w:type="paragraph">
    <w:name w:val="List Paragraph"/>
    <w:basedOn w:val="Normal"/>
    <w:uiPriority w:val="1"/>
    <w:qFormat/>
    <w:pPr>
      <w:ind w:left="1276" w:hanging="237"/>
    </w:pPr>
    <w:rPr>
      <w:rFonts w:ascii="Arial" w:hAnsi="Arial" w:eastAsia="Arial" w:cs="Arial"/>
      <w:lang w:val="es-ES" w:eastAsia="en-US" w:bidi="ar-SA"/>
    </w:rPr>
  </w:style>
  <w:style w:styleId="TableParagraph" w:type="paragraph">
    <w:name w:val="Table Paragraph"/>
    <w:basedOn w:val="Normal"/>
    <w:uiPriority w:val="1"/>
    <w:qFormat/>
    <w:pPr>
      <w:spacing w:before="91" w:line="176" w:lineRule="exact"/>
      <w:jc w:val="right"/>
    </w:pPr>
    <w:rPr>
      <w:rFonts w:ascii="Arial" w:hAnsi="Arial" w:eastAsia="Arial" w:cs="Arial"/>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jpe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image" Target="media/image8.jpeg"/><Relationship Id="rId14" Type="http://schemas.openxmlformats.org/officeDocument/2006/relationships/image" Target="media/image9.jpeg"/><Relationship Id="rId15" Type="http://schemas.openxmlformats.org/officeDocument/2006/relationships/footer" Target="footer2.xml"/><Relationship Id="rId16" Type="http://schemas.openxmlformats.org/officeDocument/2006/relationships/hyperlink" Target="http://ejatlas.org/" TargetMode="External"/><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40" Type="http://schemas.openxmlformats.org/officeDocument/2006/relationships/image" Target="media/image33.png"/><Relationship Id="rId41" Type="http://schemas.openxmlformats.org/officeDocument/2006/relationships/image" Target="media/image34.jpeg"/><Relationship Id="rId42" Type="http://schemas.openxmlformats.org/officeDocument/2006/relationships/hyperlink" Target="http://hdr.undp.org/" TargetMode="External"/><Relationship Id="rId43" Type="http://schemas.openxmlformats.org/officeDocument/2006/relationships/hyperlink" Target="http://happyplanetindex.org/" TargetMode="External"/><Relationship Id="rId44" Type="http://schemas.openxmlformats.org/officeDocument/2006/relationships/image" Target="media/image35.jpeg"/><Relationship Id="rId45" Type="http://schemas.openxmlformats.org/officeDocument/2006/relationships/image" Target="media/image36.jpeg"/><Relationship Id="rId46" Type="http://schemas.openxmlformats.org/officeDocument/2006/relationships/image" Target="media/image37.jpeg"/><Relationship Id="rId47" Type="http://schemas.openxmlformats.org/officeDocument/2006/relationships/image" Target="media/image38.jpeg"/><Relationship Id="rId48" Type="http://schemas.openxmlformats.org/officeDocument/2006/relationships/image" Target="media/image39.jpeg"/><Relationship Id="rId49" Type="http://schemas.openxmlformats.org/officeDocument/2006/relationships/hyperlink" Target="http://www.terracampus.cr/" TargetMode="External"/><Relationship Id="rId50" Type="http://schemas.openxmlformats.org/officeDocument/2006/relationships/footer" Target="footer3.xml"/><Relationship Id="rId51" Type="http://schemas.openxmlformats.org/officeDocument/2006/relationships/image" Target="media/image40.jpeg"/><Relationship Id="rId52" Type="http://schemas.openxmlformats.org/officeDocument/2006/relationships/footer" Target="footer4.xml"/><Relationship Id="rId53" Type="http://schemas.openxmlformats.org/officeDocument/2006/relationships/image" Target="media/image41.jpeg"/><Relationship Id="rId54" Type="http://schemas.openxmlformats.org/officeDocument/2006/relationships/image" Target="media/image42.jpeg"/><Relationship Id="rId55" Type="http://schemas.openxmlformats.org/officeDocument/2006/relationships/image" Target="media/image43.jpeg"/><Relationship Id="rId56" Type="http://schemas.openxmlformats.org/officeDocument/2006/relationships/image" Target="media/image44.jpeg"/><Relationship Id="rId57" Type="http://schemas.openxmlformats.org/officeDocument/2006/relationships/hyperlink" Target="https://www.mivah.go.cr/Documentos/precarios/" TargetMode="External"/><Relationship Id="rId58" Type="http://schemas.openxmlformats.org/officeDocument/2006/relationships/image" Target="media/image45.jpeg"/><Relationship Id="rId59" Type="http://schemas.openxmlformats.org/officeDocument/2006/relationships/image" Target="media/image46.png"/><Relationship Id="rId60" Type="http://schemas.openxmlformats.org/officeDocument/2006/relationships/image" Target="media/image47.jpeg"/><Relationship Id="rId61" Type="http://schemas.openxmlformats.org/officeDocument/2006/relationships/hyperlink" Target="http://www.estadonacion.or.cr/" TargetMode="External"/><Relationship Id="rId62" Type="http://schemas.openxmlformats.org/officeDocument/2006/relationships/footer" Target="footer5.xml"/><Relationship Id="rId63" Type="http://schemas.openxmlformats.org/officeDocument/2006/relationships/image" Target="media/image48.jpeg"/><Relationship Id="rId64" Type="http://schemas.openxmlformats.org/officeDocument/2006/relationships/hyperlink" Target="http://www.footprintnetwork.org/" TargetMode="External"/><Relationship Id="rId65" Type="http://schemas.openxmlformats.org/officeDocument/2006/relationships/footer" Target="footer6.xml"/><Relationship Id="rId66" Type="http://schemas.openxmlformats.org/officeDocument/2006/relationships/image" Target="media/image49.png"/><Relationship Id="rId67" Type="http://schemas.openxmlformats.org/officeDocument/2006/relationships/image" Target="media/image50.jpeg"/><Relationship Id="rId68" Type="http://schemas.openxmlformats.org/officeDocument/2006/relationships/image" Target="media/image51.jpeg"/><Relationship Id="rId69" Type="http://schemas.openxmlformats.org/officeDocument/2006/relationships/image" Target="media/image52.jpeg"/><Relationship Id="rId70" Type="http://schemas.openxmlformats.org/officeDocument/2006/relationships/footer" Target="footer7.xml"/><Relationship Id="rId71" Type="http://schemas.openxmlformats.org/officeDocument/2006/relationships/image" Target="media/image53.jpeg"/><Relationship Id="rId72" Type="http://schemas.openxmlformats.org/officeDocument/2006/relationships/footer" Target="footer8.xml"/><Relationship Id="rId73" Type="http://schemas.openxmlformats.org/officeDocument/2006/relationships/footer" Target="footer9.xml"/><Relationship Id="rId74" Type="http://schemas.openxmlformats.org/officeDocument/2006/relationships/image" Target="media/image54.jpeg"/><Relationship Id="rId75" Type="http://schemas.openxmlformats.org/officeDocument/2006/relationships/footer" Target="footer10.xml"/><Relationship Id="rId76" Type="http://schemas.openxmlformats.org/officeDocument/2006/relationships/hyperlink" Target="http://www.footprintnetwork.org/en/index.php/GFN/page/calculators/" TargetMode="External"/><Relationship Id="rId77" Type="http://schemas.openxmlformats.org/officeDocument/2006/relationships/image" Target="media/image55.jpeg"/><Relationship Id="rId78" Type="http://schemas.openxmlformats.org/officeDocument/2006/relationships/image" Target="media/image56.png"/><Relationship Id="rId79" Type="http://schemas.openxmlformats.org/officeDocument/2006/relationships/image" Target="media/image57.jpeg"/><Relationship Id="rId80" Type="http://schemas.openxmlformats.org/officeDocument/2006/relationships/image" Target="media/image58.jpeg"/><Relationship Id="rId81" Type="http://schemas.openxmlformats.org/officeDocument/2006/relationships/image" Target="media/image59.jpeg"/><Relationship Id="rId82" Type="http://schemas.openxmlformats.org/officeDocument/2006/relationships/hyperlink" Target="http://www.raosoft.com/samplesize.html" TargetMode="External"/><Relationship Id="rId83" Type="http://schemas.openxmlformats.org/officeDocument/2006/relationships/footer" Target="footer11.xml"/><Relationship Id="rId84" Type="http://schemas.openxmlformats.org/officeDocument/2006/relationships/hyperlink" Target="http://curridabat.olx.co.cr/" TargetMode="External"/><Relationship Id="rId85" Type="http://schemas.openxmlformats.org/officeDocument/2006/relationships/hyperlink" Target="http://desamparados.olx.co.cr/" TargetMode="External"/><Relationship Id="rId86" Type="http://schemas.openxmlformats.org/officeDocument/2006/relationships/hyperlink" Target="http://www.encuentra24.com/" TargetMode="External"/><Relationship Id="rId87" Type="http://schemas.openxmlformats.org/officeDocument/2006/relationships/hyperlink" Target="http://www.compreoalquile.co.cr/" TargetMode="External"/><Relationship Id="rId88" Type="http://schemas.openxmlformats.org/officeDocument/2006/relationships/hyperlink" Target="http://www.inmotico.com/" TargetMode="External"/><Relationship Id="rId89" Type="http://schemas.openxmlformats.org/officeDocument/2006/relationships/hyperlink" Target="http://search.viviendabac.com/" TargetMode="External"/><Relationship Id="rId90" Type="http://schemas.openxmlformats.org/officeDocument/2006/relationships/footer" Target="footer12.xml"/><Relationship Id="rId91" Type="http://schemas.openxmlformats.org/officeDocument/2006/relationships/footer" Target="footer13.xml"/><Relationship Id="rId92" Type="http://schemas.openxmlformats.org/officeDocument/2006/relationships/footer" Target="footer14.xml"/><Relationship Id="rId93" Type="http://schemas.openxmlformats.org/officeDocument/2006/relationships/image" Target="media/image60.jpeg"/><Relationship Id="rId94" Type="http://schemas.openxmlformats.org/officeDocument/2006/relationships/image" Target="media/image61.jpeg"/><Relationship Id="rId95" Type="http://schemas.openxmlformats.org/officeDocument/2006/relationships/hyperlink" Target="http://www.nacion.com/sucesos/desastres/Familias-urbanizan-zona-riesgo-" TargetMode="External"/><Relationship Id="rId96" Type="http://schemas.openxmlformats.org/officeDocument/2006/relationships/hyperlink" Target="http://www.asmocicu.com/" TargetMode="External"/><Relationship Id="rId97" Type="http://schemas.openxmlformats.org/officeDocument/2006/relationships/hyperlink" Target="http://www.nacion.com/nacional/servicios-publicos/Cierre-" TargetMode="External"/><Relationship Id="rId98" Type="http://schemas.openxmlformats.org/officeDocument/2006/relationships/hyperlink" Target="http://habitat.aq.upm.es/boletin/n20/affer.html" TargetMode="External"/><Relationship Id="rId99" Type="http://schemas.openxmlformats.org/officeDocument/2006/relationships/hyperlink" Target="http://www.inec.go.cr/encuestas/encuesta-nacional-de-hogares" TargetMode="External"/><Relationship Id="rId100" Type="http://schemas.openxmlformats.org/officeDocument/2006/relationships/hyperlink" Target="http://www.ucipfg.com/Repositorio/MAES/PED/Semana4/PreciosHedonicos.pdf" TargetMode="External"/><Relationship Id="rId101" Type="http://schemas.openxmlformats.org/officeDocument/2006/relationships/hyperlink" Target="http://vientosur.info/spip.php?article13342" TargetMode="External"/><Relationship Id="rId102" Type="http://schemas.openxmlformats.org/officeDocument/2006/relationships/hyperlink" Target="http://www.inbio.ac.cr/otus/pdf/valoracion-economica-biodiversidad-cr.pdf" TargetMode="External"/><Relationship Id="rId103" Type="http://schemas.openxmlformats.org/officeDocument/2006/relationships/hyperlink" Target="http://www.notecomaselmundo.org/" TargetMode="External"/><Relationship Id="rId104" Type="http://schemas.openxmlformats.org/officeDocument/2006/relationships/hyperlink" Target="http://www.oilwatch.org/index.php?option=com_content&amp;task=view&amp;id=149&amp;Item" TargetMode="External"/><Relationship Id="rId105" Type="http://schemas.openxmlformats.org/officeDocument/2006/relationships/hyperlink" Target="http://www.facebook.com/puscdesamparados/media_set?set=a.905910329461" TargetMode="External"/><Relationship Id="rId106" Type="http://schemas.openxmlformats.org/officeDocument/2006/relationships/hyperlink" Target="http://www.scielo.org.mx/scielo.php?script=sci_arttext&amp;pid=S1870-" TargetMode="External"/><Relationship Id="rId107" Type="http://schemas.openxmlformats.org/officeDocument/2006/relationships/hyperlink" Target="http://www.nacion.com/el-pais/recelo-por-mina-en-coris-de-" TargetMode="External"/><Relationship Id="rId108" Type="http://schemas.openxmlformats.org/officeDocument/2006/relationships/hyperlink" Target="http://www.nacion.com/nacional/vivienda/Tribunal-Ambiental-construcciones-" TargetMode="External"/><Relationship Id="rId109" Type="http://schemas.openxmlformats.org/officeDocument/2006/relationships/hyperlink" Target="http://www.hhrjournal.org/2017/08/canadas-mining-industry-in-guatemala-and-" TargetMode="External"/><Relationship Id="rId110" Type="http://schemas.openxmlformats.org/officeDocument/2006/relationships/hyperlink" Target="http://www.nacion.com/vivir/ambiente/Instituciones-" TargetMode="External"/><Relationship Id="rId111" Type="http://schemas.openxmlformats.org/officeDocument/2006/relationships/hyperlink" Target="http://www.cosmovisiones.com/DeudaEcologica/a_timetopay.html" TargetMode="External"/><Relationship Id="rId112" Type="http://schemas.openxmlformats.org/officeDocument/2006/relationships/image" Target="media/image62.jpeg"/><Relationship Id="rId113" Type="http://schemas.openxmlformats.org/officeDocument/2006/relationships/image" Target="media/image63.jpeg"/><Relationship Id="rId114" Type="http://schemas.openxmlformats.org/officeDocument/2006/relationships/image" Target="media/image64.jpeg"/><Relationship Id="rId115" Type="http://schemas.openxmlformats.org/officeDocument/2006/relationships/image" Target="media/image65.jpeg"/><Relationship Id="rId116" Type="http://schemas.openxmlformats.org/officeDocument/2006/relationships/image" Target="media/image66.jpeg"/><Relationship Id="rId117" Type="http://schemas.openxmlformats.org/officeDocument/2006/relationships/image" Target="media/image67.jpeg"/><Relationship Id="rId118" Type="http://schemas.openxmlformats.org/officeDocument/2006/relationships/image" Target="media/image68.jpeg"/><Relationship Id="rId119" Type="http://schemas.openxmlformats.org/officeDocument/2006/relationships/image" Target="media/image69.jpeg"/><Relationship Id="rId120" Type="http://schemas.openxmlformats.org/officeDocument/2006/relationships/image" Target="media/image70.jpeg"/><Relationship Id="rId121" Type="http://schemas.openxmlformats.org/officeDocument/2006/relationships/image" Target="media/image71.jpeg"/><Relationship Id="rId122" Type="http://schemas.openxmlformats.org/officeDocument/2006/relationships/image" Target="media/image72.jpeg"/><Relationship Id="rId123" Type="http://schemas.openxmlformats.org/officeDocument/2006/relationships/image" Target="media/image73.jpeg"/><Relationship Id="rId124" Type="http://schemas.openxmlformats.org/officeDocument/2006/relationships/image" Target="media/image74.jpeg"/><Relationship Id="rId125" Type="http://schemas.openxmlformats.org/officeDocument/2006/relationships/image" Target="media/image75.jpeg"/><Relationship Id="rId126" Type="http://schemas.openxmlformats.org/officeDocument/2006/relationships/footer" Target="footer15.xml"/><Relationship Id="rId127" Type="http://schemas.openxmlformats.org/officeDocument/2006/relationships/footer" Target="footer16.xml"/><Relationship Id="rId128" Type="http://schemas.openxmlformats.org/officeDocument/2006/relationships/image" Target="media/image76.jpeg"/><Relationship Id="rId129" Type="http://schemas.openxmlformats.org/officeDocument/2006/relationships/image" Target="media/image77.jpeg"/><Relationship Id="rId130" Type="http://schemas.openxmlformats.org/officeDocument/2006/relationships/image" Target="media/image78.jpeg"/><Relationship Id="rId131" Type="http://schemas.openxmlformats.org/officeDocument/2006/relationships/image" Target="media/image79.jpeg"/><Relationship Id="rId132" Type="http://schemas.openxmlformats.org/officeDocument/2006/relationships/image" Target="media/image80.jpeg"/><Relationship Id="rId133" Type="http://schemas.openxmlformats.org/officeDocument/2006/relationships/image" Target="media/image81.jpeg"/><Relationship Id="rId134" Type="http://schemas.openxmlformats.org/officeDocument/2006/relationships/image" Target="media/image82.jpeg"/><Relationship Id="rId135" Type="http://schemas.openxmlformats.org/officeDocument/2006/relationships/image" Target="media/image83.jpeg"/><Relationship Id="rId136" Type="http://schemas.openxmlformats.org/officeDocument/2006/relationships/image" Target="media/image84.jpeg"/><Relationship Id="rId137" Type="http://schemas.openxmlformats.org/officeDocument/2006/relationships/image" Target="media/image85.jpeg"/><Relationship Id="rId138" Type="http://schemas.openxmlformats.org/officeDocument/2006/relationships/image" Target="media/image86.jpeg"/><Relationship Id="rId139" Type="http://schemas.openxmlformats.org/officeDocument/2006/relationships/image" Target="media/image87.jpeg"/><Relationship Id="rId140" Type="http://schemas.openxmlformats.org/officeDocument/2006/relationships/image" Target="media/image88.jpeg"/><Relationship Id="rId141" Type="http://schemas.openxmlformats.org/officeDocument/2006/relationships/image" Target="media/image89.jpeg"/><Relationship Id="rId142" Type="http://schemas.openxmlformats.org/officeDocument/2006/relationships/image" Target="media/image90.jpeg"/><Relationship Id="rId143" Type="http://schemas.openxmlformats.org/officeDocument/2006/relationships/image" Target="media/image91.jpeg"/><Relationship Id="rId144" Type="http://schemas.openxmlformats.org/officeDocument/2006/relationships/image" Target="media/image92.jpeg"/><Relationship Id="rId145" Type="http://schemas.openxmlformats.org/officeDocument/2006/relationships/image" Target="media/image93.jpeg"/><Relationship Id="rId146" Type="http://schemas.openxmlformats.org/officeDocument/2006/relationships/image" Target="media/image94.jpeg"/><Relationship Id="rId147" Type="http://schemas.openxmlformats.org/officeDocument/2006/relationships/image" Target="media/image95.jpeg"/><Relationship Id="rId148" Type="http://schemas.openxmlformats.org/officeDocument/2006/relationships/image" Target="media/image96.jpeg"/><Relationship Id="rId149" Type="http://schemas.openxmlformats.org/officeDocument/2006/relationships/image" Target="media/image97.jpeg"/><Relationship Id="rId150" Type="http://schemas.openxmlformats.org/officeDocument/2006/relationships/image" Target="media/image98.jpeg"/><Relationship Id="rId151" Type="http://schemas.openxmlformats.org/officeDocument/2006/relationships/image" Target="media/image99.jpeg"/><Relationship Id="rId152" Type="http://schemas.openxmlformats.org/officeDocument/2006/relationships/image" Target="media/image100.png"/><Relationship Id="rId153" Type="http://schemas.openxmlformats.org/officeDocument/2006/relationships/image" Target="media/image101.png"/><Relationship Id="rId154" Type="http://schemas.openxmlformats.org/officeDocument/2006/relationships/image" Target="media/image102.png"/><Relationship Id="rId155" Type="http://schemas.openxmlformats.org/officeDocument/2006/relationships/image" Target="media/image103.png"/><Relationship Id="rId156" Type="http://schemas.openxmlformats.org/officeDocument/2006/relationships/image" Target="media/image104.png"/><Relationship Id="rId157" Type="http://schemas.openxmlformats.org/officeDocument/2006/relationships/image" Target="media/image105.png"/><Relationship Id="rId158" Type="http://schemas.openxmlformats.org/officeDocument/2006/relationships/image" Target="media/image106.png"/><Relationship Id="rId159" Type="http://schemas.openxmlformats.org/officeDocument/2006/relationships/image" Target="media/image107.png"/><Relationship Id="rId160" Type="http://schemas.openxmlformats.org/officeDocument/2006/relationships/image" Target="media/image108.png"/><Relationship Id="rId161" Type="http://schemas.openxmlformats.org/officeDocument/2006/relationships/image" Target="media/image109.png"/><Relationship Id="rId162" Type="http://schemas.openxmlformats.org/officeDocument/2006/relationships/image" Target="media/image110.png"/><Relationship Id="rId163" Type="http://schemas.openxmlformats.org/officeDocument/2006/relationships/image" Target="media/image111.png"/><Relationship Id="rId164" Type="http://schemas.openxmlformats.org/officeDocument/2006/relationships/image" Target="media/image112.png"/><Relationship Id="rId165" Type="http://schemas.openxmlformats.org/officeDocument/2006/relationships/image" Target="media/image113.png"/><Relationship Id="rId166" Type="http://schemas.openxmlformats.org/officeDocument/2006/relationships/image" Target="media/image114.png"/><Relationship Id="rId167" Type="http://schemas.openxmlformats.org/officeDocument/2006/relationships/image" Target="media/image115.png"/><Relationship Id="rId168" Type="http://schemas.openxmlformats.org/officeDocument/2006/relationships/image" Target="media/image116.png"/><Relationship Id="rId169" Type="http://schemas.openxmlformats.org/officeDocument/2006/relationships/image" Target="media/image117.png"/><Relationship Id="rId170" Type="http://schemas.openxmlformats.org/officeDocument/2006/relationships/image" Target="media/image118.png"/><Relationship Id="rId171" Type="http://schemas.openxmlformats.org/officeDocument/2006/relationships/image" Target="media/image119.png"/><Relationship Id="rId172" Type="http://schemas.openxmlformats.org/officeDocument/2006/relationships/image" Target="media/image120.png"/><Relationship Id="rId173" Type="http://schemas.openxmlformats.org/officeDocument/2006/relationships/image" Target="media/image121.png"/><Relationship Id="rId174" Type="http://schemas.openxmlformats.org/officeDocument/2006/relationships/image" Target="media/image122.png"/><Relationship Id="rId175" Type="http://schemas.openxmlformats.org/officeDocument/2006/relationships/image" Target="media/image123.png"/><Relationship Id="rId17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 y Li</dc:creator>
  <dcterms:created xsi:type="dcterms:W3CDTF">2021-05-11T20:22:34Z</dcterms:created>
  <dcterms:modified xsi:type="dcterms:W3CDTF">2021-05-11T20:22:34Z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2019-06-27T00:00:00Z</vt:filetime>
  </property>
  <property fmtid="{D5CDD505-2E9C-101B-9397-08002B2CF9AE}" pid="3" name="Creator">
    <vt:lpwstr>Microsoft® Word 2016</vt:lpwstr>
  </property>
  <property fmtid="{D5CDD505-2E9C-101B-9397-08002B2CF9AE}" pid="4" name="LastSaved">
    <vt:filetime>2021-05-11T00:00:00Z</vt:filetime>
  </property>
</Properties>
</file>