
<file path=[Content_Types].xml><?xml version="1.0" encoding="utf-8"?>
<Types xmlns="http://schemas.openxmlformats.org/package/2006/content-types">
  <Default Extension="jp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8EFDB5" w14:textId="77777777" w:rsidR="00D077E9" w:rsidRDefault="002F1FB0" w:rsidP="00D70D02">
      <w:r>
        <w:rPr>
          <w:noProof/>
          <w:lang w:val="es-CR" w:eastAsia="es-CR"/>
        </w:rPr>
        <mc:AlternateContent>
          <mc:Choice Requires="wps">
            <w:drawing>
              <wp:anchor distT="0" distB="0" distL="114300" distR="114300" simplePos="0" relativeHeight="251658240" behindDoc="1" locked="0" layoutInCell="1" allowOverlap="1" wp14:anchorId="0319ABAC" wp14:editId="57FB05AC">
                <wp:simplePos x="0" y="0"/>
                <wp:positionH relativeFrom="margin">
                  <wp:posOffset>-74295</wp:posOffset>
                </wp:positionH>
                <wp:positionV relativeFrom="page">
                  <wp:posOffset>885825</wp:posOffset>
                </wp:positionV>
                <wp:extent cx="6362700" cy="8239125"/>
                <wp:effectExtent l="57150" t="38100" r="76200" b="104775"/>
                <wp:wrapNone/>
                <wp:docPr id="3" name="Rectangle 3" descr="white rectangle for text on cover"/>
                <wp:cNvGraphicFramePr/>
                <a:graphic xmlns:a="http://schemas.openxmlformats.org/drawingml/2006/main">
                  <a:graphicData uri="http://schemas.microsoft.com/office/word/2010/wordprocessingShape">
                    <wps:wsp>
                      <wps:cNvSpPr/>
                      <wps:spPr>
                        <a:xfrm>
                          <a:off x="0" y="0"/>
                          <a:ext cx="6362700" cy="8239125"/>
                        </a:xfrm>
                        <a:prstGeom prst="rect">
                          <a:avLst/>
                        </a:prstGeom>
                        <a:ln/>
                      </wps:spPr>
                      <wps:style>
                        <a:lnRef idx="1">
                          <a:schemeClr val="accent4"/>
                        </a:lnRef>
                        <a:fillRef idx="2">
                          <a:schemeClr val="accent4"/>
                        </a:fillRef>
                        <a:effectRef idx="1">
                          <a:schemeClr val="accent4"/>
                        </a:effectRef>
                        <a:fontRef idx="minor">
                          <a:schemeClr val="dk1"/>
                        </a:fontRef>
                      </wps:style>
                      <wps:txbx>
                        <w:txbxContent>
                          <w:p w14:paraId="66606D38" w14:textId="77777777" w:rsidR="00C505CE" w:rsidRDefault="00C505CE" w:rsidP="002F1FB0">
                            <w:pPr>
                              <w:jc w:val="center"/>
                              <w:rPr>
                                <w:i/>
                                <w:sz w:val="36"/>
                                <w:lang w:val="es-CR"/>
                              </w:rPr>
                            </w:pPr>
                          </w:p>
                          <w:p w14:paraId="01C00EA0" w14:textId="77777777" w:rsidR="00C505CE" w:rsidRDefault="00C505CE" w:rsidP="002F1FB0">
                            <w:pPr>
                              <w:jc w:val="center"/>
                              <w:rPr>
                                <w:i/>
                                <w:sz w:val="36"/>
                                <w:lang w:val="es-CR"/>
                              </w:rPr>
                            </w:pPr>
                          </w:p>
                          <w:p w14:paraId="0448C801" w14:textId="77777777" w:rsidR="00C505CE" w:rsidRDefault="00C505CE" w:rsidP="002F1FB0">
                            <w:pPr>
                              <w:jc w:val="center"/>
                              <w:rPr>
                                <w:i/>
                                <w:sz w:val="36"/>
                                <w:lang w:val="es-CR"/>
                              </w:rPr>
                            </w:pPr>
                          </w:p>
                          <w:p w14:paraId="181216F0" w14:textId="3FFDBD02" w:rsidR="00DE0026" w:rsidRPr="002F1FB0" w:rsidRDefault="00DE0026" w:rsidP="002F1FB0">
                            <w:pPr>
                              <w:jc w:val="center"/>
                              <w:rPr>
                                <w:i/>
                                <w:sz w:val="36"/>
                                <w:lang w:val="es-CR"/>
                              </w:rPr>
                            </w:pPr>
                            <w:r w:rsidRPr="00170CD0">
                              <w:rPr>
                                <w:i/>
                                <w:sz w:val="36"/>
                                <w:lang w:val="es-CR"/>
                              </w:rPr>
                              <w:t>Proyecto SIA 0</w:t>
                            </w:r>
                            <w:r w:rsidR="008B246C">
                              <w:rPr>
                                <w:i/>
                                <w:sz w:val="36"/>
                                <w:lang w:val="es-CR"/>
                              </w:rPr>
                              <w:t>244-17</w:t>
                            </w:r>
                            <w:r w:rsidRPr="00170CD0">
                              <w:rPr>
                                <w:i/>
                                <w:sz w:val="36"/>
                                <w:lang w:val="es-CR"/>
                              </w:rPr>
                              <w:t xml:space="preserve">: </w:t>
                            </w:r>
                            <w:r w:rsidR="008B246C" w:rsidRPr="008B246C">
                              <w:rPr>
                                <w:i/>
                                <w:sz w:val="36"/>
                                <w:lang w:val="es-CR"/>
                              </w:rPr>
                              <w:t>Participación en los procesos de gestión ambiental del Cantón de San Pablo en la provincia de Heredia, mediante la generación de indicadores relacionados con la condición de la red hídrica de la zona</w:t>
                            </w:r>
                            <w:r w:rsidRPr="00170CD0">
                              <w:rPr>
                                <w:i/>
                                <w:sz w:val="36"/>
                                <w:lang w:val="es-CR"/>
                              </w:rPr>
                              <w:t>.</w:t>
                            </w:r>
                          </w:p>
                          <w:p w14:paraId="0906C06B" w14:textId="000B735B" w:rsidR="00DE0026" w:rsidRPr="005C7926" w:rsidRDefault="00DE0026" w:rsidP="005C7926">
                            <w:pPr>
                              <w:jc w:val="center"/>
                              <w:rPr>
                                <w:lang w:val="es-C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19ABAC" id="Rectangle 3" o:spid="_x0000_s1026" alt="white rectangle for text on cover" style="position:absolute;margin-left:-5.85pt;margin-top:69.75pt;width:501pt;height:648.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" fillcolor="#9cccdc [2103]" strokecolor="#66b2ca [3207]" strokeweight="1pt">
                <v:fill color2="#eff7f9 [343]" rotate="t" angle="180" colors="0 #a9d5e6;9830f #c0e0ed;1 #f4f9fb" focus="100%" type="gradient"/>
                <v:shadow on="t" color="black" opacity="28270f" origin=",.5" offset="0"/>
                <v:textbox>
                  <w:txbxContent>
                    <w:p w14:paraId="66606D38" w14:textId="77777777" w:rsidR="00C505CE" w:rsidRDefault="00C505CE" w:rsidP="002F1FB0">
                      <w:pPr>
                        <w:jc w:val="center"/>
                        <w:rPr>
                          <w:i/>
                          <w:sz w:val="36"/>
                          <w:lang w:val="es-CR"/>
                        </w:rPr>
                      </w:pPr>
                    </w:p>
                    <w:p w14:paraId="01C00EA0" w14:textId="77777777" w:rsidR="00C505CE" w:rsidRDefault="00C505CE" w:rsidP="002F1FB0">
                      <w:pPr>
                        <w:jc w:val="center"/>
                        <w:rPr>
                          <w:i/>
                          <w:sz w:val="36"/>
                          <w:lang w:val="es-CR"/>
                        </w:rPr>
                      </w:pPr>
                    </w:p>
                    <w:p w14:paraId="0448C801" w14:textId="77777777" w:rsidR="00C505CE" w:rsidRDefault="00C505CE" w:rsidP="002F1FB0">
                      <w:pPr>
                        <w:jc w:val="center"/>
                        <w:rPr>
                          <w:i/>
                          <w:sz w:val="36"/>
                          <w:lang w:val="es-CR"/>
                        </w:rPr>
                      </w:pPr>
                    </w:p>
                    <w:p w14:paraId="181216F0" w14:textId="3FFDBD02" w:rsidR="00DE0026" w:rsidRPr="002F1FB0" w:rsidRDefault="00DE0026" w:rsidP="002F1FB0">
                      <w:pPr>
                        <w:jc w:val="center"/>
                        <w:rPr>
                          <w:i/>
                          <w:sz w:val="36"/>
                          <w:lang w:val="es-CR"/>
                        </w:rPr>
                      </w:pPr>
                      <w:r w:rsidRPr="00170CD0">
                        <w:rPr>
                          <w:i/>
                          <w:sz w:val="36"/>
                          <w:lang w:val="es-CR"/>
                        </w:rPr>
                        <w:t>Proyecto SIA 0</w:t>
                      </w:r>
                      <w:r w:rsidR="008B246C">
                        <w:rPr>
                          <w:i/>
                          <w:sz w:val="36"/>
                          <w:lang w:val="es-CR"/>
                        </w:rPr>
                        <w:t>244-17</w:t>
                      </w:r>
                      <w:r w:rsidRPr="00170CD0">
                        <w:rPr>
                          <w:i/>
                          <w:sz w:val="36"/>
                          <w:lang w:val="es-CR"/>
                        </w:rPr>
                        <w:t xml:space="preserve">: </w:t>
                      </w:r>
                      <w:r w:rsidR="008B246C" w:rsidRPr="008B246C">
                        <w:rPr>
                          <w:i/>
                          <w:sz w:val="36"/>
                          <w:lang w:val="es-CR"/>
                        </w:rPr>
                        <w:t>Participación en los procesos de gestión ambiental del Cantón de San Pablo en la provincia de Heredia, mediante la generación de indicadores relacionados con la condición de la red hídrica de la zona</w:t>
                      </w:r>
                      <w:r w:rsidRPr="00170CD0">
                        <w:rPr>
                          <w:i/>
                          <w:sz w:val="36"/>
                          <w:lang w:val="es-CR"/>
                        </w:rPr>
                        <w:t>.</w:t>
                      </w:r>
                    </w:p>
                    <w:p w14:paraId="0906C06B" w14:textId="000B735B" w:rsidR="00DE0026" w:rsidRPr="005C7926" w:rsidRDefault="00DE0026" w:rsidP="005C7926">
                      <w:pPr>
                        <w:jc w:val="center"/>
                        <w:rPr>
                          <w:lang w:val="es-CR"/>
                        </w:rPr>
                      </w:pPr>
                    </w:p>
                  </w:txbxContent>
                </v:textbox>
                <w10:wrap anchorx="margin" anchory="page"/>
              </v:rect>
            </w:pict>
          </mc:Fallback>
        </mc:AlternateContent>
      </w:r>
    </w:p>
    <w:tbl>
      <w:tblPr>
        <w:tblpPr w:leftFromText="180" w:rightFromText="180" w:vertAnchor="text" w:horzAnchor="margin" w:tblpY="-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9705"/>
      </w:tblGrid>
      <w:tr w:rsidR="00D077E9" w14:paraId="4121A3AF" w14:textId="77777777" w:rsidTr="00D077E9">
        <w:trPr>
          <w:trHeight w:val="1894"/>
        </w:trPr>
        <w:tc>
          <w:tcPr>
            <w:tcW w:w="5580" w:type="dxa"/>
            <w:tcBorders>
              <w:top w:val="nil"/>
              <w:left w:val="nil"/>
              <w:bottom w:val="nil"/>
              <w:right w:val="nil"/>
            </w:tcBorders>
          </w:tcPr>
          <w:p w14:paraId="469AF123" w14:textId="7BE8671C" w:rsidR="00D077E9" w:rsidRDefault="00D077E9" w:rsidP="00D077E9">
            <w:r>
              <w:rPr>
                <w:noProof/>
                <w:lang w:val="es-CR" w:eastAsia="es-CR"/>
              </w:rPr>
              <mc:AlternateContent>
                <mc:Choice Requires="wps">
                  <w:drawing>
                    <wp:inline distT="0" distB="0" distL="0" distR="0" wp14:anchorId="26373F28" wp14:editId="0B8A9946">
                      <wp:extent cx="6162675" cy="1495425"/>
                      <wp:effectExtent l="0" t="0" r="0" b="0"/>
                      <wp:docPr id="8" name="Text Box 8"/>
                      <wp:cNvGraphicFramePr/>
                      <a:graphic xmlns:a="http://schemas.openxmlformats.org/drawingml/2006/main">
                        <a:graphicData uri="http://schemas.microsoft.com/office/word/2010/wordprocessingShape">
                          <wps:wsp>
                            <wps:cNvSpPr txBox="1"/>
                            <wps:spPr>
                              <a:xfrm>
                                <a:off x="0" y="0"/>
                                <a:ext cx="6162675" cy="1495425"/>
                              </a:xfrm>
                              <a:prstGeom prst="rect">
                                <a:avLst/>
                              </a:prstGeom>
                              <a:noFill/>
                              <a:ln w="6350">
                                <a:noFill/>
                              </a:ln>
                            </wps:spPr>
                            <wps:txbx>
                              <w:txbxContent>
                                <w:p w14:paraId="54C480F7" w14:textId="77777777" w:rsidR="00816DBA" w:rsidRPr="00816DBA" w:rsidRDefault="008B246C" w:rsidP="005C7926">
                                  <w:pPr>
                                    <w:pStyle w:val="Ttulo"/>
                                    <w:jc w:val="center"/>
                                    <w:rPr>
                                      <w:sz w:val="44"/>
                                      <w:szCs w:val="44"/>
                                      <w:lang w:val="es-CR"/>
                                    </w:rPr>
                                  </w:pPr>
                                  <w:r w:rsidRPr="00816DBA">
                                    <w:rPr>
                                      <w:sz w:val="44"/>
                                      <w:szCs w:val="44"/>
                                      <w:lang w:val="es-CR"/>
                                    </w:rPr>
                                    <w:t>Informe</w:t>
                                  </w:r>
                                </w:p>
                                <w:p w14:paraId="0C9B9BB2" w14:textId="6B79C1B3" w:rsidR="00DE0026" w:rsidRPr="00816DBA" w:rsidRDefault="008B246C" w:rsidP="005C7926">
                                  <w:pPr>
                                    <w:pStyle w:val="Ttulo"/>
                                    <w:jc w:val="center"/>
                                    <w:rPr>
                                      <w:sz w:val="44"/>
                                      <w:szCs w:val="44"/>
                                      <w:lang w:val="es-CR"/>
                                    </w:rPr>
                                  </w:pPr>
                                  <w:r w:rsidRPr="00816DBA">
                                    <w:rPr>
                                      <w:sz w:val="44"/>
                                      <w:szCs w:val="44"/>
                                      <w:lang w:val="es-CR"/>
                                    </w:rPr>
                                    <w:t xml:space="preserve"> Aguas residuales generadas en el cantón</w:t>
                                  </w:r>
                                  <w:r w:rsidR="00816DBA" w:rsidRPr="00816DBA">
                                    <w:rPr>
                                      <w:sz w:val="44"/>
                                      <w:szCs w:val="44"/>
                                      <w:lang w:val="es-CR"/>
                                    </w:rPr>
                                    <w:t xml:space="preserve"> San Pablo</w:t>
                                  </w:r>
                                  <w:r w:rsidRPr="00816DBA">
                                    <w:rPr>
                                      <w:sz w:val="44"/>
                                      <w:szCs w:val="44"/>
                                      <w:lang w:val="es-CR"/>
                                    </w:rPr>
                                    <w:t xml:space="preserve"> durante el periodo 2014-2018 en plantas de tratamiento de aguas residuales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26373F28" id="_x0000_t202" coordsize="21600,21600" o:spt="202" path="m,l,21600r21600,l21600,xe">
                      <v:stroke joinstyle="miter"/>
                      <v:path gradientshapeok="t" o:connecttype="rect"/>
                    </v:shapetype>
                    <v:shape id="Text Box 8" o:spid="_x0000_s1027" type="#_x0000_t202" style="width:485.25pt;height:117.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" filled="f" stroked="f" strokeweight=".5pt">
                      <v:textbox>
                        <w:txbxContent>
                          <w:p w14:paraId="54C480F7" w14:textId="77777777" w:rsidR="00816DBA" w:rsidRPr="00816DBA" w:rsidRDefault="008B246C" w:rsidP="005C7926">
                            <w:pPr>
                              <w:pStyle w:val="Ttulo"/>
                              <w:jc w:val="center"/>
                              <w:rPr>
                                <w:sz w:val="44"/>
                                <w:szCs w:val="44"/>
                                <w:lang w:val="es-CR"/>
                              </w:rPr>
                            </w:pPr>
                            <w:r w:rsidRPr="00816DBA">
                              <w:rPr>
                                <w:sz w:val="44"/>
                                <w:szCs w:val="44"/>
                                <w:lang w:val="es-CR"/>
                              </w:rPr>
                              <w:t>Informe</w:t>
                            </w:r>
                          </w:p>
                          <w:p w14:paraId="0C9B9BB2" w14:textId="6B79C1B3" w:rsidR="00DE0026" w:rsidRPr="00816DBA" w:rsidRDefault="008B246C" w:rsidP="005C7926">
                            <w:pPr>
                              <w:pStyle w:val="Ttulo"/>
                              <w:jc w:val="center"/>
                              <w:rPr>
                                <w:sz w:val="44"/>
                                <w:szCs w:val="44"/>
                                <w:lang w:val="es-CR"/>
                              </w:rPr>
                            </w:pPr>
                            <w:r w:rsidRPr="00816DBA">
                              <w:rPr>
                                <w:sz w:val="44"/>
                                <w:szCs w:val="44"/>
                                <w:lang w:val="es-CR"/>
                              </w:rPr>
                              <w:t xml:space="preserve"> Aguas residuales generadas en el cantón</w:t>
                            </w:r>
                            <w:r w:rsidR="00816DBA" w:rsidRPr="00816DBA">
                              <w:rPr>
                                <w:sz w:val="44"/>
                                <w:szCs w:val="44"/>
                                <w:lang w:val="es-CR"/>
                              </w:rPr>
                              <w:t xml:space="preserve"> San Pablo</w:t>
                            </w:r>
                            <w:r w:rsidRPr="00816DBA">
                              <w:rPr>
                                <w:sz w:val="44"/>
                                <w:szCs w:val="44"/>
                                <w:lang w:val="es-CR"/>
                              </w:rPr>
                              <w:t xml:space="preserve"> durante el periodo 2014-2018 en plantas de tratamiento de aguas residuales</w:t>
                            </w:r>
                          </w:p>
                        </w:txbxContent>
                      </v:textbox>
                      <w10:anchorlock/>
                    </v:shape>
                  </w:pict>
                </mc:Fallback>
              </mc:AlternateContent>
            </w:r>
          </w:p>
        </w:tc>
      </w:tr>
      <w:tr w:rsidR="00D077E9" w14:paraId="5842D450" w14:textId="77777777" w:rsidTr="00D077E9">
        <w:trPr>
          <w:trHeight w:val="7636"/>
        </w:trPr>
        <w:tc>
          <w:tcPr>
            <w:tcW w:w="5580" w:type="dxa"/>
            <w:tcBorders>
              <w:top w:val="nil"/>
              <w:left w:val="nil"/>
              <w:bottom w:val="nil"/>
              <w:right w:val="nil"/>
            </w:tcBorders>
          </w:tcPr>
          <w:p w14:paraId="429138F5" w14:textId="768F4725" w:rsidR="00D077E9" w:rsidRDefault="008B246C" w:rsidP="00D077E9">
            <w:pPr>
              <w:rPr>
                <w:noProof/>
              </w:rPr>
            </w:pPr>
            <w:r>
              <w:rPr>
                <w:noProof/>
                <w:lang w:val="es-CR"/>
              </w:rPr>
              <w:drawing>
                <wp:anchor distT="0" distB="0" distL="114300" distR="114300" simplePos="0" relativeHeight="251668480" behindDoc="1" locked="0" layoutInCell="1" allowOverlap="1" wp14:anchorId="23E83EA3" wp14:editId="14B4DF37">
                  <wp:simplePos x="0" y="0"/>
                  <wp:positionH relativeFrom="column">
                    <wp:posOffset>516255</wp:posOffset>
                  </wp:positionH>
                  <wp:positionV relativeFrom="paragraph">
                    <wp:posOffset>345440</wp:posOffset>
                  </wp:positionV>
                  <wp:extent cx="5286375" cy="4663206"/>
                  <wp:effectExtent l="0" t="0" r="0" b="4445"/>
                  <wp:wrapNone/>
                  <wp:docPr id="4" name="Imagen 4" descr="Logotip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Logotipo&#10;&#10;Descripción generada automáticamente con confianza media"/>
                          <pic:cNvPicPr/>
                        </pic:nvPicPr>
                        <pic:blipFill rotWithShape="1">
                          <a:blip r:embed="rId7">
                            <a:alphaModFix amt="20000"/>
                            <a:extLst>
                              <a:ext uri="{28A0092B-C50C-407E-A947-70E740481C1C}">
                                <a14:useLocalDpi xmlns:a14="http://schemas.microsoft.com/office/drawing/2010/main" val="0"/>
                              </a:ext>
                            </a:extLst>
                          </a:blip>
                          <a:srcRect l="13247" t="18019" r="13212" b="17108"/>
                          <a:stretch/>
                        </pic:blipFill>
                        <pic:spPr bwMode="auto">
                          <a:xfrm>
                            <a:off x="0" y="0"/>
                            <a:ext cx="5286375" cy="466320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F1FB0">
              <w:rPr>
                <w:noProof/>
                <w:lang w:val="es-CR" w:eastAsia="es-CR"/>
              </w:rPr>
              <mc:AlternateContent>
                <mc:Choice Requires="wps">
                  <w:drawing>
                    <wp:inline distT="0" distB="0" distL="0" distR="0" wp14:anchorId="0E729B81" wp14:editId="01A3D4C2">
                      <wp:extent cx="1390918" cy="0"/>
                      <wp:effectExtent l="0" t="19050" r="19050" b="19050"/>
                      <wp:docPr id="5" name="Straight Connector 5" descr="text divider"/>
                      <wp:cNvGraphicFramePr/>
                      <a:graphic xmlns:a="http://schemas.openxmlformats.org/drawingml/2006/main">
                        <a:graphicData uri="http://schemas.microsoft.com/office/word/2010/wordprocessingShape">
                          <wps:wsp>
                            <wps:cNvCnPr/>
                            <wps:spPr>
                              <a:xfrm>
                                <a:off x="0" y="0"/>
                                <a:ext cx="1390918" cy="0"/>
                              </a:xfrm>
                              <a:prstGeom prst="line">
                                <a:avLst/>
                              </a:prstGeom>
                              <a:ln w="38100">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0ECC1AA9" id="Straight Connector 5" o:spid="_x0000_s1026" alt="text divider" style="visibility:visible;mso-wrap-style:square;mso-left-percent:-10001;mso-top-percent:-10001;mso-position-horizontal:absolute;mso-position-horizontal-relative:char;mso-position-vertical:absolute;mso-position-vertical-relative:line;mso-left-percent:-10001;mso-top-percent:-10001" from="0,0" to="109.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" strokecolor="#082a75 [3215]" strokeweight="3pt">
                      <w10:anchorlock/>
                    </v:line>
                  </w:pict>
                </mc:Fallback>
              </mc:AlternateContent>
            </w:r>
          </w:p>
        </w:tc>
      </w:tr>
      <w:tr w:rsidR="00D077E9" w:rsidRPr="00816DBA" w14:paraId="71197A99" w14:textId="77777777" w:rsidTr="00D077E9">
        <w:trPr>
          <w:trHeight w:val="2171"/>
        </w:trPr>
        <w:tc>
          <w:tcPr>
            <w:tcW w:w="5580" w:type="dxa"/>
            <w:tcBorders>
              <w:top w:val="nil"/>
              <w:left w:val="nil"/>
              <w:bottom w:val="nil"/>
              <w:right w:val="nil"/>
            </w:tcBorders>
          </w:tcPr>
          <w:p w14:paraId="16D7DB94" w14:textId="77777777" w:rsidR="00D077E9" w:rsidRDefault="00D077E9" w:rsidP="00D077E9"/>
          <w:p w14:paraId="720F806C" w14:textId="77777777" w:rsidR="00D077E9" w:rsidRDefault="00D077E9" w:rsidP="00D077E9">
            <w:pPr>
              <w:rPr>
                <w:noProof/>
                <w:sz w:val="10"/>
                <w:szCs w:val="10"/>
              </w:rPr>
            </w:pPr>
            <w:r w:rsidRPr="00D86945">
              <w:rPr>
                <w:noProof/>
                <w:sz w:val="10"/>
                <w:szCs w:val="10"/>
                <w:lang w:val="es-CR" w:eastAsia="es-CR"/>
              </w:rPr>
              <mc:AlternateContent>
                <mc:Choice Requires="wps">
                  <w:drawing>
                    <wp:inline distT="0" distB="0" distL="0" distR="0" wp14:anchorId="504ED6AA" wp14:editId="260FA03A">
                      <wp:extent cx="1493949" cy="0"/>
                      <wp:effectExtent l="0" t="19050" r="30480" b="19050"/>
                      <wp:docPr id="6" name="Straight Connector 6" descr="text divider"/>
                      <wp:cNvGraphicFramePr/>
                      <a:graphic xmlns:a="http://schemas.openxmlformats.org/drawingml/2006/main">
                        <a:graphicData uri="http://schemas.microsoft.com/office/word/2010/wordprocessingShape">
                          <wps:wsp>
                            <wps:cNvCnPr/>
                            <wps:spPr>
                              <a:xfrm>
                                <a:off x="0" y="0"/>
                                <a:ext cx="1493949" cy="0"/>
                              </a:xfrm>
                              <a:prstGeom prst="line">
                                <a:avLst/>
                              </a:prstGeom>
                              <a:ln w="38100">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3DD110D6" id="Straight Connector 6" o:spid="_x0000_s1026" alt="text divider" style="visibility:visible;mso-wrap-style:square;mso-left-percent:-10001;mso-top-percent:-10001;mso-position-horizontal:absolute;mso-position-horizontal-relative:char;mso-position-vertical:absolute;mso-position-vertical-relative:line;mso-left-percent:-10001;mso-top-percent:-10001" from="0,0" to="117.6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" strokecolor="#082a75 [3215]" strokeweight="3pt">
                      <w10:anchorlock/>
                    </v:line>
                  </w:pict>
                </mc:Fallback>
              </mc:AlternateContent>
            </w:r>
          </w:p>
          <w:p w14:paraId="57BEB043" w14:textId="77777777" w:rsidR="00D077E9" w:rsidRDefault="00D077E9" w:rsidP="00D077E9">
            <w:pPr>
              <w:rPr>
                <w:noProof/>
                <w:sz w:val="10"/>
                <w:szCs w:val="10"/>
              </w:rPr>
            </w:pPr>
          </w:p>
          <w:p w14:paraId="497CCC16" w14:textId="77777777" w:rsidR="00D077E9" w:rsidRDefault="00D077E9" w:rsidP="00D077E9">
            <w:pPr>
              <w:rPr>
                <w:noProof/>
                <w:sz w:val="10"/>
                <w:szCs w:val="10"/>
              </w:rPr>
            </w:pPr>
          </w:p>
          <w:sdt>
            <w:sdtPr>
              <w:id w:val="-1740469667"/>
              <w:placeholder>
                <w:docPart w:val="D0D41DDA12194DB6BAA13124B1F7DC18"/>
              </w:placeholder>
              <w15:appearance w15:val="hidden"/>
            </w:sdtPr>
            <w:sdtEndPr/>
            <w:sdtContent>
              <w:p w14:paraId="28174410" w14:textId="77777777" w:rsidR="00C505CE" w:rsidRDefault="005C7926" w:rsidP="00D077E9">
                <w:pPr>
                  <w:rPr>
                    <w:lang w:val="es-CR"/>
                  </w:rPr>
                </w:pPr>
                <w:r w:rsidRPr="005C7926">
                  <w:rPr>
                    <w:lang w:val="es-CR"/>
                  </w:rPr>
                  <w:t>Laboratorio de Manejo del Recurso H</w:t>
                </w:r>
                <w:r>
                  <w:rPr>
                    <w:lang w:val="es-CR"/>
                  </w:rPr>
                  <w:t>ídrico</w:t>
                </w:r>
              </w:p>
              <w:p w14:paraId="53460A0F" w14:textId="77777777" w:rsidR="00C505CE" w:rsidRDefault="00C505CE" w:rsidP="00D077E9">
                <w:pPr>
                  <w:rPr>
                    <w:lang w:val="es-CR"/>
                  </w:rPr>
                </w:pPr>
                <w:r>
                  <w:rPr>
                    <w:lang w:val="es-CR"/>
                  </w:rPr>
                  <w:t>Laboratorio de Gestión de Desechos</w:t>
                </w:r>
              </w:p>
              <w:p w14:paraId="53AE4859" w14:textId="4BB84868" w:rsidR="00D077E9" w:rsidRPr="005C7926" w:rsidRDefault="00C505CE" w:rsidP="00D077E9">
                <w:pPr>
                  <w:rPr>
                    <w:lang w:val="es-CR"/>
                  </w:rPr>
                </w:pPr>
                <w:r>
                  <w:rPr>
                    <w:lang w:val="es-CR"/>
                  </w:rPr>
                  <w:t>Laboratorio de Geografía Física</w:t>
                </w:r>
              </w:p>
            </w:sdtContent>
          </w:sdt>
          <w:p w14:paraId="601A6ECC" w14:textId="77777777" w:rsidR="00D077E9" w:rsidRPr="000F2FC1" w:rsidRDefault="00D077E9" w:rsidP="005C7926">
            <w:pPr>
              <w:rPr>
                <w:noProof/>
                <w:sz w:val="10"/>
                <w:szCs w:val="10"/>
                <w:lang w:val="es-CR"/>
              </w:rPr>
            </w:pPr>
          </w:p>
        </w:tc>
      </w:tr>
    </w:tbl>
    <w:p w14:paraId="79812E66" w14:textId="77777777" w:rsidR="00D077E9" w:rsidRPr="000F2FC1" w:rsidRDefault="00D077E9">
      <w:pPr>
        <w:spacing w:after="200"/>
        <w:rPr>
          <w:lang w:val="es-CR"/>
        </w:rPr>
      </w:pPr>
      <w:r>
        <w:rPr>
          <w:noProof/>
          <w:lang w:val="es-CR" w:eastAsia="es-CR"/>
        </w:rPr>
        <mc:AlternateContent>
          <mc:Choice Requires="wps">
            <w:drawing>
              <wp:anchor distT="0" distB="0" distL="114300" distR="114300" simplePos="0" relativeHeight="251657216" behindDoc="1" locked="0" layoutInCell="1" allowOverlap="1" wp14:anchorId="160EF7B2" wp14:editId="40828525">
                <wp:simplePos x="0" y="0"/>
                <wp:positionH relativeFrom="column">
                  <wp:posOffset>-746760</wp:posOffset>
                </wp:positionH>
                <wp:positionV relativeFrom="page">
                  <wp:posOffset>6870065</wp:posOffset>
                </wp:positionV>
                <wp:extent cx="7760970" cy="3374390"/>
                <wp:effectExtent l="95250" t="57150" r="106680" b="149860"/>
                <wp:wrapNone/>
                <wp:docPr id="2" name="Rectangle 2" descr="colored rectangle"/>
                <wp:cNvGraphicFramePr/>
                <a:graphic xmlns:a="http://schemas.openxmlformats.org/drawingml/2006/main">
                  <a:graphicData uri="http://schemas.microsoft.com/office/word/2010/wordprocessingShape">
                    <wps:wsp>
                      <wps:cNvSpPr/>
                      <wps:spPr>
                        <a:xfrm>
                          <a:off x="0" y="0"/>
                          <a:ext cx="7760970" cy="3374390"/>
                        </a:xfrm>
                        <a:prstGeom prst="rect">
                          <a:avLst/>
                        </a:prstGeom>
                        <a:ln/>
                      </wps:spPr>
                      <wps:style>
                        <a:lnRef idx="1">
                          <a:schemeClr val="accent4"/>
                        </a:lnRef>
                        <a:fillRef idx="3">
                          <a:schemeClr val="accent4"/>
                        </a:fillRef>
                        <a:effectRef idx="2">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8CDF31" id="Rectangle 2" o:spid="_x0000_s1026" alt="colored rectangle" style="position:absolute;margin-left:-58.8pt;margin-top:540.95pt;width:611.1pt;height:265.7pt;z-index:-251659264;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" fillcolor="#66b2ca [3207]" strokecolor="#66b2ca [3207]" strokeweight="1pt">
                <v:fill color2="#84c1d4 [2583]" rotate="t" angle="180" colors="0 #3eaacc;40632f #5ab9d7;1 #8acae3" focus="100%" type="gradient"/>
                <v:shadow on="t" color="black" opacity="40092f" origin=",.5" offset="0,3pt"/>
                <w10:wrap anchory="page"/>
              </v:rect>
            </w:pict>
          </mc:Fallback>
        </mc:AlternateContent>
      </w:r>
      <w:r w:rsidRPr="000F2FC1">
        <w:rPr>
          <w:lang w:val="es-CR"/>
        </w:rPr>
        <w:br w:type="page"/>
      </w:r>
    </w:p>
    <w:p w14:paraId="54935571" w14:textId="23279CD4" w:rsidR="00C505CE" w:rsidRDefault="00C505CE" w:rsidP="00C505CE">
      <w:pPr>
        <w:pStyle w:val="Ttulo1"/>
        <w:rPr>
          <w:rFonts w:cstheme="majorHAnsi"/>
          <w:sz w:val="24"/>
          <w:szCs w:val="24"/>
          <w:lang w:val="es-CR"/>
        </w:rPr>
      </w:pPr>
      <w:r w:rsidRPr="00C505CE">
        <w:rPr>
          <w:rFonts w:cstheme="majorHAnsi"/>
          <w:sz w:val="24"/>
          <w:szCs w:val="24"/>
          <w:lang w:val="es-CR"/>
        </w:rPr>
        <w:lastRenderedPageBreak/>
        <w:t>RESUMEN</w:t>
      </w:r>
    </w:p>
    <w:p w14:paraId="17F839A0" w14:textId="26499A67" w:rsidR="00E15F5C" w:rsidRDefault="00E15F5C" w:rsidP="00E15F5C">
      <w:pPr>
        <w:pStyle w:val="Content"/>
        <w:spacing w:line="240" w:lineRule="auto"/>
        <w:jc w:val="both"/>
        <w:rPr>
          <w:rFonts w:ascii="Arial" w:hAnsi="Arial" w:cs="Arial"/>
          <w:color w:val="auto"/>
          <w:sz w:val="24"/>
          <w:szCs w:val="24"/>
          <w:lang w:val="es-CR"/>
        </w:rPr>
      </w:pPr>
      <w:r>
        <w:rPr>
          <w:rFonts w:ascii="Arial" w:hAnsi="Arial" w:cs="Arial"/>
          <w:color w:val="auto"/>
          <w:sz w:val="24"/>
          <w:szCs w:val="24"/>
          <w:lang w:val="es-CR"/>
        </w:rPr>
        <w:t xml:space="preserve">Con este informe se pretende generar un insumo más que contribuya al diagnóstico socioambiental y </w:t>
      </w:r>
      <w:r w:rsidR="00766373">
        <w:rPr>
          <w:rFonts w:ascii="Arial" w:hAnsi="Arial" w:cs="Arial"/>
          <w:color w:val="auto"/>
          <w:sz w:val="24"/>
          <w:szCs w:val="24"/>
          <w:lang w:val="es-CR"/>
        </w:rPr>
        <w:t xml:space="preserve">que </w:t>
      </w:r>
      <w:r>
        <w:rPr>
          <w:rFonts w:ascii="Arial" w:hAnsi="Arial" w:cs="Arial"/>
          <w:color w:val="auto"/>
          <w:sz w:val="24"/>
          <w:szCs w:val="24"/>
          <w:lang w:val="es-CR"/>
        </w:rPr>
        <w:t>permita conocer el estado de generación de aguas residuales en el cantón</w:t>
      </w:r>
      <w:r w:rsidR="00766373">
        <w:rPr>
          <w:rFonts w:ascii="Arial" w:hAnsi="Arial" w:cs="Arial"/>
          <w:color w:val="auto"/>
          <w:sz w:val="24"/>
          <w:szCs w:val="24"/>
          <w:lang w:val="es-CR"/>
        </w:rPr>
        <w:t xml:space="preserve"> San Pablo</w:t>
      </w:r>
      <w:r>
        <w:rPr>
          <w:rFonts w:ascii="Arial" w:hAnsi="Arial" w:cs="Arial"/>
          <w:color w:val="auto"/>
          <w:sz w:val="24"/>
          <w:szCs w:val="24"/>
          <w:lang w:val="es-CR"/>
        </w:rPr>
        <w:t xml:space="preserve">. </w:t>
      </w:r>
      <w:r>
        <w:rPr>
          <w:rFonts w:ascii="Arial" w:hAnsi="Arial" w:cs="Arial"/>
          <w:color w:val="auto"/>
          <w:sz w:val="24"/>
          <w:szCs w:val="24"/>
          <w:lang w:val="es-CR"/>
        </w:rPr>
        <w:t xml:space="preserve"> </w:t>
      </w:r>
      <w:r w:rsidR="00766373">
        <w:rPr>
          <w:rFonts w:ascii="Arial" w:hAnsi="Arial" w:cs="Arial"/>
          <w:color w:val="auto"/>
          <w:sz w:val="24"/>
          <w:szCs w:val="24"/>
          <w:lang w:val="es-CR"/>
        </w:rPr>
        <w:t xml:space="preserve">El análisis </w:t>
      </w:r>
      <w:r>
        <w:rPr>
          <w:rFonts w:ascii="Arial" w:hAnsi="Arial" w:cs="Arial"/>
          <w:bCs/>
          <w:color w:val="auto"/>
          <w:sz w:val="24"/>
          <w:szCs w:val="24"/>
          <w:lang w:val="es-CR"/>
        </w:rPr>
        <w:t>del estado actual de las aguas residuales generadas</w:t>
      </w:r>
      <w:r w:rsidR="00766373">
        <w:rPr>
          <w:rFonts w:ascii="Arial" w:hAnsi="Arial" w:cs="Arial"/>
          <w:bCs/>
          <w:color w:val="auto"/>
          <w:sz w:val="24"/>
          <w:szCs w:val="24"/>
          <w:lang w:val="es-CR"/>
        </w:rPr>
        <w:t xml:space="preserve"> por diversas actividades </w:t>
      </w:r>
      <w:r w:rsidR="00F676E2">
        <w:rPr>
          <w:rFonts w:ascii="Arial" w:hAnsi="Arial" w:cs="Arial"/>
          <w:bCs/>
          <w:color w:val="auto"/>
          <w:sz w:val="24"/>
          <w:szCs w:val="24"/>
          <w:lang w:val="es-CR"/>
        </w:rPr>
        <w:t>productivas</w:t>
      </w:r>
      <w:r w:rsidR="00766373">
        <w:rPr>
          <w:rFonts w:ascii="Arial" w:hAnsi="Arial" w:cs="Arial"/>
          <w:bCs/>
          <w:color w:val="auto"/>
          <w:sz w:val="24"/>
          <w:szCs w:val="24"/>
          <w:lang w:val="es-CR"/>
        </w:rPr>
        <w:t xml:space="preserve"> se elaboró </w:t>
      </w:r>
      <w:r>
        <w:rPr>
          <w:rFonts w:ascii="Arial" w:hAnsi="Arial" w:cs="Arial"/>
          <w:bCs/>
          <w:color w:val="auto"/>
          <w:sz w:val="24"/>
          <w:szCs w:val="24"/>
          <w:lang w:val="es-CR"/>
        </w:rPr>
        <w:t>con base a</w:t>
      </w:r>
      <w:r w:rsidR="00766373">
        <w:rPr>
          <w:rFonts w:ascii="Arial" w:hAnsi="Arial" w:cs="Arial"/>
          <w:bCs/>
          <w:color w:val="auto"/>
          <w:sz w:val="24"/>
          <w:szCs w:val="24"/>
          <w:lang w:val="es-CR"/>
        </w:rPr>
        <w:t xml:space="preserve"> la información de</w:t>
      </w:r>
      <w:r>
        <w:rPr>
          <w:rFonts w:ascii="Arial" w:hAnsi="Arial" w:cs="Arial"/>
          <w:bCs/>
          <w:color w:val="auto"/>
          <w:sz w:val="24"/>
          <w:szCs w:val="24"/>
          <w:lang w:val="es-CR"/>
        </w:rPr>
        <w:t xml:space="preserve"> los vertidos</w:t>
      </w:r>
      <w:r w:rsidR="00F676E2">
        <w:rPr>
          <w:rFonts w:ascii="Arial" w:hAnsi="Arial" w:cs="Arial"/>
          <w:bCs/>
          <w:color w:val="auto"/>
          <w:sz w:val="24"/>
          <w:szCs w:val="24"/>
          <w:lang w:val="es-CR"/>
        </w:rPr>
        <w:t xml:space="preserve"> provenientes de plantas de tratamiento de aguas residuales (PTAR)</w:t>
      </w:r>
      <w:r>
        <w:rPr>
          <w:rFonts w:ascii="Arial" w:hAnsi="Arial" w:cs="Arial"/>
          <w:bCs/>
          <w:color w:val="auto"/>
          <w:sz w:val="24"/>
          <w:szCs w:val="24"/>
          <w:lang w:val="es-CR"/>
        </w:rPr>
        <w:t xml:space="preserve"> registrados ante el área rectora de salud durante el período comprendido entre los primeros trimestres del 2014 y del 2018.</w:t>
      </w:r>
      <w:r>
        <w:rPr>
          <w:rFonts w:ascii="Arial" w:hAnsi="Arial" w:cs="Arial"/>
          <w:bCs/>
          <w:color w:val="auto"/>
          <w:sz w:val="24"/>
          <w:szCs w:val="24"/>
          <w:lang w:val="es-CR"/>
        </w:rPr>
        <w:t xml:space="preserve"> </w:t>
      </w:r>
      <w:r w:rsidRPr="00E15F5C">
        <w:rPr>
          <w:rFonts w:ascii="Arial" w:hAnsi="Arial" w:cs="Arial"/>
          <w:bCs/>
          <w:color w:val="auto"/>
          <w:sz w:val="24"/>
          <w:szCs w:val="24"/>
          <w:lang w:val="es-CR"/>
        </w:rPr>
        <w:t>Para lo anterior se realizó un análisis descriptivo de la cantidad de reportes presentados de acuerdo</w:t>
      </w:r>
      <w:r w:rsidR="00766373">
        <w:rPr>
          <w:rFonts w:ascii="Arial" w:hAnsi="Arial" w:cs="Arial"/>
          <w:bCs/>
          <w:color w:val="auto"/>
          <w:sz w:val="24"/>
          <w:szCs w:val="24"/>
          <w:lang w:val="es-CR"/>
        </w:rPr>
        <w:t xml:space="preserve"> con el</w:t>
      </w:r>
      <w:r w:rsidRPr="00E15F5C">
        <w:rPr>
          <w:rFonts w:ascii="Arial" w:hAnsi="Arial" w:cs="Arial"/>
          <w:bCs/>
          <w:color w:val="auto"/>
          <w:sz w:val="24"/>
          <w:szCs w:val="24"/>
          <w:lang w:val="es-CR"/>
        </w:rPr>
        <w:t xml:space="preserve"> tipo de vertido y tipo de ente generador. </w:t>
      </w:r>
      <w:r w:rsidR="00F676E2" w:rsidRPr="00E15F5C">
        <w:rPr>
          <w:rFonts w:ascii="Arial" w:hAnsi="Arial" w:cs="Arial"/>
          <w:bCs/>
          <w:color w:val="auto"/>
          <w:sz w:val="24"/>
          <w:szCs w:val="24"/>
          <w:lang w:val="es-CR"/>
        </w:rPr>
        <w:t>Además,</w:t>
      </w:r>
      <w:r w:rsidRPr="00E15F5C">
        <w:rPr>
          <w:rFonts w:ascii="Arial" w:hAnsi="Arial" w:cs="Arial"/>
          <w:bCs/>
          <w:color w:val="auto"/>
          <w:sz w:val="24"/>
          <w:szCs w:val="24"/>
          <w:lang w:val="es-CR"/>
        </w:rPr>
        <w:t xml:space="preserve"> se calcularon los parámetros </w:t>
      </w:r>
      <w:r w:rsidR="00766373" w:rsidRPr="00E15F5C">
        <w:rPr>
          <w:rFonts w:ascii="Arial" w:hAnsi="Arial" w:cs="Arial"/>
          <w:bCs/>
          <w:color w:val="auto"/>
          <w:sz w:val="24"/>
          <w:szCs w:val="24"/>
          <w:lang w:val="es-CR"/>
        </w:rPr>
        <w:t>estadísticos</w:t>
      </w:r>
      <w:r w:rsidRPr="00E15F5C">
        <w:rPr>
          <w:rFonts w:ascii="Arial" w:hAnsi="Arial" w:cs="Arial"/>
          <w:bCs/>
          <w:color w:val="auto"/>
          <w:sz w:val="24"/>
          <w:szCs w:val="24"/>
          <w:lang w:val="es-CR"/>
        </w:rPr>
        <w:t xml:space="preserve"> que describen los 9 parámetros de control obligatorio en cada reporte, así como la correspondiente </w:t>
      </w:r>
      <w:r w:rsidR="00766373" w:rsidRPr="00E15F5C">
        <w:rPr>
          <w:rFonts w:ascii="Arial" w:hAnsi="Arial" w:cs="Arial"/>
          <w:bCs/>
          <w:color w:val="auto"/>
          <w:sz w:val="24"/>
          <w:szCs w:val="24"/>
          <w:lang w:val="es-CR"/>
        </w:rPr>
        <w:t>estadística</w:t>
      </w:r>
      <w:r w:rsidRPr="00E15F5C">
        <w:rPr>
          <w:rFonts w:ascii="Arial" w:hAnsi="Arial" w:cs="Arial"/>
          <w:bCs/>
          <w:color w:val="auto"/>
          <w:sz w:val="24"/>
          <w:szCs w:val="24"/>
          <w:lang w:val="es-CR"/>
        </w:rPr>
        <w:t xml:space="preserve"> inferencial en relación con el tipo de vertido realizado.</w:t>
      </w:r>
    </w:p>
    <w:p w14:paraId="480869A6" w14:textId="77777777" w:rsidR="00766373" w:rsidRDefault="00766373" w:rsidP="00E15F5C">
      <w:pPr>
        <w:pStyle w:val="Content"/>
        <w:spacing w:line="240" w:lineRule="auto"/>
        <w:jc w:val="both"/>
        <w:rPr>
          <w:rFonts w:ascii="Arial" w:hAnsi="Arial" w:cs="Arial"/>
          <w:color w:val="auto"/>
          <w:sz w:val="24"/>
          <w:szCs w:val="24"/>
          <w:lang w:val="es-CR"/>
        </w:rPr>
      </w:pPr>
    </w:p>
    <w:p w14:paraId="41B82637" w14:textId="5B11C601" w:rsidR="00E15F5C" w:rsidRDefault="00E15F5C" w:rsidP="00F676E2">
      <w:pPr>
        <w:pStyle w:val="Content"/>
        <w:spacing w:line="240" w:lineRule="auto"/>
        <w:jc w:val="both"/>
        <w:rPr>
          <w:rFonts w:ascii="Arial" w:hAnsi="Arial" w:cs="Arial"/>
          <w:color w:val="auto"/>
          <w:sz w:val="24"/>
          <w:szCs w:val="24"/>
          <w:lang w:val="es-CR"/>
        </w:rPr>
      </w:pPr>
      <w:r>
        <w:rPr>
          <w:rFonts w:ascii="Arial" w:hAnsi="Arial" w:cs="Arial"/>
          <w:color w:val="auto"/>
          <w:sz w:val="24"/>
          <w:szCs w:val="24"/>
          <w:lang w:val="es-CR"/>
        </w:rPr>
        <w:t>Como indicador de contaminación vertida se utiliz</w:t>
      </w:r>
      <w:r w:rsidR="00766373">
        <w:rPr>
          <w:rFonts w:ascii="Arial" w:hAnsi="Arial" w:cs="Arial"/>
          <w:color w:val="auto"/>
          <w:sz w:val="24"/>
          <w:szCs w:val="24"/>
          <w:lang w:val="es-CR"/>
        </w:rPr>
        <w:t>ó</w:t>
      </w:r>
      <w:r>
        <w:rPr>
          <w:rFonts w:ascii="Arial" w:hAnsi="Arial" w:cs="Arial"/>
          <w:color w:val="auto"/>
          <w:sz w:val="24"/>
          <w:szCs w:val="24"/>
          <w:lang w:val="es-CR"/>
        </w:rPr>
        <w:t xml:space="preserve"> la </w:t>
      </w:r>
      <w:r>
        <w:rPr>
          <w:rFonts w:ascii="Arial" w:hAnsi="Arial" w:cs="Arial"/>
          <w:color w:val="auto"/>
          <w:sz w:val="24"/>
          <w:szCs w:val="24"/>
          <w:lang w:val="es-MX"/>
        </w:rPr>
        <w:t>carga orgánica total (expresada en kg</w:t>
      </w:r>
      <w:r w:rsidR="00766373">
        <w:rPr>
          <w:rFonts w:ascii="Arial" w:hAnsi="Arial" w:cs="Arial"/>
          <w:color w:val="auto"/>
          <w:sz w:val="24"/>
          <w:szCs w:val="24"/>
          <w:lang w:val="es-MX"/>
        </w:rPr>
        <w:t xml:space="preserve"> DQO</w:t>
      </w:r>
      <w:r>
        <w:rPr>
          <w:rFonts w:ascii="Arial" w:hAnsi="Arial" w:cs="Arial"/>
          <w:color w:val="auto"/>
          <w:sz w:val="24"/>
          <w:szCs w:val="24"/>
          <w:lang w:val="es-MX"/>
        </w:rPr>
        <w:t xml:space="preserve">/d), </w:t>
      </w:r>
      <w:r w:rsidRPr="002F1FB0">
        <w:rPr>
          <w:rFonts w:ascii="Arial" w:hAnsi="Arial" w:cs="Arial"/>
          <w:color w:val="auto"/>
          <w:sz w:val="24"/>
          <w:szCs w:val="24"/>
          <w:lang w:val="es-MX"/>
        </w:rPr>
        <w:t>la cual se define como la cantidad</w:t>
      </w:r>
      <w:r w:rsidRPr="002F1FB0">
        <w:rPr>
          <w:rFonts w:ascii="Arial" w:hAnsi="Arial" w:cs="Arial"/>
          <w:color w:val="auto"/>
          <w:sz w:val="24"/>
          <w:szCs w:val="24"/>
          <w:lang w:val="es-CR"/>
        </w:rPr>
        <w:t xml:space="preserve"> de materia orgánica </w:t>
      </w:r>
      <w:r w:rsidR="00F676E2">
        <w:rPr>
          <w:rFonts w:ascii="Arial" w:hAnsi="Arial" w:cs="Arial"/>
          <w:color w:val="auto"/>
          <w:sz w:val="24"/>
          <w:szCs w:val="24"/>
          <w:lang w:val="es-CR"/>
        </w:rPr>
        <w:t xml:space="preserve">vertida en el efluente </w:t>
      </w:r>
      <w:r w:rsidRPr="002F1FB0">
        <w:rPr>
          <w:rFonts w:ascii="Arial" w:hAnsi="Arial" w:cs="Arial"/>
          <w:color w:val="auto"/>
          <w:sz w:val="24"/>
          <w:szCs w:val="24"/>
          <w:lang w:val="es-CR"/>
        </w:rPr>
        <w:t>que ejerce un efecto negativo</w:t>
      </w:r>
      <w:r>
        <w:rPr>
          <w:rFonts w:ascii="Arial" w:hAnsi="Arial" w:cs="Arial"/>
          <w:color w:val="auto"/>
          <w:sz w:val="24"/>
          <w:szCs w:val="24"/>
          <w:lang w:val="es-CR"/>
        </w:rPr>
        <w:t xml:space="preserve"> </w:t>
      </w:r>
      <w:r w:rsidR="00F676E2">
        <w:rPr>
          <w:rFonts w:ascii="Arial" w:hAnsi="Arial" w:cs="Arial"/>
          <w:color w:val="auto"/>
          <w:sz w:val="24"/>
          <w:szCs w:val="24"/>
          <w:lang w:val="es-CR"/>
        </w:rPr>
        <w:t>sobre</w:t>
      </w:r>
      <w:r>
        <w:rPr>
          <w:rFonts w:ascii="Arial" w:hAnsi="Arial" w:cs="Arial"/>
          <w:color w:val="auto"/>
          <w:sz w:val="24"/>
          <w:szCs w:val="24"/>
          <w:lang w:val="es-CR"/>
        </w:rPr>
        <w:t xml:space="preserve"> el cuerpo receptor</w:t>
      </w:r>
      <w:r w:rsidRPr="002F1FB0">
        <w:rPr>
          <w:rFonts w:ascii="Arial" w:hAnsi="Arial" w:cs="Arial"/>
          <w:color w:val="auto"/>
          <w:sz w:val="24"/>
          <w:szCs w:val="24"/>
          <w:lang w:val="es-CR"/>
        </w:rPr>
        <w:t xml:space="preserve">. </w:t>
      </w:r>
      <w:r>
        <w:rPr>
          <w:rFonts w:ascii="Arial" w:hAnsi="Arial" w:cs="Arial"/>
          <w:color w:val="auto"/>
          <w:sz w:val="24"/>
          <w:szCs w:val="24"/>
          <w:lang w:val="es-CR"/>
        </w:rPr>
        <w:t xml:space="preserve">El análisis de los datos obtenidos evidencia </w:t>
      </w:r>
      <w:r w:rsidR="00F676E2">
        <w:rPr>
          <w:rFonts w:ascii="Arial" w:hAnsi="Arial" w:cs="Arial"/>
          <w:color w:val="auto"/>
          <w:sz w:val="24"/>
          <w:szCs w:val="24"/>
          <w:lang w:val="es-CR"/>
        </w:rPr>
        <w:t xml:space="preserve"> que en términos generales hay un alto cumplimiento en los reportes operaciones para los parámetros de control, no obstante con el indicador calculado se evidencia que la cantidad neta vertida puede ser significativa comparada con los caudales actuales de estos ecosistemas receptores, además se evidencia cuáles</w:t>
      </w:r>
      <w:r>
        <w:rPr>
          <w:rFonts w:ascii="Arial" w:hAnsi="Arial" w:cs="Arial"/>
          <w:color w:val="auto"/>
          <w:sz w:val="24"/>
          <w:szCs w:val="24"/>
          <w:lang w:val="es-CR"/>
        </w:rPr>
        <w:t xml:space="preserve"> son las actividades productivas que mayor carga contaminante vierten </w:t>
      </w:r>
      <w:r w:rsidR="00766373">
        <w:rPr>
          <w:rFonts w:ascii="Arial" w:hAnsi="Arial" w:cs="Arial"/>
          <w:color w:val="auto"/>
          <w:sz w:val="24"/>
          <w:szCs w:val="24"/>
          <w:lang w:val="es-CR"/>
        </w:rPr>
        <w:t>y cuál es su destino</w:t>
      </w:r>
      <w:r w:rsidR="00F676E2">
        <w:rPr>
          <w:rFonts w:ascii="Arial" w:hAnsi="Arial" w:cs="Arial"/>
          <w:color w:val="auto"/>
          <w:sz w:val="24"/>
          <w:szCs w:val="24"/>
          <w:lang w:val="es-CR"/>
        </w:rPr>
        <w:t xml:space="preserve">, identificando </w:t>
      </w:r>
      <w:r w:rsidR="00766373">
        <w:rPr>
          <w:rFonts w:ascii="Arial" w:hAnsi="Arial" w:cs="Arial"/>
          <w:color w:val="auto"/>
          <w:sz w:val="24"/>
          <w:szCs w:val="24"/>
          <w:lang w:val="es-CR"/>
        </w:rPr>
        <w:t>los sitios donde existe</w:t>
      </w:r>
      <w:r>
        <w:rPr>
          <w:rFonts w:ascii="Arial" w:hAnsi="Arial" w:cs="Arial"/>
          <w:color w:val="auto"/>
          <w:sz w:val="24"/>
          <w:szCs w:val="24"/>
          <w:lang w:val="es-CR"/>
        </w:rPr>
        <w:t xml:space="preserve"> </w:t>
      </w:r>
      <w:r w:rsidR="00766373">
        <w:rPr>
          <w:rFonts w:ascii="Arial" w:hAnsi="Arial" w:cs="Arial"/>
          <w:color w:val="auto"/>
          <w:sz w:val="24"/>
          <w:szCs w:val="24"/>
          <w:lang w:val="es-CR"/>
        </w:rPr>
        <w:t xml:space="preserve"> mayor </w:t>
      </w:r>
      <w:r>
        <w:rPr>
          <w:rFonts w:ascii="Arial" w:hAnsi="Arial" w:cs="Arial"/>
          <w:color w:val="auto"/>
          <w:sz w:val="24"/>
          <w:szCs w:val="24"/>
          <w:lang w:val="es-CR"/>
        </w:rPr>
        <w:t>presión ambiental a causa de los vertidos.</w:t>
      </w:r>
    </w:p>
    <w:p w14:paraId="53E5F88B" w14:textId="77777777" w:rsidR="00F676E2" w:rsidRPr="00F676E2" w:rsidRDefault="00F676E2" w:rsidP="00F676E2">
      <w:pPr>
        <w:pStyle w:val="Content"/>
        <w:spacing w:line="240" w:lineRule="auto"/>
        <w:jc w:val="both"/>
        <w:rPr>
          <w:rFonts w:ascii="Arial" w:hAnsi="Arial" w:cs="Arial"/>
          <w:color w:val="auto"/>
          <w:sz w:val="24"/>
          <w:szCs w:val="24"/>
          <w:lang w:val="es-CR"/>
        </w:rPr>
      </w:pPr>
    </w:p>
    <w:p w14:paraId="430432A3" w14:textId="34A74F37" w:rsidR="00C417C6" w:rsidRPr="002F1FB0" w:rsidRDefault="005C7926" w:rsidP="00D077E9">
      <w:pPr>
        <w:pStyle w:val="Ttulo1"/>
        <w:rPr>
          <w:rFonts w:cstheme="majorHAnsi"/>
          <w:sz w:val="24"/>
          <w:szCs w:val="24"/>
          <w:lang w:val="es-CR"/>
        </w:rPr>
      </w:pPr>
      <w:r w:rsidRPr="00F40168">
        <w:rPr>
          <w:rFonts w:cstheme="majorHAnsi"/>
          <w:sz w:val="24"/>
          <w:szCs w:val="24"/>
          <w:lang w:val="es-CR"/>
        </w:rPr>
        <w:t>Introducción</w:t>
      </w:r>
    </w:p>
    <w:p w14:paraId="7B80EF9A" w14:textId="77777777" w:rsidR="00816DBA" w:rsidRDefault="00C417C6" w:rsidP="00816DBA">
      <w:pPr>
        <w:pStyle w:val="NormalWeb"/>
        <w:jc w:val="both"/>
        <w:rPr>
          <w:rFonts w:ascii="Arial" w:hAnsi="Arial" w:cs="Arial"/>
          <w:color w:val="000000"/>
        </w:rPr>
      </w:pPr>
      <w:r w:rsidRPr="00C417C6">
        <w:rPr>
          <w:rFonts w:ascii="Arial" w:hAnsi="Arial" w:cs="Arial"/>
          <w:color w:val="000000"/>
        </w:rPr>
        <w:t xml:space="preserve">El desarrollo urbano ha sido un tema de importante discusión para el desarrollo sostenible, </w:t>
      </w:r>
      <w:r w:rsidR="00816DBA">
        <w:rPr>
          <w:rFonts w:ascii="Arial" w:hAnsi="Arial" w:cs="Arial"/>
          <w:color w:val="000000"/>
        </w:rPr>
        <w:t>u</w:t>
      </w:r>
      <w:r w:rsidRPr="00C417C6">
        <w:rPr>
          <w:rFonts w:ascii="Arial" w:hAnsi="Arial" w:cs="Arial"/>
          <w:color w:val="000000"/>
        </w:rPr>
        <w:t>n planeamiento inteligente e integrado del desarrollo controla en su origen la fuente de muchos problemas ambientales (McCormick et al., 2013; UN-</w:t>
      </w:r>
      <w:proofErr w:type="spellStart"/>
      <w:r w:rsidRPr="00C417C6">
        <w:rPr>
          <w:rFonts w:ascii="Arial" w:hAnsi="Arial" w:cs="Arial"/>
          <w:color w:val="000000"/>
        </w:rPr>
        <w:t>Habitat</w:t>
      </w:r>
      <w:proofErr w:type="spellEnd"/>
      <w:r w:rsidRPr="00C417C6">
        <w:rPr>
          <w:rFonts w:ascii="Arial" w:hAnsi="Arial" w:cs="Arial"/>
          <w:color w:val="000000"/>
        </w:rPr>
        <w:t xml:space="preserve">, 2010). Los núcleos poblacionales crecen cada día más y por lo tanto también crecen los procesos urbanos de consumo y contaminación. </w:t>
      </w:r>
    </w:p>
    <w:p w14:paraId="3D746083" w14:textId="0EB97317" w:rsidR="00C417C6" w:rsidRDefault="00C417C6" w:rsidP="00816DBA">
      <w:pPr>
        <w:pStyle w:val="NormalWeb"/>
        <w:jc w:val="both"/>
        <w:rPr>
          <w:rFonts w:ascii="Arial" w:hAnsi="Arial" w:cs="Arial"/>
          <w:color w:val="000000"/>
        </w:rPr>
      </w:pPr>
      <w:r w:rsidRPr="00C417C6">
        <w:rPr>
          <w:rFonts w:ascii="Arial" w:hAnsi="Arial" w:cs="Arial"/>
          <w:color w:val="000000"/>
        </w:rPr>
        <w:t>Los principales procesos de conflicto socio ambiental como la contaminación del agua, la contaminación atmosférica, las actividades de consumo excesivas, las desigualdades sociales y la pobreza, se concentran en las ciudades y sitios urbanos en general (</w:t>
      </w:r>
      <w:proofErr w:type="spellStart"/>
      <w:r w:rsidRPr="00C417C6">
        <w:rPr>
          <w:rFonts w:ascii="Arial" w:hAnsi="Arial" w:cs="Arial"/>
          <w:color w:val="000000"/>
        </w:rPr>
        <w:t>Sukhdev</w:t>
      </w:r>
      <w:proofErr w:type="spellEnd"/>
      <w:r w:rsidRPr="00C417C6">
        <w:rPr>
          <w:rFonts w:ascii="Arial" w:hAnsi="Arial" w:cs="Arial"/>
          <w:color w:val="000000"/>
        </w:rPr>
        <w:t>, P., 2009). Para realizar un análisis global de los impactos de esta problemática, es necesario considerar, además, que la huella ecológica de las ciudades no se limita a sus límites geográficos, sino que se extiende con el flujo de contaminación producto del consumo (</w:t>
      </w:r>
      <w:proofErr w:type="spellStart"/>
      <w:r w:rsidRPr="00C417C6">
        <w:rPr>
          <w:rFonts w:ascii="Arial" w:hAnsi="Arial" w:cs="Arial"/>
          <w:color w:val="000000"/>
        </w:rPr>
        <w:t>Verma</w:t>
      </w:r>
      <w:proofErr w:type="spellEnd"/>
      <w:r w:rsidRPr="00C417C6">
        <w:rPr>
          <w:rFonts w:ascii="Arial" w:hAnsi="Arial" w:cs="Arial"/>
          <w:color w:val="000000"/>
        </w:rPr>
        <w:t xml:space="preserve"> &amp; </w:t>
      </w:r>
      <w:proofErr w:type="spellStart"/>
      <w:r w:rsidRPr="00C417C6">
        <w:rPr>
          <w:rFonts w:ascii="Arial" w:hAnsi="Arial" w:cs="Arial"/>
          <w:color w:val="000000"/>
        </w:rPr>
        <w:t>Raghubanshi</w:t>
      </w:r>
      <w:proofErr w:type="spellEnd"/>
      <w:r w:rsidRPr="00C417C6">
        <w:rPr>
          <w:rFonts w:ascii="Arial" w:hAnsi="Arial" w:cs="Arial"/>
          <w:color w:val="000000"/>
        </w:rPr>
        <w:t>, 2018).</w:t>
      </w:r>
    </w:p>
    <w:p w14:paraId="1F541D53" w14:textId="1ECB7BAF" w:rsidR="001A6609" w:rsidRDefault="002F1FB0" w:rsidP="00054ECC">
      <w:pPr>
        <w:pStyle w:val="NormalWeb"/>
        <w:spacing w:before="0" w:beforeAutospacing="0" w:after="0" w:afterAutospacing="0"/>
        <w:jc w:val="both"/>
        <w:rPr>
          <w:rFonts w:ascii="Arial" w:hAnsi="Arial" w:cs="Arial"/>
          <w:color w:val="000000"/>
        </w:rPr>
      </w:pPr>
      <w:r w:rsidRPr="00F06CEE">
        <w:rPr>
          <w:rFonts w:ascii="Arial" w:hAnsi="Arial" w:cs="Arial"/>
          <w:color w:val="000000"/>
        </w:rPr>
        <w:t xml:space="preserve">Los </w:t>
      </w:r>
      <w:r w:rsidR="00816DBA">
        <w:rPr>
          <w:rFonts w:ascii="Arial" w:hAnsi="Arial" w:cs="Arial"/>
          <w:color w:val="000000"/>
        </w:rPr>
        <w:t>cuerpos</w:t>
      </w:r>
      <w:r w:rsidR="007A55C6">
        <w:rPr>
          <w:rFonts w:ascii="Arial" w:hAnsi="Arial" w:cs="Arial"/>
          <w:color w:val="000000"/>
        </w:rPr>
        <w:t xml:space="preserve"> de agua </w:t>
      </w:r>
      <w:proofErr w:type="gramStart"/>
      <w:r w:rsidR="007A55C6">
        <w:rPr>
          <w:rFonts w:ascii="Arial" w:hAnsi="Arial" w:cs="Arial"/>
          <w:color w:val="000000"/>
        </w:rPr>
        <w:t>superficial,</w:t>
      </w:r>
      <w:proofErr w:type="gramEnd"/>
      <w:r w:rsidR="007A55C6">
        <w:rPr>
          <w:rFonts w:ascii="Arial" w:hAnsi="Arial" w:cs="Arial"/>
          <w:color w:val="000000"/>
        </w:rPr>
        <w:t xml:space="preserve"> brindan un si número de servicios ecosistémicos muy importantes (Sánchez-Gutiérrez y Villalobos-González, 2019), además</w:t>
      </w:r>
      <w:r w:rsidRPr="00F06CEE">
        <w:rPr>
          <w:rFonts w:ascii="Arial" w:hAnsi="Arial" w:cs="Arial"/>
          <w:color w:val="000000"/>
        </w:rPr>
        <w:t xml:space="preserve"> cumplen una función importante para la salud y el desarrollo económico del ser humano</w:t>
      </w:r>
      <w:r w:rsidR="007A55C6">
        <w:rPr>
          <w:rFonts w:ascii="Arial" w:hAnsi="Arial" w:cs="Arial"/>
          <w:color w:val="000000"/>
        </w:rPr>
        <w:t xml:space="preserve"> ya que </w:t>
      </w:r>
      <w:r w:rsidRPr="00F06CEE">
        <w:rPr>
          <w:rFonts w:ascii="Arial" w:hAnsi="Arial" w:cs="Arial"/>
          <w:color w:val="000000"/>
        </w:rPr>
        <w:t>representan una fuente importante de agua para consumo, uso agrícola, industrial, recreativo y turístico, constituyendo ecosistemas con</w:t>
      </w:r>
      <w:r w:rsidR="00E267B5" w:rsidRPr="00F06CEE">
        <w:rPr>
          <w:rFonts w:ascii="Arial" w:hAnsi="Arial" w:cs="Arial"/>
          <w:color w:val="000000"/>
        </w:rPr>
        <w:t xml:space="preserve"> gran riqueza de biodiversidad</w:t>
      </w:r>
      <w:r w:rsidRPr="00F06CEE">
        <w:rPr>
          <w:rFonts w:ascii="Arial" w:hAnsi="Arial" w:cs="Arial"/>
          <w:color w:val="000000"/>
        </w:rPr>
        <w:t>.</w:t>
      </w:r>
      <w:r w:rsidR="00F06CEE" w:rsidRPr="00F06CEE">
        <w:rPr>
          <w:rFonts w:ascii="Arial" w:hAnsi="Arial" w:cs="Arial"/>
          <w:color w:val="000000"/>
        </w:rPr>
        <w:t xml:space="preserve"> (</w:t>
      </w:r>
      <w:proofErr w:type="spellStart"/>
      <w:r w:rsidR="00F06CEE" w:rsidRPr="00F06CEE">
        <w:rPr>
          <w:rFonts w:ascii="Arial" w:hAnsi="Arial" w:cs="Arial"/>
          <w:color w:val="000000"/>
        </w:rPr>
        <w:t>Golfieri</w:t>
      </w:r>
      <w:proofErr w:type="spellEnd"/>
      <w:r w:rsidR="00F06CEE" w:rsidRPr="00F06CEE">
        <w:rPr>
          <w:rFonts w:ascii="Arial" w:hAnsi="Arial" w:cs="Arial"/>
          <w:color w:val="000000"/>
        </w:rPr>
        <w:t xml:space="preserve">, </w:t>
      </w:r>
      <w:proofErr w:type="spellStart"/>
      <w:r w:rsidR="00F06CEE" w:rsidRPr="00F06CEE">
        <w:rPr>
          <w:rFonts w:ascii="Arial" w:hAnsi="Arial" w:cs="Arial"/>
          <w:color w:val="000000"/>
        </w:rPr>
        <w:t>Surian</w:t>
      </w:r>
      <w:proofErr w:type="spellEnd"/>
      <w:r w:rsidR="00F06CEE" w:rsidRPr="00F06CEE">
        <w:rPr>
          <w:rFonts w:ascii="Arial" w:hAnsi="Arial" w:cs="Arial"/>
          <w:color w:val="000000"/>
        </w:rPr>
        <w:t xml:space="preserve"> y </w:t>
      </w:r>
      <w:proofErr w:type="spellStart"/>
      <w:r w:rsidR="00F06CEE" w:rsidRPr="00F06CEE">
        <w:rPr>
          <w:rFonts w:ascii="Arial" w:hAnsi="Arial" w:cs="Arial"/>
          <w:color w:val="000000"/>
        </w:rPr>
        <w:t>Hardersen</w:t>
      </w:r>
      <w:proofErr w:type="spellEnd"/>
      <w:r w:rsidR="00F06CEE" w:rsidRPr="00F06CEE">
        <w:rPr>
          <w:rFonts w:ascii="Arial" w:hAnsi="Arial" w:cs="Arial"/>
          <w:color w:val="000000"/>
        </w:rPr>
        <w:t xml:space="preserve">, 2018; Ha, P. T. T. et al., 2017; </w:t>
      </w:r>
      <w:proofErr w:type="spellStart"/>
      <w:r w:rsidR="00F06CEE" w:rsidRPr="00F06CEE">
        <w:rPr>
          <w:rFonts w:ascii="Arial" w:hAnsi="Arial" w:cs="Arial"/>
          <w:color w:val="000000"/>
        </w:rPr>
        <w:t>Massoud</w:t>
      </w:r>
      <w:proofErr w:type="spellEnd"/>
      <w:r w:rsidR="00F06CEE" w:rsidRPr="00F06CEE">
        <w:rPr>
          <w:rFonts w:ascii="Arial" w:hAnsi="Arial" w:cs="Arial"/>
          <w:color w:val="000000"/>
        </w:rPr>
        <w:t>, 2012)</w:t>
      </w:r>
      <w:r w:rsidR="00313AF4">
        <w:rPr>
          <w:rFonts w:ascii="Arial" w:hAnsi="Arial" w:cs="Arial"/>
          <w:color w:val="000000"/>
        </w:rPr>
        <w:t>.</w:t>
      </w:r>
    </w:p>
    <w:p w14:paraId="5AC0D9DF" w14:textId="77777777" w:rsidR="00313AF4" w:rsidRPr="00F06CEE" w:rsidRDefault="00313AF4" w:rsidP="00054ECC">
      <w:pPr>
        <w:pStyle w:val="NormalWeb"/>
        <w:spacing w:before="0" w:beforeAutospacing="0" w:after="0" w:afterAutospacing="0"/>
        <w:jc w:val="both"/>
        <w:rPr>
          <w:rFonts w:ascii="Arial" w:hAnsi="Arial" w:cs="Arial"/>
          <w:color w:val="000000"/>
        </w:rPr>
      </w:pPr>
    </w:p>
    <w:p w14:paraId="021A74F4" w14:textId="391932BA" w:rsidR="00E15F5C" w:rsidRDefault="007B1D6F" w:rsidP="00054ECC">
      <w:pPr>
        <w:pStyle w:val="Content"/>
        <w:spacing w:line="240" w:lineRule="auto"/>
        <w:jc w:val="both"/>
        <w:rPr>
          <w:rFonts w:ascii="Arial" w:hAnsi="Arial" w:cs="Arial"/>
          <w:color w:val="auto"/>
          <w:sz w:val="24"/>
          <w:szCs w:val="24"/>
          <w:lang w:val="es-CR"/>
        </w:rPr>
      </w:pPr>
      <w:r w:rsidRPr="00E30C0C">
        <w:rPr>
          <w:rFonts w:ascii="Arial" w:hAnsi="Arial" w:cs="Arial"/>
          <w:color w:val="000000"/>
          <w:sz w:val="24"/>
          <w:szCs w:val="24"/>
          <w:lang w:val="es-CR"/>
        </w:rPr>
        <w:lastRenderedPageBreak/>
        <w:t>El recurso hídrico en Costa Rica se encuentra en una situación</w:t>
      </w:r>
      <w:r w:rsidR="001A6609" w:rsidRPr="00E30C0C">
        <w:rPr>
          <w:rFonts w:ascii="Arial" w:hAnsi="Arial" w:cs="Arial"/>
          <w:color w:val="000000"/>
          <w:sz w:val="24"/>
          <w:szCs w:val="24"/>
          <w:lang w:val="es-CR"/>
        </w:rPr>
        <w:t xml:space="preserve"> de alta </w:t>
      </w:r>
      <w:r w:rsidRPr="00E30C0C">
        <w:rPr>
          <w:rFonts w:ascii="Arial" w:hAnsi="Arial" w:cs="Arial"/>
          <w:color w:val="000000"/>
          <w:sz w:val="24"/>
          <w:szCs w:val="24"/>
          <w:lang w:val="es-CR"/>
        </w:rPr>
        <w:t>vulnerab</w:t>
      </w:r>
      <w:r w:rsidR="001A6609" w:rsidRPr="00E30C0C">
        <w:rPr>
          <w:rFonts w:ascii="Arial" w:hAnsi="Arial" w:cs="Arial"/>
          <w:color w:val="000000"/>
          <w:sz w:val="24"/>
          <w:szCs w:val="24"/>
          <w:lang w:val="es-CR"/>
        </w:rPr>
        <w:t>i</w:t>
      </w:r>
      <w:r w:rsidRPr="00E30C0C">
        <w:rPr>
          <w:rFonts w:ascii="Arial" w:hAnsi="Arial" w:cs="Arial"/>
          <w:color w:val="000000"/>
          <w:sz w:val="24"/>
          <w:szCs w:val="24"/>
          <w:lang w:val="es-CR"/>
        </w:rPr>
        <w:t>l</w:t>
      </w:r>
      <w:r w:rsidR="001A6609" w:rsidRPr="00E30C0C">
        <w:rPr>
          <w:rFonts w:ascii="Arial" w:hAnsi="Arial" w:cs="Arial"/>
          <w:color w:val="000000"/>
          <w:sz w:val="24"/>
          <w:szCs w:val="24"/>
          <w:lang w:val="es-CR"/>
        </w:rPr>
        <w:t>idad</w:t>
      </w:r>
      <w:r w:rsidRPr="00E30C0C">
        <w:rPr>
          <w:rFonts w:ascii="Arial" w:hAnsi="Arial" w:cs="Arial"/>
          <w:color w:val="000000"/>
          <w:sz w:val="24"/>
          <w:szCs w:val="24"/>
          <w:lang w:val="es-CR"/>
        </w:rPr>
        <w:t xml:space="preserve"> donde su calidad y disponibilidad </w:t>
      </w:r>
      <w:r w:rsidR="00AA5BBD">
        <w:rPr>
          <w:rFonts w:ascii="Arial" w:hAnsi="Arial" w:cs="Arial"/>
          <w:color w:val="000000"/>
          <w:sz w:val="24"/>
          <w:szCs w:val="24"/>
          <w:lang w:val="es-CR"/>
        </w:rPr>
        <w:t xml:space="preserve">ha sido comprometida por diversas presiones socioambientales, principalmente </w:t>
      </w:r>
      <w:r w:rsidR="00F676E2">
        <w:rPr>
          <w:rFonts w:ascii="Arial" w:hAnsi="Arial" w:cs="Arial"/>
          <w:color w:val="000000"/>
          <w:sz w:val="24"/>
          <w:szCs w:val="24"/>
          <w:lang w:val="es-CR"/>
        </w:rPr>
        <w:t xml:space="preserve">la </w:t>
      </w:r>
      <w:r w:rsidR="00F676E2" w:rsidRPr="00F06CEE">
        <w:rPr>
          <w:rFonts w:ascii="Arial" w:hAnsi="Arial" w:cs="Arial"/>
          <w:color w:val="000000"/>
          <w:sz w:val="24"/>
          <w:szCs w:val="24"/>
          <w:lang w:val="es-CR"/>
        </w:rPr>
        <w:t>descarga</w:t>
      </w:r>
      <w:r w:rsidRPr="00F06CEE">
        <w:rPr>
          <w:rFonts w:ascii="Arial" w:hAnsi="Arial" w:cs="Arial"/>
          <w:color w:val="000000"/>
          <w:sz w:val="24"/>
          <w:szCs w:val="24"/>
          <w:lang w:val="es-CR"/>
        </w:rPr>
        <w:t xml:space="preserve"> de aguas residuales sin tratamiento proveniente de actividades domésticas, comerciales e industriales</w:t>
      </w:r>
      <w:r w:rsidR="00F06CEE" w:rsidRPr="00F06CEE">
        <w:rPr>
          <w:rFonts w:ascii="Arial" w:hAnsi="Arial" w:cs="Arial"/>
          <w:color w:val="000000"/>
          <w:sz w:val="24"/>
          <w:szCs w:val="24"/>
          <w:lang w:val="es-CR"/>
        </w:rPr>
        <w:t xml:space="preserve">. (Herrera-Murillo, 2017; </w:t>
      </w:r>
      <w:r w:rsidR="00E15F5C">
        <w:rPr>
          <w:rFonts w:ascii="Arial" w:hAnsi="Arial" w:cs="Arial"/>
          <w:color w:val="000000"/>
          <w:sz w:val="24"/>
          <w:szCs w:val="24"/>
          <w:lang w:val="es-CR"/>
        </w:rPr>
        <w:t xml:space="preserve">Mena-Rivera y </w:t>
      </w:r>
      <w:r w:rsidR="00F676E2">
        <w:rPr>
          <w:rFonts w:ascii="Arial" w:hAnsi="Arial" w:cs="Arial"/>
          <w:color w:val="000000"/>
          <w:sz w:val="24"/>
          <w:szCs w:val="24"/>
          <w:lang w:val="es-CR"/>
        </w:rPr>
        <w:t>otros,</w:t>
      </w:r>
      <w:r w:rsidR="00E15F5C">
        <w:rPr>
          <w:rFonts w:ascii="Arial" w:hAnsi="Arial" w:cs="Arial"/>
          <w:color w:val="000000"/>
          <w:sz w:val="24"/>
          <w:szCs w:val="24"/>
          <w:lang w:val="es-CR"/>
        </w:rPr>
        <w:t xml:space="preserve"> 2018</w:t>
      </w:r>
      <w:r w:rsidR="00F06CEE" w:rsidRPr="00F06CEE">
        <w:rPr>
          <w:rFonts w:ascii="Arial" w:hAnsi="Arial" w:cs="Arial"/>
          <w:color w:val="000000"/>
          <w:sz w:val="24"/>
          <w:szCs w:val="24"/>
          <w:lang w:val="es-CR"/>
        </w:rPr>
        <w:t>)</w:t>
      </w:r>
      <w:r w:rsidR="00C505CE">
        <w:rPr>
          <w:rFonts w:ascii="Arial" w:hAnsi="Arial" w:cs="Arial"/>
          <w:color w:val="000000"/>
          <w:sz w:val="24"/>
          <w:szCs w:val="24"/>
          <w:lang w:val="es-CR"/>
        </w:rPr>
        <w:t xml:space="preserve">. </w:t>
      </w:r>
      <w:r w:rsidR="00E267B5" w:rsidRPr="00F06CEE">
        <w:rPr>
          <w:rFonts w:ascii="Arial" w:hAnsi="Arial" w:cs="Arial"/>
          <w:color w:val="auto"/>
          <w:sz w:val="24"/>
          <w:szCs w:val="24"/>
          <w:lang w:val="es-CR"/>
        </w:rPr>
        <w:t>El exceso de materia orgánica en un cuerpo de agua</w:t>
      </w:r>
      <w:r w:rsidR="00313AF4">
        <w:rPr>
          <w:rFonts w:ascii="Arial" w:hAnsi="Arial" w:cs="Arial"/>
          <w:color w:val="auto"/>
          <w:sz w:val="24"/>
          <w:szCs w:val="24"/>
          <w:lang w:val="es-CR"/>
        </w:rPr>
        <w:t xml:space="preserve"> superficial, como producto de vertidos puntuales o acumulación debida a diversas fuentes difusas de contaminación</w:t>
      </w:r>
      <w:r w:rsidR="00E267B5" w:rsidRPr="00F06CEE">
        <w:rPr>
          <w:rFonts w:ascii="Arial" w:hAnsi="Arial" w:cs="Arial"/>
          <w:color w:val="auto"/>
          <w:sz w:val="24"/>
          <w:szCs w:val="24"/>
          <w:lang w:val="es-CR"/>
        </w:rPr>
        <w:t>, tiene como efecto el agotamiento del oxígeno disuelto</w:t>
      </w:r>
      <w:r w:rsidR="00E15F5C">
        <w:rPr>
          <w:rFonts w:ascii="Arial" w:hAnsi="Arial" w:cs="Arial"/>
          <w:color w:val="auto"/>
          <w:sz w:val="24"/>
          <w:szCs w:val="24"/>
          <w:lang w:val="es-CR"/>
        </w:rPr>
        <w:t>, e</w:t>
      </w:r>
      <w:r w:rsidR="00E267B5" w:rsidRPr="00F06CEE">
        <w:rPr>
          <w:rFonts w:ascii="Arial" w:hAnsi="Arial" w:cs="Arial"/>
          <w:color w:val="auto"/>
          <w:sz w:val="24"/>
          <w:szCs w:val="24"/>
          <w:lang w:val="es-CR"/>
        </w:rPr>
        <w:t xml:space="preserve">ste proceso está dado por la metabolización de la materia orgánica externa, por acción de las bacterias, que reduce el nivel de oxígeno con la consecuente pérdida de la vida que se desarrolla naturalmente en ese cuerpo de agua. </w:t>
      </w:r>
      <w:r w:rsidR="00F06CEE" w:rsidRPr="00F06CEE">
        <w:rPr>
          <w:rFonts w:ascii="Arial" w:hAnsi="Arial" w:cs="Arial"/>
          <w:color w:val="auto"/>
          <w:sz w:val="24"/>
          <w:szCs w:val="24"/>
          <w:lang w:val="es-CR"/>
        </w:rPr>
        <w:t>(Calvo y Mora, 2012; Álvarez-Cabria, Barquín y Peñas, 2016)</w:t>
      </w:r>
      <w:r w:rsidR="00E15F5C">
        <w:rPr>
          <w:rFonts w:ascii="Arial" w:hAnsi="Arial" w:cs="Arial"/>
          <w:color w:val="auto"/>
          <w:sz w:val="24"/>
          <w:szCs w:val="24"/>
          <w:lang w:val="es-CR"/>
        </w:rPr>
        <w:t xml:space="preserve">. </w:t>
      </w:r>
    </w:p>
    <w:p w14:paraId="1FF012AB" w14:textId="77777777" w:rsidR="00E15F5C" w:rsidRDefault="00E15F5C" w:rsidP="00054ECC">
      <w:pPr>
        <w:pStyle w:val="Content"/>
        <w:spacing w:line="240" w:lineRule="auto"/>
        <w:jc w:val="both"/>
        <w:rPr>
          <w:rFonts w:ascii="Arial" w:hAnsi="Arial" w:cs="Arial"/>
          <w:color w:val="auto"/>
          <w:sz w:val="24"/>
          <w:szCs w:val="24"/>
          <w:lang w:val="es-CR"/>
        </w:rPr>
      </w:pPr>
    </w:p>
    <w:p w14:paraId="04008D42" w14:textId="105582B5" w:rsidR="00E267B5" w:rsidRDefault="00E15F5C" w:rsidP="00054ECC">
      <w:pPr>
        <w:pStyle w:val="Content"/>
        <w:spacing w:line="240" w:lineRule="auto"/>
        <w:jc w:val="both"/>
        <w:rPr>
          <w:rFonts w:ascii="Arial" w:hAnsi="Arial" w:cs="Arial"/>
          <w:color w:val="auto"/>
          <w:sz w:val="24"/>
          <w:szCs w:val="24"/>
          <w:lang w:val="es-CR"/>
        </w:rPr>
      </w:pPr>
      <w:r>
        <w:rPr>
          <w:rFonts w:ascii="Arial" w:hAnsi="Arial" w:cs="Arial"/>
          <w:color w:val="auto"/>
          <w:sz w:val="24"/>
          <w:szCs w:val="24"/>
          <w:lang w:val="es-CR"/>
        </w:rPr>
        <w:t xml:space="preserve">Por lo anterior, es muy importante analizar el estado actual de las aguas residuales generadas en un cantón urbano con gran diversidad de actividades socioeconómicas, principalmente para identificar y  conocer los flujos actuales de estos efluentes hacia los cuerpos de agua superficial del cantón; ya que, de esta manera pueden orientarse esfuerzos hacia un manejo sostenible de los servicios </w:t>
      </w:r>
      <w:r w:rsidR="00F676E2">
        <w:rPr>
          <w:rFonts w:ascii="Arial" w:hAnsi="Arial" w:cs="Arial"/>
          <w:color w:val="auto"/>
          <w:sz w:val="24"/>
          <w:szCs w:val="24"/>
          <w:lang w:val="es-CR"/>
        </w:rPr>
        <w:t>ecosistémicos</w:t>
      </w:r>
      <w:r>
        <w:rPr>
          <w:rFonts w:ascii="Arial" w:hAnsi="Arial" w:cs="Arial"/>
          <w:color w:val="auto"/>
          <w:sz w:val="24"/>
          <w:szCs w:val="24"/>
          <w:lang w:val="es-CR"/>
        </w:rPr>
        <w:t xml:space="preserve"> que brindan estos cuerpos </w:t>
      </w:r>
      <w:r w:rsidR="00F676E2">
        <w:rPr>
          <w:rFonts w:ascii="Arial" w:hAnsi="Arial" w:cs="Arial"/>
          <w:color w:val="auto"/>
          <w:sz w:val="24"/>
          <w:szCs w:val="24"/>
          <w:lang w:val="es-CR"/>
        </w:rPr>
        <w:t>receptores</w:t>
      </w:r>
      <w:r>
        <w:rPr>
          <w:rFonts w:ascii="Arial" w:hAnsi="Arial" w:cs="Arial"/>
          <w:color w:val="auto"/>
          <w:sz w:val="24"/>
          <w:szCs w:val="24"/>
          <w:lang w:val="es-CR"/>
        </w:rPr>
        <w:t xml:space="preserve"> en aras de evitar la degradación ambiental drástica de los mismos y asegurar la capacidad de autodepuración y </w:t>
      </w:r>
      <w:r w:rsidR="00F676E2">
        <w:rPr>
          <w:rFonts w:ascii="Arial" w:hAnsi="Arial" w:cs="Arial"/>
          <w:color w:val="auto"/>
          <w:sz w:val="24"/>
          <w:szCs w:val="24"/>
          <w:lang w:val="es-CR"/>
        </w:rPr>
        <w:t>asimilación</w:t>
      </w:r>
      <w:r>
        <w:rPr>
          <w:rFonts w:ascii="Arial" w:hAnsi="Arial" w:cs="Arial"/>
          <w:color w:val="auto"/>
          <w:sz w:val="24"/>
          <w:szCs w:val="24"/>
          <w:lang w:val="es-CR"/>
        </w:rPr>
        <w:t xml:space="preserve"> de residuos por parte de los mismos.</w:t>
      </w:r>
    </w:p>
    <w:p w14:paraId="3B8403DD" w14:textId="44EAD164" w:rsidR="00745120" w:rsidRDefault="00745120" w:rsidP="00054ECC">
      <w:pPr>
        <w:pStyle w:val="Content"/>
        <w:spacing w:line="240" w:lineRule="auto"/>
        <w:jc w:val="both"/>
        <w:rPr>
          <w:rFonts w:ascii="Arial" w:hAnsi="Arial" w:cs="Arial"/>
          <w:color w:val="auto"/>
          <w:sz w:val="24"/>
          <w:szCs w:val="24"/>
          <w:lang w:val="es-CR"/>
        </w:rPr>
      </w:pPr>
    </w:p>
    <w:p w14:paraId="7EDB4C10" w14:textId="1A867530" w:rsidR="00745120" w:rsidRPr="002F1FB0" w:rsidRDefault="00745120" w:rsidP="00745120">
      <w:pPr>
        <w:pStyle w:val="Ttulo1"/>
        <w:rPr>
          <w:rFonts w:cstheme="majorHAnsi"/>
          <w:sz w:val="24"/>
          <w:szCs w:val="24"/>
          <w:lang w:val="es-CR"/>
        </w:rPr>
      </w:pPr>
      <w:r>
        <w:rPr>
          <w:rFonts w:cstheme="majorHAnsi"/>
          <w:sz w:val="24"/>
          <w:szCs w:val="24"/>
          <w:lang w:val="es-CR"/>
        </w:rPr>
        <w:t>Metodología</w:t>
      </w:r>
    </w:p>
    <w:p w14:paraId="7F6FCB68" w14:textId="77777777" w:rsidR="00745120" w:rsidRDefault="00745120" w:rsidP="00054ECC">
      <w:pPr>
        <w:pStyle w:val="Content"/>
        <w:spacing w:line="240" w:lineRule="auto"/>
        <w:jc w:val="both"/>
        <w:rPr>
          <w:rFonts w:ascii="Arial" w:hAnsi="Arial" w:cs="Arial"/>
          <w:color w:val="auto"/>
          <w:sz w:val="24"/>
          <w:szCs w:val="24"/>
          <w:lang w:val="es-CR"/>
        </w:rPr>
      </w:pPr>
    </w:p>
    <w:p w14:paraId="3BEACADE" w14:textId="592581C8" w:rsidR="00745120" w:rsidRPr="00C505CE" w:rsidRDefault="00745120" w:rsidP="00054ECC">
      <w:pPr>
        <w:pStyle w:val="Content"/>
        <w:spacing w:line="240" w:lineRule="auto"/>
        <w:jc w:val="both"/>
        <w:rPr>
          <w:rFonts w:ascii="Arial" w:hAnsi="Arial" w:cs="Arial"/>
          <w:color w:val="000000"/>
          <w:sz w:val="24"/>
          <w:szCs w:val="24"/>
          <w:lang w:val="es-CR"/>
        </w:rPr>
      </w:pPr>
      <w:r w:rsidRPr="00745120">
        <w:rPr>
          <w:rFonts w:ascii="Arial" w:hAnsi="Arial" w:cs="Arial"/>
          <w:color w:val="000000"/>
          <w:sz w:val="24"/>
          <w:szCs w:val="24"/>
          <w:lang w:val="es-CR"/>
        </w:rPr>
        <w:t>Se analizaron 135 reportes operacionales de plantas de tratamiento de agua residual para determinar el comportamiento de los parámetros de control obligatorio (Caudal, temperatura, pH, solidos sedimentables, (</w:t>
      </w:r>
      <w:proofErr w:type="spellStart"/>
      <w:r w:rsidRPr="00745120">
        <w:rPr>
          <w:rFonts w:ascii="Arial" w:hAnsi="Arial" w:cs="Arial"/>
          <w:color w:val="000000"/>
          <w:sz w:val="24"/>
          <w:szCs w:val="24"/>
          <w:lang w:val="es-CR"/>
        </w:rPr>
        <w:t>S.Sed</w:t>
      </w:r>
      <w:proofErr w:type="spellEnd"/>
      <w:r w:rsidRPr="00745120">
        <w:rPr>
          <w:rFonts w:ascii="Arial" w:hAnsi="Arial" w:cs="Arial"/>
          <w:color w:val="000000"/>
          <w:sz w:val="24"/>
          <w:szCs w:val="24"/>
          <w:lang w:val="es-CR"/>
        </w:rPr>
        <w:t>), sólidos suspendidos totales (SST), grasas y aceites (</w:t>
      </w:r>
      <w:proofErr w:type="spellStart"/>
      <w:r w:rsidRPr="00745120">
        <w:rPr>
          <w:rFonts w:ascii="Arial" w:hAnsi="Arial" w:cs="Arial"/>
          <w:color w:val="000000"/>
          <w:sz w:val="24"/>
          <w:szCs w:val="24"/>
          <w:lang w:val="es-CR"/>
        </w:rPr>
        <w:t>GyA</w:t>
      </w:r>
      <w:proofErr w:type="spellEnd"/>
      <w:r w:rsidRPr="00745120">
        <w:rPr>
          <w:rFonts w:ascii="Arial" w:hAnsi="Arial" w:cs="Arial"/>
          <w:color w:val="000000"/>
          <w:sz w:val="24"/>
          <w:szCs w:val="24"/>
          <w:lang w:val="es-CR"/>
        </w:rPr>
        <w:t xml:space="preserve">), sustancias activas al azul de metileno (SAAM), demanda bioquímica de oxígeno (DBO) y demanda química de oxígeno (DQO), establecidos en Reglamento de Vertido y Reúso de Aguas Residuales (RVRAR) (Ministerio de Ambiente y Energía y Ministerio de Salud, 2007). Esta información se obtuvo a través de consulta al área rectora de salud del cantón San Pablo. Con la información colectada, se calculó la estadística descriptiva para todos los parámetros reportados; en el caso de los parámetros con valores menores a los límites de cuantificación (DBO, DQO </w:t>
      </w:r>
      <w:proofErr w:type="spellStart"/>
      <w:r w:rsidRPr="00745120">
        <w:rPr>
          <w:rFonts w:ascii="Arial" w:hAnsi="Arial" w:cs="Arial"/>
          <w:color w:val="000000"/>
          <w:sz w:val="24"/>
          <w:szCs w:val="24"/>
          <w:lang w:val="es-CR"/>
        </w:rPr>
        <w:t>GyA</w:t>
      </w:r>
      <w:proofErr w:type="spellEnd"/>
      <w:r w:rsidRPr="00745120">
        <w:rPr>
          <w:rFonts w:ascii="Arial" w:hAnsi="Arial" w:cs="Arial"/>
          <w:color w:val="000000"/>
          <w:sz w:val="24"/>
          <w:szCs w:val="24"/>
          <w:lang w:val="es-CR"/>
        </w:rPr>
        <w:t xml:space="preserve">, </w:t>
      </w:r>
      <w:proofErr w:type="spellStart"/>
      <w:r w:rsidRPr="00745120">
        <w:rPr>
          <w:rFonts w:ascii="Arial" w:hAnsi="Arial" w:cs="Arial"/>
          <w:color w:val="000000"/>
          <w:sz w:val="24"/>
          <w:szCs w:val="24"/>
          <w:lang w:val="es-CR"/>
        </w:rPr>
        <w:t>SSed</w:t>
      </w:r>
      <w:proofErr w:type="spellEnd"/>
      <w:r w:rsidRPr="00745120">
        <w:rPr>
          <w:rFonts w:ascii="Arial" w:hAnsi="Arial" w:cs="Arial"/>
          <w:color w:val="000000"/>
          <w:sz w:val="24"/>
          <w:szCs w:val="24"/>
          <w:lang w:val="es-CR"/>
        </w:rPr>
        <w:t>, SST y SAAM), se aplicó la técnica no paramétrica de estimación en datos incompletos de Kaplan Meier (1958) que corresponde a un análisis de supervivencia utilizado para la estimación de la estadística descriptiva de variables con datos no cuantificados y diferentes límites de cuantificación (</w:t>
      </w:r>
      <w:proofErr w:type="spellStart"/>
      <w:r w:rsidRPr="00745120">
        <w:rPr>
          <w:rFonts w:ascii="Arial" w:hAnsi="Arial" w:cs="Arial"/>
          <w:color w:val="000000"/>
          <w:sz w:val="24"/>
          <w:szCs w:val="24"/>
          <w:lang w:val="es-CR"/>
        </w:rPr>
        <w:t>Helsel</w:t>
      </w:r>
      <w:proofErr w:type="spellEnd"/>
      <w:r w:rsidRPr="00745120">
        <w:rPr>
          <w:rFonts w:ascii="Arial" w:hAnsi="Arial" w:cs="Arial"/>
          <w:color w:val="000000"/>
          <w:sz w:val="24"/>
          <w:szCs w:val="24"/>
          <w:lang w:val="es-CR"/>
        </w:rPr>
        <w:t xml:space="preserve">, 2012). Las diferencias para los parámetros de control obligatorio de acuerdo con los sitios de vertido y actividades productoras fueron analizadas mediante técnicas de estadística inferencial no paramétrica como las permutaciones (Good, 2009; Blair et al., 1994) y la prueba Peto-Prentice (Peto y Peto, 1972; Prentice, 1978; Prentice y Marek, 1979) en el caso de datos con valores menores al límite de cuantificación. Adicionalmente, se realizó una estimación de la carga orgánica vertida expresada en términos de kg DQO/día, con el objetivo de generar un indicador relacionado a la generación de aguas residuales en sistemas de tratamiento, analizando este indicador por sitio de vertido y actividad generadora. Los análisis estadísticos se realizaron mediante el lenguaje de programación R 3.6.2, R Core </w:t>
      </w:r>
      <w:proofErr w:type="spellStart"/>
      <w:r w:rsidRPr="00745120">
        <w:rPr>
          <w:rFonts w:ascii="Arial" w:hAnsi="Arial" w:cs="Arial"/>
          <w:color w:val="000000"/>
          <w:sz w:val="24"/>
          <w:szCs w:val="24"/>
          <w:lang w:val="es-CR"/>
        </w:rPr>
        <w:t>Team</w:t>
      </w:r>
      <w:proofErr w:type="spellEnd"/>
      <w:r w:rsidRPr="00745120">
        <w:rPr>
          <w:rFonts w:ascii="Arial" w:hAnsi="Arial" w:cs="Arial"/>
          <w:color w:val="000000"/>
          <w:sz w:val="24"/>
          <w:szCs w:val="24"/>
          <w:lang w:val="es-CR"/>
        </w:rPr>
        <w:t>, (2019), utilizando paquetes como ggplot2 (</w:t>
      </w:r>
      <w:proofErr w:type="spellStart"/>
      <w:r w:rsidRPr="00745120">
        <w:rPr>
          <w:rFonts w:ascii="Arial" w:hAnsi="Arial" w:cs="Arial"/>
          <w:color w:val="000000"/>
          <w:sz w:val="24"/>
          <w:szCs w:val="24"/>
          <w:lang w:val="es-CR"/>
        </w:rPr>
        <w:t>Wickham</w:t>
      </w:r>
      <w:proofErr w:type="spellEnd"/>
      <w:r w:rsidRPr="00745120">
        <w:rPr>
          <w:rFonts w:ascii="Arial" w:hAnsi="Arial" w:cs="Arial"/>
          <w:color w:val="000000"/>
          <w:sz w:val="24"/>
          <w:szCs w:val="24"/>
          <w:lang w:val="es-CR"/>
        </w:rPr>
        <w:t xml:space="preserve">, 2017), </w:t>
      </w:r>
      <w:proofErr w:type="spellStart"/>
      <w:r w:rsidRPr="00745120">
        <w:rPr>
          <w:rFonts w:ascii="Arial" w:hAnsi="Arial" w:cs="Arial"/>
          <w:color w:val="000000"/>
          <w:sz w:val="24"/>
          <w:szCs w:val="24"/>
          <w:lang w:val="es-CR"/>
        </w:rPr>
        <w:t>coin</w:t>
      </w:r>
      <w:proofErr w:type="spellEnd"/>
      <w:r w:rsidRPr="00745120">
        <w:rPr>
          <w:rFonts w:ascii="Arial" w:hAnsi="Arial" w:cs="Arial"/>
          <w:color w:val="000000"/>
          <w:sz w:val="24"/>
          <w:szCs w:val="24"/>
          <w:lang w:val="es-CR"/>
        </w:rPr>
        <w:t xml:space="preserve"> (</w:t>
      </w:r>
      <w:proofErr w:type="spellStart"/>
      <w:r w:rsidRPr="00745120">
        <w:rPr>
          <w:rFonts w:ascii="Arial" w:hAnsi="Arial" w:cs="Arial"/>
          <w:color w:val="000000"/>
          <w:sz w:val="24"/>
          <w:szCs w:val="24"/>
          <w:lang w:val="es-CR"/>
        </w:rPr>
        <w:t>Hothorn</w:t>
      </w:r>
      <w:proofErr w:type="spellEnd"/>
      <w:r w:rsidRPr="00745120">
        <w:rPr>
          <w:rFonts w:ascii="Arial" w:hAnsi="Arial" w:cs="Arial"/>
          <w:color w:val="000000"/>
          <w:sz w:val="24"/>
          <w:szCs w:val="24"/>
          <w:lang w:val="es-CR"/>
        </w:rPr>
        <w:t xml:space="preserve"> et al.,2015), </w:t>
      </w:r>
      <w:proofErr w:type="spellStart"/>
      <w:r w:rsidRPr="00745120">
        <w:rPr>
          <w:rFonts w:ascii="Arial" w:hAnsi="Arial" w:cs="Arial"/>
          <w:color w:val="000000"/>
          <w:sz w:val="24"/>
          <w:szCs w:val="24"/>
          <w:lang w:val="es-CR"/>
        </w:rPr>
        <w:t>asbio</w:t>
      </w:r>
      <w:proofErr w:type="spellEnd"/>
      <w:r w:rsidRPr="00745120">
        <w:rPr>
          <w:rFonts w:ascii="Arial" w:hAnsi="Arial" w:cs="Arial"/>
          <w:color w:val="000000"/>
          <w:sz w:val="24"/>
          <w:szCs w:val="24"/>
          <w:lang w:val="es-CR"/>
        </w:rPr>
        <w:t xml:space="preserve"> (Aho,2014) y NADA (Lee, 2017).</w:t>
      </w:r>
    </w:p>
    <w:p w14:paraId="2437D998" w14:textId="4F240E9D" w:rsidR="001A6609" w:rsidRDefault="001A6609" w:rsidP="00054ECC">
      <w:pPr>
        <w:pStyle w:val="NormalWeb"/>
        <w:spacing w:before="0" w:beforeAutospacing="0" w:after="0" w:afterAutospacing="0"/>
        <w:jc w:val="both"/>
        <w:rPr>
          <w:rFonts w:ascii="Arial" w:hAnsi="Arial" w:cs="Arial"/>
        </w:rPr>
      </w:pPr>
    </w:p>
    <w:p w14:paraId="52A7529D" w14:textId="334A7FB1" w:rsidR="00E267B5" w:rsidRPr="00E30C0C" w:rsidRDefault="00E267B5" w:rsidP="00E30C0C">
      <w:pPr>
        <w:spacing w:after="200"/>
        <w:rPr>
          <w:rFonts w:ascii="Arial" w:hAnsi="Arial" w:cs="Arial"/>
          <w:b w:val="0"/>
          <w:color w:val="auto"/>
          <w:sz w:val="24"/>
          <w:szCs w:val="24"/>
          <w:lang w:val="es-CR"/>
        </w:rPr>
      </w:pPr>
    </w:p>
    <w:p w14:paraId="7819269A" w14:textId="77777777" w:rsidR="00F06CEE" w:rsidRDefault="00F06CEE" w:rsidP="00F06CEE">
      <w:pPr>
        <w:pStyle w:val="Ttulo1"/>
        <w:rPr>
          <w:rFonts w:cstheme="majorHAnsi"/>
          <w:sz w:val="24"/>
          <w:szCs w:val="24"/>
          <w:lang w:val="es-CR"/>
        </w:rPr>
      </w:pPr>
      <w:r>
        <w:rPr>
          <w:rFonts w:cstheme="majorHAnsi"/>
          <w:sz w:val="24"/>
          <w:szCs w:val="24"/>
          <w:lang w:val="es-CR"/>
        </w:rPr>
        <w:lastRenderedPageBreak/>
        <w:t>Resultados</w:t>
      </w:r>
    </w:p>
    <w:p w14:paraId="72CF165C" w14:textId="77777777" w:rsidR="005467F5" w:rsidRDefault="005467F5" w:rsidP="005C7926">
      <w:pPr>
        <w:pStyle w:val="Content"/>
        <w:jc w:val="both"/>
        <w:rPr>
          <w:rFonts w:asciiTheme="majorHAnsi" w:hAnsiTheme="majorHAnsi" w:cstheme="majorHAnsi"/>
          <w:color w:val="auto"/>
          <w:sz w:val="24"/>
          <w:szCs w:val="24"/>
          <w:lang w:val="es-MX"/>
        </w:rPr>
      </w:pPr>
    </w:p>
    <w:p w14:paraId="207629DC" w14:textId="61EA0F24" w:rsidR="00F676E2" w:rsidRDefault="00F676E2" w:rsidP="005C7926">
      <w:pPr>
        <w:pStyle w:val="Content"/>
        <w:jc w:val="both"/>
        <w:rPr>
          <w:rFonts w:asciiTheme="majorHAnsi" w:hAnsiTheme="majorHAnsi" w:cstheme="majorHAnsi"/>
          <w:i/>
          <w:iCs/>
          <w:color w:val="auto"/>
          <w:sz w:val="24"/>
          <w:szCs w:val="24"/>
          <w:u w:val="single"/>
          <w:lang w:val="es-MX"/>
        </w:rPr>
      </w:pPr>
      <w:r w:rsidRPr="00F676E2">
        <w:rPr>
          <w:rFonts w:asciiTheme="majorHAnsi" w:hAnsiTheme="majorHAnsi" w:cstheme="majorHAnsi"/>
          <w:i/>
          <w:iCs/>
          <w:color w:val="auto"/>
          <w:sz w:val="24"/>
          <w:szCs w:val="24"/>
          <w:u w:val="single"/>
          <w:lang w:val="es-MX"/>
        </w:rPr>
        <w:t>Cantidad de reportes presentados, sitios de vertido y tipo de actividad generadora</w:t>
      </w:r>
    </w:p>
    <w:p w14:paraId="6B53C878" w14:textId="77777777" w:rsidR="00817422" w:rsidRPr="00F676E2" w:rsidRDefault="00817422" w:rsidP="005C7926">
      <w:pPr>
        <w:pStyle w:val="Content"/>
        <w:jc w:val="both"/>
        <w:rPr>
          <w:rFonts w:asciiTheme="majorHAnsi" w:hAnsiTheme="majorHAnsi" w:cstheme="majorHAnsi"/>
          <w:i/>
          <w:iCs/>
          <w:color w:val="auto"/>
          <w:sz w:val="24"/>
          <w:szCs w:val="24"/>
          <w:u w:val="single"/>
          <w:lang w:val="es-MX"/>
        </w:rPr>
      </w:pPr>
    </w:p>
    <w:p w14:paraId="0D99C54E" w14:textId="36873B56" w:rsidR="005467F5" w:rsidRPr="00FA6BB4" w:rsidRDefault="00816DBA" w:rsidP="00745120">
      <w:pPr>
        <w:pStyle w:val="Content"/>
        <w:spacing w:line="240" w:lineRule="auto"/>
        <w:jc w:val="both"/>
        <w:rPr>
          <w:rFonts w:asciiTheme="majorHAnsi" w:hAnsiTheme="majorHAnsi" w:cstheme="majorHAnsi"/>
          <w:color w:val="auto"/>
          <w:sz w:val="24"/>
          <w:szCs w:val="24"/>
          <w:lang w:val="es-CR"/>
        </w:rPr>
      </w:pPr>
      <w:r>
        <w:rPr>
          <w:rFonts w:asciiTheme="majorHAnsi" w:hAnsiTheme="majorHAnsi" w:cstheme="majorHAnsi"/>
          <w:color w:val="auto"/>
          <w:sz w:val="24"/>
          <w:szCs w:val="24"/>
          <w:lang w:val="es-MX"/>
        </w:rPr>
        <w:t>S</w:t>
      </w:r>
      <w:r w:rsidR="00FA6BB4">
        <w:rPr>
          <w:rFonts w:asciiTheme="majorHAnsi" w:hAnsiTheme="majorHAnsi" w:cstheme="majorHAnsi"/>
          <w:color w:val="auto"/>
          <w:sz w:val="24"/>
          <w:szCs w:val="24"/>
          <w:lang w:val="es-MX"/>
        </w:rPr>
        <w:t>e logró caracterizar que l</w:t>
      </w:r>
      <w:r w:rsidR="00F676E2">
        <w:rPr>
          <w:rFonts w:asciiTheme="majorHAnsi" w:hAnsiTheme="majorHAnsi" w:cstheme="majorHAnsi"/>
          <w:color w:val="auto"/>
          <w:sz w:val="24"/>
          <w:szCs w:val="24"/>
          <w:lang w:val="es-MX"/>
        </w:rPr>
        <w:t xml:space="preserve">as aguas residuales generadas en </w:t>
      </w:r>
      <w:proofErr w:type="gramStart"/>
      <w:r w:rsidR="00F676E2">
        <w:rPr>
          <w:rFonts w:asciiTheme="majorHAnsi" w:hAnsiTheme="majorHAnsi" w:cstheme="majorHAnsi"/>
          <w:color w:val="auto"/>
          <w:sz w:val="24"/>
          <w:szCs w:val="24"/>
          <w:lang w:val="es-MX"/>
        </w:rPr>
        <w:t>PTAR</w:t>
      </w:r>
      <w:r w:rsidR="00FA6BB4">
        <w:rPr>
          <w:rFonts w:asciiTheme="majorHAnsi" w:hAnsiTheme="majorHAnsi" w:cstheme="majorHAnsi"/>
          <w:color w:val="auto"/>
          <w:sz w:val="24"/>
          <w:szCs w:val="24"/>
          <w:lang w:val="es-MX"/>
        </w:rPr>
        <w:t xml:space="preserve"> </w:t>
      </w:r>
      <w:r w:rsidR="00F676E2">
        <w:rPr>
          <w:rFonts w:asciiTheme="majorHAnsi" w:hAnsiTheme="majorHAnsi" w:cstheme="majorHAnsi"/>
          <w:color w:val="auto"/>
          <w:sz w:val="24"/>
          <w:szCs w:val="24"/>
          <w:lang w:val="es-MX"/>
        </w:rPr>
        <w:t xml:space="preserve"> ubicadas</w:t>
      </w:r>
      <w:proofErr w:type="gramEnd"/>
      <w:r w:rsidR="00F676E2">
        <w:rPr>
          <w:rFonts w:asciiTheme="majorHAnsi" w:hAnsiTheme="majorHAnsi" w:cstheme="majorHAnsi"/>
          <w:color w:val="auto"/>
          <w:sz w:val="24"/>
          <w:szCs w:val="24"/>
          <w:lang w:val="es-MX"/>
        </w:rPr>
        <w:t xml:space="preserve"> en el cantón San Pablo, </w:t>
      </w:r>
      <w:r w:rsidR="00FA6BB4">
        <w:rPr>
          <w:rFonts w:asciiTheme="majorHAnsi" w:hAnsiTheme="majorHAnsi" w:cstheme="majorHAnsi"/>
          <w:color w:val="auto"/>
          <w:sz w:val="24"/>
          <w:szCs w:val="24"/>
          <w:lang w:val="es-MX"/>
        </w:rPr>
        <w:t>provienen</w:t>
      </w:r>
      <w:r>
        <w:rPr>
          <w:rFonts w:asciiTheme="majorHAnsi" w:hAnsiTheme="majorHAnsi" w:cstheme="majorHAnsi"/>
          <w:color w:val="auto"/>
          <w:sz w:val="24"/>
          <w:szCs w:val="24"/>
          <w:lang w:val="es-MX"/>
        </w:rPr>
        <w:t xml:space="preserve"> principalmente de 6 tipos de actividades económica</w:t>
      </w:r>
      <w:r w:rsidR="00F676E2">
        <w:rPr>
          <w:rFonts w:asciiTheme="majorHAnsi" w:hAnsiTheme="majorHAnsi" w:cstheme="majorHAnsi"/>
          <w:color w:val="auto"/>
          <w:sz w:val="24"/>
          <w:szCs w:val="24"/>
          <w:lang w:val="es-MX"/>
        </w:rPr>
        <w:t>s; a su vez, se identificó que existe vertido tanto al alcantarillado como a cuerpos receptores, siendo 6 diferentes destinos entre estas dos categorías</w:t>
      </w:r>
      <w:r>
        <w:rPr>
          <w:rFonts w:asciiTheme="majorHAnsi" w:hAnsiTheme="majorHAnsi" w:cstheme="majorHAnsi"/>
          <w:color w:val="auto"/>
          <w:sz w:val="24"/>
          <w:szCs w:val="24"/>
          <w:lang w:val="es-MX"/>
        </w:rPr>
        <w:t>.</w:t>
      </w:r>
      <w:r w:rsidR="00FA6BB4">
        <w:rPr>
          <w:rFonts w:asciiTheme="majorHAnsi" w:hAnsiTheme="majorHAnsi" w:cstheme="majorHAnsi"/>
          <w:color w:val="auto"/>
          <w:sz w:val="24"/>
          <w:szCs w:val="24"/>
          <w:lang w:val="es-CR"/>
        </w:rPr>
        <w:t xml:space="preserve"> </w:t>
      </w:r>
    </w:p>
    <w:p w14:paraId="5F5F9EA4" w14:textId="5DC4707D" w:rsidR="00C770D3" w:rsidRDefault="00071830" w:rsidP="005C7926">
      <w:pPr>
        <w:pStyle w:val="Content"/>
        <w:jc w:val="both"/>
        <w:rPr>
          <w:rFonts w:asciiTheme="majorHAnsi" w:hAnsiTheme="majorHAnsi" w:cstheme="majorHAnsi"/>
          <w:color w:val="auto"/>
          <w:sz w:val="24"/>
          <w:szCs w:val="24"/>
          <w:lang w:val="es-CR"/>
        </w:rPr>
      </w:pPr>
      <w:r>
        <w:rPr>
          <w:rFonts w:asciiTheme="majorHAnsi" w:hAnsiTheme="majorHAnsi" w:cstheme="majorHAnsi"/>
          <w:noProof/>
          <w:color w:val="auto"/>
          <w:sz w:val="24"/>
          <w:szCs w:val="24"/>
          <w:lang w:val="es-MX"/>
        </w:rPr>
        <w:drawing>
          <wp:inline distT="0" distB="0" distL="0" distR="0" wp14:anchorId="1856F3A7" wp14:editId="2CEE3857">
            <wp:extent cx="6305550" cy="420052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05550" cy="4200525"/>
                    </a:xfrm>
                    <a:prstGeom prst="rect">
                      <a:avLst/>
                    </a:prstGeom>
                    <a:noFill/>
                    <a:ln>
                      <a:noFill/>
                    </a:ln>
                  </pic:spPr>
                </pic:pic>
              </a:graphicData>
            </a:graphic>
          </wp:inline>
        </w:drawing>
      </w:r>
    </w:p>
    <w:p w14:paraId="627417D7" w14:textId="1C03218A" w:rsidR="00C770D3" w:rsidRDefault="00C770D3" w:rsidP="005C7926">
      <w:pPr>
        <w:pStyle w:val="Content"/>
        <w:jc w:val="both"/>
        <w:rPr>
          <w:rFonts w:asciiTheme="majorHAnsi" w:hAnsiTheme="majorHAnsi" w:cstheme="majorHAnsi"/>
          <w:color w:val="auto"/>
          <w:sz w:val="24"/>
          <w:szCs w:val="24"/>
          <w:lang w:val="es-CR"/>
        </w:rPr>
      </w:pPr>
    </w:p>
    <w:p w14:paraId="5B9553C4" w14:textId="541C50DD" w:rsidR="00C770D3" w:rsidRPr="00817422" w:rsidRDefault="00F676E2" w:rsidP="005C7926">
      <w:pPr>
        <w:pStyle w:val="Content"/>
        <w:jc w:val="both"/>
        <w:rPr>
          <w:rFonts w:asciiTheme="majorHAnsi" w:hAnsiTheme="majorHAnsi" w:cstheme="majorHAnsi"/>
          <w:color w:val="auto"/>
          <w:sz w:val="20"/>
          <w:szCs w:val="20"/>
          <w:lang w:val="es-CR"/>
        </w:rPr>
      </w:pPr>
      <w:r w:rsidRPr="00817422">
        <w:rPr>
          <w:rFonts w:asciiTheme="majorHAnsi" w:hAnsiTheme="majorHAnsi" w:cstheme="majorHAnsi"/>
          <w:b/>
          <w:bCs/>
          <w:color w:val="auto"/>
          <w:sz w:val="20"/>
          <w:szCs w:val="20"/>
          <w:lang w:val="es-CR"/>
        </w:rPr>
        <w:t>Figura 1.</w:t>
      </w:r>
      <w:r w:rsidRPr="00817422">
        <w:rPr>
          <w:rFonts w:asciiTheme="majorHAnsi" w:hAnsiTheme="majorHAnsi" w:cstheme="majorHAnsi"/>
          <w:color w:val="auto"/>
          <w:sz w:val="20"/>
          <w:szCs w:val="20"/>
          <w:lang w:val="es-CR"/>
        </w:rPr>
        <w:t xml:space="preserve"> Cantidad de ROAR presentados ante el área rectora de salud San Pablo durante </w:t>
      </w:r>
      <w:r w:rsidR="003A7EEC" w:rsidRPr="00817422">
        <w:rPr>
          <w:rFonts w:asciiTheme="majorHAnsi" w:hAnsiTheme="majorHAnsi" w:cstheme="majorHAnsi"/>
          <w:color w:val="auto"/>
          <w:sz w:val="20"/>
          <w:szCs w:val="20"/>
          <w:lang w:val="es-CR"/>
        </w:rPr>
        <w:t>el IT2014 y IT 2018</w:t>
      </w:r>
    </w:p>
    <w:p w14:paraId="5D5705E0" w14:textId="6E89492D" w:rsidR="003A7EEC" w:rsidRDefault="003A7EEC" w:rsidP="005C7926">
      <w:pPr>
        <w:pStyle w:val="Content"/>
        <w:jc w:val="both"/>
        <w:rPr>
          <w:rFonts w:asciiTheme="majorHAnsi" w:hAnsiTheme="majorHAnsi" w:cstheme="majorHAnsi"/>
          <w:color w:val="auto"/>
          <w:sz w:val="24"/>
          <w:szCs w:val="24"/>
          <w:lang w:val="es-CR"/>
        </w:rPr>
      </w:pPr>
    </w:p>
    <w:p w14:paraId="4F8AA065" w14:textId="4CB80A12" w:rsidR="003A7EEC" w:rsidRDefault="00354C11" w:rsidP="003A7EEC">
      <w:pPr>
        <w:pStyle w:val="Content"/>
        <w:jc w:val="both"/>
        <w:rPr>
          <w:rFonts w:asciiTheme="majorHAnsi" w:hAnsiTheme="majorHAnsi" w:cstheme="majorHAnsi"/>
          <w:i/>
          <w:iCs/>
          <w:color w:val="auto"/>
          <w:sz w:val="24"/>
          <w:szCs w:val="24"/>
          <w:u w:val="single"/>
          <w:lang w:val="es-MX"/>
        </w:rPr>
      </w:pPr>
      <w:r>
        <w:rPr>
          <w:rFonts w:asciiTheme="majorHAnsi" w:hAnsiTheme="majorHAnsi" w:cstheme="majorHAnsi"/>
          <w:i/>
          <w:iCs/>
          <w:color w:val="auto"/>
          <w:sz w:val="24"/>
          <w:szCs w:val="24"/>
          <w:u w:val="single"/>
          <w:lang w:val="es-MX"/>
        </w:rPr>
        <w:t>Análisis del comportamiento de las concentraciones para los parámetros de control obligatorio</w:t>
      </w:r>
    </w:p>
    <w:p w14:paraId="4B673A97" w14:textId="5B3D7A18" w:rsidR="00354C11" w:rsidRDefault="00354C11" w:rsidP="003A7EEC">
      <w:pPr>
        <w:pStyle w:val="Content"/>
        <w:jc w:val="both"/>
        <w:rPr>
          <w:rFonts w:asciiTheme="majorHAnsi" w:hAnsiTheme="majorHAnsi" w:cstheme="majorHAnsi"/>
          <w:i/>
          <w:iCs/>
          <w:color w:val="auto"/>
          <w:sz w:val="24"/>
          <w:szCs w:val="24"/>
          <w:u w:val="single"/>
          <w:lang w:val="es-MX"/>
        </w:rPr>
      </w:pPr>
    </w:p>
    <w:p w14:paraId="6081C083" w14:textId="24087FB5" w:rsidR="00817422" w:rsidRDefault="00817422" w:rsidP="00745120">
      <w:pPr>
        <w:pStyle w:val="Content"/>
        <w:spacing w:line="240" w:lineRule="auto"/>
        <w:jc w:val="both"/>
        <w:rPr>
          <w:rFonts w:asciiTheme="majorHAnsi" w:hAnsiTheme="majorHAnsi" w:cstheme="majorHAnsi"/>
          <w:color w:val="auto"/>
          <w:sz w:val="24"/>
          <w:szCs w:val="24"/>
          <w:lang w:val="es-MX"/>
        </w:rPr>
      </w:pPr>
      <w:r w:rsidRPr="00817422">
        <w:rPr>
          <w:rFonts w:asciiTheme="majorHAnsi" w:hAnsiTheme="majorHAnsi" w:cstheme="majorHAnsi"/>
          <w:color w:val="auto"/>
          <w:sz w:val="24"/>
          <w:szCs w:val="24"/>
          <w:lang w:val="es-MX"/>
        </w:rPr>
        <w:t xml:space="preserve">Las concentraciones de los parámetros de control obligatorio para las plantas de tratamiento de agua residual ubicadas en el cantón San Pablo se encuentran resumidas en la tabla 1 y la figura </w:t>
      </w:r>
      <w:r>
        <w:rPr>
          <w:rFonts w:asciiTheme="majorHAnsi" w:hAnsiTheme="majorHAnsi" w:cstheme="majorHAnsi"/>
          <w:color w:val="auto"/>
          <w:sz w:val="24"/>
          <w:szCs w:val="24"/>
          <w:lang w:val="es-MX"/>
        </w:rPr>
        <w:t>2</w:t>
      </w:r>
      <w:r w:rsidRPr="00817422">
        <w:rPr>
          <w:rFonts w:asciiTheme="majorHAnsi" w:hAnsiTheme="majorHAnsi" w:cstheme="majorHAnsi"/>
          <w:color w:val="auto"/>
          <w:sz w:val="24"/>
          <w:szCs w:val="24"/>
          <w:lang w:val="es-MX"/>
        </w:rPr>
        <w:t>; los valores de caudal (</w:t>
      </w:r>
      <w:proofErr w:type="spellStart"/>
      <w:r w:rsidRPr="00817422">
        <w:rPr>
          <w:rFonts w:asciiTheme="majorHAnsi" w:hAnsiTheme="majorHAnsi" w:cstheme="majorHAnsi"/>
          <w:color w:val="auto"/>
          <w:sz w:val="24"/>
          <w:szCs w:val="24"/>
          <w:lang w:val="es-MX"/>
        </w:rPr>
        <w:t>Fig</w:t>
      </w:r>
      <w:proofErr w:type="spellEnd"/>
      <w:r w:rsidRPr="00817422">
        <w:rPr>
          <w:rFonts w:asciiTheme="majorHAnsi" w:hAnsiTheme="majorHAnsi" w:cstheme="majorHAnsi"/>
          <w:color w:val="auto"/>
          <w:sz w:val="24"/>
          <w:szCs w:val="24"/>
          <w:lang w:val="es-MX"/>
        </w:rPr>
        <w:t xml:space="preserve"> </w:t>
      </w:r>
      <w:r>
        <w:rPr>
          <w:rFonts w:asciiTheme="majorHAnsi" w:hAnsiTheme="majorHAnsi" w:cstheme="majorHAnsi"/>
          <w:color w:val="auto"/>
          <w:sz w:val="24"/>
          <w:szCs w:val="24"/>
          <w:lang w:val="es-MX"/>
        </w:rPr>
        <w:t>2</w:t>
      </w:r>
      <w:r w:rsidRPr="00817422">
        <w:rPr>
          <w:rFonts w:asciiTheme="majorHAnsi" w:hAnsiTheme="majorHAnsi" w:cstheme="majorHAnsi"/>
          <w:color w:val="auto"/>
          <w:sz w:val="24"/>
          <w:szCs w:val="24"/>
          <w:lang w:val="es-MX"/>
        </w:rPr>
        <w:t>.a) oscilan entre 0.03-285 m</w:t>
      </w:r>
      <w:r w:rsidRPr="00817422">
        <w:rPr>
          <w:rFonts w:asciiTheme="majorHAnsi" w:hAnsiTheme="majorHAnsi" w:cstheme="majorHAnsi"/>
          <w:color w:val="auto"/>
          <w:sz w:val="24"/>
          <w:szCs w:val="24"/>
          <w:vertAlign w:val="superscript"/>
          <w:lang w:val="es-MX"/>
        </w:rPr>
        <w:t>3</w:t>
      </w:r>
      <w:r w:rsidRPr="00817422">
        <w:rPr>
          <w:rFonts w:asciiTheme="majorHAnsi" w:hAnsiTheme="majorHAnsi" w:cstheme="majorHAnsi"/>
          <w:color w:val="auto"/>
          <w:sz w:val="24"/>
          <w:szCs w:val="24"/>
          <w:lang w:val="es-MX"/>
        </w:rPr>
        <w:t xml:space="preserve">/día, esta distribución presenta diferencia significativa (F=14.7, p&lt;0.05) de acuerdo al tipo de vertido realizado, donde se evidencia que el caudal en los cuerpos receptores es más de 8 veces la cantidad que se vierte al alcantarillado, siendo los vertidos del sector residencial los que más contribuyen en esta diferencia. Lo anterior sugiere que el cantón San Pablo es densamente poblado (Hernando y Orozco, 2015) y que independientemente del cumplimiento de los vertidos en relación con los límites máximos para cada variable de control, estos efluentes </w:t>
      </w:r>
      <w:r w:rsidRPr="00817422">
        <w:rPr>
          <w:rFonts w:asciiTheme="majorHAnsi" w:hAnsiTheme="majorHAnsi" w:cstheme="majorHAnsi"/>
          <w:color w:val="auto"/>
          <w:sz w:val="24"/>
          <w:szCs w:val="24"/>
          <w:lang w:val="es-MX"/>
        </w:rPr>
        <w:lastRenderedPageBreak/>
        <w:t>pueden contribuir de forma significativa a la afectación de diversas funciones ambientales, incluyendo, pero no limitándose a funciones de aprovisionamiento para actividades agrícolas de la zona (Sánchez-Gutiérrez y Villalobos-González, 20</w:t>
      </w:r>
      <w:r>
        <w:rPr>
          <w:rFonts w:asciiTheme="majorHAnsi" w:hAnsiTheme="majorHAnsi" w:cstheme="majorHAnsi"/>
          <w:color w:val="auto"/>
          <w:sz w:val="24"/>
          <w:szCs w:val="24"/>
          <w:lang w:val="es-MX"/>
        </w:rPr>
        <w:t>19</w:t>
      </w:r>
      <w:r w:rsidRPr="00817422">
        <w:rPr>
          <w:rFonts w:asciiTheme="majorHAnsi" w:hAnsiTheme="majorHAnsi" w:cstheme="majorHAnsi"/>
          <w:color w:val="auto"/>
          <w:sz w:val="24"/>
          <w:szCs w:val="24"/>
          <w:lang w:val="es-MX"/>
        </w:rPr>
        <w:t>).</w:t>
      </w:r>
    </w:p>
    <w:p w14:paraId="3F0F1E86" w14:textId="77777777" w:rsidR="00817422" w:rsidRPr="00817422" w:rsidRDefault="00817422" w:rsidP="00745120">
      <w:pPr>
        <w:pStyle w:val="Content"/>
        <w:spacing w:line="240" w:lineRule="auto"/>
        <w:jc w:val="both"/>
        <w:rPr>
          <w:rFonts w:asciiTheme="majorHAnsi" w:hAnsiTheme="majorHAnsi" w:cstheme="majorHAnsi"/>
          <w:color w:val="auto"/>
          <w:sz w:val="24"/>
          <w:szCs w:val="24"/>
          <w:lang w:val="es-MX"/>
        </w:rPr>
      </w:pPr>
    </w:p>
    <w:p w14:paraId="10FAE661" w14:textId="77777777" w:rsidR="00354C11" w:rsidRPr="00354C11" w:rsidRDefault="00354C11" w:rsidP="00354C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240" w:lineRule="auto"/>
        <w:rPr>
          <w:rFonts w:ascii="Times New Roman" w:hAnsi="Times New Roman" w:cs="Times New Roman"/>
          <w:sz w:val="24"/>
          <w:szCs w:val="24"/>
          <w:lang w:val="es-419"/>
        </w:rPr>
      </w:pPr>
      <w:r w:rsidRPr="00354C11">
        <w:rPr>
          <w:rFonts w:ascii="Times New Roman" w:hAnsi="Times New Roman" w:cs="Times New Roman"/>
          <w:sz w:val="24"/>
          <w:szCs w:val="24"/>
          <w:lang w:val="es-419"/>
        </w:rPr>
        <w:t>Tabla 1</w:t>
      </w:r>
    </w:p>
    <w:p w14:paraId="0464CC97" w14:textId="77777777" w:rsidR="00354C11" w:rsidRPr="00354C11" w:rsidRDefault="00354C11" w:rsidP="00354C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240" w:lineRule="auto"/>
        <w:ind w:firstLine="709"/>
        <w:jc w:val="both"/>
        <w:rPr>
          <w:rFonts w:ascii="Times New Roman" w:hAnsi="Times New Roman" w:cs="Times New Roman"/>
          <w:i/>
          <w:sz w:val="24"/>
          <w:szCs w:val="24"/>
          <w:lang w:val="es-419"/>
        </w:rPr>
      </w:pPr>
      <w:r w:rsidRPr="00354C11">
        <w:rPr>
          <w:rFonts w:ascii="Times New Roman" w:hAnsi="Times New Roman" w:cs="Times New Roman"/>
          <w:i/>
          <w:sz w:val="24"/>
          <w:szCs w:val="24"/>
          <w:lang w:val="es-419"/>
        </w:rPr>
        <w:t xml:space="preserve">Resumen de las características físicas y químicas para los vertidos de aguas residuales generados por </w:t>
      </w:r>
      <w:proofErr w:type="spellStart"/>
      <w:r w:rsidRPr="00354C11">
        <w:rPr>
          <w:rFonts w:ascii="Times New Roman" w:hAnsi="Times New Roman" w:cs="Times New Roman"/>
          <w:i/>
          <w:sz w:val="24"/>
          <w:szCs w:val="24"/>
          <w:lang w:val="es-419"/>
        </w:rPr>
        <w:t>PTAR´s</w:t>
      </w:r>
      <w:proofErr w:type="spellEnd"/>
      <w:r w:rsidRPr="00354C11">
        <w:rPr>
          <w:rFonts w:ascii="Times New Roman" w:hAnsi="Times New Roman" w:cs="Times New Roman"/>
          <w:i/>
          <w:sz w:val="24"/>
          <w:szCs w:val="24"/>
          <w:lang w:val="es-419"/>
        </w:rPr>
        <w:t xml:space="preserve"> en el cantón San Pablo de acuerdo con el tipo de vertido realizado.</w:t>
      </w:r>
    </w:p>
    <w:tbl>
      <w:tblPr>
        <w:tblW w:w="8831" w:type="dxa"/>
        <w:jc w:val="center"/>
        <w:tblLayout w:type="fixed"/>
        <w:tblLook w:val="0400" w:firstRow="0" w:lastRow="0" w:firstColumn="0" w:lastColumn="0" w:noHBand="0" w:noVBand="1"/>
      </w:tblPr>
      <w:tblGrid>
        <w:gridCol w:w="1837"/>
        <w:gridCol w:w="1500"/>
        <w:gridCol w:w="1463"/>
        <w:gridCol w:w="1196"/>
        <w:gridCol w:w="1394"/>
        <w:gridCol w:w="1441"/>
      </w:tblGrid>
      <w:tr w:rsidR="00354C11" w:rsidRPr="00A80DDE" w14:paraId="4FCB2A7F" w14:textId="77777777" w:rsidTr="002B4C62">
        <w:trPr>
          <w:trHeight w:val="251"/>
          <w:jc w:val="center"/>
        </w:trPr>
        <w:tc>
          <w:tcPr>
            <w:tcW w:w="1837" w:type="dxa"/>
            <w:tcBorders>
              <w:top w:val="single" w:sz="4" w:space="0" w:color="0F0D29" w:themeColor="text1"/>
              <w:left w:val="nil"/>
              <w:bottom w:val="single" w:sz="4" w:space="0" w:color="0F0D29" w:themeColor="text1"/>
              <w:right w:val="nil"/>
            </w:tcBorders>
            <w:shd w:val="clear" w:color="auto" w:fill="auto"/>
            <w:vAlign w:val="bottom"/>
          </w:tcPr>
          <w:p w14:paraId="2A097CEC" w14:textId="77777777" w:rsidR="00354C11" w:rsidRPr="00A80DDE" w:rsidRDefault="00354C11" w:rsidP="002B4C62">
            <w:pPr>
              <w:spacing w:line="240" w:lineRule="auto"/>
              <w:jc w:val="center"/>
              <w:rPr>
                <w:rFonts w:ascii="Times New Roman" w:eastAsia="Arial" w:hAnsi="Times New Roman" w:cs="Times New Roman"/>
                <w:b w:val="0"/>
                <w:color w:val="000000"/>
                <w:sz w:val="20"/>
                <w:szCs w:val="20"/>
              </w:rPr>
            </w:pPr>
            <w:proofErr w:type="spellStart"/>
            <w:r w:rsidRPr="00A80DDE">
              <w:rPr>
                <w:rFonts w:ascii="Times New Roman" w:eastAsia="Arial" w:hAnsi="Times New Roman" w:cs="Times New Roman"/>
                <w:color w:val="0F0D29" w:themeColor="text1"/>
                <w:sz w:val="20"/>
                <w:szCs w:val="20"/>
              </w:rPr>
              <w:t>Parámetro</w:t>
            </w:r>
            <w:proofErr w:type="spellEnd"/>
          </w:p>
        </w:tc>
        <w:tc>
          <w:tcPr>
            <w:tcW w:w="1500" w:type="dxa"/>
            <w:tcBorders>
              <w:top w:val="single" w:sz="4" w:space="0" w:color="0F0D29" w:themeColor="text1"/>
              <w:left w:val="nil"/>
              <w:bottom w:val="single" w:sz="4" w:space="0" w:color="0F0D29" w:themeColor="text1"/>
              <w:right w:val="nil"/>
            </w:tcBorders>
            <w:shd w:val="clear" w:color="auto" w:fill="auto"/>
            <w:vAlign w:val="bottom"/>
          </w:tcPr>
          <w:p w14:paraId="490A28D3" w14:textId="77777777" w:rsidR="00354C11" w:rsidRPr="00A80DDE" w:rsidRDefault="00354C11" w:rsidP="002B4C62">
            <w:pPr>
              <w:spacing w:line="240" w:lineRule="auto"/>
              <w:jc w:val="center"/>
              <w:rPr>
                <w:rFonts w:ascii="Times New Roman" w:eastAsia="Arial" w:hAnsi="Times New Roman" w:cs="Times New Roman"/>
                <w:b w:val="0"/>
                <w:color w:val="000000"/>
                <w:sz w:val="20"/>
                <w:szCs w:val="20"/>
              </w:rPr>
            </w:pPr>
            <w:proofErr w:type="spellStart"/>
            <w:r w:rsidRPr="00A80DDE">
              <w:rPr>
                <w:rFonts w:ascii="Times New Roman" w:eastAsia="Arial" w:hAnsi="Times New Roman" w:cs="Times New Roman"/>
                <w:color w:val="0F0D29" w:themeColor="text1"/>
                <w:sz w:val="20"/>
                <w:szCs w:val="20"/>
              </w:rPr>
              <w:t>Unidades</w:t>
            </w:r>
            <w:proofErr w:type="spellEnd"/>
          </w:p>
        </w:tc>
        <w:tc>
          <w:tcPr>
            <w:tcW w:w="1463" w:type="dxa"/>
            <w:tcBorders>
              <w:top w:val="single" w:sz="4" w:space="0" w:color="0F0D29" w:themeColor="text1"/>
              <w:left w:val="nil"/>
              <w:bottom w:val="single" w:sz="4" w:space="0" w:color="0F0D29" w:themeColor="text1"/>
              <w:right w:val="nil"/>
            </w:tcBorders>
            <w:shd w:val="clear" w:color="auto" w:fill="auto"/>
            <w:vAlign w:val="bottom"/>
          </w:tcPr>
          <w:p w14:paraId="25CCFE3F" w14:textId="77777777" w:rsidR="00354C11" w:rsidRPr="00A80DDE" w:rsidRDefault="00354C11" w:rsidP="002B4C62">
            <w:pPr>
              <w:spacing w:line="240" w:lineRule="auto"/>
              <w:jc w:val="center"/>
              <w:rPr>
                <w:rFonts w:ascii="Times New Roman" w:eastAsia="Arial" w:hAnsi="Times New Roman" w:cs="Times New Roman"/>
                <w:b w:val="0"/>
                <w:color w:val="000000"/>
                <w:sz w:val="20"/>
                <w:szCs w:val="20"/>
              </w:rPr>
            </w:pPr>
            <w:proofErr w:type="spellStart"/>
            <w:r w:rsidRPr="00A80DDE">
              <w:rPr>
                <w:rFonts w:ascii="Times New Roman" w:eastAsia="Arial" w:hAnsi="Times New Roman" w:cs="Times New Roman"/>
                <w:color w:val="0F0D29" w:themeColor="text1"/>
                <w:sz w:val="20"/>
                <w:szCs w:val="20"/>
              </w:rPr>
              <w:t>Promedio</w:t>
            </w:r>
            <w:proofErr w:type="spellEnd"/>
          </w:p>
        </w:tc>
        <w:tc>
          <w:tcPr>
            <w:tcW w:w="1196" w:type="dxa"/>
            <w:tcBorders>
              <w:top w:val="single" w:sz="4" w:space="0" w:color="0F0D29" w:themeColor="text1"/>
              <w:left w:val="nil"/>
              <w:bottom w:val="single" w:sz="4" w:space="0" w:color="0F0D29" w:themeColor="text1"/>
              <w:right w:val="nil"/>
            </w:tcBorders>
            <w:shd w:val="clear" w:color="auto" w:fill="auto"/>
            <w:vAlign w:val="bottom"/>
          </w:tcPr>
          <w:p w14:paraId="44427753" w14:textId="77777777" w:rsidR="00354C11" w:rsidRPr="00A80DDE" w:rsidRDefault="00354C11" w:rsidP="002B4C62">
            <w:pPr>
              <w:spacing w:line="240" w:lineRule="auto"/>
              <w:jc w:val="center"/>
              <w:rPr>
                <w:rFonts w:ascii="Times New Roman" w:eastAsia="Arial" w:hAnsi="Times New Roman" w:cs="Times New Roman"/>
                <w:b w:val="0"/>
                <w:color w:val="000000"/>
                <w:sz w:val="20"/>
                <w:szCs w:val="20"/>
              </w:rPr>
            </w:pPr>
            <w:r w:rsidRPr="00A80DDE">
              <w:rPr>
                <w:rFonts w:ascii="Times New Roman" w:eastAsia="Arial" w:hAnsi="Times New Roman" w:cs="Times New Roman"/>
                <w:color w:val="0F0D29" w:themeColor="text1"/>
                <w:sz w:val="20"/>
                <w:szCs w:val="20"/>
              </w:rPr>
              <w:t>DE</w:t>
            </w:r>
          </w:p>
        </w:tc>
        <w:tc>
          <w:tcPr>
            <w:tcW w:w="1394" w:type="dxa"/>
            <w:tcBorders>
              <w:top w:val="single" w:sz="4" w:space="0" w:color="0F0D29" w:themeColor="text1"/>
              <w:left w:val="nil"/>
              <w:bottom w:val="single" w:sz="4" w:space="0" w:color="0F0D29" w:themeColor="text1"/>
              <w:right w:val="nil"/>
            </w:tcBorders>
            <w:shd w:val="clear" w:color="auto" w:fill="auto"/>
            <w:vAlign w:val="bottom"/>
          </w:tcPr>
          <w:p w14:paraId="44E88D15" w14:textId="77777777" w:rsidR="00354C11" w:rsidRPr="00A80DDE" w:rsidRDefault="00354C11" w:rsidP="002B4C62">
            <w:pPr>
              <w:spacing w:line="240" w:lineRule="auto"/>
              <w:jc w:val="center"/>
              <w:rPr>
                <w:rFonts w:ascii="Times New Roman" w:eastAsia="Arial" w:hAnsi="Times New Roman" w:cs="Times New Roman"/>
                <w:b w:val="0"/>
                <w:color w:val="000000"/>
                <w:sz w:val="20"/>
                <w:szCs w:val="20"/>
              </w:rPr>
            </w:pPr>
            <w:proofErr w:type="spellStart"/>
            <w:r w:rsidRPr="00A80DDE">
              <w:rPr>
                <w:rFonts w:ascii="Times New Roman" w:eastAsia="Arial" w:hAnsi="Times New Roman" w:cs="Times New Roman"/>
                <w:color w:val="0F0D29" w:themeColor="text1"/>
                <w:sz w:val="20"/>
                <w:szCs w:val="20"/>
              </w:rPr>
              <w:t>Mínimo</w:t>
            </w:r>
            <w:proofErr w:type="spellEnd"/>
          </w:p>
        </w:tc>
        <w:tc>
          <w:tcPr>
            <w:tcW w:w="1441" w:type="dxa"/>
            <w:tcBorders>
              <w:top w:val="single" w:sz="4" w:space="0" w:color="0F0D29" w:themeColor="text1"/>
              <w:left w:val="nil"/>
              <w:bottom w:val="single" w:sz="4" w:space="0" w:color="0F0D29" w:themeColor="text1"/>
              <w:right w:val="nil"/>
            </w:tcBorders>
            <w:shd w:val="clear" w:color="auto" w:fill="auto"/>
            <w:vAlign w:val="bottom"/>
          </w:tcPr>
          <w:p w14:paraId="287947FB" w14:textId="77777777" w:rsidR="00354C11" w:rsidRPr="00A80DDE" w:rsidRDefault="00354C11" w:rsidP="002B4C62">
            <w:pPr>
              <w:spacing w:line="240" w:lineRule="auto"/>
              <w:jc w:val="center"/>
              <w:rPr>
                <w:rFonts w:ascii="Times New Roman" w:eastAsia="Arial" w:hAnsi="Times New Roman" w:cs="Times New Roman"/>
                <w:b w:val="0"/>
                <w:color w:val="000000"/>
                <w:sz w:val="20"/>
                <w:szCs w:val="20"/>
              </w:rPr>
            </w:pPr>
            <w:proofErr w:type="spellStart"/>
            <w:r w:rsidRPr="00A80DDE">
              <w:rPr>
                <w:rFonts w:ascii="Times New Roman" w:eastAsia="Arial" w:hAnsi="Times New Roman" w:cs="Times New Roman"/>
                <w:color w:val="0F0D29" w:themeColor="text1"/>
                <w:sz w:val="20"/>
                <w:szCs w:val="20"/>
              </w:rPr>
              <w:t>Máximo</w:t>
            </w:r>
            <w:proofErr w:type="spellEnd"/>
          </w:p>
        </w:tc>
      </w:tr>
      <w:tr w:rsidR="00354C11" w:rsidRPr="00A80DDE" w14:paraId="2A45EFEB" w14:textId="77777777" w:rsidTr="002B4C62">
        <w:trPr>
          <w:trHeight w:val="251"/>
          <w:jc w:val="center"/>
        </w:trPr>
        <w:tc>
          <w:tcPr>
            <w:tcW w:w="8831" w:type="dxa"/>
            <w:gridSpan w:val="6"/>
            <w:tcBorders>
              <w:top w:val="single" w:sz="4" w:space="0" w:color="0F0D29" w:themeColor="text1"/>
              <w:left w:val="nil"/>
              <w:bottom w:val="nil"/>
              <w:right w:val="nil"/>
            </w:tcBorders>
            <w:shd w:val="clear" w:color="auto" w:fill="auto"/>
            <w:vAlign w:val="bottom"/>
          </w:tcPr>
          <w:p w14:paraId="402A1A76" w14:textId="77777777" w:rsidR="00354C11" w:rsidRPr="00A80DDE" w:rsidRDefault="00354C11" w:rsidP="002B4C62">
            <w:pPr>
              <w:spacing w:line="240" w:lineRule="auto"/>
              <w:jc w:val="center"/>
              <w:rPr>
                <w:rFonts w:ascii="Times New Roman" w:eastAsia="Arial" w:hAnsi="Times New Roman" w:cs="Times New Roman"/>
                <w:i/>
                <w:color w:val="000000"/>
                <w:sz w:val="20"/>
                <w:szCs w:val="20"/>
              </w:rPr>
            </w:pPr>
            <w:proofErr w:type="spellStart"/>
            <w:r w:rsidRPr="00A80DDE">
              <w:rPr>
                <w:rFonts w:ascii="Times New Roman" w:eastAsia="Arial" w:hAnsi="Times New Roman" w:cs="Times New Roman"/>
                <w:i/>
                <w:color w:val="0F0D29" w:themeColor="text1"/>
                <w:sz w:val="20"/>
                <w:szCs w:val="20"/>
              </w:rPr>
              <w:t>Vertido</w:t>
            </w:r>
            <w:proofErr w:type="spellEnd"/>
            <w:r w:rsidRPr="00A80DDE">
              <w:rPr>
                <w:rFonts w:ascii="Times New Roman" w:eastAsia="Arial" w:hAnsi="Times New Roman" w:cs="Times New Roman"/>
                <w:i/>
                <w:color w:val="0F0D29" w:themeColor="text1"/>
                <w:sz w:val="20"/>
                <w:szCs w:val="20"/>
              </w:rPr>
              <w:t xml:space="preserve"> </w:t>
            </w:r>
            <w:proofErr w:type="spellStart"/>
            <w:r w:rsidRPr="00A80DDE">
              <w:rPr>
                <w:rFonts w:ascii="Times New Roman" w:eastAsia="Arial" w:hAnsi="Times New Roman" w:cs="Times New Roman"/>
                <w:i/>
                <w:color w:val="0F0D29" w:themeColor="text1"/>
                <w:sz w:val="20"/>
                <w:szCs w:val="20"/>
              </w:rPr>
              <w:t>en</w:t>
            </w:r>
            <w:proofErr w:type="spellEnd"/>
            <w:r w:rsidRPr="00A80DDE">
              <w:rPr>
                <w:rFonts w:ascii="Times New Roman" w:eastAsia="Arial" w:hAnsi="Times New Roman" w:cs="Times New Roman"/>
                <w:i/>
                <w:color w:val="0F0D29" w:themeColor="text1"/>
                <w:sz w:val="20"/>
                <w:szCs w:val="20"/>
              </w:rPr>
              <w:t xml:space="preserve"> </w:t>
            </w:r>
            <w:proofErr w:type="spellStart"/>
            <w:r w:rsidRPr="00A80DDE">
              <w:rPr>
                <w:rFonts w:ascii="Times New Roman" w:eastAsia="Arial" w:hAnsi="Times New Roman" w:cs="Times New Roman"/>
                <w:i/>
                <w:color w:val="0F0D29" w:themeColor="text1"/>
                <w:sz w:val="20"/>
                <w:szCs w:val="20"/>
              </w:rPr>
              <w:t>alcantarillado</w:t>
            </w:r>
            <w:proofErr w:type="spellEnd"/>
            <w:r w:rsidRPr="00A80DDE">
              <w:rPr>
                <w:rFonts w:ascii="Times New Roman" w:eastAsia="Arial" w:hAnsi="Times New Roman" w:cs="Times New Roman"/>
                <w:i/>
                <w:color w:val="0F0D29" w:themeColor="text1"/>
                <w:sz w:val="20"/>
                <w:szCs w:val="20"/>
              </w:rPr>
              <w:t xml:space="preserve"> (n=48)</w:t>
            </w:r>
          </w:p>
        </w:tc>
      </w:tr>
      <w:tr w:rsidR="00354C11" w:rsidRPr="00A80DDE" w14:paraId="08BA5455" w14:textId="77777777" w:rsidTr="002B4C62">
        <w:trPr>
          <w:trHeight w:val="251"/>
          <w:jc w:val="center"/>
        </w:trPr>
        <w:tc>
          <w:tcPr>
            <w:tcW w:w="1837" w:type="dxa"/>
            <w:tcBorders>
              <w:top w:val="nil"/>
              <w:left w:val="nil"/>
              <w:bottom w:val="nil"/>
              <w:right w:val="nil"/>
            </w:tcBorders>
            <w:shd w:val="clear" w:color="auto" w:fill="auto"/>
            <w:vAlign w:val="bottom"/>
          </w:tcPr>
          <w:p w14:paraId="5811D60C"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Caudal</w:t>
            </w:r>
          </w:p>
        </w:tc>
        <w:tc>
          <w:tcPr>
            <w:tcW w:w="1500" w:type="dxa"/>
            <w:tcBorders>
              <w:top w:val="nil"/>
              <w:left w:val="nil"/>
              <w:bottom w:val="nil"/>
              <w:right w:val="nil"/>
            </w:tcBorders>
            <w:shd w:val="clear" w:color="auto" w:fill="auto"/>
            <w:vAlign w:val="bottom"/>
          </w:tcPr>
          <w:p w14:paraId="3F4D75BB"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w:t>
            </w:r>
            <w:r w:rsidRPr="00A80DDE">
              <w:rPr>
                <w:rFonts w:ascii="Times New Roman" w:eastAsia="Arial" w:hAnsi="Times New Roman" w:cs="Times New Roman"/>
                <w:color w:val="0F0D29" w:themeColor="text1"/>
                <w:sz w:val="20"/>
                <w:szCs w:val="20"/>
                <w:vertAlign w:val="superscript"/>
              </w:rPr>
              <w:t>3</w:t>
            </w:r>
            <w:r w:rsidRPr="00A80DDE">
              <w:rPr>
                <w:rFonts w:ascii="Times New Roman" w:eastAsia="Arial" w:hAnsi="Times New Roman" w:cs="Times New Roman"/>
                <w:color w:val="0F0D29" w:themeColor="text1"/>
                <w:sz w:val="20"/>
                <w:szCs w:val="20"/>
              </w:rPr>
              <w:t>/día</w:t>
            </w:r>
          </w:p>
        </w:tc>
        <w:tc>
          <w:tcPr>
            <w:tcW w:w="1463" w:type="dxa"/>
            <w:tcBorders>
              <w:top w:val="nil"/>
              <w:left w:val="nil"/>
              <w:bottom w:val="nil"/>
              <w:right w:val="nil"/>
            </w:tcBorders>
            <w:shd w:val="clear" w:color="auto" w:fill="auto"/>
            <w:vAlign w:val="bottom"/>
          </w:tcPr>
          <w:p w14:paraId="19AA6BF1"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5.1</w:t>
            </w:r>
          </w:p>
        </w:tc>
        <w:tc>
          <w:tcPr>
            <w:tcW w:w="1196" w:type="dxa"/>
            <w:tcBorders>
              <w:top w:val="nil"/>
              <w:left w:val="nil"/>
              <w:bottom w:val="nil"/>
              <w:right w:val="nil"/>
            </w:tcBorders>
            <w:shd w:val="clear" w:color="auto" w:fill="auto"/>
            <w:vAlign w:val="bottom"/>
          </w:tcPr>
          <w:p w14:paraId="39FBAA55"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5.8</w:t>
            </w:r>
          </w:p>
        </w:tc>
        <w:tc>
          <w:tcPr>
            <w:tcW w:w="1394" w:type="dxa"/>
            <w:tcBorders>
              <w:top w:val="nil"/>
              <w:left w:val="nil"/>
              <w:bottom w:val="nil"/>
              <w:right w:val="nil"/>
            </w:tcBorders>
            <w:shd w:val="clear" w:color="auto" w:fill="auto"/>
            <w:vAlign w:val="bottom"/>
          </w:tcPr>
          <w:p w14:paraId="06C2580C"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0.03</w:t>
            </w:r>
          </w:p>
        </w:tc>
        <w:tc>
          <w:tcPr>
            <w:tcW w:w="1441" w:type="dxa"/>
            <w:tcBorders>
              <w:top w:val="nil"/>
              <w:left w:val="nil"/>
              <w:bottom w:val="nil"/>
              <w:right w:val="nil"/>
            </w:tcBorders>
            <w:shd w:val="clear" w:color="auto" w:fill="auto"/>
            <w:vAlign w:val="bottom"/>
          </w:tcPr>
          <w:p w14:paraId="68B87DAD"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24.8</w:t>
            </w:r>
          </w:p>
        </w:tc>
      </w:tr>
      <w:tr w:rsidR="00354C11" w:rsidRPr="00A80DDE" w14:paraId="7C2064FA" w14:textId="77777777" w:rsidTr="002B4C62">
        <w:trPr>
          <w:trHeight w:val="251"/>
          <w:jc w:val="center"/>
        </w:trPr>
        <w:tc>
          <w:tcPr>
            <w:tcW w:w="1837" w:type="dxa"/>
            <w:tcBorders>
              <w:top w:val="nil"/>
              <w:left w:val="nil"/>
              <w:bottom w:val="nil"/>
              <w:right w:val="nil"/>
            </w:tcBorders>
            <w:shd w:val="clear" w:color="auto" w:fill="auto"/>
            <w:vAlign w:val="bottom"/>
          </w:tcPr>
          <w:p w14:paraId="6F41E55E"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proofErr w:type="spellStart"/>
            <w:r w:rsidRPr="00A80DDE">
              <w:rPr>
                <w:rFonts w:ascii="Times New Roman" w:eastAsia="Arial" w:hAnsi="Times New Roman" w:cs="Times New Roman"/>
                <w:color w:val="0F0D29" w:themeColor="text1"/>
                <w:sz w:val="20"/>
                <w:szCs w:val="20"/>
              </w:rPr>
              <w:t>Temperatura</w:t>
            </w:r>
            <w:proofErr w:type="spellEnd"/>
          </w:p>
        </w:tc>
        <w:tc>
          <w:tcPr>
            <w:tcW w:w="1500" w:type="dxa"/>
            <w:tcBorders>
              <w:top w:val="nil"/>
              <w:left w:val="nil"/>
              <w:bottom w:val="nil"/>
              <w:right w:val="nil"/>
            </w:tcBorders>
            <w:shd w:val="clear" w:color="auto" w:fill="auto"/>
            <w:vAlign w:val="bottom"/>
          </w:tcPr>
          <w:p w14:paraId="4E093298"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°C</w:t>
            </w:r>
          </w:p>
        </w:tc>
        <w:tc>
          <w:tcPr>
            <w:tcW w:w="1463" w:type="dxa"/>
            <w:tcBorders>
              <w:top w:val="nil"/>
              <w:left w:val="nil"/>
              <w:bottom w:val="nil"/>
              <w:right w:val="nil"/>
            </w:tcBorders>
            <w:shd w:val="clear" w:color="auto" w:fill="auto"/>
            <w:vAlign w:val="bottom"/>
          </w:tcPr>
          <w:p w14:paraId="51E6DD57"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24.0</w:t>
            </w:r>
          </w:p>
        </w:tc>
        <w:tc>
          <w:tcPr>
            <w:tcW w:w="1196" w:type="dxa"/>
            <w:tcBorders>
              <w:top w:val="nil"/>
              <w:left w:val="nil"/>
              <w:bottom w:val="nil"/>
              <w:right w:val="nil"/>
            </w:tcBorders>
            <w:shd w:val="clear" w:color="auto" w:fill="auto"/>
            <w:vAlign w:val="bottom"/>
          </w:tcPr>
          <w:p w14:paraId="20C63091"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3.7</w:t>
            </w:r>
          </w:p>
        </w:tc>
        <w:tc>
          <w:tcPr>
            <w:tcW w:w="1394" w:type="dxa"/>
            <w:tcBorders>
              <w:top w:val="nil"/>
              <w:left w:val="nil"/>
              <w:bottom w:val="nil"/>
              <w:right w:val="nil"/>
            </w:tcBorders>
            <w:shd w:val="clear" w:color="auto" w:fill="auto"/>
            <w:vAlign w:val="bottom"/>
          </w:tcPr>
          <w:p w14:paraId="6E41FBF8"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7.4</w:t>
            </w:r>
          </w:p>
        </w:tc>
        <w:tc>
          <w:tcPr>
            <w:tcW w:w="1441" w:type="dxa"/>
            <w:tcBorders>
              <w:top w:val="nil"/>
              <w:left w:val="nil"/>
              <w:bottom w:val="nil"/>
              <w:right w:val="nil"/>
            </w:tcBorders>
            <w:shd w:val="clear" w:color="auto" w:fill="auto"/>
            <w:vAlign w:val="bottom"/>
          </w:tcPr>
          <w:p w14:paraId="746C5C5E"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31.5</w:t>
            </w:r>
          </w:p>
        </w:tc>
      </w:tr>
      <w:tr w:rsidR="00354C11" w:rsidRPr="00A80DDE" w14:paraId="731F5C71" w14:textId="77777777" w:rsidTr="002B4C62">
        <w:trPr>
          <w:trHeight w:val="251"/>
          <w:jc w:val="center"/>
        </w:trPr>
        <w:tc>
          <w:tcPr>
            <w:tcW w:w="1837" w:type="dxa"/>
            <w:tcBorders>
              <w:top w:val="nil"/>
              <w:left w:val="nil"/>
              <w:bottom w:val="nil"/>
              <w:right w:val="nil"/>
            </w:tcBorders>
            <w:shd w:val="clear" w:color="auto" w:fill="auto"/>
            <w:vAlign w:val="bottom"/>
          </w:tcPr>
          <w:p w14:paraId="01CEBB24"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pH</w:t>
            </w:r>
          </w:p>
        </w:tc>
        <w:tc>
          <w:tcPr>
            <w:tcW w:w="1500" w:type="dxa"/>
            <w:tcBorders>
              <w:top w:val="nil"/>
              <w:left w:val="nil"/>
              <w:bottom w:val="nil"/>
              <w:right w:val="nil"/>
            </w:tcBorders>
            <w:shd w:val="clear" w:color="auto" w:fill="auto"/>
            <w:vAlign w:val="bottom"/>
          </w:tcPr>
          <w:p w14:paraId="72EE1257"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w:t>
            </w:r>
          </w:p>
        </w:tc>
        <w:tc>
          <w:tcPr>
            <w:tcW w:w="1463" w:type="dxa"/>
            <w:tcBorders>
              <w:top w:val="nil"/>
              <w:left w:val="nil"/>
              <w:bottom w:val="nil"/>
              <w:right w:val="nil"/>
            </w:tcBorders>
            <w:shd w:val="clear" w:color="auto" w:fill="auto"/>
            <w:vAlign w:val="bottom"/>
          </w:tcPr>
          <w:p w14:paraId="324291A3"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6.82</w:t>
            </w:r>
          </w:p>
        </w:tc>
        <w:tc>
          <w:tcPr>
            <w:tcW w:w="1196" w:type="dxa"/>
            <w:tcBorders>
              <w:top w:val="nil"/>
              <w:left w:val="nil"/>
              <w:bottom w:val="nil"/>
              <w:right w:val="nil"/>
            </w:tcBorders>
            <w:shd w:val="clear" w:color="auto" w:fill="auto"/>
            <w:vAlign w:val="bottom"/>
          </w:tcPr>
          <w:p w14:paraId="3ED9F8B3"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0.58</w:t>
            </w:r>
          </w:p>
        </w:tc>
        <w:tc>
          <w:tcPr>
            <w:tcW w:w="1394" w:type="dxa"/>
            <w:tcBorders>
              <w:top w:val="nil"/>
              <w:left w:val="nil"/>
              <w:bottom w:val="nil"/>
              <w:right w:val="nil"/>
            </w:tcBorders>
            <w:shd w:val="clear" w:color="auto" w:fill="auto"/>
            <w:vAlign w:val="bottom"/>
          </w:tcPr>
          <w:p w14:paraId="4B26C6BD"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4.50</w:t>
            </w:r>
          </w:p>
        </w:tc>
        <w:tc>
          <w:tcPr>
            <w:tcW w:w="1441" w:type="dxa"/>
            <w:tcBorders>
              <w:top w:val="nil"/>
              <w:left w:val="nil"/>
              <w:bottom w:val="nil"/>
              <w:right w:val="nil"/>
            </w:tcBorders>
            <w:shd w:val="clear" w:color="auto" w:fill="auto"/>
            <w:vAlign w:val="bottom"/>
          </w:tcPr>
          <w:p w14:paraId="29A32717"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8.10</w:t>
            </w:r>
          </w:p>
        </w:tc>
      </w:tr>
      <w:tr w:rsidR="00354C11" w:rsidRPr="00A80DDE" w14:paraId="37D77FDE" w14:textId="77777777" w:rsidTr="002B4C62">
        <w:trPr>
          <w:trHeight w:val="251"/>
          <w:jc w:val="center"/>
        </w:trPr>
        <w:tc>
          <w:tcPr>
            <w:tcW w:w="1837" w:type="dxa"/>
            <w:tcBorders>
              <w:top w:val="nil"/>
              <w:left w:val="nil"/>
              <w:bottom w:val="nil"/>
              <w:right w:val="nil"/>
            </w:tcBorders>
            <w:shd w:val="clear" w:color="auto" w:fill="auto"/>
            <w:vAlign w:val="bottom"/>
          </w:tcPr>
          <w:p w14:paraId="152A5902"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DBO</w:t>
            </w:r>
            <w:r w:rsidRPr="00A80DDE">
              <w:rPr>
                <w:rFonts w:ascii="Times New Roman" w:eastAsia="Arial" w:hAnsi="Times New Roman" w:cs="Times New Roman"/>
                <w:color w:val="0F0D29" w:themeColor="text1"/>
                <w:sz w:val="20"/>
                <w:szCs w:val="20"/>
                <w:vertAlign w:val="superscript"/>
              </w:rPr>
              <w:t>1</w:t>
            </w:r>
            <w:r w:rsidRPr="00A80DDE">
              <w:rPr>
                <w:rFonts w:ascii="Times New Roman" w:eastAsia="Arial" w:hAnsi="Times New Roman" w:cs="Times New Roman"/>
                <w:color w:val="0F0D29" w:themeColor="text1"/>
                <w:sz w:val="20"/>
                <w:szCs w:val="20"/>
              </w:rPr>
              <w:t xml:space="preserve"> (n=6)</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nil"/>
              <w:right w:val="nil"/>
            </w:tcBorders>
            <w:shd w:val="clear" w:color="auto" w:fill="auto"/>
            <w:vAlign w:val="bottom"/>
          </w:tcPr>
          <w:p w14:paraId="14A5623E"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mg/L</w:t>
            </w:r>
          </w:p>
        </w:tc>
        <w:tc>
          <w:tcPr>
            <w:tcW w:w="1463" w:type="dxa"/>
            <w:tcBorders>
              <w:top w:val="nil"/>
              <w:left w:val="nil"/>
              <w:bottom w:val="nil"/>
              <w:right w:val="nil"/>
            </w:tcBorders>
            <w:shd w:val="clear" w:color="auto" w:fill="auto"/>
            <w:vAlign w:val="bottom"/>
          </w:tcPr>
          <w:p w14:paraId="27B6A710"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33.6</w:t>
            </w:r>
          </w:p>
        </w:tc>
        <w:tc>
          <w:tcPr>
            <w:tcW w:w="1196" w:type="dxa"/>
            <w:tcBorders>
              <w:top w:val="nil"/>
              <w:left w:val="nil"/>
              <w:bottom w:val="nil"/>
              <w:right w:val="nil"/>
            </w:tcBorders>
            <w:shd w:val="clear" w:color="auto" w:fill="auto"/>
            <w:vAlign w:val="bottom"/>
          </w:tcPr>
          <w:p w14:paraId="2533CFAE"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37.6</w:t>
            </w:r>
          </w:p>
        </w:tc>
        <w:tc>
          <w:tcPr>
            <w:tcW w:w="1394" w:type="dxa"/>
            <w:tcBorders>
              <w:top w:val="nil"/>
              <w:left w:val="nil"/>
              <w:bottom w:val="nil"/>
              <w:right w:val="nil"/>
            </w:tcBorders>
            <w:shd w:val="clear" w:color="auto" w:fill="auto"/>
            <w:vAlign w:val="bottom"/>
          </w:tcPr>
          <w:p w14:paraId="4FB308E6"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0.1</w:t>
            </w:r>
          </w:p>
        </w:tc>
        <w:tc>
          <w:tcPr>
            <w:tcW w:w="1441" w:type="dxa"/>
            <w:tcBorders>
              <w:top w:val="nil"/>
              <w:left w:val="nil"/>
              <w:bottom w:val="nil"/>
              <w:right w:val="nil"/>
            </w:tcBorders>
            <w:shd w:val="clear" w:color="auto" w:fill="auto"/>
            <w:vAlign w:val="bottom"/>
          </w:tcPr>
          <w:p w14:paraId="22692C5C"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139.0</w:t>
            </w:r>
          </w:p>
        </w:tc>
      </w:tr>
      <w:tr w:rsidR="00354C11" w:rsidRPr="00A80DDE" w14:paraId="7AA0C3FD" w14:textId="77777777" w:rsidTr="002B4C62">
        <w:trPr>
          <w:trHeight w:val="251"/>
          <w:jc w:val="center"/>
        </w:trPr>
        <w:tc>
          <w:tcPr>
            <w:tcW w:w="1837" w:type="dxa"/>
            <w:tcBorders>
              <w:top w:val="nil"/>
              <w:left w:val="nil"/>
              <w:bottom w:val="nil"/>
              <w:right w:val="nil"/>
            </w:tcBorders>
            <w:shd w:val="clear" w:color="auto" w:fill="auto"/>
            <w:vAlign w:val="bottom"/>
          </w:tcPr>
          <w:p w14:paraId="61513533"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DQO</w:t>
            </w:r>
            <w:r w:rsidRPr="00A80DDE">
              <w:rPr>
                <w:rFonts w:ascii="Times New Roman" w:eastAsia="Arial" w:hAnsi="Times New Roman" w:cs="Times New Roman"/>
                <w:color w:val="0F0D29" w:themeColor="text1"/>
                <w:sz w:val="20"/>
                <w:szCs w:val="20"/>
                <w:vertAlign w:val="superscript"/>
              </w:rPr>
              <w:t xml:space="preserve">1 </w:t>
            </w:r>
            <w:r w:rsidRPr="00A80DDE">
              <w:rPr>
                <w:rFonts w:ascii="Times New Roman" w:eastAsia="Arial" w:hAnsi="Times New Roman" w:cs="Times New Roman"/>
                <w:color w:val="0F0D29" w:themeColor="text1"/>
                <w:sz w:val="20"/>
                <w:szCs w:val="20"/>
              </w:rPr>
              <w:t>(n=5)</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nil"/>
              <w:right w:val="nil"/>
            </w:tcBorders>
            <w:shd w:val="clear" w:color="auto" w:fill="auto"/>
            <w:vAlign w:val="bottom"/>
          </w:tcPr>
          <w:p w14:paraId="0372BF4C" w14:textId="77777777" w:rsidR="00354C11" w:rsidRPr="00A80DDE" w:rsidRDefault="00354C11" w:rsidP="002B4C62">
            <w:pPr>
              <w:spacing w:line="240" w:lineRule="auto"/>
              <w:jc w:val="center"/>
              <w:rPr>
                <w:rFonts w:ascii="Times New Roman" w:eastAsia="Arial" w:hAnsi="Times New Roman" w:cs="Times New Roman"/>
                <w:color w:val="000000"/>
                <w:sz w:val="20"/>
                <w:szCs w:val="20"/>
                <w:vertAlign w:val="superscript"/>
              </w:rPr>
            </w:pPr>
            <w:r w:rsidRPr="00A80DDE">
              <w:rPr>
                <w:rFonts w:ascii="Times New Roman" w:eastAsia="Arial" w:hAnsi="Times New Roman" w:cs="Times New Roman"/>
                <w:color w:val="0F0D29" w:themeColor="text1"/>
                <w:sz w:val="20"/>
                <w:szCs w:val="20"/>
              </w:rPr>
              <w:t>mg/L</w:t>
            </w:r>
          </w:p>
        </w:tc>
        <w:tc>
          <w:tcPr>
            <w:tcW w:w="1463" w:type="dxa"/>
            <w:tcBorders>
              <w:top w:val="nil"/>
              <w:left w:val="nil"/>
              <w:bottom w:val="nil"/>
              <w:right w:val="nil"/>
            </w:tcBorders>
            <w:shd w:val="clear" w:color="auto" w:fill="auto"/>
            <w:vAlign w:val="bottom"/>
          </w:tcPr>
          <w:p w14:paraId="64216AF3"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73.7</w:t>
            </w:r>
          </w:p>
        </w:tc>
        <w:tc>
          <w:tcPr>
            <w:tcW w:w="1196" w:type="dxa"/>
            <w:tcBorders>
              <w:top w:val="nil"/>
              <w:left w:val="nil"/>
              <w:bottom w:val="nil"/>
              <w:right w:val="nil"/>
            </w:tcBorders>
            <w:shd w:val="clear" w:color="auto" w:fill="auto"/>
            <w:vAlign w:val="bottom"/>
          </w:tcPr>
          <w:p w14:paraId="7110C9C9"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80.6</w:t>
            </w:r>
          </w:p>
        </w:tc>
        <w:tc>
          <w:tcPr>
            <w:tcW w:w="1394" w:type="dxa"/>
            <w:tcBorders>
              <w:top w:val="nil"/>
              <w:left w:val="nil"/>
              <w:bottom w:val="nil"/>
              <w:right w:val="nil"/>
            </w:tcBorders>
            <w:shd w:val="clear" w:color="auto" w:fill="auto"/>
            <w:vAlign w:val="bottom"/>
          </w:tcPr>
          <w:p w14:paraId="2C1A183C"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3.0</w:t>
            </w:r>
          </w:p>
        </w:tc>
        <w:tc>
          <w:tcPr>
            <w:tcW w:w="1441" w:type="dxa"/>
            <w:tcBorders>
              <w:top w:val="nil"/>
              <w:left w:val="nil"/>
              <w:bottom w:val="nil"/>
              <w:right w:val="nil"/>
            </w:tcBorders>
            <w:shd w:val="clear" w:color="auto" w:fill="auto"/>
            <w:vAlign w:val="bottom"/>
          </w:tcPr>
          <w:p w14:paraId="00208526"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374.0</w:t>
            </w:r>
          </w:p>
        </w:tc>
      </w:tr>
      <w:tr w:rsidR="00354C11" w:rsidRPr="00A80DDE" w14:paraId="52C49053" w14:textId="77777777" w:rsidTr="002B4C62">
        <w:trPr>
          <w:trHeight w:val="251"/>
          <w:jc w:val="center"/>
        </w:trPr>
        <w:tc>
          <w:tcPr>
            <w:tcW w:w="1837" w:type="dxa"/>
            <w:tcBorders>
              <w:top w:val="nil"/>
              <w:left w:val="nil"/>
              <w:bottom w:val="nil"/>
              <w:right w:val="nil"/>
            </w:tcBorders>
            <w:shd w:val="clear" w:color="auto" w:fill="auto"/>
            <w:vAlign w:val="bottom"/>
          </w:tcPr>
          <w:p w14:paraId="048BC22B"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SST</w:t>
            </w:r>
            <w:r w:rsidRPr="00A80DDE">
              <w:rPr>
                <w:rFonts w:ascii="Times New Roman" w:eastAsia="Arial" w:hAnsi="Times New Roman" w:cs="Times New Roman"/>
                <w:color w:val="0F0D29" w:themeColor="text1"/>
                <w:sz w:val="20"/>
                <w:szCs w:val="20"/>
                <w:vertAlign w:val="superscript"/>
              </w:rPr>
              <w:t xml:space="preserve">1 </w:t>
            </w:r>
            <w:r w:rsidRPr="00A80DDE">
              <w:rPr>
                <w:rFonts w:ascii="Times New Roman" w:eastAsia="Arial" w:hAnsi="Times New Roman" w:cs="Times New Roman"/>
                <w:color w:val="0F0D29" w:themeColor="text1"/>
                <w:sz w:val="20"/>
                <w:szCs w:val="20"/>
              </w:rPr>
              <w:t>(n=11)</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nil"/>
              <w:right w:val="nil"/>
            </w:tcBorders>
            <w:shd w:val="clear" w:color="auto" w:fill="auto"/>
          </w:tcPr>
          <w:p w14:paraId="00A493DD"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mg/L</w:t>
            </w:r>
          </w:p>
        </w:tc>
        <w:tc>
          <w:tcPr>
            <w:tcW w:w="1463" w:type="dxa"/>
            <w:tcBorders>
              <w:top w:val="nil"/>
              <w:left w:val="nil"/>
              <w:bottom w:val="nil"/>
              <w:right w:val="nil"/>
            </w:tcBorders>
            <w:shd w:val="clear" w:color="auto" w:fill="auto"/>
            <w:vAlign w:val="bottom"/>
          </w:tcPr>
          <w:p w14:paraId="44C92727"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22.4</w:t>
            </w:r>
          </w:p>
        </w:tc>
        <w:tc>
          <w:tcPr>
            <w:tcW w:w="1196" w:type="dxa"/>
            <w:tcBorders>
              <w:top w:val="nil"/>
              <w:left w:val="nil"/>
              <w:bottom w:val="nil"/>
              <w:right w:val="nil"/>
            </w:tcBorders>
            <w:shd w:val="clear" w:color="auto" w:fill="auto"/>
            <w:vAlign w:val="bottom"/>
          </w:tcPr>
          <w:p w14:paraId="73EFE0E7"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24.6</w:t>
            </w:r>
          </w:p>
        </w:tc>
        <w:tc>
          <w:tcPr>
            <w:tcW w:w="1394" w:type="dxa"/>
            <w:tcBorders>
              <w:top w:val="nil"/>
              <w:left w:val="nil"/>
              <w:bottom w:val="nil"/>
              <w:right w:val="nil"/>
            </w:tcBorders>
            <w:shd w:val="clear" w:color="auto" w:fill="auto"/>
            <w:vAlign w:val="bottom"/>
          </w:tcPr>
          <w:p w14:paraId="5493EC23"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0.2</w:t>
            </w:r>
          </w:p>
        </w:tc>
        <w:tc>
          <w:tcPr>
            <w:tcW w:w="1441" w:type="dxa"/>
            <w:tcBorders>
              <w:top w:val="nil"/>
              <w:left w:val="nil"/>
              <w:bottom w:val="nil"/>
              <w:right w:val="nil"/>
            </w:tcBorders>
            <w:shd w:val="clear" w:color="auto" w:fill="auto"/>
            <w:vAlign w:val="bottom"/>
          </w:tcPr>
          <w:p w14:paraId="49D6DC0C"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116.0</w:t>
            </w:r>
          </w:p>
        </w:tc>
      </w:tr>
      <w:tr w:rsidR="00354C11" w:rsidRPr="00A80DDE" w14:paraId="3D260583" w14:textId="77777777" w:rsidTr="002B4C62">
        <w:trPr>
          <w:trHeight w:val="251"/>
          <w:jc w:val="center"/>
        </w:trPr>
        <w:tc>
          <w:tcPr>
            <w:tcW w:w="1837" w:type="dxa"/>
            <w:tcBorders>
              <w:top w:val="nil"/>
              <w:left w:val="nil"/>
              <w:bottom w:val="nil"/>
              <w:right w:val="nil"/>
            </w:tcBorders>
            <w:shd w:val="clear" w:color="auto" w:fill="auto"/>
            <w:vAlign w:val="bottom"/>
          </w:tcPr>
          <w:p w14:paraId="59E1A36E"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proofErr w:type="gramStart"/>
            <w:r w:rsidRPr="00A80DDE">
              <w:rPr>
                <w:rFonts w:ascii="Times New Roman" w:eastAsia="Arial" w:hAnsi="Times New Roman" w:cs="Times New Roman"/>
                <w:color w:val="0F0D29" w:themeColor="text1"/>
                <w:sz w:val="20"/>
                <w:szCs w:val="20"/>
              </w:rPr>
              <w:t>S.Sed</w:t>
            </w:r>
            <w:proofErr w:type="gramEnd"/>
            <w:r w:rsidRPr="00A80DDE">
              <w:rPr>
                <w:rFonts w:ascii="Times New Roman" w:eastAsia="Arial" w:hAnsi="Times New Roman" w:cs="Times New Roman"/>
                <w:color w:val="0F0D29" w:themeColor="text1"/>
                <w:sz w:val="20"/>
                <w:szCs w:val="20"/>
                <w:vertAlign w:val="superscript"/>
              </w:rPr>
              <w:t xml:space="preserve">1 </w:t>
            </w:r>
            <w:r w:rsidRPr="00A80DDE">
              <w:rPr>
                <w:rFonts w:ascii="Times New Roman" w:eastAsia="Arial" w:hAnsi="Times New Roman" w:cs="Times New Roman"/>
                <w:color w:val="0F0D29" w:themeColor="text1"/>
                <w:sz w:val="20"/>
                <w:szCs w:val="20"/>
              </w:rPr>
              <w:t>(n=27)</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nil"/>
              <w:right w:val="nil"/>
            </w:tcBorders>
            <w:shd w:val="clear" w:color="auto" w:fill="auto"/>
          </w:tcPr>
          <w:p w14:paraId="4047A6A7"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mL/L</w:t>
            </w:r>
          </w:p>
        </w:tc>
        <w:tc>
          <w:tcPr>
            <w:tcW w:w="1463" w:type="dxa"/>
            <w:tcBorders>
              <w:top w:val="nil"/>
              <w:left w:val="nil"/>
              <w:bottom w:val="nil"/>
              <w:right w:val="nil"/>
            </w:tcBorders>
            <w:shd w:val="clear" w:color="auto" w:fill="auto"/>
            <w:vAlign w:val="bottom"/>
          </w:tcPr>
          <w:p w14:paraId="17D11988"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0.52</w:t>
            </w:r>
          </w:p>
        </w:tc>
        <w:tc>
          <w:tcPr>
            <w:tcW w:w="1196" w:type="dxa"/>
            <w:tcBorders>
              <w:top w:val="nil"/>
              <w:left w:val="nil"/>
              <w:bottom w:val="nil"/>
              <w:right w:val="nil"/>
            </w:tcBorders>
            <w:shd w:val="clear" w:color="auto" w:fill="auto"/>
            <w:vAlign w:val="bottom"/>
          </w:tcPr>
          <w:p w14:paraId="4BCD271C"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1.06</w:t>
            </w:r>
          </w:p>
        </w:tc>
        <w:tc>
          <w:tcPr>
            <w:tcW w:w="1394" w:type="dxa"/>
            <w:tcBorders>
              <w:top w:val="nil"/>
              <w:left w:val="nil"/>
              <w:bottom w:val="nil"/>
              <w:right w:val="nil"/>
            </w:tcBorders>
            <w:shd w:val="clear" w:color="auto" w:fill="auto"/>
            <w:vAlign w:val="bottom"/>
          </w:tcPr>
          <w:p w14:paraId="18623990"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0.1</w:t>
            </w:r>
          </w:p>
        </w:tc>
        <w:tc>
          <w:tcPr>
            <w:tcW w:w="1441" w:type="dxa"/>
            <w:tcBorders>
              <w:top w:val="nil"/>
              <w:left w:val="nil"/>
              <w:bottom w:val="nil"/>
              <w:right w:val="nil"/>
            </w:tcBorders>
            <w:shd w:val="clear" w:color="auto" w:fill="auto"/>
            <w:vAlign w:val="bottom"/>
          </w:tcPr>
          <w:p w14:paraId="0B46FB5E"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5.0</w:t>
            </w:r>
          </w:p>
        </w:tc>
      </w:tr>
      <w:tr w:rsidR="00354C11" w:rsidRPr="00A80DDE" w14:paraId="7AEFF8AC" w14:textId="77777777" w:rsidTr="002B4C62">
        <w:trPr>
          <w:trHeight w:val="251"/>
          <w:jc w:val="center"/>
        </w:trPr>
        <w:tc>
          <w:tcPr>
            <w:tcW w:w="1837" w:type="dxa"/>
            <w:tcBorders>
              <w:top w:val="nil"/>
              <w:left w:val="nil"/>
              <w:bottom w:val="nil"/>
              <w:right w:val="nil"/>
            </w:tcBorders>
            <w:shd w:val="clear" w:color="auto" w:fill="auto"/>
            <w:vAlign w:val="bottom"/>
          </w:tcPr>
          <w:p w14:paraId="76AE4D8D"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GyA</w:t>
            </w:r>
            <w:r w:rsidRPr="00A80DDE">
              <w:rPr>
                <w:rFonts w:ascii="Times New Roman" w:eastAsia="Arial" w:hAnsi="Times New Roman" w:cs="Times New Roman"/>
                <w:color w:val="0F0D29" w:themeColor="text1"/>
                <w:sz w:val="20"/>
                <w:szCs w:val="20"/>
                <w:vertAlign w:val="superscript"/>
              </w:rPr>
              <w:t xml:space="preserve">1 </w:t>
            </w:r>
            <w:r w:rsidRPr="00A80DDE">
              <w:rPr>
                <w:rFonts w:ascii="Times New Roman" w:eastAsia="Arial" w:hAnsi="Times New Roman" w:cs="Times New Roman"/>
                <w:color w:val="0F0D29" w:themeColor="text1"/>
                <w:sz w:val="20"/>
                <w:szCs w:val="20"/>
              </w:rPr>
              <w:t>(n=23)</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nil"/>
              <w:right w:val="nil"/>
            </w:tcBorders>
            <w:shd w:val="clear" w:color="auto" w:fill="auto"/>
          </w:tcPr>
          <w:p w14:paraId="17E207B2"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mg/L</w:t>
            </w:r>
          </w:p>
        </w:tc>
        <w:tc>
          <w:tcPr>
            <w:tcW w:w="1463" w:type="dxa"/>
            <w:tcBorders>
              <w:top w:val="nil"/>
              <w:left w:val="nil"/>
              <w:bottom w:val="nil"/>
              <w:right w:val="nil"/>
            </w:tcBorders>
            <w:shd w:val="clear" w:color="auto" w:fill="auto"/>
            <w:vAlign w:val="bottom"/>
          </w:tcPr>
          <w:p w14:paraId="554DF9AD"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5.4</w:t>
            </w:r>
          </w:p>
        </w:tc>
        <w:tc>
          <w:tcPr>
            <w:tcW w:w="1196" w:type="dxa"/>
            <w:tcBorders>
              <w:top w:val="nil"/>
              <w:left w:val="nil"/>
              <w:bottom w:val="nil"/>
              <w:right w:val="nil"/>
            </w:tcBorders>
            <w:shd w:val="clear" w:color="auto" w:fill="auto"/>
            <w:vAlign w:val="bottom"/>
          </w:tcPr>
          <w:p w14:paraId="2B703CAA"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6.6</w:t>
            </w:r>
          </w:p>
        </w:tc>
        <w:tc>
          <w:tcPr>
            <w:tcW w:w="1394" w:type="dxa"/>
            <w:tcBorders>
              <w:top w:val="nil"/>
              <w:left w:val="nil"/>
              <w:bottom w:val="nil"/>
              <w:right w:val="nil"/>
            </w:tcBorders>
            <w:shd w:val="clear" w:color="auto" w:fill="auto"/>
            <w:vAlign w:val="bottom"/>
          </w:tcPr>
          <w:p w14:paraId="0BD3FEEE"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0.2</w:t>
            </w:r>
          </w:p>
        </w:tc>
        <w:tc>
          <w:tcPr>
            <w:tcW w:w="1441" w:type="dxa"/>
            <w:tcBorders>
              <w:top w:val="nil"/>
              <w:left w:val="nil"/>
              <w:bottom w:val="nil"/>
              <w:right w:val="nil"/>
            </w:tcBorders>
            <w:shd w:val="clear" w:color="auto" w:fill="auto"/>
            <w:vAlign w:val="bottom"/>
          </w:tcPr>
          <w:p w14:paraId="5EE7BAA3"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28.0</w:t>
            </w:r>
          </w:p>
        </w:tc>
      </w:tr>
      <w:tr w:rsidR="00354C11" w:rsidRPr="00A80DDE" w14:paraId="7B07FB82" w14:textId="77777777" w:rsidTr="002B4C62">
        <w:trPr>
          <w:trHeight w:val="251"/>
          <w:jc w:val="center"/>
        </w:trPr>
        <w:tc>
          <w:tcPr>
            <w:tcW w:w="1837" w:type="dxa"/>
            <w:tcBorders>
              <w:top w:val="nil"/>
              <w:left w:val="nil"/>
              <w:bottom w:val="nil"/>
              <w:right w:val="nil"/>
            </w:tcBorders>
            <w:shd w:val="clear" w:color="auto" w:fill="auto"/>
            <w:vAlign w:val="bottom"/>
          </w:tcPr>
          <w:p w14:paraId="6323C92E"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SAAM</w:t>
            </w:r>
            <w:r w:rsidRPr="00A80DDE">
              <w:rPr>
                <w:rFonts w:ascii="Times New Roman" w:eastAsia="Arial" w:hAnsi="Times New Roman" w:cs="Times New Roman"/>
                <w:color w:val="0F0D29" w:themeColor="text1"/>
                <w:sz w:val="20"/>
                <w:szCs w:val="20"/>
                <w:vertAlign w:val="superscript"/>
              </w:rPr>
              <w:t xml:space="preserve">1 </w:t>
            </w:r>
            <w:r w:rsidRPr="00A80DDE">
              <w:rPr>
                <w:rFonts w:ascii="Times New Roman" w:eastAsia="Arial" w:hAnsi="Times New Roman" w:cs="Times New Roman"/>
                <w:color w:val="0F0D29" w:themeColor="text1"/>
                <w:sz w:val="20"/>
                <w:szCs w:val="20"/>
              </w:rPr>
              <w:t>(n=8)</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nil"/>
              <w:right w:val="nil"/>
            </w:tcBorders>
            <w:shd w:val="clear" w:color="auto" w:fill="auto"/>
          </w:tcPr>
          <w:p w14:paraId="6EE9DCB9"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mg/L</w:t>
            </w:r>
          </w:p>
        </w:tc>
        <w:tc>
          <w:tcPr>
            <w:tcW w:w="1463" w:type="dxa"/>
            <w:tcBorders>
              <w:top w:val="nil"/>
              <w:left w:val="nil"/>
              <w:bottom w:val="nil"/>
              <w:right w:val="nil"/>
            </w:tcBorders>
            <w:shd w:val="clear" w:color="auto" w:fill="auto"/>
            <w:vAlign w:val="bottom"/>
          </w:tcPr>
          <w:p w14:paraId="1CC59E72"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1.25</w:t>
            </w:r>
          </w:p>
        </w:tc>
        <w:tc>
          <w:tcPr>
            <w:tcW w:w="1196" w:type="dxa"/>
            <w:tcBorders>
              <w:top w:val="nil"/>
              <w:left w:val="nil"/>
              <w:bottom w:val="nil"/>
              <w:right w:val="nil"/>
            </w:tcBorders>
            <w:shd w:val="clear" w:color="auto" w:fill="auto"/>
            <w:vAlign w:val="bottom"/>
          </w:tcPr>
          <w:p w14:paraId="645C2AFE"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2.50</w:t>
            </w:r>
          </w:p>
        </w:tc>
        <w:tc>
          <w:tcPr>
            <w:tcW w:w="1394" w:type="dxa"/>
            <w:tcBorders>
              <w:top w:val="nil"/>
              <w:left w:val="nil"/>
              <w:bottom w:val="nil"/>
              <w:right w:val="nil"/>
            </w:tcBorders>
            <w:shd w:val="clear" w:color="auto" w:fill="auto"/>
            <w:vAlign w:val="bottom"/>
          </w:tcPr>
          <w:p w14:paraId="3EEA393A"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0.10</w:t>
            </w:r>
          </w:p>
        </w:tc>
        <w:tc>
          <w:tcPr>
            <w:tcW w:w="1441" w:type="dxa"/>
            <w:tcBorders>
              <w:top w:val="nil"/>
              <w:left w:val="nil"/>
              <w:bottom w:val="nil"/>
              <w:right w:val="nil"/>
            </w:tcBorders>
            <w:shd w:val="clear" w:color="auto" w:fill="auto"/>
            <w:vAlign w:val="bottom"/>
          </w:tcPr>
          <w:p w14:paraId="3AA22F93"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12.1</w:t>
            </w:r>
          </w:p>
        </w:tc>
      </w:tr>
      <w:tr w:rsidR="00354C11" w:rsidRPr="00354C11" w14:paraId="07553707" w14:textId="77777777" w:rsidTr="002B4C62">
        <w:trPr>
          <w:trHeight w:val="251"/>
          <w:jc w:val="center"/>
        </w:trPr>
        <w:tc>
          <w:tcPr>
            <w:tcW w:w="8831" w:type="dxa"/>
            <w:gridSpan w:val="6"/>
            <w:tcBorders>
              <w:top w:val="nil"/>
              <w:left w:val="nil"/>
              <w:bottom w:val="nil"/>
              <w:right w:val="nil"/>
            </w:tcBorders>
            <w:shd w:val="clear" w:color="auto" w:fill="auto"/>
            <w:vAlign w:val="bottom"/>
          </w:tcPr>
          <w:p w14:paraId="7C4893A6" w14:textId="77777777" w:rsidR="00354C11" w:rsidRPr="00354C11" w:rsidRDefault="00354C11" w:rsidP="002B4C62">
            <w:pPr>
              <w:spacing w:line="240" w:lineRule="auto"/>
              <w:jc w:val="center"/>
              <w:rPr>
                <w:rFonts w:ascii="Times New Roman" w:eastAsia="Arial" w:hAnsi="Times New Roman" w:cs="Times New Roman"/>
                <w:color w:val="000000"/>
                <w:sz w:val="20"/>
                <w:szCs w:val="20"/>
                <w:lang w:val="es-419"/>
              </w:rPr>
            </w:pPr>
            <w:r w:rsidRPr="00354C11">
              <w:rPr>
                <w:rFonts w:ascii="Times New Roman" w:eastAsia="Arial" w:hAnsi="Times New Roman" w:cs="Times New Roman"/>
                <w:i/>
                <w:color w:val="0F0D29" w:themeColor="text1"/>
                <w:sz w:val="20"/>
                <w:szCs w:val="20"/>
                <w:lang w:val="es-419"/>
              </w:rPr>
              <w:t>Vertido en cuerpo receptor (n=87)</w:t>
            </w:r>
          </w:p>
        </w:tc>
      </w:tr>
      <w:tr w:rsidR="00354C11" w:rsidRPr="00A80DDE" w14:paraId="5EDDFCE1" w14:textId="77777777" w:rsidTr="002B4C62">
        <w:trPr>
          <w:trHeight w:val="251"/>
          <w:jc w:val="center"/>
        </w:trPr>
        <w:tc>
          <w:tcPr>
            <w:tcW w:w="1837" w:type="dxa"/>
            <w:tcBorders>
              <w:top w:val="nil"/>
              <w:left w:val="nil"/>
              <w:bottom w:val="nil"/>
              <w:right w:val="nil"/>
            </w:tcBorders>
            <w:shd w:val="clear" w:color="auto" w:fill="auto"/>
            <w:vAlign w:val="bottom"/>
          </w:tcPr>
          <w:p w14:paraId="6B2CB46C"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Caudal</w:t>
            </w:r>
          </w:p>
        </w:tc>
        <w:tc>
          <w:tcPr>
            <w:tcW w:w="1500" w:type="dxa"/>
            <w:tcBorders>
              <w:top w:val="nil"/>
              <w:left w:val="nil"/>
              <w:bottom w:val="nil"/>
              <w:right w:val="nil"/>
            </w:tcBorders>
            <w:shd w:val="clear" w:color="auto" w:fill="auto"/>
            <w:vAlign w:val="bottom"/>
          </w:tcPr>
          <w:p w14:paraId="2D128BDF"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w:t>
            </w:r>
            <w:r w:rsidRPr="00A80DDE">
              <w:rPr>
                <w:rFonts w:ascii="Times New Roman" w:eastAsia="Arial" w:hAnsi="Times New Roman" w:cs="Times New Roman"/>
                <w:color w:val="0F0D29" w:themeColor="text1"/>
                <w:sz w:val="20"/>
                <w:szCs w:val="20"/>
                <w:vertAlign w:val="superscript"/>
              </w:rPr>
              <w:t>3</w:t>
            </w:r>
            <w:r w:rsidRPr="00A80DDE">
              <w:rPr>
                <w:rFonts w:ascii="Times New Roman" w:eastAsia="Arial" w:hAnsi="Times New Roman" w:cs="Times New Roman"/>
                <w:color w:val="0F0D29" w:themeColor="text1"/>
                <w:sz w:val="20"/>
                <w:szCs w:val="20"/>
              </w:rPr>
              <w:t>/día</w:t>
            </w:r>
          </w:p>
        </w:tc>
        <w:tc>
          <w:tcPr>
            <w:tcW w:w="1463" w:type="dxa"/>
            <w:tcBorders>
              <w:top w:val="nil"/>
              <w:left w:val="nil"/>
              <w:bottom w:val="nil"/>
              <w:right w:val="nil"/>
            </w:tcBorders>
            <w:shd w:val="clear" w:color="auto" w:fill="auto"/>
            <w:vAlign w:val="bottom"/>
          </w:tcPr>
          <w:p w14:paraId="3B8CAE92"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42.0</w:t>
            </w:r>
          </w:p>
        </w:tc>
        <w:tc>
          <w:tcPr>
            <w:tcW w:w="1196" w:type="dxa"/>
            <w:tcBorders>
              <w:top w:val="nil"/>
              <w:left w:val="nil"/>
              <w:bottom w:val="nil"/>
              <w:right w:val="nil"/>
            </w:tcBorders>
            <w:shd w:val="clear" w:color="auto" w:fill="auto"/>
            <w:vAlign w:val="bottom"/>
          </w:tcPr>
          <w:p w14:paraId="1F11F899"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66.4</w:t>
            </w:r>
          </w:p>
        </w:tc>
        <w:tc>
          <w:tcPr>
            <w:tcW w:w="1394" w:type="dxa"/>
            <w:tcBorders>
              <w:top w:val="nil"/>
              <w:left w:val="nil"/>
              <w:bottom w:val="nil"/>
              <w:right w:val="nil"/>
            </w:tcBorders>
            <w:shd w:val="clear" w:color="auto" w:fill="auto"/>
            <w:vAlign w:val="bottom"/>
          </w:tcPr>
          <w:p w14:paraId="0F7ACC18"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0.09</w:t>
            </w:r>
          </w:p>
        </w:tc>
        <w:tc>
          <w:tcPr>
            <w:tcW w:w="1441" w:type="dxa"/>
            <w:tcBorders>
              <w:top w:val="nil"/>
              <w:left w:val="nil"/>
              <w:bottom w:val="nil"/>
              <w:right w:val="nil"/>
            </w:tcBorders>
            <w:shd w:val="clear" w:color="auto" w:fill="auto"/>
            <w:vAlign w:val="bottom"/>
          </w:tcPr>
          <w:p w14:paraId="74F46545"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285.0</w:t>
            </w:r>
          </w:p>
        </w:tc>
      </w:tr>
      <w:tr w:rsidR="00354C11" w:rsidRPr="00A80DDE" w14:paraId="3FFA3A0F" w14:textId="77777777" w:rsidTr="002B4C62">
        <w:trPr>
          <w:trHeight w:val="251"/>
          <w:jc w:val="center"/>
        </w:trPr>
        <w:tc>
          <w:tcPr>
            <w:tcW w:w="1837" w:type="dxa"/>
            <w:tcBorders>
              <w:top w:val="nil"/>
              <w:left w:val="nil"/>
              <w:bottom w:val="nil"/>
              <w:right w:val="nil"/>
            </w:tcBorders>
            <w:shd w:val="clear" w:color="auto" w:fill="auto"/>
            <w:vAlign w:val="bottom"/>
          </w:tcPr>
          <w:p w14:paraId="053B247A"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proofErr w:type="spellStart"/>
            <w:r w:rsidRPr="00A80DDE">
              <w:rPr>
                <w:rFonts w:ascii="Times New Roman" w:eastAsia="Arial" w:hAnsi="Times New Roman" w:cs="Times New Roman"/>
                <w:color w:val="0F0D29" w:themeColor="text1"/>
                <w:sz w:val="20"/>
                <w:szCs w:val="20"/>
              </w:rPr>
              <w:t>Temperatura</w:t>
            </w:r>
            <w:proofErr w:type="spellEnd"/>
          </w:p>
        </w:tc>
        <w:tc>
          <w:tcPr>
            <w:tcW w:w="1500" w:type="dxa"/>
            <w:tcBorders>
              <w:top w:val="nil"/>
              <w:left w:val="nil"/>
              <w:bottom w:val="nil"/>
              <w:right w:val="nil"/>
            </w:tcBorders>
            <w:shd w:val="clear" w:color="auto" w:fill="auto"/>
            <w:vAlign w:val="bottom"/>
          </w:tcPr>
          <w:p w14:paraId="48F2FC8A"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°C</w:t>
            </w:r>
          </w:p>
        </w:tc>
        <w:tc>
          <w:tcPr>
            <w:tcW w:w="1463" w:type="dxa"/>
            <w:tcBorders>
              <w:top w:val="nil"/>
              <w:left w:val="nil"/>
              <w:bottom w:val="nil"/>
              <w:right w:val="nil"/>
            </w:tcBorders>
            <w:shd w:val="clear" w:color="auto" w:fill="auto"/>
            <w:vAlign w:val="bottom"/>
          </w:tcPr>
          <w:p w14:paraId="2CCF1805"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25.7</w:t>
            </w:r>
          </w:p>
        </w:tc>
        <w:tc>
          <w:tcPr>
            <w:tcW w:w="1196" w:type="dxa"/>
            <w:tcBorders>
              <w:top w:val="nil"/>
              <w:left w:val="nil"/>
              <w:bottom w:val="nil"/>
              <w:right w:val="nil"/>
            </w:tcBorders>
            <w:shd w:val="clear" w:color="auto" w:fill="auto"/>
            <w:vAlign w:val="bottom"/>
          </w:tcPr>
          <w:p w14:paraId="1FD94226"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2.3</w:t>
            </w:r>
          </w:p>
        </w:tc>
        <w:tc>
          <w:tcPr>
            <w:tcW w:w="1394" w:type="dxa"/>
            <w:tcBorders>
              <w:top w:val="nil"/>
              <w:left w:val="nil"/>
              <w:bottom w:val="nil"/>
              <w:right w:val="nil"/>
            </w:tcBorders>
            <w:shd w:val="clear" w:color="auto" w:fill="auto"/>
            <w:vAlign w:val="bottom"/>
          </w:tcPr>
          <w:p w14:paraId="6CCB6679"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17.0</w:t>
            </w:r>
          </w:p>
        </w:tc>
        <w:tc>
          <w:tcPr>
            <w:tcW w:w="1441" w:type="dxa"/>
            <w:tcBorders>
              <w:top w:val="nil"/>
              <w:left w:val="nil"/>
              <w:bottom w:val="nil"/>
              <w:right w:val="nil"/>
            </w:tcBorders>
            <w:shd w:val="clear" w:color="auto" w:fill="auto"/>
            <w:vAlign w:val="bottom"/>
          </w:tcPr>
          <w:p w14:paraId="52271269"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29.8</w:t>
            </w:r>
          </w:p>
        </w:tc>
      </w:tr>
      <w:tr w:rsidR="00354C11" w:rsidRPr="00A80DDE" w14:paraId="368FC9E4" w14:textId="77777777" w:rsidTr="002B4C62">
        <w:trPr>
          <w:trHeight w:val="251"/>
          <w:jc w:val="center"/>
        </w:trPr>
        <w:tc>
          <w:tcPr>
            <w:tcW w:w="1837" w:type="dxa"/>
            <w:tcBorders>
              <w:top w:val="nil"/>
              <w:left w:val="nil"/>
              <w:bottom w:val="nil"/>
              <w:right w:val="nil"/>
            </w:tcBorders>
            <w:shd w:val="clear" w:color="auto" w:fill="auto"/>
            <w:vAlign w:val="bottom"/>
          </w:tcPr>
          <w:p w14:paraId="7D922B36"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pH</w:t>
            </w:r>
          </w:p>
        </w:tc>
        <w:tc>
          <w:tcPr>
            <w:tcW w:w="1500" w:type="dxa"/>
            <w:tcBorders>
              <w:top w:val="nil"/>
              <w:left w:val="nil"/>
              <w:bottom w:val="nil"/>
              <w:right w:val="nil"/>
            </w:tcBorders>
            <w:shd w:val="clear" w:color="auto" w:fill="auto"/>
            <w:vAlign w:val="bottom"/>
          </w:tcPr>
          <w:p w14:paraId="6B90A7AF"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w:t>
            </w:r>
          </w:p>
        </w:tc>
        <w:tc>
          <w:tcPr>
            <w:tcW w:w="1463" w:type="dxa"/>
            <w:tcBorders>
              <w:top w:val="nil"/>
              <w:left w:val="nil"/>
              <w:bottom w:val="nil"/>
              <w:right w:val="nil"/>
            </w:tcBorders>
            <w:shd w:val="clear" w:color="auto" w:fill="auto"/>
            <w:vAlign w:val="bottom"/>
          </w:tcPr>
          <w:p w14:paraId="277DC229"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6.91</w:t>
            </w:r>
          </w:p>
        </w:tc>
        <w:tc>
          <w:tcPr>
            <w:tcW w:w="1196" w:type="dxa"/>
            <w:tcBorders>
              <w:top w:val="nil"/>
              <w:left w:val="nil"/>
              <w:bottom w:val="nil"/>
              <w:right w:val="nil"/>
            </w:tcBorders>
            <w:shd w:val="clear" w:color="auto" w:fill="auto"/>
            <w:vAlign w:val="bottom"/>
          </w:tcPr>
          <w:p w14:paraId="1E8E73CA"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0.93</w:t>
            </w:r>
          </w:p>
        </w:tc>
        <w:tc>
          <w:tcPr>
            <w:tcW w:w="1394" w:type="dxa"/>
            <w:tcBorders>
              <w:top w:val="nil"/>
              <w:left w:val="nil"/>
              <w:bottom w:val="nil"/>
              <w:right w:val="nil"/>
            </w:tcBorders>
            <w:shd w:val="clear" w:color="auto" w:fill="auto"/>
            <w:vAlign w:val="bottom"/>
          </w:tcPr>
          <w:p w14:paraId="59FCDE81"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2.50</w:t>
            </w:r>
          </w:p>
        </w:tc>
        <w:tc>
          <w:tcPr>
            <w:tcW w:w="1441" w:type="dxa"/>
            <w:tcBorders>
              <w:top w:val="nil"/>
              <w:left w:val="nil"/>
              <w:bottom w:val="nil"/>
              <w:right w:val="nil"/>
            </w:tcBorders>
            <w:shd w:val="clear" w:color="auto" w:fill="auto"/>
            <w:vAlign w:val="bottom"/>
          </w:tcPr>
          <w:p w14:paraId="54F0D7B3"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8.43</w:t>
            </w:r>
          </w:p>
        </w:tc>
      </w:tr>
      <w:tr w:rsidR="00354C11" w:rsidRPr="00A80DDE" w14:paraId="1A13316A" w14:textId="77777777" w:rsidTr="002B4C62">
        <w:trPr>
          <w:trHeight w:val="251"/>
          <w:jc w:val="center"/>
        </w:trPr>
        <w:tc>
          <w:tcPr>
            <w:tcW w:w="1837" w:type="dxa"/>
            <w:tcBorders>
              <w:top w:val="nil"/>
              <w:left w:val="nil"/>
              <w:bottom w:val="nil"/>
              <w:right w:val="nil"/>
            </w:tcBorders>
            <w:shd w:val="clear" w:color="auto" w:fill="auto"/>
            <w:vAlign w:val="bottom"/>
          </w:tcPr>
          <w:p w14:paraId="4540FDD4"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DBO</w:t>
            </w:r>
            <w:r w:rsidRPr="00A80DDE">
              <w:rPr>
                <w:rFonts w:ascii="Times New Roman" w:eastAsia="Arial" w:hAnsi="Times New Roman" w:cs="Times New Roman"/>
                <w:color w:val="0F0D29" w:themeColor="text1"/>
                <w:sz w:val="20"/>
                <w:szCs w:val="20"/>
                <w:vertAlign w:val="superscript"/>
              </w:rPr>
              <w:t>1</w:t>
            </w:r>
            <w:r w:rsidRPr="00A80DDE">
              <w:rPr>
                <w:rFonts w:ascii="Times New Roman" w:eastAsia="Arial" w:hAnsi="Times New Roman" w:cs="Times New Roman"/>
                <w:color w:val="0F0D29" w:themeColor="text1"/>
                <w:sz w:val="20"/>
                <w:szCs w:val="20"/>
              </w:rPr>
              <w:t xml:space="preserve"> (n=4)</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nil"/>
              <w:right w:val="nil"/>
            </w:tcBorders>
            <w:shd w:val="clear" w:color="auto" w:fill="auto"/>
            <w:vAlign w:val="bottom"/>
          </w:tcPr>
          <w:p w14:paraId="69568B39"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mg/L</w:t>
            </w:r>
          </w:p>
        </w:tc>
        <w:tc>
          <w:tcPr>
            <w:tcW w:w="1463" w:type="dxa"/>
            <w:tcBorders>
              <w:top w:val="nil"/>
              <w:left w:val="nil"/>
              <w:bottom w:val="nil"/>
              <w:right w:val="nil"/>
            </w:tcBorders>
            <w:shd w:val="clear" w:color="auto" w:fill="auto"/>
            <w:vAlign w:val="bottom"/>
          </w:tcPr>
          <w:p w14:paraId="38280869"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16.7</w:t>
            </w:r>
          </w:p>
        </w:tc>
        <w:tc>
          <w:tcPr>
            <w:tcW w:w="1196" w:type="dxa"/>
            <w:tcBorders>
              <w:top w:val="nil"/>
              <w:left w:val="nil"/>
              <w:bottom w:val="nil"/>
              <w:right w:val="nil"/>
            </w:tcBorders>
            <w:shd w:val="clear" w:color="auto" w:fill="auto"/>
            <w:vAlign w:val="bottom"/>
          </w:tcPr>
          <w:p w14:paraId="72D783E6"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12.2</w:t>
            </w:r>
          </w:p>
        </w:tc>
        <w:tc>
          <w:tcPr>
            <w:tcW w:w="1394" w:type="dxa"/>
            <w:tcBorders>
              <w:top w:val="nil"/>
              <w:left w:val="nil"/>
              <w:bottom w:val="nil"/>
              <w:right w:val="nil"/>
            </w:tcBorders>
            <w:shd w:val="clear" w:color="auto" w:fill="auto"/>
            <w:vAlign w:val="bottom"/>
          </w:tcPr>
          <w:p w14:paraId="50EC1400"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2.0</w:t>
            </w:r>
          </w:p>
        </w:tc>
        <w:tc>
          <w:tcPr>
            <w:tcW w:w="1441" w:type="dxa"/>
            <w:tcBorders>
              <w:top w:val="nil"/>
              <w:left w:val="nil"/>
              <w:bottom w:val="nil"/>
              <w:right w:val="nil"/>
            </w:tcBorders>
            <w:shd w:val="clear" w:color="auto" w:fill="auto"/>
            <w:vAlign w:val="bottom"/>
          </w:tcPr>
          <w:p w14:paraId="0BC8312D"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48.0</w:t>
            </w:r>
          </w:p>
        </w:tc>
      </w:tr>
      <w:tr w:rsidR="00354C11" w:rsidRPr="00A80DDE" w14:paraId="33B33738" w14:textId="77777777" w:rsidTr="002B4C62">
        <w:trPr>
          <w:trHeight w:val="251"/>
          <w:jc w:val="center"/>
        </w:trPr>
        <w:tc>
          <w:tcPr>
            <w:tcW w:w="1837" w:type="dxa"/>
            <w:tcBorders>
              <w:top w:val="nil"/>
              <w:left w:val="nil"/>
              <w:bottom w:val="nil"/>
              <w:right w:val="nil"/>
            </w:tcBorders>
            <w:shd w:val="clear" w:color="auto" w:fill="auto"/>
            <w:vAlign w:val="bottom"/>
          </w:tcPr>
          <w:p w14:paraId="6D5B6D79"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DQO</w:t>
            </w:r>
            <w:r w:rsidRPr="00A80DDE">
              <w:rPr>
                <w:rFonts w:ascii="Times New Roman" w:eastAsia="Arial" w:hAnsi="Times New Roman" w:cs="Times New Roman"/>
                <w:color w:val="0F0D29" w:themeColor="text1"/>
                <w:sz w:val="20"/>
                <w:szCs w:val="20"/>
                <w:vertAlign w:val="superscript"/>
              </w:rPr>
              <w:t xml:space="preserve">1 </w:t>
            </w:r>
            <w:r w:rsidRPr="00A80DDE">
              <w:rPr>
                <w:rFonts w:ascii="Times New Roman" w:eastAsia="Arial" w:hAnsi="Times New Roman" w:cs="Times New Roman"/>
                <w:color w:val="0F0D29" w:themeColor="text1"/>
                <w:sz w:val="20"/>
                <w:szCs w:val="20"/>
              </w:rPr>
              <w:t>(n=1)</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nil"/>
              <w:right w:val="nil"/>
            </w:tcBorders>
            <w:shd w:val="clear" w:color="auto" w:fill="auto"/>
            <w:vAlign w:val="bottom"/>
          </w:tcPr>
          <w:p w14:paraId="67839D1C"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mg/L</w:t>
            </w:r>
          </w:p>
        </w:tc>
        <w:tc>
          <w:tcPr>
            <w:tcW w:w="1463" w:type="dxa"/>
            <w:tcBorders>
              <w:top w:val="nil"/>
              <w:left w:val="nil"/>
              <w:bottom w:val="nil"/>
              <w:right w:val="nil"/>
            </w:tcBorders>
            <w:shd w:val="clear" w:color="auto" w:fill="auto"/>
            <w:vAlign w:val="bottom"/>
          </w:tcPr>
          <w:p w14:paraId="3F2F3994"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45.8</w:t>
            </w:r>
          </w:p>
        </w:tc>
        <w:tc>
          <w:tcPr>
            <w:tcW w:w="1196" w:type="dxa"/>
            <w:tcBorders>
              <w:top w:val="nil"/>
              <w:left w:val="nil"/>
              <w:bottom w:val="nil"/>
              <w:right w:val="nil"/>
            </w:tcBorders>
            <w:shd w:val="clear" w:color="auto" w:fill="auto"/>
            <w:vAlign w:val="bottom"/>
          </w:tcPr>
          <w:p w14:paraId="11C0A6A7"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29.6</w:t>
            </w:r>
          </w:p>
        </w:tc>
        <w:tc>
          <w:tcPr>
            <w:tcW w:w="1394" w:type="dxa"/>
            <w:tcBorders>
              <w:top w:val="nil"/>
              <w:left w:val="nil"/>
              <w:bottom w:val="nil"/>
              <w:right w:val="nil"/>
            </w:tcBorders>
            <w:shd w:val="clear" w:color="auto" w:fill="auto"/>
            <w:vAlign w:val="bottom"/>
          </w:tcPr>
          <w:p w14:paraId="26C61DE0"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0.4</w:t>
            </w:r>
          </w:p>
        </w:tc>
        <w:tc>
          <w:tcPr>
            <w:tcW w:w="1441" w:type="dxa"/>
            <w:tcBorders>
              <w:top w:val="nil"/>
              <w:left w:val="nil"/>
              <w:bottom w:val="nil"/>
              <w:right w:val="nil"/>
            </w:tcBorders>
            <w:shd w:val="clear" w:color="auto" w:fill="auto"/>
            <w:vAlign w:val="bottom"/>
          </w:tcPr>
          <w:p w14:paraId="1974DF9D"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143.0</w:t>
            </w:r>
          </w:p>
        </w:tc>
      </w:tr>
      <w:tr w:rsidR="00354C11" w:rsidRPr="00A80DDE" w14:paraId="099BCB7C" w14:textId="77777777" w:rsidTr="002B4C62">
        <w:trPr>
          <w:trHeight w:val="251"/>
          <w:jc w:val="center"/>
        </w:trPr>
        <w:tc>
          <w:tcPr>
            <w:tcW w:w="1837" w:type="dxa"/>
            <w:tcBorders>
              <w:top w:val="nil"/>
              <w:left w:val="nil"/>
              <w:bottom w:val="nil"/>
              <w:right w:val="nil"/>
            </w:tcBorders>
            <w:shd w:val="clear" w:color="auto" w:fill="auto"/>
            <w:vAlign w:val="bottom"/>
          </w:tcPr>
          <w:p w14:paraId="7D5A271F"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SST</w:t>
            </w:r>
            <w:r w:rsidRPr="00A80DDE">
              <w:rPr>
                <w:rFonts w:ascii="Times New Roman" w:eastAsia="Arial" w:hAnsi="Times New Roman" w:cs="Times New Roman"/>
                <w:color w:val="0F0D29" w:themeColor="text1"/>
                <w:sz w:val="20"/>
                <w:szCs w:val="20"/>
                <w:vertAlign w:val="superscript"/>
              </w:rPr>
              <w:t xml:space="preserve">1 </w:t>
            </w:r>
            <w:r w:rsidRPr="00A80DDE">
              <w:rPr>
                <w:rFonts w:ascii="Times New Roman" w:eastAsia="Arial" w:hAnsi="Times New Roman" w:cs="Times New Roman"/>
                <w:color w:val="0F0D29" w:themeColor="text1"/>
                <w:sz w:val="20"/>
                <w:szCs w:val="20"/>
              </w:rPr>
              <w:t>(n=15)</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nil"/>
              <w:right w:val="nil"/>
            </w:tcBorders>
            <w:shd w:val="clear" w:color="auto" w:fill="auto"/>
          </w:tcPr>
          <w:p w14:paraId="069BD0EB"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mg/L</w:t>
            </w:r>
          </w:p>
        </w:tc>
        <w:tc>
          <w:tcPr>
            <w:tcW w:w="1463" w:type="dxa"/>
            <w:tcBorders>
              <w:top w:val="nil"/>
              <w:left w:val="nil"/>
              <w:bottom w:val="nil"/>
              <w:right w:val="nil"/>
            </w:tcBorders>
            <w:shd w:val="clear" w:color="auto" w:fill="auto"/>
            <w:vAlign w:val="bottom"/>
          </w:tcPr>
          <w:p w14:paraId="22AA7634"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24.6</w:t>
            </w:r>
          </w:p>
        </w:tc>
        <w:tc>
          <w:tcPr>
            <w:tcW w:w="1196" w:type="dxa"/>
            <w:tcBorders>
              <w:top w:val="nil"/>
              <w:left w:val="nil"/>
              <w:bottom w:val="nil"/>
              <w:right w:val="nil"/>
            </w:tcBorders>
            <w:shd w:val="clear" w:color="auto" w:fill="auto"/>
            <w:vAlign w:val="bottom"/>
          </w:tcPr>
          <w:p w14:paraId="00857087"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25.9</w:t>
            </w:r>
          </w:p>
        </w:tc>
        <w:tc>
          <w:tcPr>
            <w:tcW w:w="1394" w:type="dxa"/>
            <w:tcBorders>
              <w:top w:val="nil"/>
              <w:left w:val="nil"/>
              <w:bottom w:val="nil"/>
              <w:right w:val="nil"/>
            </w:tcBorders>
            <w:shd w:val="clear" w:color="auto" w:fill="auto"/>
            <w:vAlign w:val="bottom"/>
          </w:tcPr>
          <w:p w14:paraId="1A3A9109"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0.2</w:t>
            </w:r>
          </w:p>
        </w:tc>
        <w:tc>
          <w:tcPr>
            <w:tcW w:w="1441" w:type="dxa"/>
            <w:tcBorders>
              <w:top w:val="nil"/>
              <w:left w:val="nil"/>
              <w:bottom w:val="nil"/>
              <w:right w:val="nil"/>
            </w:tcBorders>
            <w:shd w:val="clear" w:color="auto" w:fill="auto"/>
            <w:vAlign w:val="bottom"/>
          </w:tcPr>
          <w:p w14:paraId="53DABD44"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181.0</w:t>
            </w:r>
          </w:p>
        </w:tc>
      </w:tr>
      <w:tr w:rsidR="00354C11" w:rsidRPr="00A80DDE" w14:paraId="64387DD1" w14:textId="77777777" w:rsidTr="002B4C62">
        <w:trPr>
          <w:trHeight w:val="251"/>
          <w:jc w:val="center"/>
        </w:trPr>
        <w:tc>
          <w:tcPr>
            <w:tcW w:w="1837" w:type="dxa"/>
            <w:tcBorders>
              <w:top w:val="nil"/>
              <w:left w:val="nil"/>
              <w:bottom w:val="nil"/>
              <w:right w:val="nil"/>
            </w:tcBorders>
            <w:shd w:val="clear" w:color="auto" w:fill="auto"/>
            <w:vAlign w:val="bottom"/>
          </w:tcPr>
          <w:p w14:paraId="38DA13E3"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proofErr w:type="gramStart"/>
            <w:r w:rsidRPr="00A80DDE">
              <w:rPr>
                <w:rFonts w:ascii="Times New Roman" w:eastAsia="Arial" w:hAnsi="Times New Roman" w:cs="Times New Roman"/>
                <w:color w:val="0F0D29" w:themeColor="text1"/>
                <w:sz w:val="20"/>
                <w:szCs w:val="20"/>
              </w:rPr>
              <w:t>S.Sed</w:t>
            </w:r>
            <w:proofErr w:type="gramEnd"/>
            <w:r w:rsidRPr="00A80DDE">
              <w:rPr>
                <w:rFonts w:ascii="Times New Roman" w:eastAsia="Arial" w:hAnsi="Times New Roman" w:cs="Times New Roman"/>
                <w:color w:val="0F0D29" w:themeColor="text1"/>
                <w:sz w:val="20"/>
                <w:szCs w:val="20"/>
                <w:vertAlign w:val="superscript"/>
              </w:rPr>
              <w:t xml:space="preserve">1 </w:t>
            </w:r>
            <w:r w:rsidRPr="00A80DDE">
              <w:rPr>
                <w:rFonts w:ascii="Times New Roman" w:eastAsia="Arial" w:hAnsi="Times New Roman" w:cs="Times New Roman"/>
                <w:color w:val="0F0D29" w:themeColor="text1"/>
                <w:sz w:val="20"/>
                <w:szCs w:val="20"/>
              </w:rPr>
              <w:t>(n=48)</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nil"/>
              <w:right w:val="nil"/>
            </w:tcBorders>
            <w:shd w:val="clear" w:color="auto" w:fill="auto"/>
          </w:tcPr>
          <w:p w14:paraId="2139BC04"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mL/L</w:t>
            </w:r>
          </w:p>
        </w:tc>
        <w:tc>
          <w:tcPr>
            <w:tcW w:w="1463" w:type="dxa"/>
            <w:tcBorders>
              <w:top w:val="nil"/>
              <w:left w:val="nil"/>
              <w:bottom w:val="nil"/>
              <w:right w:val="nil"/>
            </w:tcBorders>
            <w:shd w:val="clear" w:color="auto" w:fill="auto"/>
            <w:vAlign w:val="bottom"/>
          </w:tcPr>
          <w:p w14:paraId="3EEEA30B"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0.14</w:t>
            </w:r>
          </w:p>
        </w:tc>
        <w:tc>
          <w:tcPr>
            <w:tcW w:w="1196" w:type="dxa"/>
            <w:tcBorders>
              <w:top w:val="nil"/>
              <w:left w:val="nil"/>
              <w:bottom w:val="nil"/>
              <w:right w:val="nil"/>
            </w:tcBorders>
            <w:shd w:val="clear" w:color="auto" w:fill="auto"/>
            <w:vAlign w:val="bottom"/>
          </w:tcPr>
          <w:p w14:paraId="63F1C2AC"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0.66</w:t>
            </w:r>
          </w:p>
        </w:tc>
        <w:tc>
          <w:tcPr>
            <w:tcW w:w="1394" w:type="dxa"/>
            <w:tcBorders>
              <w:top w:val="nil"/>
              <w:left w:val="nil"/>
              <w:bottom w:val="nil"/>
              <w:right w:val="nil"/>
            </w:tcBorders>
            <w:shd w:val="clear" w:color="auto" w:fill="auto"/>
            <w:vAlign w:val="bottom"/>
          </w:tcPr>
          <w:p w14:paraId="4CC62CFB"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0.1</w:t>
            </w:r>
          </w:p>
        </w:tc>
        <w:tc>
          <w:tcPr>
            <w:tcW w:w="1441" w:type="dxa"/>
            <w:tcBorders>
              <w:top w:val="nil"/>
              <w:left w:val="nil"/>
              <w:bottom w:val="nil"/>
              <w:right w:val="nil"/>
            </w:tcBorders>
            <w:shd w:val="clear" w:color="auto" w:fill="auto"/>
            <w:vAlign w:val="bottom"/>
          </w:tcPr>
          <w:p w14:paraId="69B8739F"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6.0</w:t>
            </w:r>
          </w:p>
        </w:tc>
      </w:tr>
      <w:tr w:rsidR="00354C11" w:rsidRPr="00A80DDE" w14:paraId="06155996" w14:textId="77777777" w:rsidTr="002B4C62">
        <w:trPr>
          <w:trHeight w:val="251"/>
          <w:jc w:val="center"/>
        </w:trPr>
        <w:tc>
          <w:tcPr>
            <w:tcW w:w="1837" w:type="dxa"/>
            <w:tcBorders>
              <w:top w:val="nil"/>
              <w:left w:val="nil"/>
              <w:bottom w:val="nil"/>
              <w:right w:val="nil"/>
            </w:tcBorders>
            <w:shd w:val="clear" w:color="auto" w:fill="auto"/>
            <w:vAlign w:val="bottom"/>
          </w:tcPr>
          <w:p w14:paraId="663F99B5"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GyA</w:t>
            </w:r>
            <w:r w:rsidRPr="00A80DDE">
              <w:rPr>
                <w:rFonts w:ascii="Times New Roman" w:eastAsia="Arial" w:hAnsi="Times New Roman" w:cs="Times New Roman"/>
                <w:color w:val="0F0D29" w:themeColor="text1"/>
                <w:sz w:val="20"/>
                <w:szCs w:val="20"/>
                <w:vertAlign w:val="superscript"/>
              </w:rPr>
              <w:t xml:space="preserve">1 </w:t>
            </w:r>
            <w:r w:rsidRPr="00A80DDE">
              <w:rPr>
                <w:rFonts w:ascii="Times New Roman" w:eastAsia="Arial" w:hAnsi="Times New Roman" w:cs="Times New Roman"/>
                <w:color w:val="0F0D29" w:themeColor="text1"/>
                <w:sz w:val="20"/>
                <w:szCs w:val="20"/>
              </w:rPr>
              <w:t>(n=30)</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nil"/>
              <w:right w:val="nil"/>
            </w:tcBorders>
            <w:shd w:val="clear" w:color="auto" w:fill="auto"/>
          </w:tcPr>
          <w:p w14:paraId="30F8AC57"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mg/L</w:t>
            </w:r>
          </w:p>
        </w:tc>
        <w:tc>
          <w:tcPr>
            <w:tcW w:w="1463" w:type="dxa"/>
            <w:tcBorders>
              <w:top w:val="nil"/>
              <w:left w:val="nil"/>
              <w:bottom w:val="nil"/>
              <w:right w:val="nil"/>
            </w:tcBorders>
            <w:shd w:val="clear" w:color="auto" w:fill="auto"/>
            <w:vAlign w:val="bottom"/>
          </w:tcPr>
          <w:p w14:paraId="4EF85B8C"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5.6</w:t>
            </w:r>
          </w:p>
        </w:tc>
        <w:tc>
          <w:tcPr>
            <w:tcW w:w="1196" w:type="dxa"/>
            <w:tcBorders>
              <w:top w:val="nil"/>
              <w:left w:val="nil"/>
              <w:bottom w:val="nil"/>
              <w:right w:val="nil"/>
            </w:tcBorders>
            <w:shd w:val="clear" w:color="auto" w:fill="auto"/>
            <w:vAlign w:val="bottom"/>
          </w:tcPr>
          <w:p w14:paraId="28DCF0D0"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11.2</w:t>
            </w:r>
          </w:p>
        </w:tc>
        <w:tc>
          <w:tcPr>
            <w:tcW w:w="1394" w:type="dxa"/>
            <w:tcBorders>
              <w:top w:val="nil"/>
              <w:left w:val="nil"/>
              <w:bottom w:val="nil"/>
              <w:right w:val="nil"/>
            </w:tcBorders>
            <w:shd w:val="clear" w:color="auto" w:fill="auto"/>
            <w:vAlign w:val="bottom"/>
          </w:tcPr>
          <w:p w14:paraId="3F0F2511"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0.3</w:t>
            </w:r>
          </w:p>
        </w:tc>
        <w:tc>
          <w:tcPr>
            <w:tcW w:w="1441" w:type="dxa"/>
            <w:tcBorders>
              <w:top w:val="nil"/>
              <w:left w:val="nil"/>
              <w:bottom w:val="nil"/>
              <w:right w:val="nil"/>
            </w:tcBorders>
            <w:shd w:val="clear" w:color="auto" w:fill="auto"/>
            <w:vAlign w:val="bottom"/>
          </w:tcPr>
          <w:p w14:paraId="430DDE48"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102.0</w:t>
            </w:r>
          </w:p>
        </w:tc>
      </w:tr>
      <w:tr w:rsidR="00354C11" w:rsidRPr="00A80DDE" w14:paraId="456247D9" w14:textId="77777777" w:rsidTr="002B4C62">
        <w:trPr>
          <w:trHeight w:val="251"/>
          <w:jc w:val="center"/>
        </w:trPr>
        <w:tc>
          <w:tcPr>
            <w:tcW w:w="1837" w:type="dxa"/>
            <w:tcBorders>
              <w:top w:val="nil"/>
              <w:left w:val="nil"/>
              <w:bottom w:val="single" w:sz="4" w:space="0" w:color="0F0D29" w:themeColor="text1"/>
              <w:right w:val="nil"/>
            </w:tcBorders>
            <w:shd w:val="clear" w:color="auto" w:fill="auto"/>
            <w:vAlign w:val="bottom"/>
          </w:tcPr>
          <w:p w14:paraId="7C1A7268"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SAAM</w:t>
            </w:r>
            <w:r w:rsidRPr="00A80DDE">
              <w:rPr>
                <w:rFonts w:ascii="Times New Roman" w:eastAsia="Arial" w:hAnsi="Times New Roman" w:cs="Times New Roman"/>
                <w:color w:val="0F0D29" w:themeColor="text1"/>
                <w:sz w:val="20"/>
                <w:szCs w:val="20"/>
                <w:vertAlign w:val="superscript"/>
              </w:rPr>
              <w:t xml:space="preserve">1 </w:t>
            </w:r>
            <w:r w:rsidRPr="00A80DDE">
              <w:rPr>
                <w:rFonts w:ascii="Times New Roman" w:eastAsia="Arial" w:hAnsi="Times New Roman" w:cs="Times New Roman"/>
                <w:color w:val="0F0D29" w:themeColor="text1"/>
                <w:sz w:val="20"/>
                <w:szCs w:val="20"/>
              </w:rPr>
              <w:t>(n=29)</w:t>
            </w:r>
            <w:r w:rsidRPr="00A80DDE">
              <w:rPr>
                <w:rFonts w:ascii="Times New Roman" w:eastAsia="Arial" w:hAnsi="Times New Roman" w:cs="Times New Roman"/>
                <w:color w:val="0F0D29" w:themeColor="text1"/>
                <w:sz w:val="20"/>
                <w:szCs w:val="20"/>
                <w:vertAlign w:val="superscript"/>
              </w:rPr>
              <w:t>2</w:t>
            </w:r>
          </w:p>
        </w:tc>
        <w:tc>
          <w:tcPr>
            <w:tcW w:w="1500" w:type="dxa"/>
            <w:tcBorders>
              <w:top w:val="nil"/>
              <w:left w:val="nil"/>
              <w:bottom w:val="single" w:sz="4" w:space="0" w:color="0F0D29" w:themeColor="text1"/>
              <w:right w:val="nil"/>
            </w:tcBorders>
            <w:shd w:val="clear" w:color="auto" w:fill="auto"/>
          </w:tcPr>
          <w:p w14:paraId="1DA3F259"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mg/L</w:t>
            </w:r>
          </w:p>
        </w:tc>
        <w:tc>
          <w:tcPr>
            <w:tcW w:w="1463" w:type="dxa"/>
            <w:tcBorders>
              <w:top w:val="nil"/>
              <w:left w:val="nil"/>
              <w:bottom w:val="single" w:sz="4" w:space="0" w:color="0F0D29" w:themeColor="text1"/>
              <w:right w:val="nil"/>
            </w:tcBorders>
            <w:shd w:val="clear" w:color="auto" w:fill="auto"/>
            <w:vAlign w:val="bottom"/>
          </w:tcPr>
          <w:p w14:paraId="35950FD5"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0.43</w:t>
            </w:r>
          </w:p>
        </w:tc>
        <w:tc>
          <w:tcPr>
            <w:tcW w:w="1196" w:type="dxa"/>
            <w:tcBorders>
              <w:top w:val="nil"/>
              <w:left w:val="nil"/>
              <w:bottom w:val="single" w:sz="4" w:space="0" w:color="0F0D29" w:themeColor="text1"/>
              <w:right w:val="nil"/>
            </w:tcBorders>
            <w:shd w:val="clear" w:color="auto" w:fill="auto"/>
            <w:vAlign w:val="bottom"/>
          </w:tcPr>
          <w:p w14:paraId="328D2D81"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0.65</w:t>
            </w:r>
          </w:p>
        </w:tc>
        <w:tc>
          <w:tcPr>
            <w:tcW w:w="1394" w:type="dxa"/>
            <w:tcBorders>
              <w:top w:val="nil"/>
              <w:left w:val="nil"/>
              <w:bottom w:val="single" w:sz="4" w:space="0" w:color="0F0D29" w:themeColor="text1"/>
              <w:right w:val="nil"/>
            </w:tcBorders>
            <w:shd w:val="clear" w:color="auto" w:fill="auto"/>
            <w:vAlign w:val="bottom"/>
          </w:tcPr>
          <w:p w14:paraId="6D178082"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&lt; 0.002</w:t>
            </w:r>
          </w:p>
        </w:tc>
        <w:tc>
          <w:tcPr>
            <w:tcW w:w="1441" w:type="dxa"/>
            <w:tcBorders>
              <w:top w:val="nil"/>
              <w:left w:val="nil"/>
              <w:bottom w:val="single" w:sz="4" w:space="0" w:color="0F0D29" w:themeColor="text1"/>
              <w:right w:val="nil"/>
            </w:tcBorders>
            <w:shd w:val="clear" w:color="auto" w:fill="auto"/>
            <w:vAlign w:val="bottom"/>
          </w:tcPr>
          <w:p w14:paraId="39A9E27A" w14:textId="77777777" w:rsidR="00354C11" w:rsidRPr="00A80DDE" w:rsidRDefault="00354C11" w:rsidP="002B4C62">
            <w:pPr>
              <w:spacing w:line="240" w:lineRule="auto"/>
              <w:jc w:val="center"/>
              <w:rPr>
                <w:rFonts w:ascii="Times New Roman" w:eastAsia="Arial" w:hAnsi="Times New Roman" w:cs="Times New Roman"/>
                <w:color w:val="000000"/>
                <w:sz w:val="20"/>
                <w:szCs w:val="20"/>
              </w:rPr>
            </w:pPr>
            <w:r w:rsidRPr="00A80DDE">
              <w:rPr>
                <w:rFonts w:ascii="Times New Roman" w:eastAsia="Arial" w:hAnsi="Times New Roman" w:cs="Times New Roman"/>
                <w:color w:val="0F0D29" w:themeColor="text1"/>
                <w:sz w:val="20"/>
                <w:szCs w:val="20"/>
              </w:rPr>
              <w:t>5.0</w:t>
            </w:r>
          </w:p>
        </w:tc>
      </w:tr>
    </w:tbl>
    <w:p w14:paraId="666B2E64" w14:textId="77777777" w:rsidR="00354C11" w:rsidRPr="00354C11" w:rsidRDefault="00354C11" w:rsidP="00354C11">
      <w:pPr>
        <w:spacing w:line="240" w:lineRule="auto"/>
        <w:ind w:left="708"/>
        <w:rPr>
          <w:rFonts w:ascii="Arial" w:eastAsia="Arial" w:hAnsi="Arial" w:cs="Arial"/>
          <w:color w:val="000000"/>
          <w:sz w:val="20"/>
          <w:szCs w:val="20"/>
          <w:lang w:val="es-419"/>
        </w:rPr>
      </w:pPr>
      <w:r w:rsidRPr="00354C11">
        <w:rPr>
          <w:rFonts w:ascii="Times New Roman" w:eastAsia="Arial" w:hAnsi="Times New Roman" w:cs="Times New Roman"/>
          <w:sz w:val="20"/>
          <w:szCs w:val="20"/>
          <w:lang w:val="es-419"/>
        </w:rPr>
        <w:t xml:space="preserve">Notas: Elaboración propia. Con datos recopilados en el estudio a través de la autoridad reguladora (Ministerio de Salud, 2019). </w:t>
      </w:r>
      <w:r w:rsidRPr="00354C11">
        <w:rPr>
          <w:rFonts w:ascii="Times New Roman" w:eastAsia="Arial" w:hAnsi="Times New Roman" w:cs="Times New Roman"/>
          <w:sz w:val="20"/>
          <w:szCs w:val="20"/>
          <w:vertAlign w:val="superscript"/>
          <w:lang w:val="es-419"/>
        </w:rPr>
        <w:t xml:space="preserve">1 </w:t>
      </w:r>
      <w:r w:rsidRPr="00354C11">
        <w:rPr>
          <w:rFonts w:ascii="Times New Roman" w:eastAsia="Arial" w:hAnsi="Times New Roman" w:cs="Times New Roman"/>
          <w:color w:val="0F0D29" w:themeColor="text1"/>
          <w:sz w:val="20"/>
          <w:szCs w:val="20"/>
          <w:lang w:val="es-419"/>
        </w:rPr>
        <w:t xml:space="preserve">estimaciones del promedio y DE usando el método Kaplan-Meier; </w:t>
      </w:r>
      <w:r w:rsidRPr="00354C11">
        <w:rPr>
          <w:rFonts w:ascii="Times New Roman" w:eastAsia="Arial" w:hAnsi="Times New Roman" w:cs="Times New Roman"/>
          <w:color w:val="0F0D29" w:themeColor="text1"/>
          <w:sz w:val="20"/>
          <w:szCs w:val="20"/>
          <w:vertAlign w:val="superscript"/>
          <w:lang w:val="es-419"/>
        </w:rPr>
        <w:t xml:space="preserve">2 </w:t>
      </w:r>
      <w:r w:rsidRPr="00354C11">
        <w:rPr>
          <w:rFonts w:ascii="Times New Roman" w:eastAsia="Arial" w:hAnsi="Times New Roman" w:cs="Times New Roman"/>
          <w:color w:val="0F0D29" w:themeColor="text1"/>
          <w:sz w:val="20"/>
          <w:szCs w:val="20"/>
          <w:lang w:val="es-419"/>
        </w:rPr>
        <w:t>número de valores con datos menor al límite de cuantificación; DE, Desviación estándar</w:t>
      </w:r>
      <w:r w:rsidRPr="00354C11">
        <w:rPr>
          <w:rFonts w:ascii="Arial" w:eastAsia="Arial" w:hAnsi="Arial" w:cs="Arial"/>
          <w:color w:val="0F0D29" w:themeColor="text1"/>
          <w:sz w:val="20"/>
          <w:szCs w:val="20"/>
          <w:lang w:val="es-419"/>
        </w:rPr>
        <w:t>.</w:t>
      </w:r>
    </w:p>
    <w:p w14:paraId="38DF9502" w14:textId="77777777" w:rsidR="00354C11" w:rsidRPr="00354C11" w:rsidRDefault="00354C11" w:rsidP="00354C1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338"/>
        </w:tabs>
        <w:spacing w:line="240" w:lineRule="auto"/>
        <w:ind w:firstLine="709"/>
        <w:jc w:val="both"/>
        <w:rPr>
          <w:rFonts w:ascii="Times New Roman" w:hAnsi="Times New Roman" w:cs="Times New Roman"/>
          <w:sz w:val="24"/>
          <w:szCs w:val="24"/>
          <w:lang w:val="es-419"/>
        </w:rPr>
      </w:pPr>
    </w:p>
    <w:p w14:paraId="196CC0B4" w14:textId="08FB4095" w:rsidR="00817422" w:rsidRPr="00354C11" w:rsidRDefault="00817422" w:rsidP="00745120">
      <w:pPr>
        <w:pStyle w:val="Content"/>
        <w:spacing w:line="240" w:lineRule="auto"/>
        <w:jc w:val="both"/>
        <w:rPr>
          <w:rFonts w:asciiTheme="majorHAnsi" w:hAnsiTheme="majorHAnsi" w:cstheme="majorHAnsi"/>
          <w:color w:val="auto"/>
          <w:sz w:val="24"/>
          <w:szCs w:val="24"/>
          <w:lang w:val="es-ES_tradnl"/>
        </w:rPr>
      </w:pPr>
      <w:r w:rsidRPr="00354C11">
        <w:rPr>
          <w:rFonts w:asciiTheme="majorHAnsi" w:hAnsiTheme="majorHAnsi" w:cstheme="majorHAnsi"/>
          <w:color w:val="auto"/>
          <w:sz w:val="24"/>
          <w:szCs w:val="24"/>
          <w:lang w:val="es-ES_tradnl"/>
        </w:rPr>
        <w:t>La temperatura de los efluentes oscila entre 7.42-31.5 °C (</w:t>
      </w:r>
      <w:proofErr w:type="spellStart"/>
      <w:r w:rsidRPr="00354C11">
        <w:rPr>
          <w:rFonts w:asciiTheme="majorHAnsi" w:hAnsiTheme="majorHAnsi" w:cstheme="majorHAnsi"/>
          <w:color w:val="auto"/>
          <w:sz w:val="24"/>
          <w:szCs w:val="24"/>
          <w:lang w:val="es-ES_tradnl"/>
        </w:rPr>
        <w:t>Fig</w:t>
      </w:r>
      <w:proofErr w:type="spellEnd"/>
      <w:r w:rsidRPr="00354C11">
        <w:rPr>
          <w:rFonts w:asciiTheme="majorHAnsi" w:hAnsiTheme="majorHAnsi" w:cstheme="majorHAnsi"/>
          <w:color w:val="auto"/>
          <w:sz w:val="24"/>
          <w:szCs w:val="24"/>
          <w:lang w:val="es-ES_tradnl"/>
        </w:rPr>
        <w:t xml:space="preserve"> </w:t>
      </w:r>
      <w:r>
        <w:rPr>
          <w:rFonts w:asciiTheme="majorHAnsi" w:hAnsiTheme="majorHAnsi" w:cstheme="majorHAnsi"/>
          <w:color w:val="auto"/>
          <w:sz w:val="24"/>
          <w:szCs w:val="24"/>
          <w:lang w:val="es-ES_tradnl"/>
        </w:rPr>
        <w:t>2</w:t>
      </w:r>
      <w:r w:rsidRPr="00354C11">
        <w:rPr>
          <w:rFonts w:asciiTheme="majorHAnsi" w:hAnsiTheme="majorHAnsi" w:cstheme="majorHAnsi"/>
          <w:color w:val="auto"/>
          <w:sz w:val="24"/>
          <w:szCs w:val="24"/>
          <w:lang w:val="es-ES_tradnl"/>
        </w:rPr>
        <w:t>.b), con valores promedio muy similares en ambos tipos de vertido, además, se encontró solo un valor fuera del rango máximo admitido por el RVRAR; la variable pH, osciló entre 2.50-8.43 (</w:t>
      </w:r>
      <w:proofErr w:type="spellStart"/>
      <w:r w:rsidRPr="00354C11">
        <w:rPr>
          <w:rFonts w:asciiTheme="majorHAnsi" w:hAnsiTheme="majorHAnsi" w:cstheme="majorHAnsi"/>
          <w:color w:val="auto"/>
          <w:sz w:val="24"/>
          <w:szCs w:val="24"/>
          <w:lang w:val="es-ES_tradnl"/>
        </w:rPr>
        <w:t>Fig</w:t>
      </w:r>
      <w:proofErr w:type="spellEnd"/>
      <w:r w:rsidRPr="00354C11">
        <w:rPr>
          <w:rFonts w:asciiTheme="majorHAnsi" w:hAnsiTheme="majorHAnsi" w:cstheme="majorHAnsi"/>
          <w:color w:val="auto"/>
          <w:sz w:val="24"/>
          <w:szCs w:val="24"/>
          <w:lang w:val="es-ES_tradnl"/>
        </w:rPr>
        <w:t xml:space="preserve"> </w:t>
      </w:r>
      <w:r>
        <w:rPr>
          <w:rFonts w:asciiTheme="majorHAnsi" w:hAnsiTheme="majorHAnsi" w:cstheme="majorHAnsi"/>
          <w:color w:val="auto"/>
          <w:sz w:val="24"/>
          <w:szCs w:val="24"/>
          <w:lang w:val="es-ES_tradnl"/>
        </w:rPr>
        <w:t>2</w:t>
      </w:r>
      <w:r w:rsidRPr="00354C11">
        <w:rPr>
          <w:rFonts w:asciiTheme="majorHAnsi" w:hAnsiTheme="majorHAnsi" w:cstheme="majorHAnsi"/>
          <w:color w:val="auto"/>
          <w:sz w:val="24"/>
          <w:szCs w:val="24"/>
          <w:lang w:val="es-ES_tradnl"/>
        </w:rPr>
        <w:t>.c), registrando casos de incumplimiento para el límite máximo inferior del RVRAR para ambos tipos de vertidos, incluyendo las actividades del sector residencial, locales comerciales y droguería, lo anterior puede estar relacionado a condiciones de anoxia en dichos vertidos ya que  la degradación de materia orgánica en estas condiciones favorece procesos ácido génicos (</w:t>
      </w:r>
      <w:proofErr w:type="spellStart"/>
      <w:r w:rsidRPr="00354C11">
        <w:rPr>
          <w:rFonts w:asciiTheme="majorHAnsi" w:hAnsiTheme="majorHAnsi" w:cstheme="majorHAnsi"/>
          <w:color w:val="auto"/>
          <w:sz w:val="24"/>
          <w:szCs w:val="24"/>
          <w:lang w:val="es-ES_tradnl"/>
        </w:rPr>
        <w:t>Meegoda</w:t>
      </w:r>
      <w:proofErr w:type="spellEnd"/>
      <w:r w:rsidRPr="00354C11">
        <w:rPr>
          <w:rFonts w:asciiTheme="majorHAnsi" w:hAnsiTheme="majorHAnsi" w:cstheme="majorHAnsi"/>
          <w:color w:val="auto"/>
          <w:sz w:val="24"/>
          <w:szCs w:val="24"/>
          <w:lang w:val="es-ES_tradnl"/>
        </w:rPr>
        <w:t xml:space="preserve"> et al, 2018).</w:t>
      </w:r>
    </w:p>
    <w:p w14:paraId="0937EC1D" w14:textId="77777777" w:rsidR="00354C11" w:rsidRPr="00817422" w:rsidRDefault="00354C11" w:rsidP="00745120">
      <w:pPr>
        <w:pStyle w:val="Content"/>
        <w:spacing w:line="240" w:lineRule="auto"/>
        <w:jc w:val="both"/>
        <w:rPr>
          <w:rFonts w:asciiTheme="majorHAnsi" w:hAnsiTheme="majorHAnsi" w:cstheme="majorHAnsi"/>
          <w:color w:val="auto"/>
          <w:sz w:val="24"/>
          <w:szCs w:val="24"/>
          <w:lang w:val="es-ES_tradnl"/>
        </w:rPr>
      </w:pPr>
    </w:p>
    <w:p w14:paraId="14F3CCB1" w14:textId="30BE8AE0" w:rsidR="00354C11" w:rsidRPr="00354C11" w:rsidRDefault="00354C11" w:rsidP="00354C11">
      <w:pPr>
        <w:pStyle w:val="Content"/>
        <w:jc w:val="both"/>
        <w:rPr>
          <w:rFonts w:asciiTheme="majorHAnsi" w:hAnsiTheme="majorHAnsi" w:cstheme="majorHAnsi"/>
          <w:color w:val="auto"/>
          <w:sz w:val="24"/>
          <w:szCs w:val="24"/>
          <w:lang w:val="es-ES_tradnl"/>
        </w:rPr>
      </w:pPr>
      <w:r>
        <w:rPr>
          <w:rFonts w:ascii="Times New Roman" w:hAnsi="Times New Roman" w:cs="Times New Roman"/>
          <w:iCs/>
          <w:noProof/>
          <w:sz w:val="24"/>
          <w:szCs w:val="24"/>
          <w:lang w:val="es-ES_tradnl"/>
        </w:rPr>
        <w:lastRenderedPageBreak/>
        <w:drawing>
          <wp:anchor distT="0" distB="0" distL="114300" distR="114300" simplePos="0" relativeHeight="251670528" behindDoc="0" locked="0" layoutInCell="1" allowOverlap="1" wp14:anchorId="18E27E3B" wp14:editId="6A2718E1">
            <wp:simplePos x="0" y="0"/>
            <wp:positionH relativeFrom="margin">
              <wp:posOffset>-228600</wp:posOffset>
            </wp:positionH>
            <wp:positionV relativeFrom="paragraph">
              <wp:posOffset>133350</wp:posOffset>
            </wp:positionV>
            <wp:extent cx="6819900" cy="6819900"/>
            <wp:effectExtent l="0" t="0" r="0" b="0"/>
            <wp:wrapTopAndBottom/>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819900" cy="68199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800631D" w14:textId="77777777" w:rsidR="00354C11" w:rsidRPr="00354C11" w:rsidRDefault="00354C11" w:rsidP="00354C11">
      <w:pPr>
        <w:pStyle w:val="Content"/>
        <w:jc w:val="both"/>
        <w:rPr>
          <w:rFonts w:asciiTheme="majorHAnsi" w:hAnsiTheme="majorHAnsi" w:cstheme="majorHAnsi"/>
          <w:color w:val="auto"/>
          <w:sz w:val="24"/>
          <w:szCs w:val="24"/>
          <w:lang w:val="es-ES_tradnl"/>
        </w:rPr>
      </w:pPr>
    </w:p>
    <w:p w14:paraId="71E72DF1" w14:textId="4666D925" w:rsidR="00354C11" w:rsidRPr="00817422" w:rsidRDefault="00354C11" w:rsidP="00354C11">
      <w:pPr>
        <w:pStyle w:val="Content"/>
        <w:jc w:val="both"/>
        <w:rPr>
          <w:rFonts w:asciiTheme="majorHAnsi" w:hAnsiTheme="majorHAnsi" w:cstheme="majorHAnsi"/>
          <w:color w:val="auto"/>
          <w:sz w:val="20"/>
          <w:szCs w:val="20"/>
          <w:lang w:val="es-ES_tradnl"/>
        </w:rPr>
      </w:pPr>
      <w:r w:rsidRPr="00817422">
        <w:rPr>
          <w:rFonts w:asciiTheme="majorHAnsi" w:hAnsiTheme="majorHAnsi" w:cstheme="majorHAnsi"/>
          <w:b/>
          <w:bCs/>
          <w:color w:val="auto"/>
          <w:sz w:val="20"/>
          <w:szCs w:val="20"/>
          <w:lang w:val="es-ES_tradnl"/>
        </w:rPr>
        <w:t xml:space="preserve">Figura </w:t>
      </w:r>
      <w:r w:rsidR="00817422" w:rsidRPr="00817422">
        <w:rPr>
          <w:rFonts w:asciiTheme="majorHAnsi" w:hAnsiTheme="majorHAnsi" w:cstheme="majorHAnsi"/>
          <w:b/>
          <w:bCs/>
          <w:color w:val="auto"/>
          <w:sz w:val="20"/>
          <w:szCs w:val="20"/>
          <w:lang w:val="es-ES_tradnl"/>
        </w:rPr>
        <w:t>2</w:t>
      </w:r>
      <w:r w:rsidRPr="00817422">
        <w:rPr>
          <w:rFonts w:asciiTheme="majorHAnsi" w:hAnsiTheme="majorHAnsi" w:cstheme="majorHAnsi"/>
          <w:b/>
          <w:bCs/>
          <w:color w:val="auto"/>
          <w:sz w:val="20"/>
          <w:szCs w:val="20"/>
          <w:lang w:val="es-ES_tradnl"/>
        </w:rPr>
        <w:t>.</w:t>
      </w:r>
      <w:r w:rsidRPr="00817422">
        <w:rPr>
          <w:rFonts w:asciiTheme="majorHAnsi" w:hAnsiTheme="majorHAnsi" w:cstheme="majorHAnsi"/>
          <w:color w:val="auto"/>
          <w:sz w:val="20"/>
          <w:szCs w:val="20"/>
          <w:lang w:val="es-ES_tradnl"/>
        </w:rPr>
        <w:t xml:space="preserve"> Variación de los parámetros de control obligatorio de los reportes operacionales de agua residual según tipo de vertido y actividad generadora. Fuente: Propia de la investigación </w:t>
      </w:r>
    </w:p>
    <w:p w14:paraId="69752CB5" w14:textId="77777777" w:rsidR="00817422" w:rsidRPr="00354C11" w:rsidRDefault="00817422" w:rsidP="00354C11">
      <w:pPr>
        <w:pStyle w:val="Content"/>
        <w:jc w:val="both"/>
        <w:rPr>
          <w:rFonts w:asciiTheme="majorHAnsi" w:hAnsiTheme="majorHAnsi" w:cstheme="majorHAnsi"/>
          <w:color w:val="auto"/>
          <w:sz w:val="24"/>
          <w:szCs w:val="24"/>
          <w:lang w:val="es-ES_tradnl"/>
        </w:rPr>
      </w:pPr>
    </w:p>
    <w:p w14:paraId="4CDA71A8" w14:textId="0DDAAEB3" w:rsidR="00354C11" w:rsidRPr="00354C11" w:rsidRDefault="00354C11" w:rsidP="00354C11">
      <w:pPr>
        <w:pStyle w:val="Content"/>
        <w:jc w:val="both"/>
        <w:rPr>
          <w:rFonts w:asciiTheme="majorHAnsi" w:hAnsiTheme="majorHAnsi" w:cstheme="majorHAnsi"/>
          <w:color w:val="auto"/>
          <w:sz w:val="24"/>
          <w:szCs w:val="24"/>
          <w:lang w:val="es-ES_tradnl"/>
        </w:rPr>
      </w:pPr>
      <w:r w:rsidRPr="00354C11">
        <w:rPr>
          <w:rFonts w:asciiTheme="majorHAnsi" w:hAnsiTheme="majorHAnsi" w:cstheme="majorHAnsi"/>
          <w:color w:val="auto"/>
          <w:sz w:val="24"/>
          <w:szCs w:val="24"/>
          <w:lang w:val="es-ES_tradnl"/>
        </w:rPr>
        <w:t xml:space="preserve"> </w:t>
      </w:r>
    </w:p>
    <w:p w14:paraId="734724A7" w14:textId="77777777" w:rsidR="00354C11" w:rsidRPr="00354C11" w:rsidRDefault="00354C11" w:rsidP="00354C11">
      <w:pPr>
        <w:pStyle w:val="Content"/>
        <w:jc w:val="both"/>
        <w:rPr>
          <w:rFonts w:asciiTheme="majorHAnsi" w:hAnsiTheme="majorHAnsi" w:cstheme="majorHAnsi"/>
          <w:color w:val="auto"/>
          <w:sz w:val="24"/>
          <w:szCs w:val="24"/>
          <w:lang w:val="es-ES_tradnl"/>
        </w:rPr>
      </w:pPr>
    </w:p>
    <w:p w14:paraId="0B5606B8" w14:textId="7B95F7CF" w:rsidR="00354C11" w:rsidRPr="00354C11" w:rsidRDefault="00354C11" w:rsidP="00745120">
      <w:pPr>
        <w:pStyle w:val="Content"/>
        <w:spacing w:line="240" w:lineRule="auto"/>
        <w:jc w:val="both"/>
        <w:rPr>
          <w:rFonts w:asciiTheme="majorHAnsi" w:hAnsiTheme="majorHAnsi" w:cstheme="majorHAnsi"/>
          <w:color w:val="auto"/>
          <w:sz w:val="24"/>
          <w:szCs w:val="24"/>
          <w:lang w:val="es-ES_tradnl"/>
        </w:rPr>
      </w:pPr>
      <w:r w:rsidRPr="00354C11">
        <w:rPr>
          <w:rFonts w:asciiTheme="majorHAnsi" w:hAnsiTheme="majorHAnsi" w:cstheme="majorHAnsi"/>
          <w:color w:val="auto"/>
          <w:sz w:val="24"/>
          <w:szCs w:val="24"/>
          <w:lang w:val="es-ES_tradnl"/>
        </w:rPr>
        <w:lastRenderedPageBreak/>
        <w:t xml:space="preserve">Los </w:t>
      </w:r>
      <w:proofErr w:type="spellStart"/>
      <w:r w:rsidRPr="00354C11">
        <w:rPr>
          <w:rFonts w:asciiTheme="majorHAnsi" w:hAnsiTheme="majorHAnsi" w:cstheme="majorHAnsi"/>
          <w:color w:val="auto"/>
          <w:sz w:val="24"/>
          <w:szCs w:val="24"/>
          <w:lang w:val="es-ES_tradnl"/>
        </w:rPr>
        <w:t>S.Sed</w:t>
      </w:r>
      <w:proofErr w:type="spellEnd"/>
      <w:r w:rsidRPr="00354C11">
        <w:rPr>
          <w:rFonts w:asciiTheme="majorHAnsi" w:hAnsiTheme="majorHAnsi" w:cstheme="majorHAnsi"/>
          <w:color w:val="auto"/>
          <w:sz w:val="24"/>
          <w:szCs w:val="24"/>
          <w:lang w:val="es-ES_tradnl"/>
        </w:rPr>
        <w:t xml:space="preserve"> oscilaron entre &lt;0.1-181.0 mg/L (</w:t>
      </w:r>
      <w:proofErr w:type="spellStart"/>
      <w:r w:rsidRPr="00354C11">
        <w:rPr>
          <w:rFonts w:asciiTheme="majorHAnsi" w:hAnsiTheme="majorHAnsi" w:cstheme="majorHAnsi"/>
          <w:color w:val="auto"/>
          <w:sz w:val="24"/>
          <w:szCs w:val="24"/>
          <w:lang w:val="es-ES_tradnl"/>
        </w:rPr>
        <w:t>Fig</w:t>
      </w:r>
      <w:proofErr w:type="spellEnd"/>
      <w:r w:rsidRPr="00354C11">
        <w:rPr>
          <w:rFonts w:asciiTheme="majorHAnsi" w:hAnsiTheme="majorHAnsi" w:cstheme="majorHAnsi"/>
          <w:color w:val="auto"/>
          <w:sz w:val="24"/>
          <w:szCs w:val="24"/>
          <w:lang w:val="es-ES_tradnl"/>
        </w:rPr>
        <w:t xml:space="preserve"> </w:t>
      </w:r>
      <w:r w:rsidR="00817422">
        <w:rPr>
          <w:rFonts w:asciiTheme="majorHAnsi" w:hAnsiTheme="majorHAnsi" w:cstheme="majorHAnsi"/>
          <w:color w:val="auto"/>
          <w:sz w:val="24"/>
          <w:szCs w:val="24"/>
          <w:lang w:val="es-ES_tradnl"/>
        </w:rPr>
        <w:t>2</w:t>
      </w:r>
      <w:r w:rsidRPr="00354C11">
        <w:rPr>
          <w:rFonts w:asciiTheme="majorHAnsi" w:hAnsiTheme="majorHAnsi" w:cstheme="majorHAnsi"/>
          <w:color w:val="auto"/>
          <w:sz w:val="24"/>
          <w:szCs w:val="24"/>
          <w:lang w:val="es-ES_tradnl"/>
        </w:rPr>
        <w:t>.d), específicamente, los efluentes dispuestos en el alcantarillado sanitario mostraron un valor promedio que corresponde al doble de la concentración dispuesta en los cuerpos receptores, no obstante, esta diferencia no es significativa desde el punto de vista regulatorio puesto que no se encontró ningún valor violatorio de dicho parámetro en los vertidos al alcantarillado y en los efluentes dispuestos en cuerpos receptores solo se registró un reporte que supera el límite máximo de acuerdo al RVRAR. Los SST oscilaron entre &lt;0.2-143 mg/L (</w:t>
      </w:r>
      <w:proofErr w:type="spellStart"/>
      <w:r w:rsidRPr="00354C11">
        <w:rPr>
          <w:rFonts w:asciiTheme="majorHAnsi" w:hAnsiTheme="majorHAnsi" w:cstheme="majorHAnsi"/>
          <w:color w:val="auto"/>
          <w:sz w:val="24"/>
          <w:szCs w:val="24"/>
          <w:lang w:val="es-ES_tradnl"/>
        </w:rPr>
        <w:t>Fig</w:t>
      </w:r>
      <w:proofErr w:type="spellEnd"/>
      <w:r w:rsidRPr="00354C11">
        <w:rPr>
          <w:rFonts w:asciiTheme="majorHAnsi" w:hAnsiTheme="majorHAnsi" w:cstheme="majorHAnsi"/>
          <w:color w:val="auto"/>
          <w:sz w:val="24"/>
          <w:szCs w:val="24"/>
          <w:lang w:val="es-ES_tradnl"/>
        </w:rPr>
        <w:t xml:space="preserve"> </w:t>
      </w:r>
      <w:r w:rsidR="00817422">
        <w:rPr>
          <w:rFonts w:asciiTheme="majorHAnsi" w:hAnsiTheme="majorHAnsi" w:cstheme="majorHAnsi"/>
          <w:color w:val="auto"/>
          <w:sz w:val="24"/>
          <w:szCs w:val="24"/>
          <w:lang w:val="es-ES_tradnl"/>
        </w:rPr>
        <w:t>2</w:t>
      </w:r>
      <w:r w:rsidRPr="00354C11">
        <w:rPr>
          <w:rFonts w:asciiTheme="majorHAnsi" w:hAnsiTheme="majorHAnsi" w:cstheme="majorHAnsi"/>
          <w:color w:val="auto"/>
          <w:sz w:val="24"/>
          <w:szCs w:val="24"/>
          <w:lang w:val="es-ES_tradnl"/>
        </w:rPr>
        <w:t>.e), la distribución de los datos no presentó diferencia significativa de acuerdo con el tipo de vertido (</w:t>
      </w:r>
      <w:r w:rsidR="00817422">
        <w:rPr>
          <w:rFonts w:asciiTheme="majorHAnsi" w:hAnsiTheme="majorHAnsi" w:cstheme="majorHAnsi"/>
          <w:color w:val="auto"/>
          <w:sz w:val="24"/>
          <w:szCs w:val="24"/>
          <w:lang w:val="es-ES_tradnl"/>
        </w:rPr>
        <w:t>χ</w:t>
      </w:r>
      <w:r w:rsidRPr="00817422">
        <w:rPr>
          <w:rFonts w:asciiTheme="majorHAnsi" w:hAnsiTheme="majorHAnsi" w:cstheme="majorHAnsi"/>
          <w:color w:val="auto"/>
          <w:sz w:val="24"/>
          <w:szCs w:val="24"/>
          <w:vertAlign w:val="superscript"/>
          <w:lang w:val="es-ES_tradnl"/>
        </w:rPr>
        <w:t>2</w:t>
      </w:r>
      <w:r w:rsidRPr="00354C11">
        <w:rPr>
          <w:rFonts w:asciiTheme="majorHAnsi" w:hAnsiTheme="majorHAnsi" w:cstheme="majorHAnsi"/>
          <w:color w:val="auto"/>
          <w:sz w:val="24"/>
          <w:szCs w:val="24"/>
          <w:lang w:val="es-ES_tradnl"/>
        </w:rPr>
        <w:t xml:space="preserve">=0.5, p&gt;0.05), por lo tanto, los valores promedio para vertidos a cuerpo receptor y alcantarillado son muy similares e incluso menores a la mitad del límite máximo del RVRAR, a pesar de lo anterior, se encontraron valores violatorios para la actividad de supermercado y locales comerciales que vierten a cuerpo receptor. Los sólidos sedimentables y suspendidos, en principio son removidos en etapas de tratamiento primario y secundario, no obstante, puede existir material remanente en el efluente de salida por lo que el control de estos parámetros es importante debido a que este material contribuye significativamente al flujo de nitrógeno y fósforo de los cuerpos receptores, siendo un factor que puede favorecer los procesos de eutrofización y la modificación de parámetros químicos y biológicos que juegan un rol importante en el equilibrio de los ecosistemas hídricos. (Carey y </w:t>
      </w:r>
      <w:proofErr w:type="spellStart"/>
      <w:r w:rsidRPr="00354C11">
        <w:rPr>
          <w:rFonts w:asciiTheme="majorHAnsi" w:hAnsiTheme="majorHAnsi" w:cstheme="majorHAnsi"/>
          <w:color w:val="auto"/>
          <w:sz w:val="24"/>
          <w:szCs w:val="24"/>
          <w:lang w:val="es-ES_tradnl"/>
        </w:rPr>
        <w:t>Migliaccio</w:t>
      </w:r>
      <w:proofErr w:type="spellEnd"/>
      <w:r w:rsidRPr="00354C11">
        <w:rPr>
          <w:rFonts w:asciiTheme="majorHAnsi" w:hAnsiTheme="majorHAnsi" w:cstheme="majorHAnsi"/>
          <w:color w:val="auto"/>
          <w:sz w:val="24"/>
          <w:szCs w:val="24"/>
          <w:lang w:val="es-ES_tradnl"/>
        </w:rPr>
        <w:t xml:space="preserve">, 2009; </w:t>
      </w:r>
      <w:proofErr w:type="spellStart"/>
      <w:r w:rsidRPr="00354C11">
        <w:rPr>
          <w:rFonts w:asciiTheme="majorHAnsi" w:hAnsiTheme="majorHAnsi" w:cstheme="majorHAnsi"/>
          <w:color w:val="auto"/>
          <w:sz w:val="24"/>
          <w:szCs w:val="24"/>
          <w:lang w:val="es-ES_tradnl"/>
        </w:rPr>
        <w:t>Merbt</w:t>
      </w:r>
      <w:proofErr w:type="spellEnd"/>
      <w:r w:rsidRPr="00354C11">
        <w:rPr>
          <w:rFonts w:asciiTheme="majorHAnsi" w:hAnsiTheme="majorHAnsi" w:cstheme="majorHAnsi"/>
          <w:color w:val="auto"/>
          <w:sz w:val="24"/>
          <w:szCs w:val="24"/>
          <w:lang w:val="es-ES_tradnl"/>
        </w:rPr>
        <w:t xml:space="preserve"> et al., 2015)</w:t>
      </w:r>
    </w:p>
    <w:p w14:paraId="7E4C719E" w14:textId="77777777" w:rsidR="00354C11" w:rsidRPr="00354C11" w:rsidRDefault="00354C11" w:rsidP="00745120">
      <w:pPr>
        <w:pStyle w:val="Content"/>
        <w:spacing w:line="240" w:lineRule="auto"/>
        <w:jc w:val="both"/>
        <w:rPr>
          <w:rFonts w:asciiTheme="majorHAnsi" w:hAnsiTheme="majorHAnsi" w:cstheme="majorHAnsi"/>
          <w:color w:val="auto"/>
          <w:sz w:val="24"/>
          <w:szCs w:val="24"/>
          <w:lang w:val="es-ES_tradnl"/>
        </w:rPr>
      </w:pPr>
    </w:p>
    <w:p w14:paraId="55AFC41E" w14:textId="524230BA" w:rsidR="00354C11" w:rsidRPr="00354C11" w:rsidRDefault="00354C11" w:rsidP="00745120">
      <w:pPr>
        <w:pStyle w:val="Content"/>
        <w:spacing w:line="240" w:lineRule="auto"/>
        <w:jc w:val="both"/>
        <w:rPr>
          <w:rFonts w:asciiTheme="majorHAnsi" w:hAnsiTheme="majorHAnsi" w:cstheme="majorHAnsi"/>
          <w:color w:val="auto"/>
          <w:sz w:val="24"/>
          <w:szCs w:val="24"/>
          <w:lang w:val="es-ES_tradnl"/>
        </w:rPr>
      </w:pPr>
      <w:r w:rsidRPr="00354C11">
        <w:rPr>
          <w:rFonts w:asciiTheme="majorHAnsi" w:hAnsiTheme="majorHAnsi" w:cstheme="majorHAnsi"/>
          <w:color w:val="auto"/>
          <w:sz w:val="24"/>
          <w:szCs w:val="24"/>
          <w:lang w:val="es-ES_tradnl"/>
        </w:rPr>
        <w:t>El parámetro de SAAM, osciló entre &lt; 0.002-12.1 mg/L (</w:t>
      </w:r>
      <w:proofErr w:type="spellStart"/>
      <w:r w:rsidRPr="00354C11">
        <w:rPr>
          <w:rFonts w:asciiTheme="majorHAnsi" w:hAnsiTheme="majorHAnsi" w:cstheme="majorHAnsi"/>
          <w:color w:val="auto"/>
          <w:sz w:val="24"/>
          <w:szCs w:val="24"/>
          <w:lang w:val="es-ES_tradnl"/>
        </w:rPr>
        <w:t>Fig</w:t>
      </w:r>
      <w:proofErr w:type="spellEnd"/>
      <w:r w:rsidRPr="00354C11">
        <w:rPr>
          <w:rFonts w:asciiTheme="majorHAnsi" w:hAnsiTheme="majorHAnsi" w:cstheme="majorHAnsi"/>
          <w:color w:val="auto"/>
          <w:sz w:val="24"/>
          <w:szCs w:val="24"/>
          <w:lang w:val="es-ES_tradnl"/>
        </w:rPr>
        <w:t xml:space="preserve"> </w:t>
      </w:r>
      <w:r w:rsidR="00817422">
        <w:rPr>
          <w:rFonts w:asciiTheme="majorHAnsi" w:hAnsiTheme="majorHAnsi" w:cstheme="majorHAnsi"/>
          <w:color w:val="auto"/>
          <w:sz w:val="24"/>
          <w:szCs w:val="24"/>
          <w:lang w:val="es-ES_tradnl"/>
        </w:rPr>
        <w:t>2</w:t>
      </w:r>
      <w:r w:rsidRPr="00354C11">
        <w:rPr>
          <w:rFonts w:asciiTheme="majorHAnsi" w:hAnsiTheme="majorHAnsi" w:cstheme="majorHAnsi"/>
          <w:color w:val="auto"/>
          <w:sz w:val="24"/>
          <w:szCs w:val="24"/>
          <w:lang w:val="es-ES_tradnl"/>
        </w:rPr>
        <w:t>.f), con una distribución significativamente distinta de acuerdo con el tipo de vertido (χ</w:t>
      </w:r>
      <w:r w:rsidRPr="00817422">
        <w:rPr>
          <w:rFonts w:asciiTheme="majorHAnsi" w:hAnsiTheme="majorHAnsi" w:cstheme="majorHAnsi"/>
          <w:color w:val="auto"/>
          <w:sz w:val="24"/>
          <w:szCs w:val="24"/>
          <w:vertAlign w:val="superscript"/>
          <w:lang w:val="es-ES_tradnl"/>
        </w:rPr>
        <w:t>2</w:t>
      </w:r>
      <w:r w:rsidRPr="00354C11">
        <w:rPr>
          <w:rFonts w:asciiTheme="majorHAnsi" w:hAnsiTheme="majorHAnsi" w:cstheme="majorHAnsi"/>
          <w:color w:val="auto"/>
          <w:sz w:val="24"/>
          <w:szCs w:val="24"/>
          <w:lang w:val="es-ES_tradnl"/>
        </w:rPr>
        <w:t xml:space="preserve">=3.7, p&lt;0.05), siendo la concentración dispuesta en el alcantarillado aproximadamente 3 veces mayor que la dispuesta en cuerpos receptores; no obstante, los valores promedio son menores que el límite máximo establecido en el RVRAR, encontrándose únicamente 2 reportes que superaban los 5 mg/L. A pesar de lo anterior, el parámetro de SAAM como estimador de la carga orgánica aportada por sustancias surfactantes, es importante que sea controlado en los efluentes de los </w:t>
      </w:r>
      <w:proofErr w:type="spellStart"/>
      <w:r w:rsidRPr="00354C11">
        <w:rPr>
          <w:rFonts w:asciiTheme="majorHAnsi" w:hAnsiTheme="majorHAnsi" w:cstheme="majorHAnsi"/>
          <w:color w:val="auto"/>
          <w:sz w:val="24"/>
          <w:szCs w:val="24"/>
          <w:lang w:val="es-ES_tradnl"/>
        </w:rPr>
        <w:t>PTAR´s</w:t>
      </w:r>
      <w:proofErr w:type="spellEnd"/>
      <w:r w:rsidRPr="00354C11">
        <w:rPr>
          <w:rFonts w:asciiTheme="majorHAnsi" w:hAnsiTheme="majorHAnsi" w:cstheme="majorHAnsi"/>
          <w:color w:val="auto"/>
          <w:sz w:val="24"/>
          <w:szCs w:val="24"/>
          <w:lang w:val="es-ES_tradnl"/>
        </w:rPr>
        <w:t>, ya que se ha demostrado impactos en la biodiversidad acuática de los cuerpos receptores debido a importantes efectos eco tóxicos de dichas sustancias (</w:t>
      </w:r>
      <w:proofErr w:type="spellStart"/>
      <w:r w:rsidRPr="00354C11">
        <w:rPr>
          <w:rFonts w:asciiTheme="majorHAnsi" w:hAnsiTheme="majorHAnsi" w:cstheme="majorHAnsi"/>
          <w:color w:val="auto"/>
          <w:sz w:val="24"/>
          <w:szCs w:val="24"/>
          <w:lang w:val="es-ES_tradnl"/>
        </w:rPr>
        <w:t>Rebellos</w:t>
      </w:r>
      <w:proofErr w:type="spellEnd"/>
      <w:r w:rsidRPr="00354C11">
        <w:rPr>
          <w:rFonts w:asciiTheme="majorHAnsi" w:hAnsiTheme="majorHAnsi" w:cstheme="majorHAnsi"/>
          <w:color w:val="auto"/>
          <w:sz w:val="24"/>
          <w:szCs w:val="24"/>
          <w:lang w:val="es-ES_tradnl"/>
        </w:rPr>
        <w:t xml:space="preserve"> et al., 2014), además de biodegradabilidades cercanas a los 30 días (García et al., 2009). Las </w:t>
      </w:r>
      <w:proofErr w:type="spellStart"/>
      <w:r w:rsidRPr="00354C11">
        <w:rPr>
          <w:rFonts w:asciiTheme="majorHAnsi" w:hAnsiTheme="majorHAnsi" w:cstheme="majorHAnsi"/>
          <w:color w:val="auto"/>
          <w:sz w:val="24"/>
          <w:szCs w:val="24"/>
          <w:lang w:val="es-ES_tradnl"/>
        </w:rPr>
        <w:t>GyA</w:t>
      </w:r>
      <w:proofErr w:type="spellEnd"/>
      <w:r w:rsidRPr="00354C11">
        <w:rPr>
          <w:rFonts w:asciiTheme="majorHAnsi" w:hAnsiTheme="majorHAnsi" w:cstheme="majorHAnsi"/>
          <w:color w:val="auto"/>
          <w:sz w:val="24"/>
          <w:szCs w:val="24"/>
          <w:lang w:val="es-ES_tradnl"/>
        </w:rPr>
        <w:t xml:space="preserve"> oscilaron entre &lt; 0.2 – 102 mg/L (</w:t>
      </w:r>
      <w:proofErr w:type="spellStart"/>
      <w:r w:rsidRPr="00354C11">
        <w:rPr>
          <w:rFonts w:asciiTheme="majorHAnsi" w:hAnsiTheme="majorHAnsi" w:cstheme="majorHAnsi"/>
          <w:color w:val="auto"/>
          <w:sz w:val="24"/>
          <w:szCs w:val="24"/>
          <w:lang w:val="es-ES_tradnl"/>
        </w:rPr>
        <w:t>Fig</w:t>
      </w:r>
      <w:proofErr w:type="spellEnd"/>
      <w:r w:rsidRPr="00354C11">
        <w:rPr>
          <w:rFonts w:asciiTheme="majorHAnsi" w:hAnsiTheme="majorHAnsi" w:cstheme="majorHAnsi"/>
          <w:color w:val="auto"/>
          <w:sz w:val="24"/>
          <w:szCs w:val="24"/>
          <w:lang w:val="es-ES_tradnl"/>
        </w:rPr>
        <w:t xml:space="preserve"> </w:t>
      </w:r>
      <w:r w:rsidR="00817422">
        <w:rPr>
          <w:rFonts w:asciiTheme="majorHAnsi" w:hAnsiTheme="majorHAnsi" w:cstheme="majorHAnsi"/>
          <w:color w:val="auto"/>
          <w:sz w:val="24"/>
          <w:szCs w:val="24"/>
          <w:lang w:val="es-ES_tradnl"/>
        </w:rPr>
        <w:t>2</w:t>
      </w:r>
      <w:r w:rsidRPr="00354C11">
        <w:rPr>
          <w:rFonts w:asciiTheme="majorHAnsi" w:hAnsiTheme="majorHAnsi" w:cstheme="majorHAnsi"/>
          <w:color w:val="auto"/>
          <w:sz w:val="24"/>
          <w:szCs w:val="24"/>
          <w:lang w:val="es-ES_tradnl"/>
        </w:rPr>
        <w:t>.g), no se encontraron diferencias significativas en la distribución de los datos de acuerdo con el tipo de vertido (χ</w:t>
      </w:r>
      <w:r w:rsidRPr="00817422">
        <w:rPr>
          <w:rFonts w:asciiTheme="majorHAnsi" w:hAnsiTheme="majorHAnsi" w:cstheme="majorHAnsi"/>
          <w:color w:val="auto"/>
          <w:sz w:val="24"/>
          <w:szCs w:val="24"/>
          <w:vertAlign w:val="superscript"/>
          <w:lang w:val="es-ES_tradnl"/>
        </w:rPr>
        <w:t>2</w:t>
      </w:r>
      <w:r w:rsidRPr="00354C11">
        <w:rPr>
          <w:rFonts w:asciiTheme="majorHAnsi" w:hAnsiTheme="majorHAnsi" w:cstheme="majorHAnsi"/>
          <w:color w:val="auto"/>
          <w:sz w:val="24"/>
          <w:szCs w:val="24"/>
          <w:lang w:val="es-ES_tradnl"/>
        </w:rPr>
        <w:t xml:space="preserve">=0.7, p&gt;0.05), mientras que solo dos actividades (residencial y fabricación de dulces), presentaron valores superiores al límite máximo. A pesar de que las </w:t>
      </w:r>
      <w:proofErr w:type="spellStart"/>
      <w:r w:rsidRPr="00354C11">
        <w:rPr>
          <w:rFonts w:asciiTheme="majorHAnsi" w:hAnsiTheme="majorHAnsi" w:cstheme="majorHAnsi"/>
          <w:color w:val="auto"/>
          <w:sz w:val="24"/>
          <w:szCs w:val="24"/>
          <w:lang w:val="es-ES_tradnl"/>
        </w:rPr>
        <w:t>GyA</w:t>
      </w:r>
      <w:proofErr w:type="spellEnd"/>
      <w:r w:rsidRPr="00354C11">
        <w:rPr>
          <w:rFonts w:asciiTheme="majorHAnsi" w:hAnsiTheme="majorHAnsi" w:cstheme="majorHAnsi"/>
          <w:color w:val="auto"/>
          <w:sz w:val="24"/>
          <w:szCs w:val="24"/>
          <w:lang w:val="es-ES_tradnl"/>
        </w:rPr>
        <w:t xml:space="preserve"> provenientes de fuentes residenciales son mayoritariamente ácidos grasos de rápida biodegradabilidad (</w:t>
      </w:r>
      <w:proofErr w:type="spellStart"/>
      <w:r w:rsidRPr="00354C11">
        <w:rPr>
          <w:rFonts w:asciiTheme="majorHAnsi" w:hAnsiTheme="majorHAnsi" w:cstheme="majorHAnsi"/>
          <w:color w:val="auto"/>
          <w:sz w:val="24"/>
          <w:szCs w:val="24"/>
          <w:lang w:val="es-ES_tradnl"/>
        </w:rPr>
        <w:t>Willey</w:t>
      </w:r>
      <w:proofErr w:type="spellEnd"/>
      <w:r w:rsidRPr="00354C11">
        <w:rPr>
          <w:rFonts w:asciiTheme="majorHAnsi" w:hAnsiTheme="majorHAnsi" w:cstheme="majorHAnsi"/>
          <w:color w:val="auto"/>
          <w:sz w:val="24"/>
          <w:szCs w:val="24"/>
          <w:lang w:val="es-ES_tradnl"/>
        </w:rPr>
        <w:t xml:space="preserve"> 2001), estas sustancias propician la disminución del oxígeno disuelto de los cuerpos receptores, además, existe una proporción de </w:t>
      </w:r>
      <w:proofErr w:type="spellStart"/>
      <w:r w:rsidRPr="00354C11">
        <w:rPr>
          <w:rFonts w:asciiTheme="majorHAnsi" w:hAnsiTheme="majorHAnsi" w:cstheme="majorHAnsi"/>
          <w:color w:val="auto"/>
          <w:sz w:val="24"/>
          <w:szCs w:val="24"/>
          <w:lang w:val="es-ES_tradnl"/>
        </w:rPr>
        <w:t>GyA</w:t>
      </w:r>
      <w:proofErr w:type="spellEnd"/>
      <w:r w:rsidRPr="00354C11">
        <w:rPr>
          <w:rFonts w:asciiTheme="majorHAnsi" w:hAnsiTheme="majorHAnsi" w:cstheme="majorHAnsi"/>
          <w:color w:val="auto"/>
          <w:sz w:val="24"/>
          <w:szCs w:val="24"/>
          <w:lang w:val="es-ES_tradnl"/>
        </w:rPr>
        <w:t xml:space="preserve"> que pueden provenir de lubricantes y otros compuestos sintéticos que contienen compuestos aromáticos, hidrocarburos clorados e incluso metales pesados, lo cual incrementa el riesgo por ecotoxicidad para el cuerpo receptor (</w:t>
      </w:r>
      <w:proofErr w:type="spellStart"/>
      <w:r w:rsidRPr="00354C11">
        <w:rPr>
          <w:rFonts w:asciiTheme="majorHAnsi" w:hAnsiTheme="majorHAnsi" w:cstheme="majorHAnsi"/>
          <w:color w:val="auto"/>
          <w:sz w:val="24"/>
          <w:szCs w:val="24"/>
          <w:lang w:val="es-ES_tradnl"/>
        </w:rPr>
        <w:t>Diphare</w:t>
      </w:r>
      <w:proofErr w:type="spellEnd"/>
      <w:r w:rsidRPr="00354C11">
        <w:rPr>
          <w:rFonts w:asciiTheme="majorHAnsi" w:hAnsiTheme="majorHAnsi" w:cstheme="majorHAnsi"/>
          <w:color w:val="auto"/>
          <w:sz w:val="24"/>
          <w:szCs w:val="24"/>
          <w:lang w:val="es-ES_tradnl"/>
        </w:rPr>
        <w:t xml:space="preserve"> et al., 2013).</w:t>
      </w:r>
    </w:p>
    <w:p w14:paraId="53038757" w14:textId="77777777" w:rsidR="00354C11" w:rsidRPr="00354C11" w:rsidRDefault="00354C11" w:rsidP="00745120">
      <w:pPr>
        <w:pStyle w:val="Content"/>
        <w:spacing w:line="240" w:lineRule="auto"/>
        <w:jc w:val="both"/>
        <w:rPr>
          <w:rFonts w:asciiTheme="majorHAnsi" w:hAnsiTheme="majorHAnsi" w:cstheme="majorHAnsi"/>
          <w:color w:val="auto"/>
          <w:sz w:val="24"/>
          <w:szCs w:val="24"/>
          <w:lang w:val="es-ES_tradnl"/>
        </w:rPr>
      </w:pPr>
    </w:p>
    <w:p w14:paraId="496C09A5" w14:textId="4D6D7BFA" w:rsidR="00354C11" w:rsidRDefault="00354C11" w:rsidP="00745120">
      <w:pPr>
        <w:pStyle w:val="Content"/>
        <w:spacing w:line="240" w:lineRule="auto"/>
        <w:jc w:val="both"/>
        <w:rPr>
          <w:rFonts w:asciiTheme="majorHAnsi" w:hAnsiTheme="majorHAnsi" w:cstheme="majorHAnsi"/>
          <w:color w:val="auto"/>
          <w:sz w:val="24"/>
          <w:szCs w:val="24"/>
          <w:lang w:val="es-ES_tradnl"/>
        </w:rPr>
      </w:pPr>
      <w:r w:rsidRPr="00354C11">
        <w:rPr>
          <w:rFonts w:asciiTheme="majorHAnsi" w:hAnsiTheme="majorHAnsi" w:cstheme="majorHAnsi"/>
          <w:color w:val="auto"/>
          <w:sz w:val="24"/>
          <w:szCs w:val="24"/>
          <w:lang w:val="es-ES_tradnl"/>
        </w:rPr>
        <w:t>Los valores de DBO y DQO, oscilaron entre &lt;0.1-139 mg/L y &lt;0.4- 374 mg/L respectivamente (</w:t>
      </w:r>
      <w:proofErr w:type="spellStart"/>
      <w:r w:rsidRPr="00354C11">
        <w:rPr>
          <w:rFonts w:asciiTheme="majorHAnsi" w:hAnsiTheme="majorHAnsi" w:cstheme="majorHAnsi"/>
          <w:color w:val="auto"/>
          <w:sz w:val="24"/>
          <w:szCs w:val="24"/>
          <w:lang w:val="es-ES_tradnl"/>
        </w:rPr>
        <w:t>Fig</w:t>
      </w:r>
      <w:proofErr w:type="spellEnd"/>
      <w:r w:rsidRPr="00354C11">
        <w:rPr>
          <w:rFonts w:asciiTheme="majorHAnsi" w:hAnsiTheme="majorHAnsi" w:cstheme="majorHAnsi"/>
          <w:color w:val="auto"/>
          <w:sz w:val="24"/>
          <w:szCs w:val="24"/>
          <w:lang w:val="es-ES_tradnl"/>
        </w:rPr>
        <w:t xml:space="preserve"> </w:t>
      </w:r>
      <w:r w:rsidR="00817422">
        <w:rPr>
          <w:rFonts w:asciiTheme="majorHAnsi" w:hAnsiTheme="majorHAnsi" w:cstheme="majorHAnsi"/>
          <w:color w:val="auto"/>
          <w:sz w:val="24"/>
          <w:szCs w:val="24"/>
          <w:lang w:val="es-ES_tradnl"/>
        </w:rPr>
        <w:t>2</w:t>
      </w:r>
      <w:r w:rsidRPr="00354C11">
        <w:rPr>
          <w:rFonts w:asciiTheme="majorHAnsi" w:hAnsiTheme="majorHAnsi" w:cstheme="majorHAnsi"/>
          <w:color w:val="auto"/>
          <w:sz w:val="24"/>
          <w:szCs w:val="24"/>
          <w:lang w:val="es-ES_tradnl"/>
        </w:rPr>
        <w:t xml:space="preserve">.h y </w:t>
      </w:r>
      <w:proofErr w:type="spellStart"/>
      <w:r w:rsidRPr="00354C11">
        <w:rPr>
          <w:rFonts w:asciiTheme="majorHAnsi" w:hAnsiTheme="majorHAnsi" w:cstheme="majorHAnsi"/>
          <w:color w:val="auto"/>
          <w:sz w:val="24"/>
          <w:szCs w:val="24"/>
          <w:lang w:val="es-ES_tradnl"/>
        </w:rPr>
        <w:t>Fig</w:t>
      </w:r>
      <w:proofErr w:type="spellEnd"/>
      <w:r w:rsidRPr="00354C11">
        <w:rPr>
          <w:rFonts w:asciiTheme="majorHAnsi" w:hAnsiTheme="majorHAnsi" w:cstheme="majorHAnsi"/>
          <w:color w:val="auto"/>
          <w:sz w:val="24"/>
          <w:szCs w:val="24"/>
          <w:lang w:val="es-ES_tradnl"/>
        </w:rPr>
        <w:t xml:space="preserve"> </w:t>
      </w:r>
      <w:r w:rsidR="00817422">
        <w:rPr>
          <w:rFonts w:asciiTheme="majorHAnsi" w:hAnsiTheme="majorHAnsi" w:cstheme="majorHAnsi"/>
          <w:color w:val="auto"/>
          <w:sz w:val="24"/>
          <w:szCs w:val="24"/>
          <w:lang w:val="es-ES_tradnl"/>
        </w:rPr>
        <w:t>2</w:t>
      </w:r>
      <w:r w:rsidRPr="00354C11">
        <w:rPr>
          <w:rFonts w:asciiTheme="majorHAnsi" w:hAnsiTheme="majorHAnsi" w:cstheme="majorHAnsi"/>
          <w:color w:val="auto"/>
          <w:sz w:val="24"/>
          <w:szCs w:val="24"/>
          <w:lang w:val="es-ES_tradnl"/>
        </w:rPr>
        <w:t>.i), en ambos casos no existe diferencia significativa en la distribución de los datos de acuerdo con el tipo de vertido (χ</w:t>
      </w:r>
      <w:r w:rsidRPr="00817422">
        <w:rPr>
          <w:rFonts w:asciiTheme="majorHAnsi" w:hAnsiTheme="majorHAnsi" w:cstheme="majorHAnsi"/>
          <w:color w:val="auto"/>
          <w:sz w:val="24"/>
          <w:szCs w:val="24"/>
          <w:vertAlign w:val="superscript"/>
          <w:lang w:val="es-ES_tradnl"/>
        </w:rPr>
        <w:t>2</w:t>
      </w:r>
      <w:r w:rsidRPr="00354C11">
        <w:rPr>
          <w:rFonts w:asciiTheme="majorHAnsi" w:hAnsiTheme="majorHAnsi" w:cstheme="majorHAnsi"/>
          <w:color w:val="auto"/>
          <w:sz w:val="24"/>
          <w:szCs w:val="24"/>
          <w:lang w:val="es-ES_tradnl"/>
        </w:rPr>
        <w:t xml:space="preserve">=1.9 y 0.6, p&gt;0.05), tampoco se encontraron reportes con valores superiores al límite máximo del RVRAR. A pesar de lo anterior, es importante destacar que datos de Castro </w:t>
      </w:r>
      <w:proofErr w:type="gramStart"/>
      <w:r w:rsidRPr="00354C11">
        <w:rPr>
          <w:rFonts w:asciiTheme="majorHAnsi" w:hAnsiTheme="majorHAnsi" w:cstheme="majorHAnsi"/>
          <w:color w:val="auto"/>
          <w:sz w:val="24"/>
          <w:szCs w:val="24"/>
          <w:lang w:val="es-ES_tradnl"/>
        </w:rPr>
        <w:t>et al.(</w:t>
      </w:r>
      <w:proofErr w:type="gramEnd"/>
      <w:r w:rsidRPr="00354C11">
        <w:rPr>
          <w:rFonts w:asciiTheme="majorHAnsi" w:hAnsiTheme="majorHAnsi" w:cstheme="majorHAnsi"/>
          <w:color w:val="auto"/>
          <w:sz w:val="24"/>
          <w:szCs w:val="24"/>
          <w:lang w:val="es-ES_tradnl"/>
        </w:rPr>
        <w:t>1996), muestran valores de caudal entre 0.84 – 68 L/s para el río Bermúdez en una estación ubicada en el cantón San Pablo, esto sugiere que, al ser un receptor de bajo caudal, es más susceptible a respuestas negativas inmediatas derivadas de los vertidos de agua residual, siendo posible ocasionar niveles de oxígeno disuelto menores a valores críticos para el ecosistema acuático (</w:t>
      </w:r>
      <w:proofErr w:type="spellStart"/>
      <w:r w:rsidRPr="00354C11">
        <w:rPr>
          <w:rFonts w:asciiTheme="majorHAnsi" w:hAnsiTheme="majorHAnsi" w:cstheme="majorHAnsi"/>
          <w:color w:val="auto"/>
          <w:sz w:val="24"/>
          <w:szCs w:val="24"/>
          <w:lang w:val="es-ES_tradnl"/>
        </w:rPr>
        <w:t>Cotta</w:t>
      </w:r>
      <w:proofErr w:type="spellEnd"/>
      <w:r w:rsidRPr="00354C11">
        <w:rPr>
          <w:rFonts w:asciiTheme="majorHAnsi" w:hAnsiTheme="majorHAnsi" w:cstheme="majorHAnsi"/>
          <w:color w:val="auto"/>
          <w:sz w:val="24"/>
          <w:szCs w:val="24"/>
          <w:lang w:val="es-ES_tradnl"/>
        </w:rPr>
        <w:t xml:space="preserve"> et al., 2017).</w:t>
      </w:r>
    </w:p>
    <w:p w14:paraId="05306F59" w14:textId="2E2C4DC0" w:rsidR="00817422" w:rsidRDefault="00817422" w:rsidP="00354C11">
      <w:pPr>
        <w:pStyle w:val="Content"/>
        <w:jc w:val="both"/>
        <w:rPr>
          <w:rFonts w:asciiTheme="majorHAnsi" w:hAnsiTheme="majorHAnsi" w:cstheme="majorHAnsi"/>
          <w:color w:val="auto"/>
          <w:sz w:val="24"/>
          <w:szCs w:val="24"/>
          <w:lang w:val="es-ES_tradnl"/>
        </w:rPr>
      </w:pPr>
    </w:p>
    <w:p w14:paraId="74AF7CDD" w14:textId="7C9C0A9B" w:rsidR="00817422" w:rsidRDefault="00817422" w:rsidP="00354C11">
      <w:pPr>
        <w:pStyle w:val="Content"/>
        <w:jc w:val="both"/>
        <w:rPr>
          <w:rFonts w:asciiTheme="majorHAnsi" w:hAnsiTheme="majorHAnsi" w:cstheme="majorHAnsi"/>
          <w:color w:val="auto"/>
          <w:sz w:val="24"/>
          <w:szCs w:val="24"/>
          <w:lang w:val="es-ES_tradnl"/>
        </w:rPr>
      </w:pPr>
    </w:p>
    <w:p w14:paraId="795B976E" w14:textId="514A2D6F" w:rsidR="00817422" w:rsidRDefault="00817422" w:rsidP="00817422">
      <w:pPr>
        <w:pStyle w:val="Content"/>
        <w:jc w:val="both"/>
        <w:rPr>
          <w:rFonts w:asciiTheme="majorHAnsi" w:hAnsiTheme="majorHAnsi" w:cstheme="majorHAnsi"/>
          <w:i/>
          <w:iCs/>
          <w:color w:val="auto"/>
          <w:sz w:val="24"/>
          <w:szCs w:val="24"/>
          <w:u w:val="single"/>
          <w:lang w:val="es-MX"/>
        </w:rPr>
      </w:pPr>
      <w:r>
        <w:rPr>
          <w:rFonts w:asciiTheme="majorHAnsi" w:hAnsiTheme="majorHAnsi" w:cstheme="majorHAnsi"/>
          <w:i/>
          <w:iCs/>
          <w:color w:val="auto"/>
          <w:sz w:val="24"/>
          <w:szCs w:val="24"/>
          <w:u w:val="single"/>
          <w:lang w:val="es-MX"/>
        </w:rPr>
        <w:t>Carga orgánica generada de acuerdo con el tipo de ente generador y tipo de vertido realizado</w:t>
      </w:r>
    </w:p>
    <w:p w14:paraId="013ECAE4" w14:textId="006F4C99" w:rsidR="00817422" w:rsidRDefault="00817422" w:rsidP="00354C11">
      <w:pPr>
        <w:pStyle w:val="Content"/>
        <w:jc w:val="both"/>
        <w:rPr>
          <w:rFonts w:asciiTheme="majorHAnsi" w:hAnsiTheme="majorHAnsi" w:cstheme="majorHAnsi"/>
          <w:color w:val="auto"/>
          <w:sz w:val="24"/>
          <w:szCs w:val="24"/>
          <w:lang w:val="es-ES_tradnl"/>
        </w:rPr>
      </w:pPr>
      <w:r>
        <w:rPr>
          <w:noProof/>
        </w:rPr>
        <w:drawing>
          <wp:anchor distT="0" distB="0" distL="114300" distR="114300" simplePos="0" relativeHeight="251672576" behindDoc="0" locked="0" layoutInCell="1" allowOverlap="1" wp14:anchorId="7520B221" wp14:editId="62628BE3">
            <wp:simplePos x="0" y="0"/>
            <wp:positionH relativeFrom="column">
              <wp:posOffset>657225</wp:posOffset>
            </wp:positionH>
            <wp:positionV relativeFrom="paragraph">
              <wp:posOffset>229870</wp:posOffset>
            </wp:positionV>
            <wp:extent cx="4933952" cy="4465320"/>
            <wp:effectExtent l="0" t="0" r="0" b="0"/>
            <wp:wrapTopAndBottom/>
            <wp:docPr id="84078049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933952" cy="4465320"/>
                    </a:xfrm>
                    <a:prstGeom prst="rect">
                      <a:avLst/>
                    </a:prstGeom>
                  </pic:spPr>
                </pic:pic>
              </a:graphicData>
            </a:graphic>
          </wp:anchor>
        </w:drawing>
      </w:r>
    </w:p>
    <w:p w14:paraId="7BFD5C72" w14:textId="5AC631BF" w:rsidR="00817422" w:rsidRPr="00354C11" w:rsidRDefault="00817422" w:rsidP="00354C11">
      <w:pPr>
        <w:pStyle w:val="Content"/>
        <w:jc w:val="both"/>
        <w:rPr>
          <w:rFonts w:asciiTheme="majorHAnsi" w:hAnsiTheme="majorHAnsi" w:cstheme="majorHAnsi"/>
          <w:color w:val="auto"/>
          <w:sz w:val="24"/>
          <w:szCs w:val="24"/>
          <w:lang w:val="es-ES_tradnl"/>
        </w:rPr>
      </w:pPr>
    </w:p>
    <w:p w14:paraId="50BACE24" w14:textId="7EDB3B99" w:rsidR="00354C11" w:rsidRPr="00817422" w:rsidRDefault="00354C11" w:rsidP="00354C11">
      <w:pPr>
        <w:pStyle w:val="Content"/>
        <w:jc w:val="both"/>
        <w:rPr>
          <w:rFonts w:asciiTheme="majorHAnsi" w:hAnsiTheme="majorHAnsi" w:cstheme="majorHAnsi"/>
          <w:color w:val="auto"/>
          <w:sz w:val="20"/>
          <w:szCs w:val="20"/>
          <w:lang w:val="es-ES_tradnl"/>
        </w:rPr>
      </w:pPr>
      <w:r w:rsidRPr="00817422">
        <w:rPr>
          <w:rFonts w:asciiTheme="majorHAnsi" w:hAnsiTheme="majorHAnsi" w:cstheme="majorHAnsi"/>
          <w:b/>
          <w:bCs/>
          <w:color w:val="auto"/>
          <w:sz w:val="20"/>
          <w:szCs w:val="20"/>
          <w:lang w:val="es-ES_tradnl"/>
        </w:rPr>
        <w:t xml:space="preserve">Figura </w:t>
      </w:r>
      <w:r w:rsidR="00817422" w:rsidRPr="00817422">
        <w:rPr>
          <w:rFonts w:asciiTheme="majorHAnsi" w:hAnsiTheme="majorHAnsi" w:cstheme="majorHAnsi"/>
          <w:b/>
          <w:bCs/>
          <w:color w:val="auto"/>
          <w:sz w:val="20"/>
          <w:szCs w:val="20"/>
          <w:lang w:val="es-ES_tradnl"/>
        </w:rPr>
        <w:t>3</w:t>
      </w:r>
      <w:r w:rsidRPr="00817422">
        <w:rPr>
          <w:rFonts w:asciiTheme="majorHAnsi" w:hAnsiTheme="majorHAnsi" w:cstheme="majorHAnsi"/>
          <w:b/>
          <w:bCs/>
          <w:color w:val="auto"/>
          <w:sz w:val="20"/>
          <w:szCs w:val="20"/>
          <w:lang w:val="es-ES_tradnl"/>
        </w:rPr>
        <w:t>.</w:t>
      </w:r>
      <w:r w:rsidRPr="00817422">
        <w:rPr>
          <w:rFonts w:asciiTheme="majorHAnsi" w:hAnsiTheme="majorHAnsi" w:cstheme="majorHAnsi"/>
          <w:color w:val="auto"/>
          <w:sz w:val="20"/>
          <w:szCs w:val="20"/>
          <w:lang w:val="es-ES_tradnl"/>
        </w:rPr>
        <w:t xml:space="preserve"> Distribución del número de reportes operacionales de aguas residuales y carga orgánica promedio vertida en el cantón San Pablo de acuerdo con el tipo de vertido y cuerpo receptor (nota: las barras representan el error estándar del promedio). Fuente: Elaboración propia del estudio</w:t>
      </w:r>
    </w:p>
    <w:p w14:paraId="298314B2" w14:textId="77777777" w:rsidR="00354C11" w:rsidRPr="00354C11" w:rsidRDefault="00354C11" w:rsidP="00354C11">
      <w:pPr>
        <w:pStyle w:val="Content"/>
        <w:jc w:val="both"/>
        <w:rPr>
          <w:rFonts w:asciiTheme="majorHAnsi" w:hAnsiTheme="majorHAnsi" w:cstheme="majorHAnsi"/>
          <w:color w:val="auto"/>
          <w:sz w:val="24"/>
          <w:szCs w:val="24"/>
          <w:lang w:val="es-ES_tradnl"/>
        </w:rPr>
      </w:pPr>
    </w:p>
    <w:p w14:paraId="24BDAD6F" w14:textId="6BF00C7B" w:rsidR="00354C11" w:rsidRPr="00354C11" w:rsidRDefault="00354C11" w:rsidP="00745120">
      <w:pPr>
        <w:pStyle w:val="Content"/>
        <w:spacing w:line="240" w:lineRule="auto"/>
        <w:jc w:val="both"/>
        <w:rPr>
          <w:rFonts w:asciiTheme="majorHAnsi" w:hAnsiTheme="majorHAnsi" w:cstheme="majorHAnsi"/>
          <w:color w:val="auto"/>
          <w:sz w:val="24"/>
          <w:szCs w:val="24"/>
          <w:lang w:val="es-ES_tradnl"/>
        </w:rPr>
      </w:pPr>
      <w:r w:rsidRPr="00354C11">
        <w:rPr>
          <w:rFonts w:asciiTheme="majorHAnsi" w:hAnsiTheme="majorHAnsi" w:cstheme="majorHAnsi"/>
          <w:color w:val="auto"/>
          <w:sz w:val="24"/>
          <w:szCs w:val="24"/>
          <w:lang w:val="es-ES_tradnl"/>
        </w:rPr>
        <w:t xml:space="preserve">En la figura </w:t>
      </w:r>
      <w:r w:rsidR="00817422">
        <w:rPr>
          <w:rFonts w:asciiTheme="majorHAnsi" w:hAnsiTheme="majorHAnsi" w:cstheme="majorHAnsi"/>
          <w:color w:val="auto"/>
          <w:sz w:val="24"/>
          <w:szCs w:val="24"/>
          <w:lang w:val="es-ES_tradnl"/>
        </w:rPr>
        <w:t>3</w:t>
      </w:r>
      <w:r w:rsidRPr="00354C11">
        <w:rPr>
          <w:rFonts w:asciiTheme="majorHAnsi" w:hAnsiTheme="majorHAnsi" w:cstheme="majorHAnsi"/>
          <w:color w:val="auto"/>
          <w:sz w:val="24"/>
          <w:szCs w:val="24"/>
          <w:lang w:val="es-ES_tradnl"/>
        </w:rPr>
        <w:t xml:space="preserve">.a, se observa que, del total de reportes operacionales presentados, la mayoría corresponde a la actividad residencial, tanto para los vertidos al alcantarillado sanitario como a cuerpo receptor, lo anterior es congruente con la figura </w:t>
      </w:r>
      <w:r w:rsidR="00817422">
        <w:rPr>
          <w:rFonts w:asciiTheme="majorHAnsi" w:hAnsiTheme="majorHAnsi" w:cstheme="majorHAnsi"/>
          <w:color w:val="auto"/>
          <w:sz w:val="24"/>
          <w:szCs w:val="24"/>
          <w:lang w:val="es-ES_tradnl"/>
        </w:rPr>
        <w:t>3</w:t>
      </w:r>
      <w:r w:rsidRPr="00354C11">
        <w:rPr>
          <w:rFonts w:asciiTheme="majorHAnsi" w:hAnsiTheme="majorHAnsi" w:cstheme="majorHAnsi"/>
          <w:color w:val="auto"/>
          <w:sz w:val="24"/>
          <w:szCs w:val="24"/>
          <w:lang w:val="es-ES_tradnl"/>
        </w:rPr>
        <w:t>.a, ya que es la actividad que mayor caudal vierte, por lo que según el RVRAR la frecuencia de reporte operacional es mayor. También destaca que existen actividades que no realizan vertidos directos a los cuerpos receptores, no obstante, el cantón San Pablo actualmente no cuenta con un sistema de tratamiento centralizado de aguas municipales, por lo que eventualmente estos vertidos serán dispuestos en cuerpos receptores, destacando que la contribución de las actividades de estación de servicios y droguería, podrían aportar cargas importantes de metales pesados o residuos de drogas que contribuyan a la carga de contaminantes emergentes en los sistemas acuáticos (</w:t>
      </w:r>
      <w:proofErr w:type="spellStart"/>
      <w:r w:rsidRPr="00354C11">
        <w:rPr>
          <w:rFonts w:asciiTheme="majorHAnsi" w:hAnsiTheme="majorHAnsi" w:cstheme="majorHAnsi"/>
          <w:color w:val="auto"/>
          <w:sz w:val="24"/>
          <w:szCs w:val="24"/>
          <w:lang w:val="es-ES_tradnl"/>
        </w:rPr>
        <w:t>Chon</w:t>
      </w:r>
      <w:proofErr w:type="spellEnd"/>
      <w:r w:rsidRPr="00354C11">
        <w:rPr>
          <w:rFonts w:asciiTheme="majorHAnsi" w:hAnsiTheme="majorHAnsi" w:cstheme="majorHAnsi"/>
          <w:color w:val="auto"/>
          <w:sz w:val="24"/>
          <w:szCs w:val="24"/>
          <w:lang w:val="es-ES_tradnl"/>
        </w:rPr>
        <w:t xml:space="preserve"> et al.,2012; Williams et al.,2019).</w:t>
      </w:r>
    </w:p>
    <w:p w14:paraId="1BB33AB7" w14:textId="77777777" w:rsidR="00354C11" w:rsidRPr="00354C11" w:rsidRDefault="00354C11" w:rsidP="00745120">
      <w:pPr>
        <w:pStyle w:val="Content"/>
        <w:spacing w:line="240" w:lineRule="auto"/>
        <w:jc w:val="both"/>
        <w:rPr>
          <w:rFonts w:asciiTheme="majorHAnsi" w:hAnsiTheme="majorHAnsi" w:cstheme="majorHAnsi"/>
          <w:color w:val="auto"/>
          <w:sz w:val="24"/>
          <w:szCs w:val="24"/>
          <w:lang w:val="es-ES_tradnl"/>
        </w:rPr>
      </w:pPr>
    </w:p>
    <w:p w14:paraId="45E04B95" w14:textId="573C70E2" w:rsidR="00354C11" w:rsidRPr="00354C11" w:rsidRDefault="00354C11" w:rsidP="00745120">
      <w:pPr>
        <w:pStyle w:val="Content"/>
        <w:spacing w:line="240" w:lineRule="auto"/>
        <w:jc w:val="both"/>
        <w:rPr>
          <w:rFonts w:asciiTheme="majorHAnsi" w:hAnsiTheme="majorHAnsi" w:cstheme="majorHAnsi"/>
          <w:color w:val="auto"/>
          <w:sz w:val="24"/>
          <w:szCs w:val="24"/>
          <w:lang w:val="es-ES_tradnl"/>
        </w:rPr>
      </w:pPr>
      <w:r w:rsidRPr="00354C11">
        <w:rPr>
          <w:rFonts w:asciiTheme="majorHAnsi" w:hAnsiTheme="majorHAnsi" w:cstheme="majorHAnsi"/>
          <w:color w:val="auto"/>
          <w:sz w:val="24"/>
          <w:szCs w:val="24"/>
          <w:lang w:val="es-ES_tradnl"/>
        </w:rPr>
        <w:lastRenderedPageBreak/>
        <w:t xml:space="preserve">En aras de generar un indicador ambiental relacionado a la carga de materia orgánica que se genera en las </w:t>
      </w:r>
      <w:proofErr w:type="spellStart"/>
      <w:r w:rsidRPr="00354C11">
        <w:rPr>
          <w:rFonts w:asciiTheme="majorHAnsi" w:hAnsiTheme="majorHAnsi" w:cstheme="majorHAnsi"/>
          <w:color w:val="auto"/>
          <w:sz w:val="24"/>
          <w:szCs w:val="24"/>
          <w:lang w:val="es-ES_tradnl"/>
        </w:rPr>
        <w:t>PTAR´s</w:t>
      </w:r>
      <w:proofErr w:type="spellEnd"/>
      <w:r w:rsidRPr="00354C11">
        <w:rPr>
          <w:rFonts w:asciiTheme="majorHAnsi" w:hAnsiTheme="majorHAnsi" w:cstheme="majorHAnsi"/>
          <w:color w:val="auto"/>
          <w:sz w:val="24"/>
          <w:szCs w:val="24"/>
          <w:lang w:val="es-ES_tradnl"/>
        </w:rPr>
        <w:t xml:space="preserve"> del cantón San Pablo, se propone un indicador que expresa los kilogramos de DQO vertidos por día, en la figura </w:t>
      </w:r>
      <w:r w:rsidR="00817422">
        <w:rPr>
          <w:rFonts w:asciiTheme="majorHAnsi" w:hAnsiTheme="majorHAnsi" w:cstheme="majorHAnsi"/>
          <w:color w:val="auto"/>
          <w:sz w:val="24"/>
          <w:szCs w:val="24"/>
          <w:lang w:val="es-ES_tradnl"/>
        </w:rPr>
        <w:t>3</w:t>
      </w:r>
      <w:r w:rsidRPr="00354C11">
        <w:rPr>
          <w:rFonts w:asciiTheme="majorHAnsi" w:hAnsiTheme="majorHAnsi" w:cstheme="majorHAnsi"/>
          <w:color w:val="auto"/>
          <w:sz w:val="24"/>
          <w:szCs w:val="24"/>
          <w:lang w:val="es-ES_tradnl"/>
        </w:rPr>
        <w:t xml:space="preserve">.b, se observa que el valor promedio de este indicador es mayor para los vertidos en cuerpos receptores en relación a los de alcantarillado ( 2.22 ± 0.49  y 0.37 ± 0.11 kg DQO/día, respectivamente), además en la figura </w:t>
      </w:r>
      <w:r w:rsidR="00817422">
        <w:rPr>
          <w:rFonts w:asciiTheme="majorHAnsi" w:hAnsiTheme="majorHAnsi" w:cstheme="majorHAnsi"/>
          <w:color w:val="auto"/>
          <w:sz w:val="24"/>
          <w:szCs w:val="24"/>
          <w:lang w:val="es-ES_tradnl"/>
        </w:rPr>
        <w:t>3</w:t>
      </w:r>
      <w:r w:rsidRPr="00354C11">
        <w:rPr>
          <w:rFonts w:asciiTheme="majorHAnsi" w:hAnsiTheme="majorHAnsi" w:cstheme="majorHAnsi"/>
          <w:color w:val="auto"/>
          <w:sz w:val="24"/>
          <w:szCs w:val="24"/>
          <w:lang w:val="es-ES_tradnl"/>
        </w:rPr>
        <w:t>.c se muestra que el valor promedio de carga orgánica vertida en cuerpo receptor por la actividad residencial es bastante mayor (3.34 ± 0.11 kg DQO/día) en relación con las actividades de fabricación de dulces, locales comerciales y supermercados (0.68 ± 0.17, 0.67 ± 0.23 y 0.63 ± 0.16 kg DQO/día, respectivamente). En el caso de la carga vertida en alcantarillado, la actividad residencial también es significativamente mayor en relación con las demás actividades, no obstante, es 4.3 veces menor en relación con los vertidos a cuerpo receptor de esta misma actividad (0.78 ± 0.29 kg DQO/día). Analizando únicamente los vertidos a cuerpos receptores, destaca en la figura 8.d, que el componente hídrico del cantón San Pablo que mayor cantidad de carga orgánica recibe por día es la Quebrada Gertrudis, con un total de 9.7 ± 1.9 kg DQO/día, de los cuales un 80.2% (7.8 ± 1.8 kg DQO/día) corresponden a la actividad residencial.</w:t>
      </w:r>
    </w:p>
    <w:p w14:paraId="48C06972" w14:textId="77777777" w:rsidR="00354C11" w:rsidRPr="00354C11" w:rsidRDefault="00354C11" w:rsidP="00745120">
      <w:pPr>
        <w:pStyle w:val="Content"/>
        <w:spacing w:line="240" w:lineRule="auto"/>
        <w:jc w:val="both"/>
        <w:rPr>
          <w:rFonts w:asciiTheme="majorHAnsi" w:hAnsiTheme="majorHAnsi" w:cstheme="majorHAnsi"/>
          <w:color w:val="auto"/>
          <w:sz w:val="24"/>
          <w:szCs w:val="24"/>
          <w:lang w:val="es-ES_tradnl"/>
        </w:rPr>
      </w:pPr>
    </w:p>
    <w:p w14:paraId="6D4A0036" w14:textId="189A1DD9" w:rsidR="00354C11" w:rsidRPr="00354C11" w:rsidRDefault="00354C11" w:rsidP="00745120">
      <w:pPr>
        <w:pStyle w:val="Content"/>
        <w:spacing w:line="240" w:lineRule="auto"/>
        <w:jc w:val="both"/>
        <w:rPr>
          <w:rFonts w:asciiTheme="majorHAnsi" w:hAnsiTheme="majorHAnsi" w:cstheme="majorHAnsi"/>
          <w:color w:val="auto"/>
          <w:sz w:val="24"/>
          <w:szCs w:val="24"/>
          <w:lang w:val="es-ES_tradnl"/>
        </w:rPr>
      </w:pPr>
      <w:r w:rsidRPr="00354C11">
        <w:rPr>
          <w:rFonts w:asciiTheme="majorHAnsi" w:hAnsiTheme="majorHAnsi" w:cstheme="majorHAnsi"/>
          <w:color w:val="auto"/>
          <w:sz w:val="24"/>
          <w:szCs w:val="24"/>
          <w:lang w:val="es-ES_tradnl"/>
        </w:rPr>
        <w:t>Es importante contrastar los resultados obtenidos en relación al cumplimiento de la mayoría de los parámetros de vertido y la cantidad de carga orgánica vertida, ya que a pesar de que los reportes operacionales muestran un alto cumplimiento de los valores normativos, se evidencia que las cargas orgánicas vertidas pueden ser significativas en relación a la capacidad de autodepuración del cuerpo receptor (</w:t>
      </w:r>
      <w:proofErr w:type="spellStart"/>
      <w:r w:rsidRPr="00354C11">
        <w:rPr>
          <w:rFonts w:asciiTheme="majorHAnsi" w:hAnsiTheme="majorHAnsi" w:cstheme="majorHAnsi"/>
          <w:color w:val="auto"/>
          <w:sz w:val="24"/>
          <w:szCs w:val="24"/>
          <w:lang w:val="es-ES_tradnl"/>
        </w:rPr>
        <w:t>Gavrilescu</w:t>
      </w:r>
      <w:proofErr w:type="spellEnd"/>
      <w:r w:rsidRPr="00354C11">
        <w:rPr>
          <w:rFonts w:asciiTheme="majorHAnsi" w:hAnsiTheme="majorHAnsi" w:cstheme="majorHAnsi"/>
          <w:color w:val="auto"/>
          <w:sz w:val="24"/>
          <w:szCs w:val="24"/>
          <w:lang w:val="es-ES_tradnl"/>
        </w:rPr>
        <w:t xml:space="preserve"> et al., 2020), lo anterior es de gran importancia puesto que hasta nuestro entendimiento, no existe una evaluación integral de la capacidad receptora que poseen los sistemas acuáticos, por lo que analizar únicamente el cumplimiento regulatorio puede ser algo superficial. Además, existe evidencia que el río Bermúdez actualmente posee niveles de contaminación moderados  y que se encuentra relacionado al aumento en la contribuciones de origen antropogénico las cuales presentaron una tasa de crecimiento del 8.7% durante el período 2006-2010, ( Herrera-Murillo et al., 2013); por lo que es imperativo generar acciones para  mantener un indicador estable y ecológicamente equilibrado de la carga orgánica vertida en cuerpos receptores en aras de no afectar las diversas funciones ecosistémicas que brindan los ríos, y de esta forma contribuir al mejoramiento ambiental, social y económico del cantón (</w:t>
      </w:r>
      <w:proofErr w:type="spellStart"/>
      <w:r w:rsidRPr="00354C11">
        <w:rPr>
          <w:rFonts w:asciiTheme="majorHAnsi" w:hAnsiTheme="majorHAnsi" w:cstheme="majorHAnsi"/>
          <w:color w:val="auto"/>
          <w:sz w:val="24"/>
          <w:szCs w:val="24"/>
          <w:lang w:val="es-ES_tradnl"/>
        </w:rPr>
        <w:t>Gavrilescu</w:t>
      </w:r>
      <w:proofErr w:type="spellEnd"/>
      <w:r w:rsidRPr="00354C11">
        <w:rPr>
          <w:rFonts w:asciiTheme="majorHAnsi" w:hAnsiTheme="majorHAnsi" w:cstheme="majorHAnsi"/>
          <w:color w:val="auto"/>
          <w:sz w:val="24"/>
          <w:szCs w:val="24"/>
          <w:lang w:val="es-ES_tradnl"/>
        </w:rPr>
        <w:t xml:space="preserve"> et al., 2020, </w:t>
      </w:r>
      <w:proofErr w:type="spellStart"/>
      <w:r w:rsidRPr="00354C11">
        <w:rPr>
          <w:rFonts w:asciiTheme="majorHAnsi" w:hAnsiTheme="majorHAnsi" w:cstheme="majorHAnsi"/>
          <w:color w:val="auto"/>
          <w:sz w:val="24"/>
          <w:szCs w:val="24"/>
          <w:lang w:val="es-ES_tradnl"/>
        </w:rPr>
        <w:t>Sibanda</w:t>
      </w:r>
      <w:proofErr w:type="spellEnd"/>
      <w:r w:rsidRPr="00354C11">
        <w:rPr>
          <w:rFonts w:asciiTheme="majorHAnsi" w:hAnsiTheme="majorHAnsi" w:cstheme="majorHAnsi"/>
          <w:color w:val="auto"/>
          <w:sz w:val="24"/>
          <w:szCs w:val="24"/>
          <w:lang w:val="es-ES_tradnl"/>
        </w:rPr>
        <w:t xml:space="preserve"> et al., 2015).</w:t>
      </w:r>
    </w:p>
    <w:p w14:paraId="23C92548" w14:textId="610F7F0C" w:rsidR="003A7EEC" w:rsidRDefault="003A7EEC" w:rsidP="00745120">
      <w:pPr>
        <w:pStyle w:val="Content"/>
        <w:spacing w:line="240" w:lineRule="auto"/>
        <w:jc w:val="both"/>
        <w:rPr>
          <w:rFonts w:asciiTheme="majorHAnsi" w:hAnsiTheme="majorHAnsi" w:cstheme="majorHAnsi"/>
          <w:color w:val="auto"/>
          <w:sz w:val="24"/>
          <w:szCs w:val="24"/>
          <w:lang w:val="es-MX"/>
        </w:rPr>
      </w:pPr>
    </w:p>
    <w:p w14:paraId="1B1A948A" w14:textId="61EE3679" w:rsidR="00454AF7" w:rsidRPr="002F1FB0" w:rsidRDefault="00454AF7" w:rsidP="00745120">
      <w:pPr>
        <w:pStyle w:val="Ttulo1"/>
        <w:spacing w:line="240" w:lineRule="auto"/>
        <w:rPr>
          <w:rFonts w:cstheme="majorHAnsi"/>
          <w:sz w:val="24"/>
          <w:szCs w:val="24"/>
          <w:lang w:val="es-CR"/>
        </w:rPr>
      </w:pPr>
      <w:r>
        <w:rPr>
          <w:rFonts w:cstheme="majorHAnsi"/>
          <w:sz w:val="24"/>
          <w:szCs w:val="24"/>
          <w:lang w:val="es-CR"/>
        </w:rPr>
        <w:t>Conclusiones</w:t>
      </w:r>
    </w:p>
    <w:p w14:paraId="2A89E6F2" w14:textId="76EEA330" w:rsidR="00354C11" w:rsidRDefault="00354C11" w:rsidP="00745120">
      <w:pPr>
        <w:pStyle w:val="Content"/>
        <w:spacing w:line="240" w:lineRule="auto"/>
        <w:jc w:val="both"/>
        <w:rPr>
          <w:rFonts w:asciiTheme="majorHAnsi" w:hAnsiTheme="majorHAnsi" w:cstheme="majorHAnsi"/>
          <w:color w:val="auto"/>
          <w:sz w:val="24"/>
          <w:szCs w:val="24"/>
          <w:lang w:val="es-MX"/>
        </w:rPr>
      </w:pPr>
    </w:p>
    <w:p w14:paraId="5AAA9476" w14:textId="30811EA5" w:rsidR="00454AF7" w:rsidRDefault="00454AF7" w:rsidP="00745120">
      <w:pPr>
        <w:pStyle w:val="Content"/>
        <w:spacing w:line="240" w:lineRule="auto"/>
        <w:jc w:val="both"/>
        <w:rPr>
          <w:rFonts w:asciiTheme="majorHAnsi" w:hAnsiTheme="majorHAnsi" w:cstheme="majorHAnsi"/>
          <w:color w:val="auto"/>
          <w:sz w:val="24"/>
          <w:szCs w:val="24"/>
          <w:lang w:val="es-MX"/>
        </w:rPr>
      </w:pPr>
      <w:r w:rsidRPr="00454AF7">
        <w:rPr>
          <w:rFonts w:asciiTheme="majorHAnsi" w:hAnsiTheme="majorHAnsi" w:cstheme="majorHAnsi"/>
          <w:color w:val="auto"/>
          <w:sz w:val="24"/>
          <w:szCs w:val="24"/>
          <w:lang w:val="es-MX"/>
        </w:rPr>
        <w:t xml:space="preserve">La alta densidad poblacional es la principal contribuyente de los vertidos al alcantarillado, a pesar del cumplimento con la normativa, dicha actividad genera un gran impacto sobre el recurso hídrico y generación de residuos sólidos. Se encontró un alto cumplimento con los parámetros establecidos en el </w:t>
      </w:r>
      <w:proofErr w:type="gramStart"/>
      <w:r w:rsidRPr="00454AF7">
        <w:rPr>
          <w:rFonts w:asciiTheme="majorHAnsi" w:hAnsiTheme="majorHAnsi" w:cstheme="majorHAnsi"/>
          <w:color w:val="auto"/>
          <w:sz w:val="24"/>
          <w:szCs w:val="24"/>
          <w:lang w:val="es-MX"/>
        </w:rPr>
        <w:t>RVRAR</w:t>
      </w:r>
      <w:proofErr w:type="gramEnd"/>
      <w:r w:rsidRPr="00454AF7">
        <w:rPr>
          <w:rFonts w:asciiTheme="majorHAnsi" w:hAnsiTheme="majorHAnsi" w:cstheme="majorHAnsi"/>
          <w:color w:val="auto"/>
          <w:sz w:val="24"/>
          <w:szCs w:val="24"/>
          <w:lang w:val="es-MX"/>
        </w:rPr>
        <w:t xml:space="preserve"> sin embargo, se identificaron algunos valores violatorios como S. Sed, SAAM y </w:t>
      </w:r>
      <w:proofErr w:type="spellStart"/>
      <w:r w:rsidRPr="00454AF7">
        <w:rPr>
          <w:rFonts w:asciiTheme="majorHAnsi" w:hAnsiTheme="majorHAnsi" w:cstheme="majorHAnsi"/>
          <w:color w:val="auto"/>
          <w:sz w:val="24"/>
          <w:szCs w:val="24"/>
          <w:lang w:val="es-MX"/>
        </w:rPr>
        <w:t>GyA</w:t>
      </w:r>
      <w:proofErr w:type="spellEnd"/>
      <w:r w:rsidRPr="00454AF7">
        <w:rPr>
          <w:rFonts w:asciiTheme="majorHAnsi" w:hAnsiTheme="majorHAnsi" w:cstheme="majorHAnsi"/>
          <w:color w:val="auto"/>
          <w:sz w:val="24"/>
          <w:szCs w:val="24"/>
          <w:lang w:val="es-MX"/>
        </w:rPr>
        <w:t xml:space="preserve">. Algunas de las actividades no realizan vertidos directos al cuerpo receptor, no obstante, la zona no cuenta con sistema de tratamiento, por lo que existe una alta probabilidad de que los principales ríos de la zona están recibiendo cargas altas en metales pesados y residuos de drogas sobre todo de estaciones de servicio, salones de belleza y droguerías. </w:t>
      </w:r>
    </w:p>
    <w:p w14:paraId="64816EEA" w14:textId="77777777" w:rsidR="00454AF7" w:rsidRPr="00454AF7" w:rsidRDefault="00454AF7" w:rsidP="00745120">
      <w:pPr>
        <w:pStyle w:val="Content"/>
        <w:spacing w:line="240" w:lineRule="auto"/>
        <w:jc w:val="both"/>
        <w:rPr>
          <w:rFonts w:asciiTheme="majorHAnsi" w:hAnsiTheme="majorHAnsi" w:cstheme="majorHAnsi"/>
          <w:color w:val="auto"/>
          <w:sz w:val="24"/>
          <w:szCs w:val="24"/>
          <w:lang w:val="es-MX"/>
        </w:rPr>
      </w:pPr>
    </w:p>
    <w:p w14:paraId="5D0E474F" w14:textId="5488F214" w:rsidR="00454AF7" w:rsidRDefault="00454AF7" w:rsidP="00745120">
      <w:pPr>
        <w:pStyle w:val="Content"/>
        <w:spacing w:line="240" w:lineRule="auto"/>
        <w:jc w:val="both"/>
        <w:rPr>
          <w:rFonts w:asciiTheme="majorHAnsi" w:hAnsiTheme="majorHAnsi" w:cstheme="majorHAnsi"/>
          <w:color w:val="auto"/>
          <w:sz w:val="24"/>
          <w:szCs w:val="24"/>
          <w:lang w:val="es-MX"/>
        </w:rPr>
      </w:pPr>
      <w:r w:rsidRPr="00454AF7">
        <w:rPr>
          <w:rFonts w:asciiTheme="majorHAnsi" w:hAnsiTheme="majorHAnsi" w:cstheme="majorHAnsi"/>
          <w:color w:val="auto"/>
          <w:sz w:val="24"/>
          <w:szCs w:val="24"/>
          <w:lang w:val="es-MX"/>
        </w:rPr>
        <w:lastRenderedPageBreak/>
        <w:t>La Quebrada Gertrudis es el cuerpo receptor que más carga orgánica recibe, siendo la actividad residencial el principal contribuyente, por lo que es recomendable realizar un análisis exhaustivo del cumplimiento de los reportes operacionales con respecto a la carga orgánica vertida, de modo que se evalué la capacidad de depuración del cuerpo receptor, sobre todo para Quebrada Gertrudis.</w:t>
      </w:r>
    </w:p>
    <w:p w14:paraId="24BBD8C3" w14:textId="77777777" w:rsidR="00454AF7" w:rsidRPr="00454AF7" w:rsidRDefault="00454AF7" w:rsidP="00745120">
      <w:pPr>
        <w:pStyle w:val="Content"/>
        <w:spacing w:line="240" w:lineRule="auto"/>
        <w:jc w:val="both"/>
        <w:rPr>
          <w:rFonts w:asciiTheme="majorHAnsi" w:hAnsiTheme="majorHAnsi" w:cstheme="majorHAnsi"/>
          <w:color w:val="auto"/>
          <w:sz w:val="24"/>
          <w:szCs w:val="24"/>
          <w:lang w:val="es-MX"/>
        </w:rPr>
      </w:pPr>
    </w:p>
    <w:p w14:paraId="3BF769B0" w14:textId="15E1A61A" w:rsidR="00454AF7" w:rsidRDefault="00454AF7" w:rsidP="00745120">
      <w:pPr>
        <w:pStyle w:val="Content"/>
        <w:spacing w:line="240" w:lineRule="auto"/>
        <w:jc w:val="both"/>
        <w:rPr>
          <w:rFonts w:asciiTheme="majorHAnsi" w:hAnsiTheme="majorHAnsi" w:cstheme="majorHAnsi"/>
          <w:color w:val="auto"/>
          <w:sz w:val="24"/>
          <w:szCs w:val="24"/>
          <w:lang w:val="es-MX"/>
        </w:rPr>
      </w:pPr>
      <w:r w:rsidRPr="00454AF7">
        <w:rPr>
          <w:rFonts w:asciiTheme="majorHAnsi" w:hAnsiTheme="majorHAnsi" w:cstheme="majorHAnsi"/>
          <w:color w:val="auto"/>
          <w:sz w:val="24"/>
          <w:szCs w:val="24"/>
          <w:lang w:val="es-MX"/>
        </w:rPr>
        <w:t>Es necesario un estudio diagnóstico del estado de los cuerpos receptores que permita evaluar la calidad del agua superficial, además la implementación de sistemas de alcantarillado y drenaje, así como sistemas de tratamiento de las aguas residuales, que permita a los cuerpos de agua una adecuada recuperación.</w:t>
      </w:r>
    </w:p>
    <w:p w14:paraId="7542F0F6" w14:textId="2422F286" w:rsidR="00454AF7" w:rsidRDefault="00454AF7" w:rsidP="00745120">
      <w:pPr>
        <w:pStyle w:val="Content"/>
        <w:spacing w:line="240" w:lineRule="auto"/>
        <w:jc w:val="both"/>
        <w:rPr>
          <w:rFonts w:asciiTheme="majorHAnsi" w:hAnsiTheme="majorHAnsi" w:cstheme="majorHAnsi"/>
          <w:color w:val="auto"/>
          <w:sz w:val="24"/>
          <w:szCs w:val="24"/>
          <w:lang w:val="es-MX"/>
        </w:rPr>
      </w:pPr>
    </w:p>
    <w:p w14:paraId="1B548778" w14:textId="70820244" w:rsidR="00817422" w:rsidRDefault="00817422" w:rsidP="00745120">
      <w:pPr>
        <w:pStyle w:val="Ttulo1"/>
        <w:spacing w:line="240" w:lineRule="auto"/>
        <w:rPr>
          <w:rFonts w:cstheme="majorHAnsi"/>
          <w:sz w:val="24"/>
          <w:szCs w:val="24"/>
          <w:lang w:val="es-CR"/>
        </w:rPr>
      </w:pPr>
      <w:r>
        <w:rPr>
          <w:rFonts w:cstheme="majorHAnsi"/>
          <w:sz w:val="24"/>
          <w:szCs w:val="24"/>
          <w:lang w:val="es-CR"/>
        </w:rPr>
        <w:t>Referencias bibliográficas</w:t>
      </w:r>
    </w:p>
    <w:p w14:paraId="086E77AE" w14:textId="77777777" w:rsidR="00745120" w:rsidRPr="00745120" w:rsidRDefault="00745120" w:rsidP="00745120">
      <w:pPr>
        <w:spacing w:line="240" w:lineRule="auto"/>
        <w:ind w:left="567" w:hanging="567"/>
        <w:jc w:val="both"/>
        <w:rPr>
          <w:sz w:val="22"/>
        </w:rPr>
      </w:pPr>
      <w:proofErr w:type="spellStart"/>
      <w:r w:rsidRPr="00745120">
        <w:rPr>
          <w:rFonts w:ascii="Times New Roman" w:eastAsia="Times New Roman" w:hAnsi="Times New Roman" w:cs="Times New Roman"/>
          <w:sz w:val="22"/>
        </w:rPr>
        <w:t>Aho</w:t>
      </w:r>
      <w:proofErr w:type="spellEnd"/>
      <w:r w:rsidRPr="00745120">
        <w:rPr>
          <w:rFonts w:ascii="Times New Roman" w:eastAsia="Times New Roman" w:hAnsi="Times New Roman" w:cs="Times New Roman"/>
          <w:sz w:val="22"/>
        </w:rPr>
        <w:t xml:space="preserve">, K., (2014). </w:t>
      </w:r>
      <w:proofErr w:type="spellStart"/>
      <w:r w:rsidRPr="00745120">
        <w:rPr>
          <w:rFonts w:ascii="Times New Roman" w:eastAsia="Times New Roman" w:hAnsi="Times New Roman" w:cs="Times New Roman"/>
          <w:sz w:val="22"/>
        </w:rPr>
        <w:t>asbio</w:t>
      </w:r>
      <w:proofErr w:type="spellEnd"/>
      <w:r w:rsidRPr="00745120">
        <w:rPr>
          <w:rFonts w:ascii="Times New Roman" w:eastAsia="Times New Roman" w:hAnsi="Times New Roman" w:cs="Times New Roman"/>
          <w:sz w:val="22"/>
        </w:rPr>
        <w:t xml:space="preserve">: A Collection of Statistical Tools for Biologists. R package version 1.6-1. </w:t>
      </w:r>
      <w:hyperlink r:id="rId11">
        <w:r w:rsidRPr="00745120">
          <w:rPr>
            <w:rStyle w:val="Hipervnculo"/>
            <w:rFonts w:ascii="Times New Roman" w:eastAsia="Times New Roman" w:hAnsi="Times New Roman" w:cs="Times New Roman"/>
            <w:color w:val="0000FF"/>
            <w:sz w:val="22"/>
          </w:rPr>
          <w:t>https://CRAN.R-project.org/package=asbio</w:t>
        </w:r>
      </w:hyperlink>
      <w:r w:rsidRPr="00745120">
        <w:rPr>
          <w:rFonts w:ascii="Times New Roman" w:eastAsia="Times New Roman" w:hAnsi="Times New Roman" w:cs="Times New Roman"/>
          <w:sz w:val="22"/>
        </w:rPr>
        <w:t xml:space="preserve"> </w:t>
      </w:r>
    </w:p>
    <w:p w14:paraId="10F1FD0B" w14:textId="77777777" w:rsidR="00745120" w:rsidRPr="00745120" w:rsidRDefault="00745120" w:rsidP="00745120">
      <w:pPr>
        <w:spacing w:line="240" w:lineRule="auto"/>
        <w:ind w:left="480" w:hanging="480"/>
        <w:jc w:val="both"/>
        <w:rPr>
          <w:sz w:val="22"/>
        </w:rPr>
      </w:pPr>
      <w:r w:rsidRPr="00745120">
        <w:rPr>
          <w:rFonts w:ascii="Times New Roman" w:eastAsia="Times New Roman" w:hAnsi="Times New Roman" w:cs="Times New Roman"/>
          <w:sz w:val="22"/>
        </w:rPr>
        <w:t xml:space="preserve">Blair, R. C., Higgins, J. J., </w:t>
      </w:r>
      <w:proofErr w:type="spellStart"/>
      <w:r w:rsidRPr="00745120">
        <w:rPr>
          <w:rFonts w:ascii="Times New Roman" w:eastAsia="Times New Roman" w:hAnsi="Times New Roman" w:cs="Times New Roman"/>
          <w:sz w:val="22"/>
        </w:rPr>
        <w:t>Karniski</w:t>
      </w:r>
      <w:proofErr w:type="spellEnd"/>
      <w:r w:rsidRPr="00745120">
        <w:rPr>
          <w:rFonts w:ascii="Times New Roman" w:eastAsia="Times New Roman" w:hAnsi="Times New Roman" w:cs="Times New Roman"/>
          <w:sz w:val="22"/>
        </w:rPr>
        <w:t xml:space="preserve">, W., &amp; </w:t>
      </w:r>
      <w:proofErr w:type="spellStart"/>
      <w:r w:rsidRPr="00745120">
        <w:rPr>
          <w:rFonts w:ascii="Times New Roman" w:eastAsia="Times New Roman" w:hAnsi="Times New Roman" w:cs="Times New Roman"/>
          <w:sz w:val="22"/>
        </w:rPr>
        <w:t>Kromrey</w:t>
      </w:r>
      <w:proofErr w:type="spellEnd"/>
      <w:r w:rsidRPr="00745120">
        <w:rPr>
          <w:rFonts w:ascii="Times New Roman" w:eastAsia="Times New Roman" w:hAnsi="Times New Roman" w:cs="Times New Roman"/>
          <w:sz w:val="22"/>
        </w:rPr>
        <w:t xml:space="preserve">, J. D. (1994). Multivariate Behavioral A Study of Multivariate Permutation Tests Which May Replace </w:t>
      </w:r>
      <w:proofErr w:type="spellStart"/>
      <w:proofErr w:type="gramStart"/>
      <w:r w:rsidRPr="00745120">
        <w:rPr>
          <w:rFonts w:ascii="Times New Roman" w:eastAsia="Times New Roman" w:hAnsi="Times New Roman" w:cs="Times New Roman"/>
          <w:sz w:val="22"/>
        </w:rPr>
        <w:t>Hotelling</w:t>
      </w:r>
      <w:proofErr w:type="spellEnd"/>
      <w:r w:rsidRPr="00745120">
        <w:rPr>
          <w:rFonts w:ascii="Times New Roman" w:eastAsia="Times New Roman" w:hAnsi="Times New Roman" w:cs="Times New Roman"/>
          <w:sz w:val="22"/>
        </w:rPr>
        <w:t xml:space="preserve"> ’</w:t>
      </w:r>
      <w:proofErr w:type="gramEnd"/>
      <w:r w:rsidRPr="00745120">
        <w:rPr>
          <w:rFonts w:ascii="Times New Roman" w:eastAsia="Times New Roman" w:hAnsi="Times New Roman" w:cs="Times New Roman"/>
          <w:sz w:val="22"/>
        </w:rPr>
        <w:t xml:space="preserve"> s T2 Test in Prescribed Circumstances. </w:t>
      </w:r>
      <w:r w:rsidRPr="00745120">
        <w:rPr>
          <w:rFonts w:ascii="Times New Roman" w:eastAsia="Times New Roman" w:hAnsi="Times New Roman" w:cs="Times New Roman"/>
          <w:i/>
          <w:iCs/>
          <w:sz w:val="22"/>
        </w:rPr>
        <w:t>Multivariate Behavioral Research</w:t>
      </w:r>
      <w:r w:rsidRPr="00745120">
        <w:rPr>
          <w:rFonts w:ascii="Times New Roman" w:eastAsia="Times New Roman" w:hAnsi="Times New Roman" w:cs="Times New Roman"/>
          <w:sz w:val="22"/>
        </w:rPr>
        <w:t xml:space="preserve">, </w:t>
      </w:r>
      <w:r w:rsidRPr="00745120">
        <w:rPr>
          <w:rFonts w:ascii="Times New Roman" w:eastAsia="Times New Roman" w:hAnsi="Times New Roman" w:cs="Times New Roman"/>
          <w:i/>
          <w:iCs/>
          <w:sz w:val="22"/>
        </w:rPr>
        <w:t>29</w:t>
      </w:r>
      <w:r w:rsidRPr="00745120">
        <w:rPr>
          <w:rFonts w:ascii="Times New Roman" w:eastAsia="Times New Roman" w:hAnsi="Times New Roman" w:cs="Times New Roman"/>
          <w:sz w:val="22"/>
        </w:rPr>
        <w:t xml:space="preserve">(2), 141–163. </w:t>
      </w:r>
      <w:hyperlink r:id="rId12">
        <w:r w:rsidRPr="00745120">
          <w:rPr>
            <w:rStyle w:val="Hipervnculo"/>
            <w:rFonts w:ascii="Times New Roman" w:eastAsia="Times New Roman" w:hAnsi="Times New Roman" w:cs="Times New Roman"/>
            <w:color w:val="0000FF"/>
            <w:sz w:val="22"/>
          </w:rPr>
          <w:t>doi:10.1207/s15327906mbr2902_2</w:t>
        </w:r>
      </w:hyperlink>
    </w:p>
    <w:p w14:paraId="3C6A102C" w14:textId="77777777" w:rsidR="00817422" w:rsidRPr="00745120" w:rsidRDefault="00817422" w:rsidP="00745120">
      <w:pPr>
        <w:spacing w:line="240" w:lineRule="auto"/>
        <w:ind w:left="480" w:hanging="480"/>
        <w:jc w:val="both"/>
        <w:rPr>
          <w:sz w:val="22"/>
          <w:lang w:val="es-419"/>
        </w:rPr>
      </w:pPr>
      <w:r w:rsidRPr="00745120">
        <w:rPr>
          <w:rFonts w:ascii="Times New Roman" w:eastAsia="Times New Roman" w:hAnsi="Times New Roman" w:cs="Times New Roman"/>
          <w:sz w:val="22"/>
        </w:rPr>
        <w:t xml:space="preserve">Calvo </w:t>
      </w:r>
      <w:proofErr w:type="spellStart"/>
      <w:r w:rsidRPr="00745120">
        <w:rPr>
          <w:rFonts w:ascii="Times New Roman" w:eastAsia="Times New Roman" w:hAnsi="Times New Roman" w:cs="Times New Roman"/>
          <w:sz w:val="22"/>
        </w:rPr>
        <w:t>Brenes</w:t>
      </w:r>
      <w:proofErr w:type="spellEnd"/>
      <w:r w:rsidRPr="00745120">
        <w:rPr>
          <w:rFonts w:ascii="Times New Roman" w:eastAsia="Times New Roman" w:hAnsi="Times New Roman" w:cs="Times New Roman"/>
          <w:sz w:val="22"/>
        </w:rPr>
        <w:t xml:space="preserve">, G., &amp; Mora Molina, J. (2012). </w:t>
      </w:r>
      <w:r w:rsidRPr="00745120">
        <w:rPr>
          <w:rFonts w:ascii="Times New Roman" w:eastAsia="Times New Roman" w:hAnsi="Times New Roman" w:cs="Times New Roman"/>
          <w:sz w:val="22"/>
          <w:lang w:val="es-419"/>
        </w:rPr>
        <w:t xml:space="preserve">Análisis de la calidad de varios cuerpos de agua superficiales en el GAM y la Península de Osa utilizando el Índice Holandés. </w:t>
      </w:r>
      <w:r w:rsidRPr="00745120">
        <w:rPr>
          <w:rFonts w:ascii="Times New Roman" w:eastAsia="Times New Roman" w:hAnsi="Times New Roman" w:cs="Times New Roman"/>
          <w:i/>
          <w:iCs/>
          <w:sz w:val="22"/>
          <w:lang w:val="es-419"/>
        </w:rPr>
        <w:t>Revista Tecnología En Marcha</w:t>
      </w:r>
      <w:r w:rsidRPr="00745120">
        <w:rPr>
          <w:rFonts w:ascii="Times New Roman" w:eastAsia="Times New Roman" w:hAnsi="Times New Roman" w:cs="Times New Roman"/>
          <w:sz w:val="22"/>
          <w:lang w:val="es-419"/>
        </w:rPr>
        <w:t xml:space="preserve">, </w:t>
      </w:r>
      <w:r w:rsidRPr="00745120">
        <w:rPr>
          <w:rFonts w:ascii="Times New Roman" w:eastAsia="Times New Roman" w:hAnsi="Times New Roman" w:cs="Times New Roman"/>
          <w:i/>
          <w:iCs/>
          <w:sz w:val="22"/>
          <w:lang w:val="es-419"/>
        </w:rPr>
        <w:t>25</w:t>
      </w:r>
      <w:r w:rsidRPr="00745120">
        <w:rPr>
          <w:rFonts w:ascii="Times New Roman" w:eastAsia="Times New Roman" w:hAnsi="Times New Roman" w:cs="Times New Roman"/>
          <w:sz w:val="22"/>
          <w:lang w:val="es-419"/>
        </w:rPr>
        <w:t xml:space="preserve">(5), 37. </w:t>
      </w:r>
      <w:hyperlink r:id="rId13">
        <w:r w:rsidRPr="00745120">
          <w:rPr>
            <w:rStyle w:val="Hipervnculo"/>
            <w:rFonts w:ascii="Times New Roman" w:eastAsia="Times New Roman" w:hAnsi="Times New Roman" w:cs="Times New Roman"/>
            <w:sz w:val="22"/>
            <w:lang w:val="es-419"/>
          </w:rPr>
          <w:t>https://doi.org/10.18845/tm.v25i5.471</w:t>
        </w:r>
      </w:hyperlink>
    </w:p>
    <w:p w14:paraId="4BFB4293" w14:textId="77777777" w:rsidR="00817422" w:rsidRPr="00745120" w:rsidRDefault="00817422" w:rsidP="00745120">
      <w:pPr>
        <w:spacing w:line="240" w:lineRule="auto"/>
        <w:ind w:left="480" w:hanging="480"/>
        <w:jc w:val="both"/>
        <w:rPr>
          <w:sz w:val="22"/>
          <w:lang w:val="es-419"/>
        </w:rPr>
      </w:pPr>
      <w:r w:rsidRPr="00745120">
        <w:rPr>
          <w:rFonts w:ascii="Times New Roman" w:eastAsia="Times New Roman" w:hAnsi="Times New Roman" w:cs="Times New Roman"/>
          <w:sz w:val="22"/>
          <w:lang w:val="es-419"/>
        </w:rPr>
        <w:t xml:space="preserve">Carey, R. O., &amp; </w:t>
      </w:r>
      <w:proofErr w:type="spellStart"/>
      <w:r w:rsidRPr="00745120">
        <w:rPr>
          <w:rFonts w:ascii="Times New Roman" w:eastAsia="Times New Roman" w:hAnsi="Times New Roman" w:cs="Times New Roman"/>
          <w:sz w:val="22"/>
          <w:lang w:val="es-419"/>
        </w:rPr>
        <w:t>Migliaccio</w:t>
      </w:r>
      <w:proofErr w:type="spellEnd"/>
      <w:r w:rsidRPr="00745120">
        <w:rPr>
          <w:rFonts w:ascii="Times New Roman" w:eastAsia="Times New Roman" w:hAnsi="Times New Roman" w:cs="Times New Roman"/>
          <w:sz w:val="22"/>
          <w:lang w:val="es-419"/>
        </w:rPr>
        <w:t xml:space="preserve">, K. W. (2009). </w:t>
      </w:r>
      <w:r w:rsidRPr="00745120">
        <w:rPr>
          <w:rFonts w:ascii="Times New Roman" w:eastAsia="Times New Roman" w:hAnsi="Times New Roman" w:cs="Times New Roman"/>
          <w:sz w:val="22"/>
          <w:lang w:val="en-GB"/>
        </w:rPr>
        <w:t xml:space="preserve">Contribution of wastewater treatment plant effluents to nutrient dynamics in aquatic systems. </w:t>
      </w:r>
      <w:proofErr w:type="spellStart"/>
      <w:r w:rsidRPr="00745120">
        <w:rPr>
          <w:rFonts w:ascii="Times New Roman" w:eastAsia="Times New Roman" w:hAnsi="Times New Roman" w:cs="Times New Roman"/>
          <w:i/>
          <w:iCs/>
          <w:sz w:val="22"/>
          <w:lang w:val="es-419"/>
        </w:rPr>
        <w:t>Environmental</w:t>
      </w:r>
      <w:proofErr w:type="spellEnd"/>
      <w:r w:rsidRPr="00745120">
        <w:rPr>
          <w:rFonts w:ascii="Times New Roman" w:eastAsia="Times New Roman" w:hAnsi="Times New Roman" w:cs="Times New Roman"/>
          <w:i/>
          <w:iCs/>
          <w:sz w:val="22"/>
          <w:lang w:val="es-419"/>
        </w:rPr>
        <w:t xml:space="preserve"> Management</w:t>
      </w:r>
      <w:r w:rsidRPr="00745120">
        <w:rPr>
          <w:rFonts w:ascii="Times New Roman" w:eastAsia="Times New Roman" w:hAnsi="Times New Roman" w:cs="Times New Roman"/>
          <w:sz w:val="22"/>
          <w:lang w:val="es-419"/>
        </w:rPr>
        <w:t xml:space="preserve">, </w:t>
      </w:r>
      <w:r w:rsidRPr="00745120">
        <w:rPr>
          <w:rFonts w:ascii="Times New Roman" w:eastAsia="Times New Roman" w:hAnsi="Times New Roman" w:cs="Times New Roman"/>
          <w:i/>
          <w:iCs/>
          <w:sz w:val="22"/>
          <w:lang w:val="es-419"/>
        </w:rPr>
        <w:t>44</w:t>
      </w:r>
      <w:r w:rsidRPr="00745120">
        <w:rPr>
          <w:rFonts w:ascii="Times New Roman" w:eastAsia="Times New Roman" w:hAnsi="Times New Roman" w:cs="Times New Roman"/>
          <w:sz w:val="22"/>
          <w:lang w:val="es-419"/>
        </w:rPr>
        <w:t xml:space="preserve">(2), 205–217. </w:t>
      </w:r>
      <w:hyperlink r:id="rId14">
        <w:r w:rsidRPr="00745120">
          <w:rPr>
            <w:rStyle w:val="Hipervnculo"/>
            <w:rFonts w:ascii="Times New Roman" w:eastAsia="Times New Roman" w:hAnsi="Times New Roman" w:cs="Times New Roman"/>
            <w:color w:val="0000FF"/>
            <w:sz w:val="22"/>
            <w:lang w:val="es-419"/>
          </w:rPr>
          <w:t>https://doi.org/10.1007/s00267-009-9309-5</w:t>
        </w:r>
      </w:hyperlink>
      <w:r w:rsidRPr="00745120">
        <w:rPr>
          <w:rFonts w:ascii="Times New Roman" w:eastAsia="Times New Roman" w:hAnsi="Times New Roman" w:cs="Times New Roman"/>
          <w:sz w:val="22"/>
          <w:lang w:val="es-419"/>
        </w:rPr>
        <w:t xml:space="preserve"> </w:t>
      </w:r>
    </w:p>
    <w:p w14:paraId="07E12574" w14:textId="77777777" w:rsidR="00817422" w:rsidRPr="00745120" w:rsidRDefault="00817422" w:rsidP="00745120">
      <w:pPr>
        <w:spacing w:line="240" w:lineRule="auto"/>
        <w:ind w:left="480" w:hanging="480"/>
        <w:jc w:val="both"/>
        <w:rPr>
          <w:sz w:val="22"/>
          <w:lang w:val="es-419"/>
        </w:rPr>
      </w:pPr>
      <w:r w:rsidRPr="00745120">
        <w:rPr>
          <w:rFonts w:ascii="Times New Roman" w:eastAsia="Times New Roman" w:hAnsi="Times New Roman" w:cs="Times New Roman"/>
          <w:sz w:val="22"/>
          <w:lang w:val="en-GB"/>
        </w:rPr>
        <w:t xml:space="preserve">Castro, L., </w:t>
      </w:r>
      <w:proofErr w:type="spellStart"/>
      <w:r w:rsidRPr="00745120">
        <w:rPr>
          <w:rFonts w:ascii="Times New Roman" w:eastAsia="Times New Roman" w:hAnsi="Times New Roman" w:cs="Times New Roman"/>
          <w:sz w:val="22"/>
          <w:lang w:val="en-GB"/>
        </w:rPr>
        <w:t>Fraile</w:t>
      </w:r>
      <w:proofErr w:type="spellEnd"/>
      <w:r w:rsidRPr="00745120">
        <w:rPr>
          <w:rFonts w:ascii="Times New Roman" w:eastAsia="Times New Roman" w:hAnsi="Times New Roman" w:cs="Times New Roman"/>
          <w:sz w:val="22"/>
          <w:lang w:val="en-GB"/>
        </w:rPr>
        <w:t xml:space="preserve">, J., &amp; Reynolds, J. (1996). </w:t>
      </w:r>
      <w:r w:rsidRPr="00745120">
        <w:rPr>
          <w:rFonts w:ascii="Times New Roman" w:eastAsia="Times New Roman" w:hAnsi="Times New Roman" w:cs="Times New Roman"/>
          <w:sz w:val="22"/>
          <w:lang w:val="es-419"/>
        </w:rPr>
        <w:t xml:space="preserve">Conductividad, oxígeno disuelto, PH y temperatura en el rio Bermúdez (Costa Rica) y su relación con el uso del suelo en la cuenca. </w:t>
      </w:r>
      <w:proofErr w:type="spellStart"/>
      <w:r w:rsidRPr="00745120">
        <w:rPr>
          <w:rFonts w:ascii="Times New Roman" w:eastAsia="Times New Roman" w:hAnsi="Times New Roman" w:cs="Times New Roman"/>
          <w:i/>
          <w:iCs/>
          <w:sz w:val="22"/>
          <w:lang w:val="es-419"/>
        </w:rPr>
        <w:t>Uniciencia</w:t>
      </w:r>
      <w:proofErr w:type="spellEnd"/>
      <w:r w:rsidRPr="00745120">
        <w:rPr>
          <w:rFonts w:ascii="Times New Roman" w:eastAsia="Times New Roman" w:hAnsi="Times New Roman" w:cs="Times New Roman"/>
          <w:sz w:val="22"/>
          <w:lang w:val="es-419"/>
        </w:rPr>
        <w:t>, Vol. 13, pp. 27–34.</w:t>
      </w:r>
    </w:p>
    <w:p w14:paraId="63667EC0" w14:textId="77777777" w:rsidR="00817422" w:rsidRPr="00745120" w:rsidRDefault="00817422" w:rsidP="00745120">
      <w:pPr>
        <w:spacing w:line="240" w:lineRule="auto"/>
        <w:ind w:left="480" w:hanging="480"/>
        <w:jc w:val="both"/>
        <w:rPr>
          <w:sz w:val="22"/>
        </w:rPr>
      </w:pPr>
      <w:proofErr w:type="spellStart"/>
      <w:r w:rsidRPr="00745120">
        <w:rPr>
          <w:rFonts w:ascii="Times New Roman" w:eastAsia="Times New Roman" w:hAnsi="Times New Roman" w:cs="Times New Roman"/>
          <w:sz w:val="22"/>
          <w:lang w:val="es-419"/>
        </w:rPr>
        <w:t>Chon</w:t>
      </w:r>
      <w:proofErr w:type="spellEnd"/>
      <w:r w:rsidRPr="00745120">
        <w:rPr>
          <w:rFonts w:ascii="Times New Roman" w:eastAsia="Times New Roman" w:hAnsi="Times New Roman" w:cs="Times New Roman"/>
          <w:sz w:val="22"/>
          <w:lang w:val="es-419"/>
        </w:rPr>
        <w:t xml:space="preserve">, H. S., </w:t>
      </w:r>
      <w:proofErr w:type="spellStart"/>
      <w:r w:rsidRPr="00745120">
        <w:rPr>
          <w:rFonts w:ascii="Times New Roman" w:eastAsia="Times New Roman" w:hAnsi="Times New Roman" w:cs="Times New Roman"/>
          <w:sz w:val="22"/>
          <w:lang w:val="es-419"/>
        </w:rPr>
        <w:t>Ohandja</w:t>
      </w:r>
      <w:proofErr w:type="spellEnd"/>
      <w:r w:rsidRPr="00745120">
        <w:rPr>
          <w:rFonts w:ascii="Times New Roman" w:eastAsia="Times New Roman" w:hAnsi="Times New Roman" w:cs="Times New Roman"/>
          <w:sz w:val="22"/>
          <w:lang w:val="es-419"/>
        </w:rPr>
        <w:t xml:space="preserve">, D. G., &amp; </w:t>
      </w:r>
      <w:proofErr w:type="spellStart"/>
      <w:r w:rsidRPr="00745120">
        <w:rPr>
          <w:rFonts w:ascii="Times New Roman" w:eastAsia="Times New Roman" w:hAnsi="Times New Roman" w:cs="Times New Roman"/>
          <w:sz w:val="22"/>
          <w:lang w:val="es-419"/>
        </w:rPr>
        <w:t>Voulvoulis</w:t>
      </w:r>
      <w:proofErr w:type="spellEnd"/>
      <w:r w:rsidRPr="00745120">
        <w:rPr>
          <w:rFonts w:ascii="Times New Roman" w:eastAsia="Times New Roman" w:hAnsi="Times New Roman" w:cs="Times New Roman"/>
          <w:sz w:val="22"/>
          <w:lang w:val="es-419"/>
        </w:rPr>
        <w:t xml:space="preserve">, N. (2012). </w:t>
      </w:r>
      <w:r w:rsidRPr="00745120">
        <w:rPr>
          <w:rFonts w:ascii="Times New Roman" w:eastAsia="Times New Roman" w:hAnsi="Times New Roman" w:cs="Times New Roman"/>
          <w:sz w:val="22"/>
          <w:lang w:val="en-GB"/>
        </w:rPr>
        <w:t xml:space="preserve">Assessing the relative contribution of wastewater treatment plants to levels of metals in receiving waters for catchment management. </w:t>
      </w:r>
      <w:r w:rsidRPr="00745120">
        <w:rPr>
          <w:rFonts w:ascii="Times New Roman" w:eastAsia="Times New Roman" w:hAnsi="Times New Roman" w:cs="Times New Roman"/>
          <w:i/>
          <w:iCs/>
          <w:sz w:val="22"/>
          <w:lang w:val="en-GB"/>
        </w:rPr>
        <w:t>Water, Air, and Soil Pollution</w:t>
      </w:r>
      <w:r w:rsidRPr="00745120">
        <w:rPr>
          <w:rFonts w:ascii="Times New Roman" w:eastAsia="Times New Roman" w:hAnsi="Times New Roman" w:cs="Times New Roman"/>
          <w:sz w:val="22"/>
          <w:lang w:val="en-GB"/>
        </w:rPr>
        <w:t xml:space="preserve">, </w:t>
      </w:r>
      <w:r w:rsidRPr="00745120">
        <w:rPr>
          <w:rFonts w:ascii="Times New Roman" w:eastAsia="Times New Roman" w:hAnsi="Times New Roman" w:cs="Times New Roman"/>
          <w:i/>
          <w:iCs/>
          <w:sz w:val="22"/>
          <w:lang w:val="en-GB"/>
        </w:rPr>
        <w:t>223</w:t>
      </w:r>
      <w:r w:rsidRPr="00745120">
        <w:rPr>
          <w:rFonts w:ascii="Times New Roman" w:eastAsia="Times New Roman" w:hAnsi="Times New Roman" w:cs="Times New Roman"/>
          <w:sz w:val="22"/>
          <w:lang w:val="en-GB"/>
        </w:rPr>
        <w:t xml:space="preserve">(7), 3987–4006. </w:t>
      </w:r>
      <w:hyperlink r:id="rId15">
        <w:r w:rsidRPr="00745120">
          <w:rPr>
            <w:rStyle w:val="Hipervnculo"/>
            <w:rFonts w:ascii="Times New Roman" w:eastAsia="Times New Roman" w:hAnsi="Times New Roman" w:cs="Times New Roman"/>
            <w:color w:val="0000FF"/>
            <w:sz w:val="22"/>
            <w:lang w:val="en-GB"/>
          </w:rPr>
          <w:t>https://doi.org/10.1007/s11270-012-1166-9</w:t>
        </w:r>
      </w:hyperlink>
      <w:r w:rsidRPr="00745120">
        <w:rPr>
          <w:rFonts w:ascii="Times New Roman" w:eastAsia="Times New Roman" w:hAnsi="Times New Roman" w:cs="Times New Roman"/>
          <w:sz w:val="22"/>
          <w:lang w:val="en-GB"/>
        </w:rPr>
        <w:t xml:space="preserve"> </w:t>
      </w:r>
    </w:p>
    <w:p w14:paraId="6E196626" w14:textId="77777777" w:rsidR="00817422" w:rsidRPr="00745120" w:rsidRDefault="00817422" w:rsidP="00745120">
      <w:pPr>
        <w:spacing w:line="240" w:lineRule="auto"/>
        <w:ind w:left="480" w:hanging="480"/>
        <w:jc w:val="both"/>
        <w:rPr>
          <w:sz w:val="22"/>
        </w:rPr>
      </w:pPr>
      <w:r w:rsidRPr="00745120">
        <w:rPr>
          <w:rFonts w:ascii="Times New Roman" w:eastAsia="Times New Roman" w:hAnsi="Times New Roman" w:cs="Times New Roman"/>
          <w:sz w:val="22"/>
          <w:lang w:val="en-GB"/>
        </w:rPr>
        <w:t xml:space="preserve">Cotta, A. J. B., </w:t>
      </w:r>
      <w:proofErr w:type="spellStart"/>
      <w:r w:rsidRPr="00745120">
        <w:rPr>
          <w:rFonts w:ascii="Times New Roman" w:eastAsia="Times New Roman" w:hAnsi="Times New Roman" w:cs="Times New Roman"/>
          <w:sz w:val="22"/>
          <w:lang w:val="en-GB"/>
        </w:rPr>
        <w:t>Duboc</w:t>
      </w:r>
      <w:proofErr w:type="spellEnd"/>
      <w:r w:rsidRPr="00745120">
        <w:rPr>
          <w:rFonts w:ascii="Times New Roman" w:eastAsia="Times New Roman" w:hAnsi="Times New Roman" w:cs="Times New Roman"/>
          <w:sz w:val="22"/>
          <w:lang w:val="en-GB"/>
        </w:rPr>
        <w:t xml:space="preserve">, L. F., &amp; de Jesus, H. C. (2017). Impacts of urban wastewater and </w:t>
      </w:r>
      <w:proofErr w:type="spellStart"/>
      <w:r w:rsidRPr="00745120">
        <w:rPr>
          <w:rFonts w:ascii="Times New Roman" w:eastAsia="Times New Roman" w:hAnsi="Times New Roman" w:cs="Times New Roman"/>
          <w:sz w:val="22"/>
          <w:lang w:val="en-GB"/>
        </w:rPr>
        <w:t>hydrogeochemistry</w:t>
      </w:r>
      <w:proofErr w:type="spellEnd"/>
      <w:r w:rsidRPr="00745120">
        <w:rPr>
          <w:rFonts w:ascii="Times New Roman" w:eastAsia="Times New Roman" w:hAnsi="Times New Roman" w:cs="Times New Roman"/>
          <w:sz w:val="22"/>
          <w:lang w:val="en-GB"/>
        </w:rPr>
        <w:t xml:space="preserve"> of the São Mateus River, </w:t>
      </w:r>
      <w:proofErr w:type="spellStart"/>
      <w:r w:rsidRPr="00745120">
        <w:rPr>
          <w:rFonts w:ascii="Times New Roman" w:eastAsia="Times New Roman" w:hAnsi="Times New Roman" w:cs="Times New Roman"/>
          <w:sz w:val="22"/>
          <w:lang w:val="en-GB"/>
        </w:rPr>
        <w:t>Espírito</w:t>
      </w:r>
      <w:proofErr w:type="spellEnd"/>
      <w:r w:rsidRPr="00745120">
        <w:rPr>
          <w:rFonts w:ascii="Times New Roman" w:eastAsia="Times New Roman" w:hAnsi="Times New Roman" w:cs="Times New Roman"/>
          <w:sz w:val="22"/>
          <w:lang w:val="en-GB"/>
        </w:rPr>
        <w:t xml:space="preserve"> Santo, Brazil. </w:t>
      </w:r>
      <w:r w:rsidRPr="00745120">
        <w:rPr>
          <w:rFonts w:ascii="Times New Roman" w:eastAsia="Times New Roman" w:hAnsi="Times New Roman" w:cs="Times New Roman"/>
          <w:i/>
          <w:iCs/>
          <w:sz w:val="22"/>
          <w:lang w:val="en-GB"/>
        </w:rPr>
        <w:t>Environmental Earth Sciences</w:t>
      </w:r>
      <w:r w:rsidRPr="00745120">
        <w:rPr>
          <w:rFonts w:ascii="Times New Roman" w:eastAsia="Times New Roman" w:hAnsi="Times New Roman" w:cs="Times New Roman"/>
          <w:sz w:val="22"/>
          <w:lang w:val="en-GB"/>
        </w:rPr>
        <w:t xml:space="preserve">, </w:t>
      </w:r>
      <w:r w:rsidRPr="00745120">
        <w:rPr>
          <w:rFonts w:ascii="Times New Roman" w:eastAsia="Times New Roman" w:hAnsi="Times New Roman" w:cs="Times New Roman"/>
          <w:i/>
          <w:iCs/>
          <w:sz w:val="22"/>
          <w:lang w:val="en-GB"/>
        </w:rPr>
        <w:t>76</w:t>
      </w:r>
      <w:r w:rsidRPr="00745120">
        <w:rPr>
          <w:rFonts w:ascii="Times New Roman" w:eastAsia="Times New Roman" w:hAnsi="Times New Roman" w:cs="Times New Roman"/>
          <w:sz w:val="22"/>
          <w:lang w:val="en-GB"/>
        </w:rPr>
        <w:t xml:space="preserve">(9). </w:t>
      </w:r>
      <w:hyperlink r:id="rId16">
        <w:r w:rsidRPr="00745120">
          <w:rPr>
            <w:rStyle w:val="Hipervnculo"/>
            <w:rFonts w:ascii="Times New Roman" w:eastAsia="Times New Roman" w:hAnsi="Times New Roman" w:cs="Times New Roman"/>
            <w:color w:val="0000FF"/>
            <w:sz w:val="22"/>
            <w:lang w:val="en-GB"/>
          </w:rPr>
          <w:t>https://doi.org/10.1007/s12665-017-6658-x</w:t>
        </w:r>
      </w:hyperlink>
      <w:r w:rsidRPr="00745120">
        <w:rPr>
          <w:rFonts w:ascii="Times New Roman" w:eastAsia="Times New Roman" w:hAnsi="Times New Roman" w:cs="Times New Roman"/>
          <w:sz w:val="22"/>
          <w:lang w:val="en-GB"/>
        </w:rPr>
        <w:t xml:space="preserve"> </w:t>
      </w:r>
    </w:p>
    <w:p w14:paraId="5F70B298" w14:textId="77777777" w:rsidR="00817422" w:rsidRPr="00745120" w:rsidRDefault="00817422" w:rsidP="00745120">
      <w:pPr>
        <w:spacing w:line="240" w:lineRule="auto"/>
        <w:ind w:left="480" w:hanging="480"/>
        <w:jc w:val="both"/>
        <w:rPr>
          <w:sz w:val="22"/>
        </w:rPr>
      </w:pPr>
      <w:proofErr w:type="spellStart"/>
      <w:r w:rsidRPr="00745120">
        <w:rPr>
          <w:rFonts w:ascii="Times New Roman" w:eastAsia="Times New Roman" w:hAnsi="Times New Roman" w:cs="Times New Roman"/>
          <w:sz w:val="22"/>
          <w:lang w:val="en-GB"/>
        </w:rPr>
        <w:t>Diphare</w:t>
      </w:r>
      <w:proofErr w:type="spellEnd"/>
      <w:r w:rsidRPr="00745120">
        <w:rPr>
          <w:rFonts w:ascii="Times New Roman" w:eastAsia="Times New Roman" w:hAnsi="Times New Roman" w:cs="Times New Roman"/>
          <w:sz w:val="22"/>
          <w:lang w:val="en-GB"/>
        </w:rPr>
        <w:t xml:space="preserve">, M. J., </w:t>
      </w:r>
      <w:proofErr w:type="spellStart"/>
      <w:r w:rsidRPr="00745120">
        <w:rPr>
          <w:rFonts w:ascii="Times New Roman" w:eastAsia="Times New Roman" w:hAnsi="Times New Roman" w:cs="Times New Roman"/>
          <w:sz w:val="22"/>
          <w:lang w:val="en-GB"/>
        </w:rPr>
        <w:t>Pilusa</w:t>
      </w:r>
      <w:proofErr w:type="spellEnd"/>
      <w:r w:rsidRPr="00745120">
        <w:rPr>
          <w:rFonts w:ascii="Times New Roman" w:eastAsia="Times New Roman" w:hAnsi="Times New Roman" w:cs="Times New Roman"/>
          <w:sz w:val="22"/>
          <w:lang w:val="en-GB"/>
        </w:rPr>
        <w:t xml:space="preserve">, J., </w:t>
      </w:r>
      <w:proofErr w:type="spellStart"/>
      <w:r w:rsidRPr="00745120">
        <w:rPr>
          <w:rFonts w:ascii="Times New Roman" w:eastAsia="Times New Roman" w:hAnsi="Times New Roman" w:cs="Times New Roman"/>
          <w:sz w:val="22"/>
          <w:lang w:val="en-GB"/>
        </w:rPr>
        <w:t>Muzenda</w:t>
      </w:r>
      <w:proofErr w:type="spellEnd"/>
      <w:r w:rsidRPr="00745120">
        <w:rPr>
          <w:rFonts w:ascii="Times New Roman" w:eastAsia="Times New Roman" w:hAnsi="Times New Roman" w:cs="Times New Roman"/>
          <w:sz w:val="22"/>
          <w:lang w:val="en-GB"/>
        </w:rPr>
        <w:t xml:space="preserve">, E., &amp; </w:t>
      </w:r>
      <w:proofErr w:type="spellStart"/>
      <w:r w:rsidRPr="00745120">
        <w:rPr>
          <w:rFonts w:ascii="Times New Roman" w:eastAsia="Times New Roman" w:hAnsi="Times New Roman" w:cs="Times New Roman"/>
          <w:sz w:val="22"/>
          <w:lang w:val="en-GB"/>
        </w:rPr>
        <w:t>Mollagee</w:t>
      </w:r>
      <w:proofErr w:type="spellEnd"/>
      <w:r w:rsidRPr="00745120">
        <w:rPr>
          <w:rFonts w:ascii="Times New Roman" w:eastAsia="Times New Roman" w:hAnsi="Times New Roman" w:cs="Times New Roman"/>
          <w:sz w:val="22"/>
          <w:lang w:val="en-GB"/>
        </w:rPr>
        <w:t xml:space="preserve">, M. (2013). A Review of Waste Lubricating Grease Management. </w:t>
      </w:r>
      <w:r w:rsidRPr="00745120">
        <w:rPr>
          <w:rFonts w:ascii="Times New Roman" w:eastAsia="Times New Roman" w:hAnsi="Times New Roman" w:cs="Times New Roman"/>
          <w:i/>
          <w:iCs/>
          <w:sz w:val="22"/>
          <w:lang w:val="en-GB"/>
        </w:rPr>
        <w:t>International Conference on Environment, Agriculture and Food Sciences (ICEAFS’2013)</w:t>
      </w:r>
      <w:r w:rsidRPr="00745120">
        <w:rPr>
          <w:rFonts w:ascii="Times New Roman" w:eastAsia="Times New Roman" w:hAnsi="Times New Roman" w:cs="Times New Roman"/>
          <w:sz w:val="22"/>
          <w:lang w:val="en-GB"/>
        </w:rPr>
        <w:t>, 131–134.</w:t>
      </w:r>
    </w:p>
    <w:p w14:paraId="335EBE04" w14:textId="77777777" w:rsidR="00817422" w:rsidRPr="00745120" w:rsidRDefault="00817422" w:rsidP="00745120">
      <w:pPr>
        <w:spacing w:line="240" w:lineRule="auto"/>
        <w:ind w:left="480" w:hanging="480"/>
        <w:jc w:val="both"/>
        <w:rPr>
          <w:sz w:val="22"/>
          <w:lang w:val="es-419"/>
        </w:rPr>
      </w:pPr>
      <w:r w:rsidRPr="00745120">
        <w:rPr>
          <w:rFonts w:ascii="Times New Roman" w:eastAsia="Times New Roman" w:hAnsi="Times New Roman" w:cs="Times New Roman"/>
          <w:sz w:val="22"/>
          <w:lang w:val="es-419"/>
        </w:rPr>
        <w:t>Escalante, E. R. (</w:t>
      </w:r>
      <w:proofErr w:type="spellStart"/>
      <w:r w:rsidRPr="00745120">
        <w:rPr>
          <w:rFonts w:ascii="Times New Roman" w:eastAsia="Times New Roman" w:hAnsi="Times New Roman" w:cs="Times New Roman"/>
          <w:sz w:val="22"/>
          <w:lang w:val="es-419"/>
        </w:rPr>
        <w:t>n.d</w:t>
      </w:r>
      <w:proofErr w:type="spellEnd"/>
      <w:r w:rsidRPr="00745120">
        <w:rPr>
          <w:rFonts w:ascii="Times New Roman" w:eastAsia="Times New Roman" w:hAnsi="Times New Roman" w:cs="Times New Roman"/>
          <w:sz w:val="22"/>
          <w:lang w:val="es-419"/>
        </w:rPr>
        <w:t xml:space="preserve">.). </w:t>
      </w:r>
      <w:r w:rsidRPr="00745120">
        <w:rPr>
          <w:rFonts w:ascii="Times New Roman" w:eastAsia="Times New Roman" w:hAnsi="Times New Roman" w:cs="Times New Roman"/>
          <w:i/>
          <w:iCs/>
          <w:sz w:val="22"/>
          <w:lang w:val="es-419"/>
        </w:rPr>
        <w:t xml:space="preserve">Tanques </w:t>
      </w:r>
      <w:proofErr w:type="gramStart"/>
      <w:r w:rsidRPr="00745120">
        <w:rPr>
          <w:rFonts w:ascii="Times New Roman" w:eastAsia="Times New Roman" w:hAnsi="Times New Roman" w:cs="Times New Roman"/>
          <w:i/>
          <w:iCs/>
          <w:sz w:val="22"/>
          <w:lang w:val="es-419"/>
        </w:rPr>
        <w:t>sépticos .</w:t>
      </w:r>
      <w:proofErr w:type="gramEnd"/>
      <w:r w:rsidRPr="00745120">
        <w:rPr>
          <w:rFonts w:ascii="Times New Roman" w:eastAsia="Times New Roman" w:hAnsi="Times New Roman" w:cs="Times New Roman"/>
          <w:i/>
          <w:iCs/>
          <w:sz w:val="22"/>
          <w:lang w:val="es-419"/>
        </w:rPr>
        <w:t xml:space="preserve"> Conceptos teóricos</w:t>
      </w:r>
      <w:r w:rsidRPr="00745120">
        <w:rPr>
          <w:rFonts w:ascii="Times New Roman" w:eastAsia="Times New Roman" w:hAnsi="Times New Roman" w:cs="Times New Roman"/>
          <w:sz w:val="22"/>
          <w:lang w:val="es-419"/>
        </w:rPr>
        <w:t xml:space="preserve">. </w:t>
      </w:r>
      <w:r w:rsidRPr="00745120">
        <w:rPr>
          <w:rFonts w:ascii="Times New Roman" w:eastAsia="Times New Roman" w:hAnsi="Times New Roman" w:cs="Times New Roman"/>
          <w:i/>
          <w:iCs/>
          <w:sz w:val="22"/>
          <w:lang w:val="es-419"/>
        </w:rPr>
        <w:t>18</w:t>
      </w:r>
      <w:r w:rsidRPr="00745120">
        <w:rPr>
          <w:rFonts w:ascii="Times New Roman" w:eastAsia="Times New Roman" w:hAnsi="Times New Roman" w:cs="Times New Roman"/>
          <w:sz w:val="22"/>
          <w:lang w:val="es-419"/>
        </w:rPr>
        <w:t>(506), 26–33.</w:t>
      </w:r>
    </w:p>
    <w:p w14:paraId="54AC7758" w14:textId="77777777" w:rsidR="00817422" w:rsidRPr="00745120" w:rsidRDefault="00817422" w:rsidP="00745120">
      <w:pPr>
        <w:spacing w:line="240" w:lineRule="auto"/>
        <w:ind w:left="480" w:hanging="480"/>
        <w:jc w:val="both"/>
        <w:rPr>
          <w:sz w:val="22"/>
        </w:rPr>
      </w:pPr>
      <w:r w:rsidRPr="00745120">
        <w:rPr>
          <w:rFonts w:ascii="Times New Roman" w:eastAsia="Times New Roman" w:hAnsi="Times New Roman" w:cs="Times New Roman"/>
          <w:sz w:val="22"/>
          <w:lang w:val="es-419"/>
        </w:rPr>
        <w:t xml:space="preserve">García, M. T., Campos, E., </w:t>
      </w:r>
      <w:proofErr w:type="spellStart"/>
      <w:r w:rsidRPr="00745120">
        <w:rPr>
          <w:rFonts w:ascii="Times New Roman" w:eastAsia="Times New Roman" w:hAnsi="Times New Roman" w:cs="Times New Roman"/>
          <w:sz w:val="22"/>
          <w:lang w:val="es-419"/>
        </w:rPr>
        <w:t>Marsal</w:t>
      </w:r>
      <w:proofErr w:type="spellEnd"/>
      <w:r w:rsidRPr="00745120">
        <w:rPr>
          <w:rFonts w:ascii="Times New Roman" w:eastAsia="Times New Roman" w:hAnsi="Times New Roman" w:cs="Times New Roman"/>
          <w:sz w:val="22"/>
          <w:lang w:val="es-419"/>
        </w:rPr>
        <w:t xml:space="preserve">, A., &amp; Ribosa, I. (2009). </w:t>
      </w:r>
      <w:r w:rsidRPr="00745120">
        <w:rPr>
          <w:rFonts w:ascii="Times New Roman" w:eastAsia="Times New Roman" w:hAnsi="Times New Roman" w:cs="Times New Roman"/>
          <w:sz w:val="22"/>
        </w:rPr>
        <w:t xml:space="preserve">Biodegradability and toxicity of sulphonate-based surfactants in aerobic and anaerobic aquatic environments. Water Research, 43(2), 295–302. </w:t>
      </w:r>
      <w:hyperlink r:id="rId17">
        <w:r w:rsidRPr="00745120">
          <w:rPr>
            <w:rStyle w:val="Hipervnculo"/>
            <w:rFonts w:ascii="Times New Roman" w:eastAsia="Times New Roman" w:hAnsi="Times New Roman" w:cs="Times New Roman"/>
            <w:color w:val="0000FF"/>
            <w:sz w:val="22"/>
          </w:rPr>
          <w:t>https://doi.org/10.1016/j.watres.2008.10.016</w:t>
        </w:r>
      </w:hyperlink>
      <w:r w:rsidRPr="00745120">
        <w:rPr>
          <w:rFonts w:ascii="Times New Roman" w:eastAsia="Times New Roman" w:hAnsi="Times New Roman" w:cs="Times New Roman"/>
          <w:sz w:val="22"/>
        </w:rPr>
        <w:t xml:space="preserve"> </w:t>
      </w:r>
    </w:p>
    <w:p w14:paraId="776B52C7" w14:textId="08AD26BC" w:rsidR="00817422" w:rsidRPr="00745120" w:rsidRDefault="00817422" w:rsidP="00745120">
      <w:pPr>
        <w:spacing w:line="240" w:lineRule="auto"/>
        <w:ind w:left="480" w:hanging="480"/>
        <w:jc w:val="both"/>
        <w:rPr>
          <w:rFonts w:ascii="Times New Roman" w:eastAsia="Times New Roman" w:hAnsi="Times New Roman" w:cs="Times New Roman"/>
          <w:sz w:val="22"/>
          <w:lang w:val="en-GB"/>
        </w:rPr>
      </w:pPr>
      <w:proofErr w:type="spellStart"/>
      <w:r w:rsidRPr="00745120">
        <w:rPr>
          <w:rFonts w:ascii="Times New Roman" w:eastAsia="Times New Roman" w:hAnsi="Times New Roman" w:cs="Times New Roman"/>
          <w:sz w:val="22"/>
          <w:lang w:val="en-GB"/>
        </w:rPr>
        <w:t>Gavrilescu</w:t>
      </w:r>
      <w:proofErr w:type="spellEnd"/>
      <w:r w:rsidRPr="00745120">
        <w:rPr>
          <w:rFonts w:ascii="Times New Roman" w:eastAsia="Times New Roman" w:hAnsi="Times New Roman" w:cs="Times New Roman"/>
          <w:sz w:val="22"/>
          <w:lang w:val="en-GB"/>
        </w:rPr>
        <w:t xml:space="preserve">, D., </w:t>
      </w:r>
      <w:proofErr w:type="spellStart"/>
      <w:r w:rsidRPr="00745120">
        <w:rPr>
          <w:rFonts w:ascii="Times New Roman" w:eastAsia="Times New Roman" w:hAnsi="Times New Roman" w:cs="Times New Roman"/>
          <w:sz w:val="22"/>
          <w:lang w:val="en-GB"/>
        </w:rPr>
        <w:t>Teodosiu</w:t>
      </w:r>
      <w:proofErr w:type="spellEnd"/>
      <w:r w:rsidRPr="00745120">
        <w:rPr>
          <w:rFonts w:ascii="Times New Roman" w:eastAsia="Times New Roman" w:hAnsi="Times New Roman" w:cs="Times New Roman"/>
          <w:sz w:val="22"/>
          <w:lang w:val="en-GB"/>
        </w:rPr>
        <w:t xml:space="preserve">, C., &amp; David, M. (2020). Environmental assessment of wastewater discharges at river basin level by means of waste absorption footprint. </w:t>
      </w:r>
      <w:r w:rsidRPr="00745120">
        <w:rPr>
          <w:rFonts w:ascii="Times New Roman" w:eastAsia="Times New Roman" w:hAnsi="Times New Roman" w:cs="Times New Roman"/>
          <w:i/>
          <w:iCs/>
          <w:sz w:val="22"/>
          <w:lang w:val="en-GB"/>
        </w:rPr>
        <w:t>Sustainable Production and Consumption</w:t>
      </w:r>
      <w:r w:rsidRPr="00745120">
        <w:rPr>
          <w:rFonts w:ascii="Times New Roman" w:eastAsia="Times New Roman" w:hAnsi="Times New Roman" w:cs="Times New Roman"/>
          <w:sz w:val="22"/>
          <w:lang w:val="en-GB"/>
        </w:rPr>
        <w:t xml:space="preserve">, </w:t>
      </w:r>
      <w:r w:rsidRPr="00745120">
        <w:rPr>
          <w:rFonts w:ascii="Times New Roman" w:eastAsia="Times New Roman" w:hAnsi="Times New Roman" w:cs="Times New Roman"/>
          <w:i/>
          <w:iCs/>
          <w:sz w:val="22"/>
          <w:lang w:val="en-GB"/>
        </w:rPr>
        <w:t>21</w:t>
      </w:r>
      <w:r w:rsidRPr="00745120">
        <w:rPr>
          <w:rFonts w:ascii="Times New Roman" w:eastAsia="Times New Roman" w:hAnsi="Times New Roman" w:cs="Times New Roman"/>
          <w:sz w:val="22"/>
          <w:lang w:val="en-GB"/>
        </w:rPr>
        <w:t xml:space="preserve">, 33–46. </w:t>
      </w:r>
      <w:hyperlink r:id="rId18">
        <w:r w:rsidRPr="00745120">
          <w:rPr>
            <w:rStyle w:val="Hipervnculo"/>
            <w:rFonts w:ascii="Times New Roman" w:eastAsia="Times New Roman" w:hAnsi="Times New Roman" w:cs="Times New Roman"/>
            <w:color w:val="0000FF"/>
            <w:sz w:val="22"/>
            <w:lang w:val="en-GB"/>
          </w:rPr>
          <w:t>https://doi.org/10.1016/j.spc.2019.10.006</w:t>
        </w:r>
      </w:hyperlink>
      <w:r w:rsidRPr="00745120">
        <w:rPr>
          <w:rFonts w:ascii="Times New Roman" w:eastAsia="Times New Roman" w:hAnsi="Times New Roman" w:cs="Times New Roman"/>
          <w:sz w:val="22"/>
          <w:lang w:val="en-GB"/>
        </w:rPr>
        <w:t xml:space="preserve"> </w:t>
      </w:r>
    </w:p>
    <w:p w14:paraId="097A5277" w14:textId="77777777" w:rsidR="00745120" w:rsidRPr="00745120" w:rsidRDefault="00745120" w:rsidP="00745120">
      <w:pPr>
        <w:spacing w:line="240" w:lineRule="auto"/>
        <w:ind w:left="480" w:hanging="480"/>
        <w:jc w:val="both"/>
        <w:rPr>
          <w:sz w:val="22"/>
        </w:rPr>
      </w:pPr>
      <w:r w:rsidRPr="00745120">
        <w:rPr>
          <w:rFonts w:ascii="Times New Roman" w:eastAsia="Times New Roman" w:hAnsi="Times New Roman" w:cs="Times New Roman"/>
          <w:sz w:val="22"/>
        </w:rPr>
        <w:t xml:space="preserve">Good, P. (2000). Permutation Test: A Practical Guide to Resampling Methods for Testing Hypotheses. (P. Bickel, P. Diggle, S. Fienberg, K. </w:t>
      </w:r>
      <w:proofErr w:type="spellStart"/>
      <w:r w:rsidRPr="00745120">
        <w:rPr>
          <w:rFonts w:ascii="Times New Roman" w:eastAsia="Times New Roman" w:hAnsi="Times New Roman" w:cs="Times New Roman"/>
          <w:sz w:val="22"/>
        </w:rPr>
        <w:t>Krickeberg</w:t>
      </w:r>
      <w:proofErr w:type="spellEnd"/>
      <w:r w:rsidRPr="00745120">
        <w:rPr>
          <w:rFonts w:ascii="Times New Roman" w:eastAsia="Times New Roman" w:hAnsi="Times New Roman" w:cs="Times New Roman"/>
          <w:sz w:val="22"/>
        </w:rPr>
        <w:t xml:space="preserve">, I. Olkin, N. </w:t>
      </w:r>
      <w:proofErr w:type="spellStart"/>
      <w:r w:rsidRPr="00745120">
        <w:rPr>
          <w:rFonts w:ascii="Times New Roman" w:eastAsia="Times New Roman" w:hAnsi="Times New Roman" w:cs="Times New Roman"/>
          <w:sz w:val="22"/>
        </w:rPr>
        <w:t>Wermuth</w:t>
      </w:r>
      <w:proofErr w:type="spellEnd"/>
      <w:r w:rsidRPr="00745120">
        <w:rPr>
          <w:rFonts w:ascii="Times New Roman" w:eastAsia="Times New Roman" w:hAnsi="Times New Roman" w:cs="Times New Roman"/>
          <w:sz w:val="22"/>
        </w:rPr>
        <w:t xml:space="preserve">, &amp; S. </w:t>
      </w:r>
      <w:proofErr w:type="spellStart"/>
      <w:r w:rsidRPr="00745120">
        <w:rPr>
          <w:rFonts w:ascii="Times New Roman" w:eastAsia="Times New Roman" w:hAnsi="Times New Roman" w:cs="Times New Roman"/>
          <w:sz w:val="22"/>
        </w:rPr>
        <w:t>Zeger</w:t>
      </w:r>
      <w:proofErr w:type="spellEnd"/>
      <w:r w:rsidRPr="00745120">
        <w:rPr>
          <w:rFonts w:ascii="Times New Roman" w:eastAsia="Times New Roman" w:hAnsi="Times New Roman" w:cs="Times New Roman"/>
          <w:sz w:val="22"/>
        </w:rPr>
        <w:t xml:space="preserve">, Eds.) (Second edition). New York: Springer. </w:t>
      </w:r>
      <w:hyperlink r:id="rId19">
        <w:r w:rsidRPr="00745120">
          <w:rPr>
            <w:rStyle w:val="Hipervnculo"/>
            <w:rFonts w:ascii="Times New Roman" w:eastAsia="Times New Roman" w:hAnsi="Times New Roman" w:cs="Times New Roman"/>
            <w:color w:val="0000FF"/>
            <w:sz w:val="22"/>
          </w:rPr>
          <w:t>doi:10.1007/978-1-4757-3235-1</w:t>
        </w:r>
      </w:hyperlink>
    </w:p>
    <w:p w14:paraId="75B3B02B" w14:textId="4B5EEFF2" w:rsidR="00745120" w:rsidRPr="00745120" w:rsidRDefault="00745120" w:rsidP="00745120">
      <w:pPr>
        <w:spacing w:line="240" w:lineRule="auto"/>
        <w:ind w:left="480" w:hanging="480"/>
        <w:jc w:val="both"/>
        <w:rPr>
          <w:sz w:val="22"/>
        </w:rPr>
      </w:pPr>
      <w:proofErr w:type="spellStart"/>
      <w:r w:rsidRPr="00745120">
        <w:rPr>
          <w:rFonts w:ascii="Times New Roman" w:eastAsia="Times New Roman" w:hAnsi="Times New Roman" w:cs="Times New Roman"/>
          <w:sz w:val="22"/>
        </w:rPr>
        <w:t>Helsel</w:t>
      </w:r>
      <w:proofErr w:type="spellEnd"/>
      <w:r w:rsidRPr="00745120">
        <w:rPr>
          <w:rFonts w:ascii="Times New Roman" w:eastAsia="Times New Roman" w:hAnsi="Times New Roman" w:cs="Times New Roman"/>
          <w:sz w:val="22"/>
        </w:rPr>
        <w:t xml:space="preserve">, D. R. (2012). </w:t>
      </w:r>
      <w:r w:rsidRPr="00745120">
        <w:rPr>
          <w:rFonts w:ascii="Times New Roman" w:eastAsia="Times New Roman" w:hAnsi="Times New Roman" w:cs="Times New Roman"/>
          <w:i/>
          <w:iCs/>
          <w:sz w:val="22"/>
        </w:rPr>
        <w:t>Statistics for Censored Environmental Data Using Minitab an R</w:t>
      </w:r>
      <w:r w:rsidRPr="00745120">
        <w:rPr>
          <w:rFonts w:ascii="Times New Roman" w:eastAsia="Times New Roman" w:hAnsi="Times New Roman" w:cs="Times New Roman"/>
          <w:sz w:val="22"/>
        </w:rPr>
        <w:t>. New Jersey: John Wiley &amp; Sons, Inc. All.</w:t>
      </w:r>
    </w:p>
    <w:p w14:paraId="200D3691" w14:textId="77777777" w:rsidR="00817422" w:rsidRPr="00745120" w:rsidRDefault="00817422" w:rsidP="00745120">
      <w:pPr>
        <w:spacing w:line="240" w:lineRule="auto"/>
        <w:ind w:left="480" w:hanging="480"/>
        <w:jc w:val="both"/>
        <w:rPr>
          <w:sz w:val="22"/>
          <w:lang w:val="es-419"/>
        </w:rPr>
      </w:pPr>
      <w:r w:rsidRPr="00745120">
        <w:rPr>
          <w:rFonts w:ascii="Times New Roman" w:eastAsia="Times New Roman" w:hAnsi="Times New Roman" w:cs="Times New Roman"/>
          <w:sz w:val="22"/>
          <w:lang w:val="es-419"/>
        </w:rPr>
        <w:t xml:space="preserve">Hernando Echevarría, L., &amp; Orozco Montoya, R. (2015). Disponibilidad del recurso hídrico en la microcuenca del río Bermúdez. Región central de Costa Rica. </w:t>
      </w:r>
      <w:r w:rsidRPr="00745120">
        <w:rPr>
          <w:rFonts w:ascii="Times New Roman" w:eastAsia="Times New Roman" w:hAnsi="Times New Roman" w:cs="Times New Roman"/>
          <w:i/>
          <w:iCs/>
          <w:sz w:val="22"/>
          <w:lang w:val="es-419"/>
        </w:rPr>
        <w:t>Observatorio Medioambiental</w:t>
      </w:r>
      <w:r w:rsidRPr="00745120">
        <w:rPr>
          <w:rFonts w:ascii="Times New Roman" w:eastAsia="Times New Roman" w:hAnsi="Times New Roman" w:cs="Times New Roman"/>
          <w:sz w:val="22"/>
          <w:lang w:val="es-419"/>
        </w:rPr>
        <w:t xml:space="preserve">, </w:t>
      </w:r>
      <w:r w:rsidRPr="00745120">
        <w:rPr>
          <w:rFonts w:ascii="Times New Roman" w:eastAsia="Times New Roman" w:hAnsi="Times New Roman" w:cs="Times New Roman"/>
          <w:i/>
          <w:iCs/>
          <w:sz w:val="22"/>
          <w:lang w:val="es-419"/>
        </w:rPr>
        <w:t>18</w:t>
      </w:r>
      <w:r w:rsidRPr="00745120">
        <w:rPr>
          <w:rFonts w:ascii="Times New Roman" w:eastAsia="Times New Roman" w:hAnsi="Times New Roman" w:cs="Times New Roman"/>
          <w:sz w:val="22"/>
          <w:lang w:val="es-419"/>
        </w:rPr>
        <w:t xml:space="preserve">(0), 165–181. </w:t>
      </w:r>
      <w:hyperlink r:id="rId20">
        <w:r w:rsidRPr="00745120">
          <w:rPr>
            <w:rStyle w:val="Hipervnculo"/>
            <w:rFonts w:ascii="Times New Roman" w:eastAsia="Times New Roman" w:hAnsi="Times New Roman" w:cs="Times New Roman"/>
            <w:color w:val="0000FF"/>
            <w:sz w:val="22"/>
            <w:lang w:val="es-419"/>
          </w:rPr>
          <w:t>https://doi.org/10.5209/rev_obmd.2015.v18.51289</w:t>
        </w:r>
      </w:hyperlink>
      <w:r w:rsidRPr="00745120">
        <w:rPr>
          <w:rFonts w:ascii="Times New Roman" w:eastAsia="Times New Roman" w:hAnsi="Times New Roman" w:cs="Times New Roman"/>
          <w:sz w:val="22"/>
          <w:lang w:val="es-419"/>
        </w:rPr>
        <w:t xml:space="preserve"> </w:t>
      </w:r>
    </w:p>
    <w:p w14:paraId="35F3204F" w14:textId="5845D807" w:rsidR="00817422" w:rsidRPr="00745120" w:rsidRDefault="00817422" w:rsidP="00745120">
      <w:pPr>
        <w:spacing w:line="240" w:lineRule="auto"/>
        <w:ind w:left="480" w:hanging="480"/>
        <w:jc w:val="both"/>
        <w:rPr>
          <w:rFonts w:ascii="Times New Roman" w:eastAsia="Times New Roman" w:hAnsi="Times New Roman" w:cs="Times New Roman"/>
          <w:sz w:val="22"/>
          <w:lang w:val="en-GB"/>
        </w:rPr>
      </w:pPr>
      <w:r w:rsidRPr="00745120">
        <w:rPr>
          <w:rFonts w:ascii="Times New Roman" w:eastAsia="Times New Roman" w:hAnsi="Times New Roman" w:cs="Times New Roman"/>
          <w:sz w:val="22"/>
          <w:lang w:val="es-419"/>
        </w:rPr>
        <w:lastRenderedPageBreak/>
        <w:t xml:space="preserve">Herrera-Murillo, J., Rodríguez, S., Chaves-Villalobos, M., Herrera, É., &amp; Rojas, J. F. (2013). Variación temporal y espacial de la calidad de las aguas superficiales en la subcuenca del río Virilla (Costa Rica) entre 2006 y 2010. </w:t>
      </w:r>
      <w:r w:rsidRPr="00745120">
        <w:rPr>
          <w:rFonts w:ascii="Times New Roman" w:eastAsia="Times New Roman" w:hAnsi="Times New Roman" w:cs="Times New Roman"/>
          <w:i/>
          <w:iCs/>
          <w:sz w:val="22"/>
          <w:lang w:val="en-GB"/>
        </w:rPr>
        <w:t>Tropical Journal of Environmental Sciences</w:t>
      </w:r>
      <w:r w:rsidRPr="00745120">
        <w:rPr>
          <w:rFonts w:ascii="Times New Roman" w:eastAsia="Times New Roman" w:hAnsi="Times New Roman" w:cs="Times New Roman"/>
          <w:sz w:val="22"/>
          <w:lang w:val="en-GB"/>
        </w:rPr>
        <w:t xml:space="preserve">, </w:t>
      </w:r>
      <w:r w:rsidRPr="00745120">
        <w:rPr>
          <w:rFonts w:ascii="Times New Roman" w:eastAsia="Times New Roman" w:hAnsi="Times New Roman" w:cs="Times New Roman"/>
          <w:i/>
          <w:iCs/>
          <w:sz w:val="22"/>
          <w:lang w:val="en-GB"/>
        </w:rPr>
        <w:t>45</w:t>
      </w:r>
      <w:r w:rsidRPr="00745120">
        <w:rPr>
          <w:rFonts w:ascii="Times New Roman" w:eastAsia="Times New Roman" w:hAnsi="Times New Roman" w:cs="Times New Roman"/>
          <w:sz w:val="22"/>
          <w:lang w:val="en-GB"/>
        </w:rPr>
        <w:t xml:space="preserve">(1), 51–62. </w:t>
      </w:r>
      <w:hyperlink r:id="rId21">
        <w:r w:rsidRPr="00745120">
          <w:rPr>
            <w:rStyle w:val="Hipervnculo"/>
            <w:rFonts w:ascii="Times New Roman" w:eastAsia="Times New Roman" w:hAnsi="Times New Roman" w:cs="Times New Roman"/>
            <w:color w:val="0000FF"/>
            <w:sz w:val="22"/>
            <w:lang w:val="en-GB"/>
          </w:rPr>
          <w:t>https://doi.org/http://dx.doi.org/10.15359/rca.45-1.5</w:t>
        </w:r>
      </w:hyperlink>
      <w:r w:rsidRPr="00745120">
        <w:rPr>
          <w:rFonts w:ascii="Times New Roman" w:eastAsia="Times New Roman" w:hAnsi="Times New Roman" w:cs="Times New Roman"/>
          <w:sz w:val="22"/>
          <w:lang w:val="en-GB"/>
        </w:rPr>
        <w:t xml:space="preserve"> </w:t>
      </w:r>
    </w:p>
    <w:p w14:paraId="063EAB6A" w14:textId="77777777" w:rsidR="00745120" w:rsidRPr="00745120" w:rsidRDefault="00745120" w:rsidP="00745120">
      <w:pPr>
        <w:spacing w:line="240" w:lineRule="auto"/>
        <w:ind w:left="480" w:hanging="480"/>
        <w:jc w:val="both"/>
        <w:rPr>
          <w:sz w:val="22"/>
        </w:rPr>
      </w:pPr>
      <w:proofErr w:type="spellStart"/>
      <w:r w:rsidRPr="00745120">
        <w:rPr>
          <w:rFonts w:ascii="Times New Roman" w:eastAsia="Times New Roman" w:hAnsi="Times New Roman" w:cs="Times New Roman"/>
          <w:sz w:val="22"/>
        </w:rPr>
        <w:t>Hothorn</w:t>
      </w:r>
      <w:proofErr w:type="spellEnd"/>
      <w:r w:rsidRPr="00745120">
        <w:rPr>
          <w:rFonts w:ascii="Times New Roman" w:eastAsia="Times New Roman" w:hAnsi="Times New Roman" w:cs="Times New Roman"/>
          <w:sz w:val="22"/>
        </w:rPr>
        <w:t xml:space="preserve">, T., K. </w:t>
      </w:r>
      <w:proofErr w:type="spellStart"/>
      <w:proofErr w:type="gramStart"/>
      <w:r w:rsidRPr="00745120">
        <w:rPr>
          <w:rFonts w:ascii="Times New Roman" w:eastAsia="Times New Roman" w:hAnsi="Times New Roman" w:cs="Times New Roman"/>
          <w:sz w:val="22"/>
        </w:rPr>
        <w:t>Hornik</w:t>
      </w:r>
      <w:proofErr w:type="spellEnd"/>
      <w:r w:rsidRPr="00745120">
        <w:rPr>
          <w:rFonts w:ascii="Times New Roman" w:eastAsia="Times New Roman" w:hAnsi="Times New Roman" w:cs="Times New Roman"/>
          <w:sz w:val="22"/>
        </w:rPr>
        <w:t>,  M.A.</w:t>
      </w:r>
      <w:proofErr w:type="gramEnd"/>
      <w:r w:rsidRPr="00745120">
        <w:rPr>
          <w:rFonts w:ascii="Times New Roman" w:eastAsia="Times New Roman" w:hAnsi="Times New Roman" w:cs="Times New Roman"/>
          <w:sz w:val="22"/>
        </w:rPr>
        <w:t xml:space="preserve"> van de </w:t>
      </w:r>
      <w:proofErr w:type="spellStart"/>
      <w:r w:rsidRPr="00745120">
        <w:rPr>
          <w:rFonts w:ascii="Times New Roman" w:eastAsia="Times New Roman" w:hAnsi="Times New Roman" w:cs="Times New Roman"/>
          <w:sz w:val="22"/>
        </w:rPr>
        <w:t>Wiel</w:t>
      </w:r>
      <w:proofErr w:type="spellEnd"/>
      <w:r w:rsidRPr="00745120">
        <w:rPr>
          <w:rFonts w:ascii="Times New Roman" w:eastAsia="Times New Roman" w:hAnsi="Times New Roman" w:cs="Times New Roman"/>
          <w:sz w:val="22"/>
        </w:rPr>
        <w:t xml:space="preserve">, and A. </w:t>
      </w:r>
      <w:proofErr w:type="spellStart"/>
      <w:r w:rsidRPr="00745120">
        <w:rPr>
          <w:rFonts w:ascii="Times New Roman" w:eastAsia="Times New Roman" w:hAnsi="Times New Roman" w:cs="Times New Roman"/>
          <w:sz w:val="22"/>
        </w:rPr>
        <w:t>Zeileis</w:t>
      </w:r>
      <w:proofErr w:type="spellEnd"/>
      <w:r w:rsidRPr="00745120">
        <w:rPr>
          <w:rFonts w:ascii="Times New Roman" w:eastAsia="Times New Roman" w:hAnsi="Times New Roman" w:cs="Times New Roman"/>
          <w:sz w:val="22"/>
        </w:rPr>
        <w:t>. (2015). Implementing a Class of Permutation Tests: The coin Package. cran.rproject.org/web/packages/coin/vignettes/coin_implementation.pdf.</w:t>
      </w:r>
    </w:p>
    <w:p w14:paraId="0A7D5BFD" w14:textId="1427FDF2" w:rsidR="00745120" w:rsidRPr="00745120" w:rsidRDefault="00745120" w:rsidP="00745120">
      <w:pPr>
        <w:spacing w:line="240" w:lineRule="auto"/>
        <w:jc w:val="both"/>
        <w:rPr>
          <w:sz w:val="22"/>
        </w:rPr>
      </w:pPr>
      <w:r w:rsidRPr="00745120">
        <w:rPr>
          <w:rFonts w:ascii="Times New Roman" w:eastAsia="Times New Roman" w:hAnsi="Times New Roman" w:cs="Times New Roman"/>
          <w:sz w:val="22"/>
        </w:rPr>
        <w:t xml:space="preserve">Lee, L. (2017). NADA: </w:t>
      </w:r>
      <w:proofErr w:type="spellStart"/>
      <w:r w:rsidRPr="00745120">
        <w:rPr>
          <w:rFonts w:ascii="Times New Roman" w:eastAsia="Times New Roman" w:hAnsi="Times New Roman" w:cs="Times New Roman"/>
          <w:sz w:val="22"/>
        </w:rPr>
        <w:t>Nondetects</w:t>
      </w:r>
      <w:proofErr w:type="spellEnd"/>
      <w:r w:rsidRPr="00745120">
        <w:rPr>
          <w:rFonts w:ascii="Times New Roman" w:eastAsia="Times New Roman" w:hAnsi="Times New Roman" w:cs="Times New Roman"/>
          <w:sz w:val="22"/>
        </w:rPr>
        <w:t xml:space="preserve"> and Data Analysis for </w:t>
      </w:r>
      <w:proofErr w:type="spellStart"/>
      <w:r w:rsidRPr="00745120">
        <w:rPr>
          <w:rFonts w:ascii="Times New Roman" w:eastAsia="Times New Roman" w:hAnsi="Times New Roman" w:cs="Times New Roman"/>
          <w:sz w:val="22"/>
        </w:rPr>
        <w:t>Environmenta</w:t>
      </w:r>
      <w:proofErr w:type="spellEnd"/>
      <w:r w:rsidRPr="00745120">
        <w:rPr>
          <w:rFonts w:ascii="Times New Roman" w:eastAsia="Times New Roman" w:hAnsi="Times New Roman" w:cs="Times New Roman"/>
          <w:sz w:val="22"/>
        </w:rPr>
        <w:t xml:space="preserve"> Data. R package version 1.6-1. </w:t>
      </w:r>
      <w:hyperlink r:id="rId22">
        <w:r w:rsidRPr="00745120">
          <w:rPr>
            <w:rStyle w:val="Hipervnculo"/>
            <w:rFonts w:ascii="Times New Roman" w:eastAsia="Times New Roman" w:hAnsi="Times New Roman" w:cs="Times New Roman"/>
            <w:color w:val="0000FF"/>
            <w:sz w:val="22"/>
          </w:rPr>
          <w:t>https://CRAN.R-project.org/package=NADA</w:t>
        </w:r>
      </w:hyperlink>
    </w:p>
    <w:p w14:paraId="14C036E9" w14:textId="77777777" w:rsidR="00817422" w:rsidRPr="00745120" w:rsidRDefault="00817422" w:rsidP="00745120">
      <w:pPr>
        <w:spacing w:line="240" w:lineRule="auto"/>
        <w:ind w:left="480" w:hanging="480"/>
        <w:jc w:val="both"/>
        <w:rPr>
          <w:sz w:val="22"/>
        </w:rPr>
      </w:pPr>
      <w:r w:rsidRPr="00745120">
        <w:rPr>
          <w:rFonts w:ascii="Times New Roman" w:eastAsia="Times New Roman" w:hAnsi="Times New Roman" w:cs="Times New Roman"/>
          <w:sz w:val="22"/>
        </w:rPr>
        <w:t xml:space="preserve">McCormick, K., </w:t>
      </w:r>
      <w:proofErr w:type="spellStart"/>
      <w:r w:rsidRPr="00745120">
        <w:rPr>
          <w:rFonts w:ascii="Times New Roman" w:eastAsia="Times New Roman" w:hAnsi="Times New Roman" w:cs="Times New Roman"/>
          <w:sz w:val="22"/>
        </w:rPr>
        <w:t>Anderberg</w:t>
      </w:r>
      <w:proofErr w:type="spellEnd"/>
      <w:r w:rsidRPr="00745120">
        <w:rPr>
          <w:rFonts w:ascii="Times New Roman" w:eastAsia="Times New Roman" w:hAnsi="Times New Roman" w:cs="Times New Roman"/>
          <w:sz w:val="22"/>
        </w:rPr>
        <w:t xml:space="preserve">, S., </w:t>
      </w:r>
      <w:proofErr w:type="spellStart"/>
      <w:r w:rsidRPr="00745120">
        <w:rPr>
          <w:rFonts w:ascii="Times New Roman" w:eastAsia="Times New Roman" w:hAnsi="Times New Roman" w:cs="Times New Roman"/>
          <w:sz w:val="22"/>
        </w:rPr>
        <w:t>Coenen</w:t>
      </w:r>
      <w:proofErr w:type="spellEnd"/>
      <w:r w:rsidRPr="00745120">
        <w:rPr>
          <w:rFonts w:ascii="Times New Roman" w:eastAsia="Times New Roman" w:hAnsi="Times New Roman" w:cs="Times New Roman"/>
          <w:sz w:val="22"/>
        </w:rPr>
        <w:t xml:space="preserve">, L., &amp; Neij, L. (2013). Advancing sustainable urban transformation. </w:t>
      </w:r>
      <w:r w:rsidRPr="00745120">
        <w:rPr>
          <w:rFonts w:ascii="Times New Roman" w:eastAsia="Times New Roman" w:hAnsi="Times New Roman" w:cs="Times New Roman"/>
          <w:i/>
          <w:iCs/>
          <w:sz w:val="22"/>
        </w:rPr>
        <w:t>Journal of Cleaner Production</w:t>
      </w:r>
      <w:r w:rsidRPr="00745120">
        <w:rPr>
          <w:rFonts w:ascii="Times New Roman" w:eastAsia="Times New Roman" w:hAnsi="Times New Roman" w:cs="Times New Roman"/>
          <w:sz w:val="22"/>
        </w:rPr>
        <w:t xml:space="preserve">, </w:t>
      </w:r>
      <w:r w:rsidRPr="00745120">
        <w:rPr>
          <w:rFonts w:ascii="Times New Roman" w:eastAsia="Times New Roman" w:hAnsi="Times New Roman" w:cs="Times New Roman"/>
          <w:i/>
          <w:iCs/>
          <w:sz w:val="22"/>
        </w:rPr>
        <w:t>50</w:t>
      </w:r>
      <w:r w:rsidRPr="00745120">
        <w:rPr>
          <w:rFonts w:ascii="Times New Roman" w:eastAsia="Times New Roman" w:hAnsi="Times New Roman" w:cs="Times New Roman"/>
          <w:sz w:val="22"/>
        </w:rPr>
        <w:t xml:space="preserve">, 1–11. </w:t>
      </w:r>
      <w:hyperlink r:id="rId23">
        <w:r w:rsidRPr="00745120">
          <w:rPr>
            <w:rStyle w:val="Hipervnculo"/>
            <w:rFonts w:ascii="Times New Roman" w:eastAsia="Times New Roman" w:hAnsi="Times New Roman" w:cs="Times New Roman"/>
            <w:color w:val="0000FF"/>
            <w:sz w:val="22"/>
            <w:lang w:val="en-GB"/>
          </w:rPr>
          <w:t>https://doi.org/10.1016/j.jclepro.2013.01.003</w:t>
        </w:r>
      </w:hyperlink>
    </w:p>
    <w:p w14:paraId="2D0739CD" w14:textId="77777777" w:rsidR="00817422" w:rsidRPr="00745120" w:rsidRDefault="00817422" w:rsidP="00745120">
      <w:pPr>
        <w:spacing w:line="240" w:lineRule="auto"/>
        <w:ind w:left="480" w:hanging="480"/>
        <w:jc w:val="both"/>
        <w:rPr>
          <w:sz w:val="22"/>
          <w:lang w:val="es-419"/>
        </w:rPr>
      </w:pPr>
      <w:proofErr w:type="spellStart"/>
      <w:r w:rsidRPr="00745120">
        <w:rPr>
          <w:rFonts w:ascii="Times New Roman" w:eastAsia="Times New Roman" w:hAnsi="Times New Roman" w:cs="Times New Roman"/>
          <w:sz w:val="22"/>
          <w:lang w:val="en-GB"/>
        </w:rPr>
        <w:t>Meegoda</w:t>
      </w:r>
      <w:proofErr w:type="spellEnd"/>
      <w:r w:rsidRPr="00745120">
        <w:rPr>
          <w:rFonts w:ascii="Times New Roman" w:eastAsia="Times New Roman" w:hAnsi="Times New Roman" w:cs="Times New Roman"/>
          <w:sz w:val="22"/>
          <w:lang w:val="en-GB"/>
        </w:rPr>
        <w:t xml:space="preserve">, J. N., Li, B., Patel, K., &amp; Wang, L. B. (2018). </w:t>
      </w:r>
      <w:r w:rsidRPr="00745120">
        <w:rPr>
          <w:rFonts w:ascii="Times New Roman" w:eastAsia="Times New Roman" w:hAnsi="Times New Roman" w:cs="Times New Roman"/>
          <w:i/>
          <w:iCs/>
          <w:sz w:val="22"/>
          <w:lang w:val="en-GB"/>
        </w:rPr>
        <w:t>A Review of the Processes, Parameters, and Optimization of Anaerobic Digestion</w:t>
      </w:r>
      <w:r w:rsidRPr="00745120">
        <w:rPr>
          <w:rFonts w:ascii="Times New Roman" w:eastAsia="Times New Roman" w:hAnsi="Times New Roman" w:cs="Times New Roman"/>
          <w:sz w:val="22"/>
          <w:lang w:val="en-GB"/>
        </w:rPr>
        <w:t xml:space="preserve">. </w:t>
      </w:r>
      <w:hyperlink r:id="rId24">
        <w:r w:rsidRPr="00745120">
          <w:rPr>
            <w:rStyle w:val="Hipervnculo"/>
            <w:rFonts w:ascii="Times New Roman" w:eastAsia="Times New Roman" w:hAnsi="Times New Roman" w:cs="Times New Roman"/>
            <w:color w:val="0000FF"/>
            <w:sz w:val="22"/>
            <w:lang w:val="es-419"/>
          </w:rPr>
          <w:t>https://doi.org/10.3390/ijerph15102224</w:t>
        </w:r>
      </w:hyperlink>
      <w:r w:rsidRPr="00745120">
        <w:rPr>
          <w:rFonts w:ascii="Times New Roman" w:eastAsia="Times New Roman" w:hAnsi="Times New Roman" w:cs="Times New Roman"/>
          <w:sz w:val="22"/>
          <w:lang w:val="es-419"/>
        </w:rPr>
        <w:t xml:space="preserve"> </w:t>
      </w:r>
    </w:p>
    <w:p w14:paraId="094126F2" w14:textId="0598CA17" w:rsidR="00817422" w:rsidRPr="00745120" w:rsidRDefault="00817422" w:rsidP="00745120">
      <w:pPr>
        <w:spacing w:line="240" w:lineRule="auto"/>
        <w:ind w:left="480" w:hanging="480"/>
        <w:jc w:val="both"/>
        <w:rPr>
          <w:sz w:val="22"/>
        </w:rPr>
      </w:pPr>
      <w:r w:rsidRPr="00745120">
        <w:rPr>
          <w:rFonts w:ascii="Times New Roman" w:eastAsia="Times New Roman" w:hAnsi="Times New Roman" w:cs="Times New Roman"/>
          <w:sz w:val="22"/>
          <w:lang w:val="es-419"/>
        </w:rPr>
        <w:t xml:space="preserve">Mena-Rivera, L., Vásquez-Bolaños, O., Gómez-Castro, C., Fonseca-Sánchez, A., Rodríguez-Rodríguez, A., &amp; Sánchez-Gutiérrez, R. (2018). </w:t>
      </w:r>
      <w:proofErr w:type="spellStart"/>
      <w:r w:rsidRPr="00745120">
        <w:rPr>
          <w:rFonts w:ascii="Times New Roman" w:eastAsia="Times New Roman" w:hAnsi="Times New Roman" w:cs="Times New Roman"/>
          <w:sz w:val="22"/>
        </w:rPr>
        <w:t>Ecosystemic</w:t>
      </w:r>
      <w:proofErr w:type="spellEnd"/>
      <w:r w:rsidRPr="00745120">
        <w:rPr>
          <w:rFonts w:ascii="Times New Roman" w:eastAsia="Times New Roman" w:hAnsi="Times New Roman" w:cs="Times New Roman"/>
          <w:sz w:val="22"/>
        </w:rPr>
        <w:t xml:space="preserve"> assessment of surface water quality in the </w:t>
      </w:r>
      <w:proofErr w:type="spellStart"/>
      <w:r w:rsidRPr="00745120">
        <w:rPr>
          <w:rFonts w:ascii="Times New Roman" w:eastAsia="Times New Roman" w:hAnsi="Times New Roman" w:cs="Times New Roman"/>
          <w:sz w:val="22"/>
        </w:rPr>
        <w:t>Virilla</w:t>
      </w:r>
      <w:proofErr w:type="spellEnd"/>
      <w:r w:rsidRPr="00745120">
        <w:rPr>
          <w:rFonts w:ascii="Times New Roman" w:eastAsia="Times New Roman" w:hAnsi="Times New Roman" w:cs="Times New Roman"/>
          <w:sz w:val="22"/>
        </w:rPr>
        <w:t xml:space="preserve"> River: Towards sanitation processes in Costa Rica. </w:t>
      </w:r>
      <w:r w:rsidRPr="00745120">
        <w:rPr>
          <w:rFonts w:ascii="Times New Roman" w:eastAsia="Times New Roman" w:hAnsi="Times New Roman" w:cs="Times New Roman"/>
          <w:i/>
          <w:iCs/>
          <w:sz w:val="22"/>
        </w:rPr>
        <w:t>Water (Switzerland)</w:t>
      </w:r>
      <w:r w:rsidRPr="00745120">
        <w:rPr>
          <w:rFonts w:ascii="Times New Roman" w:eastAsia="Times New Roman" w:hAnsi="Times New Roman" w:cs="Times New Roman"/>
          <w:sz w:val="22"/>
        </w:rPr>
        <w:t xml:space="preserve">, </w:t>
      </w:r>
      <w:r w:rsidRPr="00745120">
        <w:rPr>
          <w:rFonts w:ascii="Times New Roman" w:eastAsia="Times New Roman" w:hAnsi="Times New Roman" w:cs="Times New Roman"/>
          <w:i/>
          <w:iCs/>
          <w:sz w:val="22"/>
        </w:rPr>
        <w:t>10</w:t>
      </w:r>
      <w:r w:rsidRPr="00745120">
        <w:rPr>
          <w:rFonts w:ascii="Times New Roman" w:eastAsia="Times New Roman" w:hAnsi="Times New Roman" w:cs="Times New Roman"/>
          <w:sz w:val="22"/>
        </w:rPr>
        <w:t xml:space="preserve">(7), 1–17. </w:t>
      </w:r>
      <w:hyperlink r:id="rId25">
        <w:r w:rsidRPr="00745120">
          <w:rPr>
            <w:rStyle w:val="Hipervnculo"/>
            <w:rFonts w:ascii="Times New Roman" w:eastAsia="Times New Roman" w:hAnsi="Times New Roman" w:cs="Times New Roman"/>
            <w:sz w:val="22"/>
          </w:rPr>
          <w:t>https://doi.org/10.3390/w10070845</w:t>
        </w:r>
      </w:hyperlink>
      <w:r w:rsidR="00745120" w:rsidRPr="00745120">
        <w:rPr>
          <w:rStyle w:val="Hipervnculo"/>
          <w:rFonts w:ascii="Times New Roman" w:eastAsia="Times New Roman" w:hAnsi="Times New Roman" w:cs="Times New Roman"/>
          <w:sz w:val="22"/>
        </w:rPr>
        <w:t xml:space="preserve"> </w:t>
      </w:r>
    </w:p>
    <w:p w14:paraId="237FD19B" w14:textId="77777777" w:rsidR="00817422" w:rsidRPr="00745120" w:rsidRDefault="00817422" w:rsidP="00745120">
      <w:pPr>
        <w:spacing w:line="240" w:lineRule="auto"/>
        <w:ind w:left="480" w:hanging="480"/>
        <w:jc w:val="both"/>
        <w:rPr>
          <w:sz w:val="22"/>
          <w:lang w:val="es-419"/>
        </w:rPr>
      </w:pPr>
      <w:proofErr w:type="spellStart"/>
      <w:r w:rsidRPr="00745120">
        <w:rPr>
          <w:rFonts w:ascii="Times New Roman" w:eastAsia="Times New Roman" w:hAnsi="Times New Roman" w:cs="Times New Roman"/>
          <w:sz w:val="22"/>
          <w:lang w:val="en-GB"/>
        </w:rPr>
        <w:t>Merbt</w:t>
      </w:r>
      <w:proofErr w:type="spellEnd"/>
      <w:r w:rsidRPr="00745120">
        <w:rPr>
          <w:rFonts w:ascii="Times New Roman" w:eastAsia="Times New Roman" w:hAnsi="Times New Roman" w:cs="Times New Roman"/>
          <w:sz w:val="22"/>
          <w:lang w:val="en-GB"/>
        </w:rPr>
        <w:t xml:space="preserve">, S. N., </w:t>
      </w:r>
      <w:proofErr w:type="spellStart"/>
      <w:r w:rsidRPr="00745120">
        <w:rPr>
          <w:rFonts w:ascii="Times New Roman" w:eastAsia="Times New Roman" w:hAnsi="Times New Roman" w:cs="Times New Roman"/>
          <w:sz w:val="22"/>
          <w:lang w:val="en-GB"/>
        </w:rPr>
        <w:t>Auguet</w:t>
      </w:r>
      <w:proofErr w:type="spellEnd"/>
      <w:r w:rsidRPr="00745120">
        <w:rPr>
          <w:rFonts w:ascii="Times New Roman" w:eastAsia="Times New Roman" w:hAnsi="Times New Roman" w:cs="Times New Roman"/>
          <w:sz w:val="22"/>
          <w:lang w:val="en-GB"/>
        </w:rPr>
        <w:t xml:space="preserve">, J. C., </w:t>
      </w:r>
      <w:proofErr w:type="spellStart"/>
      <w:r w:rsidRPr="00745120">
        <w:rPr>
          <w:rFonts w:ascii="Times New Roman" w:eastAsia="Times New Roman" w:hAnsi="Times New Roman" w:cs="Times New Roman"/>
          <w:sz w:val="22"/>
          <w:lang w:val="en-GB"/>
        </w:rPr>
        <w:t>Blesa</w:t>
      </w:r>
      <w:proofErr w:type="spellEnd"/>
      <w:r w:rsidRPr="00745120">
        <w:rPr>
          <w:rFonts w:ascii="Times New Roman" w:eastAsia="Times New Roman" w:hAnsi="Times New Roman" w:cs="Times New Roman"/>
          <w:sz w:val="22"/>
          <w:lang w:val="en-GB"/>
        </w:rPr>
        <w:t xml:space="preserve">, A., Martí, E., &amp; </w:t>
      </w:r>
      <w:proofErr w:type="spellStart"/>
      <w:r w:rsidRPr="00745120">
        <w:rPr>
          <w:rFonts w:ascii="Times New Roman" w:eastAsia="Times New Roman" w:hAnsi="Times New Roman" w:cs="Times New Roman"/>
          <w:sz w:val="22"/>
          <w:lang w:val="en-GB"/>
        </w:rPr>
        <w:t>Casamayor</w:t>
      </w:r>
      <w:proofErr w:type="spellEnd"/>
      <w:r w:rsidRPr="00745120">
        <w:rPr>
          <w:rFonts w:ascii="Times New Roman" w:eastAsia="Times New Roman" w:hAnsi="Times New Roman" w:cs="Times New Roman"/>
          <w:sz w:val="22"/>
          <w:lang w:val="en-GB"/>
        </w:rPr>
        <w:t xml:space="preserve">, E. O. (2014). Wastewater Treatment Plant Effluents Change Abundance and Composition of Ammonia-Oxidizing Microorganisms in Mediterranean Urban Stream Biofilms. </w:t>
      </w:r>
      <w:proofErr w:type="spellStart"/>
      <w:r w:rsidRPr="00745120">
        <w:rPr>
          <w:rFonts w:ascii="Times New Roman" w:eastAsia="Times New Roman" w:hAnsi="Times New Roman" w:cs="Times New Roman"/>
          <w:i/>
          <w:iCs/>
          <w:sz w:val="22"/>
          <w:lang w:val="es-419"/>
        </w:rPr>
        <w:t>Microbial</w:t>
      </w:r>
      <w:proofErr w:type="spellEnd"/>
      <w:r w:rsidRPr="00745120">
        <w:rPr>
          <w:rFonts w:ascii="Times New Roman" w:eastAsia="Times New Roman" w:hAnsi="Times New Roman" w:cs="Times New Roman"/>
          <w:i/>
          <w:iCs/>
          <w:sz w:val="22"/>
          <w:lang w:val="es-419"/>
        </w:rPr>
        <w:t xml:space="preserve"> </w:t>
      </w:r>
      <w:proofErr w:type="spellStart"/>
      <w:r w:rsidRPr="00745120">
        <w:rPr>
          <w:rFonts w:ascii="Times New Roman" w:eastAsia="Times New Roman" w:hAnsi="Times New Roman" w:cs="Times New Roman"/>
          <w:i/>
          <w:iCs/>
          <w:sz w:val="22"/>
          <w:lang w:val="es-419"/>
        </w:rPr>
        <w:t>Ecology</w:t>
      </w:r>
      <w:proofErr w:type="spellEnd"/>
      <w:r w:rsidRPr="00745120">
        <w:rPr>
          <w:rFonts w:ascii="Times New Roman" w:eastAsia="Times New Roman" w:hAnsi="Times New Roman" w:cs="Times New Roman"/>
          <w:sz w:val="22"/>
          <w:lang w:val="es-419"/>
        </w:rPr>
        <w:t xml:space="preserve">, </w:t>
      </w:r>
      <w:r w:rsidRPr="00745120">
        <w:rPr>
          <w:rFonts w:ascii="Times New Roman" w:eastAsia="Times New Roman" w:hAnsi="Times New Roman" w:cs="Times New Roman"/>
          <w:i/>
          <w:iCs/>
          <w:sz w:val="22"/>
          <w:lang w:val="es-419"/>
        </w:rPr>
        <w:t>69</w:t>
      </w:r>
      <w:r w:rsidRPr="00745120">
        <w:rPr>
          <w:rFonts w:ascii="Times New Roman" w:eastAsia="Times New Roman" w:hAnsi="Times New Roman" w:cs="Times New Roman"/>
          <w:sz w:val="22"/>
          <w:lang w:val="es-419"/>
        </w:rPr>
        <w:t xml:space="preserve">(1), 66–74. </w:t>
      </w:r>
      <w:hyperlink r:id="rId26">
        <w:r w:rsidRPr="00745120">
          <w:rPr>
            <w:rStyle w:val="Hipervnculo"/>
            <w:rFonts w:ascii="Times New Roman" w:eastAsia="Times New Roman" w:hAnsi="Times New Roman" w:cs="Times New Roman"/>
            <w:color w:val="0000FF"/>
            <w:sz w:val="22"/>
            <w:lang w:val="es-419"/>
          </w:rPr>
          <w:t>https://doi.org/10.1007/s00248-014-0464-8</w:t>
        </w:r>
      </w:hyperlink>
      <w:r w:rsidRPr="00745120">
        <w:rPr>
          <w:rFonts w:ascii="Times New Roman" w:eastAsia="Times New Roman" w:hAnsi="Times New Roman" w:cs="Times New Roman"/>
          <w:sz w:val="22"/>
          <w:lang w:val="es-419"/>
        </w:rPr>
        <w:t xml:space="preserve"> </w:t>
      </w:r>
    </w:p>
    <w:p w14:paraId="7998E9EB" w14:textId="77777777" w:rsidR="00817422" w:rsidRPr="00745120" w:rsidRDefault="00817422" w:rsidP="00745120">
      <w:pPr>
        <w:spacing w:line="240" w:lineRule="auto"/>
        <w:ind w:left="480" w:hanging="480"/>
        <w:jc w:val="both"/>
        <w:rPr>
          <w:sz w:val="22"/>
          <w:lang w:val="es-419"/>
        </w:rPr>
      </w:pPr>
      <w:r w:rsidRPr="00745120">
        <w:rPr>
          <w:rFonts w:ascii="Times New Roman" w:eastAsia="Times New Roman" w:hAnsi="Times New Roman" w:cs="Times New Roman"/>
          <w:sz w:val="22"/>
          <w:lang w:val="es-419"/>
        </w:rPr>
        <w:t xml:space="preserve">Ministerio de Salud; MINAE; </w:t>
      </w:r>
      <w:proofErr w:type="spellStart"/>
      <w:r w:rsidRPr="00745120">
        <w:rPr>
          <w:rFonts w:ascii="Times New Roman" w:eastAsia="Times New Roman" w:hAnsi="Times New Roman" w:cs="Times New Roman"/>
          <w:sz w:val="22"/>
          <w:lang w:val="es-419"/>
        </w:rPr>
        <w:t>AyA</w:t>
      </w:r>
      <w:proofErr w:type="spellEnd"/>
      <w:r w:rsidRPr="00745120">
        <w:rPr>
          <w:rFonts w:ascii="Times New Roman" w:eastAsia="Times New Roman" w:hAnsi="Times New Roman" w:cs="Times New Roman"/>
          <w:sz w:val="22"/>
          <w:lang w:val="es-419"/>
        </w:rPr>
        <w:t xml:space="preserve">. (2016). </w:t>
      </w:r>
      <w:r w:rsidRPr="00745120">
        <w:rPr>
          <w:rFonts w:ascii="Times New Roman" w:eastAsia="Times New Roman" w:hAnsi="Times New Roman" w:cs="Times New Roman"/>
          <w:i/>
          <w:iCs/>
          <w:sz w:val="22"/>
          <w:lang w:val="es-419"/>
        </w:rPr>
        <w:t>Política Nacional de Saneamiento de Aguas Residuales</w:t>
      </w:r>
      <w:r w:rsidRPr="00745120">
        <w:rPr>
          <w:rFonts w:ascii="Times New Roman" w:eastAsia="Times New Roman" w:hAnsi="Times New Roman" w:cs="Times New Roman"/>
          <w:sz w:val="22"/>
          <w:lang w:val="es-419"/>
        </w:rPr>
        <w:t>.</w:t>
      </w:r>
    </w:p>
    <w:p w14:paraId="36B29C34" w14:textId="77777777" w:rsidR="00817422" w:rsidRPr="00745120" w:rsidRDefault="00817422" w:rsidP="00745120">
      <w:pPr>
        <w:spacing w:line="240" w:lineRule="auto"/>
        <w:ind w:left="480" w:hanging="480"/>
        <w:jc w:val="both"/>
        <w:rPr>
          <w:sz w:val="22"/>
        </w:rPr>
      </w:pPr>
      <w:proofErr w:type="spellStart"/>
      <w:r w:rsidRPr="00745120">
        <w:rPr>
          <w:rFonts w:ascii="Times New Roman" w:eastAsia="Times New Roman" w:hAnsi="Times New Roman" w:cs="Times New Roman"/>
          <w:sz w:val="22"/>
        </w:rPr>
        <w:t>Peto</w:t>
      </w:r>
      <w:proofErr w:type="spellEnd"/>
      <w:r w:rsidRPr="00745120">
        <w:rPr>
          <w:rFonts w:ascii="Times New Roman" w:eastAsia="Times New Roman" w:hAnsi="Times New Roman" w:cs="Times New Roman"/>
          <w:sz w:val="22"/>
        </w:rPr>
        <w:t xml:space="preserve">, R., &amp; </w:t>
      </w:r>
      <w:proofErr w:type="spellStart"/>
      <w:r w:rsidRPr="00745120">
        <w:rPr>
          <w:rFonts w:ascii="Times New Roman" w:eastAsia="Times New Roman" w:hAnsi="Times New Roman" w:cs="Times New Roman"/>
          <w:sz w:val="22"/>
        </w:rPr>
        <w:t>Peto</w:t>
      </w:r>
      <w:proofErr w:type="spellEnd"/>
      <w:r w:rsidRPr="00745120">
        <w:rPr>
          <w:rFonts w:ascii="Times New Roman" w:eastAsia="Times New Roman" w:hAnsi="Times New Roman" w:cs="Times New Roman"/>
          <w:sz w:val="22"/>
        </w:rPr>
        <w:t xml:space="preserve">, J. (1972). Asymptotically Efficient Rank Invariant Test Procedures. </w:t>
      </w:r>
      <w:r w:rsidRPr="00745120">
        <w:rPr>
          <w:rFonts w:ascii="Times New Roman" w:eastAsia="Times New Roman" w:hAnsi="Times New Roman" w:cs="Times New Roman"/>
          <w:i/>
          <w:iCs/>
          <w:sz w:val="22"/>
        </w:rPr>
        <w:t>Journal of the Royal Statistical Society</w:t>
      </w:r>
      <w:r w:rsidRPr="00745120">
        <w:rPr>
          <w:rFonts w:ascii="Times New Roman" w:eastAsia="Times New Roman" w:hAnsi="Times New Roman" w:cs="Times New Roman"/>
          <w:sz w:val="22"/>
        </w:rPr>
        <w:t xml:space="preserve">, 135(2), 185–207. </w:t>
      </w:r>
      <w:hyperlink r:id="rId27">
        <w:r w:rsidRPr="00745120">
          <w:rPr>
            <w:rStyle w:val="Hipervnculo"/>
            <w:rFonts w:ascii="Times New Roman" w:eastAsia="Times New Roman" w:hAnsi="Times New Roman" w:cs="Times New Roman"/>
            <w:color w:val="0000FF"/>
            <w:sz w:val="22"/>
          </w:rPr>
          <w:t>https://doi.org/10.2307/2344317</w:t>
        </w:r>
      </w:hyperlink>
    </w:p>
    <w:p w14:paraId="35A26505" w14:textId="77777777" w:rsidR="00817422" w:rsidRPr="00745120" w:rsidRDefault="00817422" w:rsidP="00745120">
      <w:pPr>
        <w:spacing w:line="240" w:lineRule="auto"/>
        <w:ind w:left="480" w:hanging="480"/>
        <w:jc w:val="both"/>
        <w:rPr>
          <w:sz w:val="22"/>
        </w:rPr>
      </w:pPr>
      <w:r w:rsidRPr="00745120">
        <w:rPr>
          <w:rFonts w:ascii="Times New Roman" w:eastAsia="Times New Roman" w:hAnsi="Times New Roman" w:cs="Times New Roman"/>
          <w:sz w:val="22"/>
        </w:rPr>
        <w:t xml:space="preserve">Prentice, R. L. (1978). Linear rank tests with right censored data. </w:t>
      </w:r>
      <w:proofErr w:type="spellStart"/>
      <w:r w:rsidRPr="00745120">
        <w:rPr>
          <w:rFonts w:ascii="Times New Roman" w:eastAsia="Times New Roman" w:hAnsi="Times New Roman" w:cs="Times New Roman"/>
          <w:i/>
          <w:iCs/>
          <w:sz w:val="22"/>
        </w:rPr>
        <w:t>Biometrika</w:t>
      </w:r>
      <w:proofErr w:type="spellEnd"/>
      <w:r w:rsidRPr="00745120">
        <w:rPr>
          <w:rFonts w:ascii="Times New Roman" w:eastAsia="Times New Roman" w:hAnsi="Times New Roman" w:cs="Times New Roman"/>
          <w:sz w:val="22"/>
        </w:rPr>
        <w:t xml:space="preserve">, 65(1), 167–169. </w:t>
      </w:r>
      <w:hyperlink r:id="rId28">
        <w:r w:rsidRPr="00745120">
          <w:rPr>
            <w:rStyle w:val="Hipervnculo"/>
            <w:rFonts w:ascii="Times New Roman" w:eastAsia="Times New Roman" w:hAnsi="Times New Roman" w:cs="Times New Roman"/>
            <w:color w:val="0000FF"/>
            <w:sz w:val="22"/>
          </w:rPr>
          <w:t>https://doi.org/10.2307/2335292</w:t>
        </w:r>
      </w:hyperlink>
    </w:p>
    <w:p w14:paraId="320A44AA" w14:textId="77777777" w:rsidR="00817422" w:rsidRPr="00745120" w:rsidRDefault="00817422" w:rsidP="00745120">
      <w:pPr>
        <w:spacing w:line="240" w:lineRule="auto"/>
        <w:ind w:left="480" w:hanging="480"/>
        <w:jc w:val="both"/>
        <w:rPr>
          <w:sz w:val="22"/>
        </w:rPr>
      </w:pPr>
      <w:r w:rsidRPr="00745120">
        <w:rPr>
          <w:rFonts w:ascii="Times New Roman" w:eastAsia="Times New Roman" w:hAnsi="Times New Roman" w:cs="Times New Roman"/>
          <w:sz w:val="22"/>
        </w:rPr>
        <w:t xml:space="preserve">Prentice, R. L., &amp; Marek, P. (1979). A Qualitative Discrepancy between Censored Data Rank Tests. </w:t>
      </w:r>
      <w:r w:rsidRPr="00745120">
        <w:rPr>
          <w:rFonts w:ascii="Times New Roman" w:eastAsia="Times New Roman" w:hAnsi="Times New Roman" w:cs="Times New Roman"/>
          <w:i/>
          <w:iCs/>
          <w:sz w:val="22"/>
        </w:rPr>
        <w:t>Biometrics</w:t>
      </w:r>
      <w:r w:rsidRPr="00745120">
        <w:rPr>
          <w:rFonts w:ascii="Times New Roman" w:eastAsia="Times New Roman" w:hAnsi="Times New Roman" w:cs="Times New Roman"/>
          <w:sz w:val="22"/>
        </w:rPr>
        <w:t xml:space="preserve">, 35(4), 861. </w:t>
      </w:r>
      <w:hyperlink r:id="rId29">
        <w:r w:rsidRPr="00745120">
          <w:rPr>
            <w:rStyle w:val="Hipervnculo"/>
            <w:rFonts w:ascii="Times New Roman" w:eastAsia="Times New Roman" w:hAnsi="Times New Roman" w:cs="Times New Roman"/>
            <w:color w:val="0000FF"/>
            <w:sz w:val="22"/>
          </w:rPr>
          <w:t>https://doi.org/10.2307/2530120</w:t>
        </w:r>
      </w:hyperlink>
    </w:p>
    <w:p w14:paraId="4EF8EB0C" w14:textId="77777777" w:rsidR="00817422" w:rsidRPr="00745120" w:rsidRDefault="00817422" w:rsidP="00745120">
      <w:pPr>
        <w:spacing w:line="240" w:lineRule="auto"/>
        <w:ind w:left="480" w:hanging="480"/>
        <w:jc w:val="both"/>
        <w:rPr>
          <w:sz w:val="22"/>
        </w:rPr>
      </w:pPr>
      <w:r w:rsidRPr="00745120">
        <w:rPr>
          <w:rFonts w:ascii="Times New Roman" w:eastAsia="Times New Roman" w:hAnsi="Times New Roman" w:cs="Times New Roman"/>
          <w:sz w:val="22"/>
        </w:rPr>
        <w:t xml:space="preserve">R Core Team. (2019). R: A language and environment for statistical computing. R Foundation for Statistical Computing, Vienna, Austria. </w:t>
      </w:r>
      <w:hyperlink r:id="rId30">
        <w:r w:rsidRPr="00745120">
          <w:rPr>
            <w:rStyle w:val="Hipervnculo"/>
            <w:rFonts w:ascii="Times New Roman" w:eastAsia="Times New Roman" w:hAnsi="Times New Roman" w:cs="Times New Roman"/>
            <w:color w:val="0000FF"/>
            <w:sz w:val="22"/>
          </w:rPr>
          <w:t>https://www.R-project.org/</w:t>
        </w:r>
      </w:hyperlink>
      <w:r w:rsidRPr="00745120">
        <w:rPr>
          <w:rFonts w:ascii="Times New Roman" w:eastAsia="Times New Roman" w:hAnsi="Times New Roman" w:cs="Times New Roman"/>
          <w:sz w:val="22"/>
        </w:rPr>
        <w:t>.</w:t>
      </w:r>
    </w:p>
    <w:p w14:paraId="3E5E1B87" w14:textId="77777777" w:rsidR="00817422" w:rsidRPr="00745120" w:rsidRDefault="00817422" w:rsidP="00745120">
      <w:pPr>
        <w:spacing w:line="240" w:lineRule="auto"/>
        <w:ind w:left="480" w:hanging="480"/>
        <w:jc w:val="both"/>
        <w:rPr>
          <w:sz w:val="22"/>
          <w:lang w:val="es-419"/>
        </w:rPr>
      </w:pPr>
      <w:proofErr w:type="spellStart"/>
      <w:r w:rsidRPr="00745120">
        <w:rPr>
          <w:rFonts w:ascii="Times New Roman" w:eastAsia="Times New Roman" w:hAnsi="Times New Roman" w:cs="Times New Roman"/>
          <w:sz w:val="22"/>
          <w:lang w:val="es-419"/>
        </w:rPr>
        <w:t>Rebello</w:t>
      </w:r>
      <w:proofErr w:type="spellEnd"/>
      <w:r w:rsidRPr="00745120">
        <w:rPr>
          <w:rFonts w:ascii="Times New Roman" w:eastAsia="Times New Roman" w:hAnsi="Times New Roman" w:cs="Times New Roman"/>
          <w:sz w:val="22"/>
          <w:lang w:val="es-419"/>
        </w:rPr>
        <w:t xml:space="preserve">, S., </w:t>
      </w:r>
      <w:proofErr w:type="spellStart"/>
      <w:r w:rsidRPr="00745120">
        <w:rPr>
          <w:rFonts w:ascii="Times New Roman" w:eastAsia="Times New Roman" w:hAnsi="Times New Roman" w:cs="Times New Roman"/>
          <w:sz w:val="22"/>
          <w:lang w:val="es-419"/>
        </w:rPr>
        <w:t>Asok</w:t>
      </w:r>
      <w:proofErr w:type="spellEnd"/>
      <w:r w:rsidRPr="00745120">
        <w:rPr>
          <w:rFonts w:ascii="Times New Roman" w:eastAsia="Times New Roman" w:hAnsi="Times New Roman" w:cs="Times New Roman"/>
          <w:sz w:val="22"/>
          <w:lang w:val="es-419"/>
        </w:rPr>
        <w:t xml:space="preserve">, A. K., </w:t>
      </w:r>
      <w:proofErr w:type="spellStart"/>
      <w:r w:rsidRPr="00745120">
        <w:rPr>
          <w:rFonts w:ascii="Times New Roman" w:eastAsia="Times New Roman" w:hAnsi="Times New Roman" w:cs="Times New Roman"/>
          <w:sz w:val="22"/>
          <w:lang w:val="es-419"/>
        </w:rPr>
        <w:t>Mundayoor</w:t>
      </w:r>
      <w:proofErr w:type="spellEnd"/>
      <w:r w:rsidRPr="00745120">
        <w:rPr>
          <w:rFonts w:ascii="Times New Roman" w:eastAsia="Times New Roman" w:hAnsi="Times New Roman" w:cs="Times New Roman"/>
          <w:sz w:val="22"/>
          <w:lang w:val="es-419"/>
        </w:rPr>
        <w:t xml:space="preserve">, S., &amp; </w:t>
      </w:r>
      <w:proofErr w:type="spellStart"/>
      <w:r w:rsidRPr="00745120">
        <w:rPr>
          <w:rFonts w:ascii="Times New Roman" w:eastAsia="Times New Roman" w:hAnsi="Times New Roman" w:cs="Times New Roman"/>
          <w:sz w:val="22"/>
          <w:lang w:val="es-419"/>
        </w:rPr>
        <w:t>Jisha</w:t>
      </w:r>
      <w:proofErr w:type="spellEnd"/>
      <w:r w:rsidRPr="00745120">
        <w:rPr>
          <w:rFonts w:ascii="Times New Roman" w:eastAsia="Times New Roman" w:hAnsi="Times New Roman" w:cs="Times New Roman"/>
          <w:sz w:val="22"/>
          <w:lang w:val="es-419"/>
        </w:rPr>
        <w:t xml:space="preserve">, M. S. (2014). </w:t>
      </w:r>
      <w:r w:rsidRPr="00745120">
        <w:rPr>
          <w:rFonts w:ascii="Times New Roman" w:eastAsia="Times New Roman" w:hAnsi="Times New Roman" w:cs="Times New Roman"/>
          <w:sz w:val="22"/>
        </w:rPr>
        <w:t xml:space="preserve">Surfactants: Toxicity, </w:t>
      </w:r>
      <w:proofErr w:type="gramStart"/>
      <w:r w:rsidRPr="00745120">
        <w:rPr>
          <w:rFonts w:ascii="Times New Roman" w:eastAsia="Times New Roman" w:hAnsi="Times New Roman" w:cs="Times New Roman"/>
          <w:sz w:val="22"/>
        </w:rPr>
        <w:t>remediation</w:t>
      </w:r>
      <w:proofErr w:type="gramEnd"/>
      <w:r w:rsidRPr="00745120">
        <w:rPr>
          <w:rFonts w:ascii="Times New Roman" w:eastAsia="Times New Roman" w:hAnsi="Times New Roman" w:cs="Times New Roman"/>
          <w:sz w:val="22"/>
        </w:rPr>
        <w:t xml:space="preserve"> and green surfactants. </w:t>
      </w:r>
      <w:proofErr w:type="spellStart"/>
      <w:r w:rsidRPr="00745120">
        <w:rPr>
          <w:rFonts w:ascii="Times New Roman" w:eastAsia="Times New Roman" w:hAnsi="Times New Roman" w:cs="Times New Roman"/>
          <w:sz w:val="22"/>
          <w:lang w:val="es-419"/>
        </w:rPr>
        <w:t>Environmental</w:t>
      </w:r>
      <w:proofErr w:type="spellEnd"/>
      <w:r w:rsidRPr="00745120">
        <w:rPr>
          <w:rFonts w:ascii="Times New Roman" w:eastAsia="Times New Roman" w:hAnsi="Times New Roman" w:cs="Times New Roman"/>
          <w:sz w:val="22"/>
          <w:lang w:val="es-419"/>
        </w:rPr>
        <w:t xml:space="preserve"> </w:t>
      </w:r>
      <w:proofErr w:type="spellStart"/>
      <w:r w:rsidRPr="00745120">
        <w:rPr>
          <w:rFonts w:ascii="Times New Roman" w:eastAsia="Times New Roman" w:hAnsi="Times New Roman" w:cs="Times New Roman"/>
          <w:sz w:val="22"/>
          <w:lang w:val="es-419"/>
        </w:rPr>
        <w:t>Chemistry</w:t>
      </w:r>
      <w:proofErr w:type="spellEnd"/>
      <w:r w:rsidRPr="00745120">
        <w:rPr>
          <w:rFonts w:ascii="Times New Roman" w:eastAsia="Times New Roman" w:hAnsi="Times New Roman" w:cs="Times New Roman"/>
          <w:sz w:val="22"/>
          <w:lang w:val="es-419"/>
        </w:rPr>
        <w:t xml:space="preserve"> </w:t>
      </w:r>
      <w:proofErr w:type="spellStart"/>
      <w:r w:rsidRPr="00745120">
        <w:rPr>
          <w:rFonts w:ascii="Times New Roman" w:eastAsia="Times New Roman" w:hAnsi="Times New Roman" w:cs="Times New Roman"/>
          <w:sz w:val="22"/>
          <w:lang w:val="es-419"/>
        </w:rPr>
        <w:t>Letters</w:t>
      </w:r>
      <w:proofErr w:type="spellEnd"/>
      <w:r w:rsidRPr="00745120">
        <w:rPr>
          <w:rFonts w:ascii="Times New Roman" w:eastAsia="Times New Roman" w:hAnsi="Times New Roman" w:cs="Times New Roman"/>
          <w:sz w:val="22"/>
          <w:lang w:val="es-419"/>
        </w:rPr>
        <w:t xml:space="preserve">, 12(2), 275–287. </w:t>
      </w:r>
      <w:hyperlink r:id="rId31">
        <w:r w:rsidRPr="00745120">
          <w:rPr>
            <w:rStyle w:val="Hipervnculo"/>
            <w:rFonts w:ascii="Times New Roman" w:eastAsia="Times New Roman" w:hAnsi="Times New Roman" w:cs="Times New Roman"/>
            <w:color w:val="0000FF"/>
            <w:sz w:val="22"/>
            <w:lang w:val="es-419"/>
          </w:rPr>
          <w:t>https://doi.org/10.1007/s10311-014-0466-2</w:t>
        </w:r>
      </w:hyperlink>
      <w:r w:rsidRPr="00745120">
        <w:rPr>
          <w:rFonts w:ascii="Times New Roman" w:eastAsia="Times New Roman" w:hAnsi="Times New Roman" w:cs="Times New Roman"/>
          <w:sz w:val="22"/>
          <w:lang w:val="es-419"/>
        </w:rPr>
        <w:t xml:space="preserve"> </w:t>
      </w:r>
    </w:p>
    <w:p w14:paraId="3B52E0A9" w14:textId="77777777" w:rsidR="00817422" w:rsidRPr="00745120" w:rsidRDefault="00817422" w:rsidP="00745120">
      <w:pPr>
        <w:spacing w:line="240" w:lineRule="auto"/>
        <w:ind w:left="480" w:hanging="480"/>
        <w:jc w:val="both"/>
        <w:rPr>
          <w:sz w:val="22"/>
          <w:lang w:val="es-419"/>
        </w:rPr>
      </w:pPr>
      <w:r w:rsidRPr="00745120">
        <w:rPr>
          <w:rFonts w:ascii="Times New Roman" w:eastAsia="Times New Roman" w:hAnsi="Times New Roman" w:cs="Times New Roman"/>
          <w:sz w:val="22"/>
          <w:lang w:val="es-419"/>
        </w:rPr>
        <w:t xml:space="preserve">Sánchez-Gutiérrez, R., &amp; Villalobos-González, W. (2019). Canon ambiental por vertidos en Costa Rica como instrumento económico en la gestión de aguas </w:t>
      </w:r>
      <w:proofErr w:type="gramStart"/>
      <w:r w:rsidRPr="00745120">
        <w:rPr>
          <w:rFonts w:ascii="Times New Roman" w:eastAsia="Times New Roman" w:hAnsi="Times New Roman" w:cs="Times New Roman"/>
          <w:sz w:val="22"/>
          <w:lang w:val="es-419"/>
        </w:rPr>
        <w:t>residuales :</w:t>
      </w:r>
      <w:proofErr w:type="gramEnd"/>
      <w:r w:rsidRPr="00745120">
        <w:rPr>
          <w:rFonts w:ascii="Times New Roman" w:eastAsia="Times New Roman" w:hAnsi="Times New Roman" w:cs="Times New Roman"/>
          <w:sz w:val="22"/>
          <w:lang w:val="es-419"/>
        </w:rPr>
        <w:t xml:space="preserve"> un enfoque metodológico y de análisis de la situación actual . </w:t>
      </w:r>
      <w:r w:rsidRPr="00745120">
        <w:rPr>
          <w:rFonts w:ascii="Times New Roman" w:eastAsia="Times New Roman" w:hAnsi="Times New Roman" w:cs="Times New Roman"/>
          <w:i/>
          <w:iCs/>
          <w:sz w:val="22"/>
          <w:lang w:val="es-419"/>
        </w:rPr>
        <w:t>Repertorio Científico</w:t>
      </w:r>
      <w:r w:rsidRPr="00745120">
        <w:rPr>
          <w:rFonts w:ascii="Times New Roman" w:eastAsia="Times New Roman" w:hAnsi="Times New Roman" w:cs="Times New Roman"/>
          <w:sz w:val="22"/>
          <w:lang w:val="es-419"/>
        </w:rPr>
        <w:t xml:space="preserve">, 22(1), 38–49. </w:t>
      </w:r>
      <w:hyperlink r:id="rId32">
        <w:r w:rsidRPr="00745120">
          <w:rPr>
            <w:rStyle w:val="Hipervnculo"/>
            <w:rFonts w:ascii="Times New Roman" w:eastAsia="Times New Roman" w:hAnsi="Times New Roman" w:cs="Times New Roman"/>
            <w:color w:val="0000FF"/>
            <w:sz w:val="22"/>
            <w:lang w:val="es-419"/>
          </w:rPr>
          <w:t>https://doi.org/2215 – 565</w:t>
        </w:r>
      </w:hyperlink>
    </w:p>
    <w:p w14:paraId="75818C55" w14:textId="77777777" w:rsidR="00817422" w:rsidRPr="00745120" w:rsidRDefault="00817422" w:rsidP="00745120">
      <w:pPr>
        <w:spacing w:line="240" w:lineRule="auto"/>
        <w:ind w:left="480" w:hanging="480"/>
        <w:jc w:val="both"/>
        <w:rPr>
          <w:sz w:val="22"/>
        </w:rPr>
      </w:pPr>
      <w:proofErr w:type="spellStart"/>
      <w:r w:rsidRPr="00745120">
        <w:rPr>
          <w:rFonts w:ascii="Times New Roman" w:eastAsia="Times New Roman" w:hAnsi="Times New Roman" w:cs="Times New Roman"/>
          <w:sz w:val="22"/>
          <w:lang w:val="es-419"/>
        </w:rPr>
        <w:t>Sibanda</w:t>
      </w:r>
      <w:proofErr w:type="spellEnd"/>
      <w:r w:rsidRPr="00745120">
        <w:rPr>
          <w:rFonts w:ascii="Times New Roman" w:eastAsia="Times New Roman" w:hAnsi="Times New Roman" w:cs="Times New Roman"/>
          <w:sz w:val="22"/>
          <w:lang w:val="es-419"/>
        </w:rPr>
        <w:t xml:space="preserve">, T., </w:t>
      </w:r>
      <w:proofErr w:type="spellStart"/>
      <w:r w:rsidRPr="00745120">
        <w:rPr>
          <w:rFonts w:ascii="Times New Roman" w:eastAsia="Times New Roman" w:hAnsi="Times New Roman" w:cs="Times New Roman"/>
          <w:sz w:val="22"/>
          <w:lang w:val="es-419"/>
        </w:rPr>
        <w:t>Selvarajan</w:t>
      </w:r>
      <w:proofErr w:type="spellEnd"/>
      <w:r w:rsidRPr="00745120">
        <w:rPr>
          <w:rFonts w:ascii="Times New Roman" w:eastAsia="Times New Roman" w:hAnsi="Times New Roman" w:cs="Times New Roman"/>
          <w:sz w:val="22"/>
          <w:lang w:val="es-419"/>
        </w:rPr>
        <w:t xml:space="preserve">, R., &amp; </w:t>
      </w:r>
      <w:proofErr w:type="spellStart"/>
      <w:r w:rsidRPr="00745120">
        <w:rPr>
          <w:rFonts w:ascii="Times New Roman" w:eastAsia="Times New Roman" w:hAnsi="Times New Roman" w:cs="Times New Roman"/>
          <w:sz w:val="22"/>
          <w:lang w:val="es-419"/>
        </w:rPr>
        <w:t>Tekere</w:t>
      </w:r>
      <w:proofErr w:type="spellEnd"/>
      <w:r w:rsidRPr="00745120">
        <w:rPr>
          <w:rFonts w:ascii="Times New Roman" w:eastAsia="Times New Roman" w:hAnsi="Times New Roman" w:cs="Times New Roman"/>
          <w:sz w:val="22"/>
          <w:lang w:val="es-419"/>
        </w:rPr>
        <w:t xml:space="preserve">, M. (2015). </w:t>
      </w:r>
      <w:r w:rsidRPr="00745120">
        <w:rPr>
          <w:rFonts w:ascii="Times New Roman" w:eastAsia="Times New Roman" w:hAnsi="Times New Roman" w:cs="Times New Roman"/>
          <w:sz w:val="22"/>
          <w:lang w:val="en-GB"/>
        </w:rPr>
        <w:t xml:space="preserve">Urban effluent discharges as causes of public and environmental health concerns in South Africa’s aquatic milieu. </w:t>
      </w:r>
      <w:r w:rsidRPr="00745120">
        <w:rPr>
          <w:rFonts w:ascii="Times New Roman" w:eastAsia="Times New Roman" w:hAnsi="Times New Roman" w:cs="Times New Roman"/>
          <w:i/>
          <w:iCs/>
          <w:sz w:val="22"/>
          <w:lang w:val="en-GB"/>
        </w:rPr>
        <w:t>Environmental Science and Pollution Research</w:t>
      </w:r>
      <w:r w:rsidRPr="00745120">
        <w:rPr>
          <w:rFonts w:ascii="Times New Roman" w:eastAsia="Times New Roman" w:hAnsi="Times New Roman" w:cs="Times New Roman"/>
          <w:sz w:val="22"/>
          <w:lang w:val="en-GB"/>
        </w:rPr>
        <w:t xml:space="preserve">, </w:t>
      </w:r>
      <w:r w:rsidRPr="00745120">
        <w:rPr>
          <w:rFonts w:ascii="Times New Roman" w:eastAsia="Times New Roman" w:hAnsi="Times New Roman" w:cs="Times New Roman"/>
          <w:i/>
          <w:iCs/>
          <w:sz w:val="22"/>
          <w:lang w:val="en-GB"/>
        </w:rPr>
        <w:t>22</w:t>
      </w:r>
      <w:r w:rsidRPr="00745120">
        <w:rPr>
          <w:rFonts w:ascii="Times New Roman" w:eastAsia="Times New Roman" w:hAnsi="Times New Roman" w:cs="Times New Roman"/>
          <w:sz w:val="22"/>
          <w:lang w:val="en-GB"/>
        </w:rPr>
        <w:t xml:space="preserve">(23), 18301–18317. </w:t>
      </w:r>
      <w:hyperlink r:id="rId33">
        <w:r w:rsidRPr="00745120">
          <w:rPr>
            <w:rStyle w:val="Hipervnculo"/>
            <w:rFonts w:ascii="Times New Roman" w:eastAsia="Times New Roman" w:hAnsi="Times New Roman" w:cs="Times New Roman"/>
            <w:color w:val="0000FF"/>
            <w:sz w:val="22"/>
            <w:lang w:val="en-GB"/>
          </w:rPr>
          <w:t>https://doi.org/10.1007/s11356-015-5416-4</w:t>
        </w:r>
      </w:hyperlink>
      <w:r w:rsidRPr="00745120">
        <w:rPr>
          <w:rFonts w:ascii="Times New Roman" w:eastAsia="Times New Roman" w:hAnsi="Times New Roman" w:cs="Times New Roman"/>
          <w:sz w:val="22"/>
          <w:lang w:val="en-GB"/>
        </w:rPr>
        <w:t xml:space="preserve"> </w:t>
      </w:r>
    </w:p>
    <w:p w14:paraId="05F18A06" w14:textId="77777777" w:rsidR="00817422" w:rsidRPr="00745120" w:rsidRDefault="00817422" w:rsidP="00745120">
      <w:pPr>
        <w:spacing w:line="240" w:lineRule="auto"/>
        <w:ind w:left="480" w:hanging="480"/>
        <w:jc w:val="both"/>
        <w:rPr>
          <w:sz w:val="22"/>
          <w:lang w:val="es-419"/>
        </w:rPr>
      </w:pPr>
      <w:r w:rsidRPr="00745120">
        <w:rPr>
          <w:rFonts w:ascii="Times New Roman" w:eastAsia="Times New Roman" w:hAnsi="Times New Roman" w:cs="Times New Roman"/>
          <w:sz w:val="22"/>
        </w:rPr>
        <w:t xml:space="preserve">Sukhdev, P., 2009. Green economy for an urban age. Paper for the </w:t>
      </w:r>
      <w:r w:rsidRPr="00745120">
        <w:rPr>
          <w:rFonts w:ascii="Times New Roman" w:eastAsia="Times New Roman" w:hAnsi="Times New Roman" w:cs="Times New Roman"/>
          <w:i/>
          <w:iCs/>
          <w:sz w:val="22"/>
        </w:rPr>
        <w:t>Urban Age Conference</w:t>
      </w:r>
      <w:r w:rsidRPr="00745120">
        <w:rPr>
          <w:rFonts w:ascii="Times New Roman" w:eastAsia="Times New Roman" w:hAnsi="Times New Roman" w:cs="Times New Roman"/>
          <w:sz w:val="22"/>
        </w:rPr>
        <w:t xml:space="preserve">, November 2009, Istanbul, Turkey. </w:t>
      </w:r>
      <w:r w:rsidRPr="00745120">
        <w:rPr>
          <w:rFonts w:ascii="Times New Roman" w:eastAsia="Times New Roman" w:hAnsi="Times New Roman" w:cs="Times New Roman"/>
          <w:sz w:val="22"/>
          <w:lang w:val="es-MX"/>
        </w:rPr>
        <w:t>(</w:t>
      </w:r>
      <w:proofErr w:type="spellStart"/>
      <w:r w:rsidRPr="00745120">
        <w:rPr>
          <w:rFonts w:ascii="Times New Roman" w:eastAsia="Times New Roman" w:hAnsi="Times New Roman" w:cs="Times New Roman"/>
          <w:sz w:val="22"/>
          <w:lang w:val="es-MX"/>
        </w:rPr>
        <w:t>accesado</w:t>
      </w:r>
      <w:proofErr w:type="spellEnd"/>
      <w:r w:rsidRPr="00745120">
        <w:rPr>
          <w:rFonts w:ascii="Times New Roman" w:eastAsia="Times New Roman" w:hAnsi="Times New Roman" w:cs="Times New Roman"/>
          <w:sz w:val="22"/>
          <w:lang w:val="es-MX"/>
        </w:rPr>
        <w:t xml:space="preserve"> en </w:t>
      </w:r>
      <w:hyperlink r:id="rId34">
        <w:r w:rsidRPr="00745120">
          <w:rPr>
            <w:rStyle w:val="Hipervnculo"/>
            <w:rFonts w:ascii="Times New Roman" w:eastAsia="Times New Roman" w:hAnsi="Times New Roman" w:cs="Times New Roman"/>
            <w:color w:val="0563C1"/>
            <w:sz w:val="22"/>
            <w:lang w:val="es-MX"/>
          </w:rPr>
          <w:t>https://urbanage.lsecities.net/essays/green-economy-for-an-urban-age</w:t>
        </w:r>
      </w:hyperlink>
      <w:r w:rsidRPr="00745120">
        <w:rPr>
          <w:rFonts w:ascii="Times New Roman" w:eastAsia="Times New Roman" w:hAnsi="Times New Roman" w:cs="Times New Roman"/>
          <w:sz w:val="22"/>
          <w:lang w:val="es-MX"/>
        </w:rPr>
        <w:t>)</w:t>
      </w:r>
    </w:p>
    <w:p w14:paraId="1E48C673" w14:textId="77777777" w:rsidR="00817422" w:rsidRPr="00745120" w:rsidRDefault="00817422" w:rsidP="00745120">
      <w:pPr>
        <w:spacing w:line="240" w:lineRule="auto"/>
        <w:ind w:left="480" w:hanging="480"/>
        <w:jc w:val="both"/>
        <w:rPr>
          <w:sz w:val="22"/>
        </w:rPr>
      </w:pPr>
      <w:r w:rsidRPr="00745120">
        <w:rPr>
          <w:rFonts w:ascii="Times New Roman" w:eastAsia="Times New Roman" w:hAnsi="Times New Roman" w:cs="Times New Roman"/>
          <w:sz w:val="22"/>
        </w:rPr>
        <w:t xml:space="preserve">UN-Habitat. (2010). </w:t>
      </w:r>
      <w:r w:rsidRPr="00745120">
        <w:rPr>
          <w:rFonts w:ascii="Times New Roman" w:eastAsia="Times New Roman" w:hAnsi="Times New Roman" w:cs="Times New Roman"/>
          <w:i/>
          <w:iCs/>
          <w:sz w:val="22"/>
        </w:rPr>
        <w:t xml:space="preserve">State of the World’s Cites 2010/2011: Bridging </w:t>
      </w:r>
      <w:proofErr w:type="gramStart"/>
      <w:r w:rsidRPr="00745120">
        <w:rPr>
          <w:rFonts w:ascii="Times New Roman" w:eastAsia="Times New Roman" w:hAnsi="Times New Roman" w:cs="Times New Roman"/>
          <w:i/>
          <w:iCs/>
          <w:sz w:val="22"/>
        </w:rPr>
        <w:t>The</w:t>
      </w:r>
      <w:proofErr w:type="gramEnd"/>
      <w:r w:rsidRPr="00745120">
        <w:rPr>
          <w:rFonts w:ascii="Times New Roman" w:eastAsia="Times New Roman" w:hAnsi="Times New Roman" w:cs="Times New Roman"/>
          <w:i/>
          <w:iCs/>
          <w:sz w:val="22"/>
        </w:rPr>
        <w:t xml:space="preserve"> Urban Divide</w:t>
      </w:r>
      <w:r w:rsidRPr="00745120">
        <w:rPr>
          <w:rFonts w:ascii="Times New Roman" w:eastAsia="Times New Roman" w:hAnsi="Times New Roman" w:cs="Times New Roman"/>
          <w:sz w:val="22"/>
        </w:rPr>
        <w:t xml:space="preserve">. </w:t>
      </w:r>
      <w:hyperlink r:id="rId35">
        <w:r w:rsidRPr="00745120">
          <w:rPr>
            <w:rStyle w:val="Hipervnculo"/>
            <w:rFonts w:ascii="Times New Roman" w:eastAsia="Times New Roman" w:hAnsi="Times New Roman" w:cs="Times New Roman"/>
            <w:color w:val="0000FF"/>
            <w:sz w:val="22"/>
          </w:rPr>
          <w:t>https://doi.org/10.4324/9780203756171</w:t>
        </w:r>
      </w:hyperlink>
    </w:p>
    <w:p w14:paraId="68F1DB14" w14:textId="77777777" w:rsidR="00817422" w:rsidRPr="00745120" w:rsidRDefault="00817422" w:rsidP="00745120">
      <w:pPr>
        <w:spacing w:line="240" w:lineRule="auto"/>
        <w:ind w:left="480" w:hanging="480"/>
        <w:jc w:val="both"/>
        <w:rPr>
          <w:sz w:val="22"/>
        </w:rPr>
      </w:pPr>
      <w:r w:rsidRPr="00745120">
        <w:rPr>
          <w:rFonts w:ascii="Times New Roman" w:eastAsia="Times New Roman" w:hAnsi="Times New Roman" w:cs="Times New Roman"/>
          <w:sz w:val="22"/>
        </w:rPr>
        <w:t xml:space="preserve">Verma, P., &amp; </w:t>
      </w:r>
      <w:proofErr w:type="spellStart"/>
      <w:r w:rsidRPr="00745120">
        <w:rPr>
          <w:rFonts w:ascii="Times New Roman" w:eastAsia="Times New Roman" w:hAnsi="Times New Roman" w:cs="Times New Roman"/>
          <w:sz w:val="22"/>
        </w:rPr>
        <w:t>Raghubanshi</w:t>
      </w:r>
      <w:proofErr w:type="spellEnd"/>
      <w:r w:rsidRPr="00745120">
        <w:rPr>
          <w:rFonts w:ascii="Times New Roman" w:eastAsia="Times New Roman" w:hAnsi="Times New Roman" w:cs="Times New Roman"/>
          <w:sz w:val="22"/>
        </w:rPr>
        <w:t xml:space="preserve">, A. S. (2018). Urban sustainability indicators: Challenges and opportunities. </w:t>
      </w:r>
      <w:r w:rsidRPr="00745120">
        <w:rPr>
          <w:rFonts w:ascii="Times New Roman" w:eastAsia="Times New Roman" w:hAnsi="Times New Roman" w:cs="Times New Roman"/>
          <w:i/>
          <w:iCs/>
          <w:sz w:val="22"/>
        </w:rPr>
        <w:t>Ecological Indicators</w:t>
      </w:r>
      <w:r w:rsidRPr="00745120">
        <w:rPr>
          <w:rFonts w:ascii="Times New Roman" w:eastAsia="Times New Roman" w:hAnsi="Times New Roman" w:cs="Times New Roman"/>
          <w:sz w:val="22"/>
        </w:rPr>
        <w:t xml:space="preserve">, </w:t>
      </w:r>
      <w:r w:rsidRPr="00745120">
        <w:rPr>
          <w:rFonts w:ascii="Times New Roman" w:eastAsia="Times New Roman" w:hAnsi="Times New Roman" w:cs="Times New Roman"/>
          <w:i/>
          <w:iCs/>
          <w:sz w:val="22"/>
        </w:rPr>
        <w:t>93</w:t>
      </w:r>
      <w:r w:rsidRPr="00745120">
        <w:rPr>
          <w:rFonts w:ascii="Times New Roman" w:eastAsia="Times New Roman" w:hAnsi="Times New Roman" w:cs="Times New Roman"/>
          <w:sz w:val="22"/>
        </w:rPr>
        <w:t xml:space="preserve">(October 2017), 282–291. </w:t>
      </w:r>
      <w:hyperlink r:id="rId36">
        <w:r w:rsidRPr="00745120">
          <w:rPr>
            <w:rStyle w:val="Hipervnculo"/>
            <w:rFonts w:ascii="Times New Roman" w:eastAsia="Times New Roman" w:hAnsi="Times New Roman" w:cs="Times New Roman"/>
            <w:color w:val="0000FF"/>
            <w:sz w:val="22"/>
          </w:rPr>
          <w:t>https://doi.org/10.1016/j.ecolind.2018.05.007</w:t>
        </w:r>
      </w:hyperlink>
    </w:p>
    <w:p w14:paraId="216E7C0A" w14:textId="77777777" w:rsidR="00817422" w:rsidRPr="00745120" w:rsidRDefault="00817422" w:rsidP="00745120">
      <w:pPr>
        <w:spacing w:line="240" w:lineRule="auto"/>
        <w:jc w:val="both"/>
        <w:rPr>
          <w:sz w:val="22"/>
        </w:rPr>
      </w:pPr>
      <w:r w:rsidRPr="00745120">
        <w:rPr>
          <w:rFonts w:ascii="Times New Roman" w:eastAsia="Times New Roman" w:hAnsi="Times New Roman" w:cs="Times New Roman"/>
          <w:sz w:val="22"/>
        </w:rPr>
        <w:t xml:space="preserve">Wickham, H. (2016) ggplot2: Elegant Graphics for Data Analysis. </w:t>
      </w:r>
      <w:r w:rsidRPr="00745120">
        <w:rPr>
          <w:rFonts w:ascii="Times New Roman" w:eastAsia="Times New Roman" w:hAnsi="Times New Roman" w:cs="Times New Roman"/>
          <w:sz w:val="22"/>
          <w:lang w:val="en-GB"/>
        </w:rPr>
        <w:t>R package version 3.2.1.</w:t>
      </w:r>
    </w:p>
    <w:p w14:paraId="26994315" w14:textId="77777777" w:rsidR="00817422" w:rsidRPr="00745120" w:rsidRDefault="00817422" w:rsidP="00745120">
      <w:pPr>
        <w:spacing w:line="240" w:lineRule="auto"/>
        <w:ind w:left="480" w:hanging="480"/>
        <w:jc w:val="both"/>
        <w:rPr>
          <w:sz w:val="22"/>
        </w:rPr>
      </w:pPr>
      <w:r w:rsidRPr="00745120">
        <w:rPr>
          <w:rFonts w:ascii="Times New Roman" w:eastAsia="Times New Roman" w:hAnsi="Times New Roman" w:cs="Times New Roman"/>
          <w:sz w:val="22"/>
          <w:lang w:val="en-GB"/>
        </w:rPr>
        <w:t xml:space="preserve">Willey, R. (2001). Fats, oils, and greases: The minimization and treatment of wastewaters generated from oil refining and margarine production. Ecotoxicology and Environmental Safety, 50(2), 127–133. </w:t>
      </w:r>
      <w:hyperlink r:id="rId37">
        <w:r w:rsidRPr="00745120">
          <w:rPr>
            <w:rStyle w:val="Hipervnculo"/>
            <w:rFonts w:ascii="Times New Roman" w:eastAsia="Times New Roman" w:hAnsi="Times New Roman" w:cs="Times New Roman"/>
            <w:color w:val="0000FF"/>
            <w:sz w:val="22"/>
            <w:lang w:val="en-GB"/>
          </w:rPr>
          <w:t>https://doi.org/10.1006/eesa.2001.2081</w:t>
        </w:r>
      </w:hyperlink>
      <w:r w:rsidRPr="00745120">
        <w:rPr>
          <w:rFonts w:ascii="Times New Roman" w:eastAsia="Times New Roman" w:hAnsi="Times New Roman" w:cs="Times New Roman"/>
          <w:sz w:val="22"/>
          <w:lang w:val="en-GB"/>
        </w:rPr>
        <w:t xml:space="preserve"> </w:t>
      </w:r>
    </w:p>
    <w:p w14:paraId="6BBEBA8C" w14:textId="469DE789" w:rsidR="00454AF7" w:rsidRPr="00745120" w:rsidRDefault="00817422" w:rsidP="00745120">
      <w:pPr>
        <w:spacing w:line="240" w:lineRule="auto"/>
        <w:ind w:left="480" w:hanging="480"/>
        <w:jc w:val="both"/>
        <w:rPr>
          <w:rFonts w:ascii="Times New Roman" w:eastAsia="Times New Roman" w:hAnsi="Times New Roman" w:cs="Times New Roman"/>
          <w:sz w:val="22"/>
          <w:lang w:val="en-GB"/>
        </w:rPr>
      </w:pPr>
      <w:r w:rsidRPr="00745120">
        <w:rPr>
          <w:rFonts w:ascii="Times New Roman" w:eastAsia="Times New Roman" w:hAnsi="Times New Roman" w:cs="Times New Roman"/>
          <w:sz w:val="22"/>
          <w:lang w:val="en-GB"/>
        </w:rPr>
        <w:t xml:space="preserve">Williams, M., </w:t>
      </w:r>
      <w:proofErr w:type="spellStart"/>
      <w:r w:rsidRPr="00745120">
        <w:rPr>
          <w:rFonts w:ascii="Times New Roman" w:eastAsia="Times New Roman" w:hAnsi="Times New Roman" w:cs="Times New Roman"/>
          <w:sz w:val="22"/>
          <w:lang w:val="en-GB"/>
        </w:rPr>
        <w:t>Kookana</w:t>
      </w:r>
      <w:proofErr w:type="spellEnd"/>
      <w:r w:rsidRPr="00745120">
        <w:rPr>
          <w:rFonts w:ascii="Times New Roman" w:eastAsia="Times New Roman" w:hAnsi="Times New Roman" w:cs="Times New Roman"/>
          <w:sz w:val="22"/>
          <w:lang w:val="en-GB"/>
        </w:rPr>
        <w:t xml:space="preserve">, R. S., Mehta, A., Yadav, S. K., Tailor, B. L., &amp; Maheshwari, B. (2019). Emerging contaminants in a river receiving untreated wastewater from an Indian urban centre. </w:t>
      </w:r>
      <w:r w:rsidRPr="00745120">
        <w:rPr>
          <w:rFonts w:ascii="Times New Roman" w:eastAsia="Times New Roman" w:hAnsi="Times New Roman" w:cs="Times New Roman"/>
          <w:i/>
          <w:iCs/>
          <w:sz w:val="22"/>
          <w:lang w:val="en-GB"/>
        </w:rPr>
        <w:t>Science of the Total Environment</w:t>
      </w:r>
      <w:r w:rsidRPr="00745120">
        <w:rPr>
          <w:rFonts w:ascii="Times New Roman" w:eastAsia="Times New Roman" w:hAnsi="Times New Roman" w:cs="Times New Roman"/>
          <w:sz w:val="22"/>
          <w:lang w:val="en-GB"/>
        </w:rPr>
        <w:t xml:space="preserve">, </w:t>
      </w:r>
      <w:r w:rsidRPr="00745120">
        <w:rPr>
          <w:rFonts w:ascii="Times New Roman" w:eastAsia="Times New Roman" w:hAnsi="Times New Roman" w:cs="Times New Roman"/>
          <w:i/>
          <w:iCs/>
          <w:sz w:val="22"/>
          <w:lang w:val="en-GB"/>
        </w:rPr>
        <w:t>647</w:t>
      </w:r>
      <w:r w:rsidRPr="00745120">
        <w:rPr>
          <w:rFonts w:ascii="Times New Roman" w:eastAsia="Times New Roman" w:hAnsi="Times New Roman" w:cs="Times New Roman"/>
          <w:sz w:val="22"/>
          <w:lang w:val="en-GB"/>
        </w:rPr>
        <w:t xml:space="preserve">, 1256–1265. </w:t>
      </w:r>
      <w:hyperlink r:id="rId38">
        <w:r w:rsidRPr="00745120">
          <w:rPr>
            <w:rStyle w:val="Hipervnculo"/>
            <w:rFonts w:ascii="Times New Roman" w:eastAsia="Times New Roman" w:hAnsi="Times New Roman" w:cs="Times New Roman"/>
            <w:color w:val="0000FF"/>
            <w:sz w:val="22"/>
            <w:lang w:val="en-GB"/>
          </w:rPr>
          <w:t>https://doi.org/10.1016/j.scitotenv.2018.08.084</w:t>
        </w:r>
      </w:hyperlink>
    </w:p>
    <w:sectPr w:rsidR="00454AF7" w:rsidRPr="00745120" w:rsidSect="00DF027C">
      <w:headerReference w:type="default" r:id="rId39"/>
      <w:footerReference w:type="default" r:id="rId40"/>
      <w:pgSz w:w="12240" w:h="15840"/>
      <w:pgMar w:top="720" w:right="1152" w:bottom="720" w:left="1152" w:header="0" w:footer="288" w:gutter="0"/>
      <w:pgNumType w:start="1"/>
      <w:cols w:space="720"/>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5884E9B" w14:textId="77777777" w:rsidR="000838C9" w:rsidRDefault="000838C9">
      <w:r>
        <w:separator/>
      </w:r>
    </w:p>
    <w:p w14:paraId="393C826D" w14:textId="77777777" w:rsidR="000838C9" w:rsidRDefault="000838C9"/>
  </w:endnote>
  <w:endnote w:type="continuationSeparator" w:id="0">
    <w:p w14:paraId="658C6F94" w14:textId="77777777" w:rsidR="000838C9" w:rsidRDefault="000838C9">
      <w:r>
        <w:continuationSeparator/>
      </w:r>
    </w:p>
    <w:p w14:paraId="57A17C79" w14:textId="77777777" w:rsidR="000838C9" w:rsidRDefault="000838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28748919"/>
      <w:docPartObj>
        <w:docPartGallery w:val="Page Numbers (Bottom of Page)"/>
        <w:docPartUnique/>
      </w:docPartObj>
    </w:sdtPr>
    <w:sdtEndPr>
      <w:rPr>
        <w:noProof/>
      </w:rPr>
    </w:sdtEndPr>
    <w:sdtContent>
      <w:p w14:paraId="50609017" w14:textId="77777777" w:rsidR="00DE0026" w:rsidRDefault="00DE0026">
        <w:pPr>
          <w:pStyle w:val="Piedepgina"/>
          <w:jc w:val="center"/>
        </w:pPr>
        <w:r>
          <w:fldChar w:fldCharType="begin"/>
        </w:r>
        <w:r>
          <w:instrText xml:space="preserve"> PAGE   \* MERGEFORMAT </w:instrText>
        </w:r>
        <w:r>
          <w:fldChar w:fldCharType="separate"/>
        </w:r>
        <w:r w:rsidR="007A40B6">
          <w:rPr>
            <w:noProof/>
          </w:rPr>
          <w:t>7</w:t>
        </w:r>
        <w:r>
          <w:rPr>
            <w:noProof/>
          </w:rPr>
          <w:fldChar w:fldCharType="end"/>
        </w:r>
      </w:p>
    </w:sdtContent>
  </w:sdt>
  <w:p w14:paraId="238495AE" w14:textId="77777777" w:rsidR="00DE0026" w:rsidRDefault="00DE002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CA2535" w14:textId="77777777" w:rsidR="000838C9" w:rsidRDefault="000838C9">
      <w:r>
        <w:separator/>
      </w:r>
    </w:p>
    <w:p w14:paraId="26023547" w14:textId="77777777" w:rsidR="000838C9" w:rsidRDefault="000838C9"/>
  </w:footnote>
  <w:footnote w:type="continuationSeparator" w:id="0">
    <w:p w14:paraId="6ED3CFAA" w14:textId="77777777" w:rsidR="000838C9" w:rsidRDefault="000838C9">
      <w:r>
        <w:continuationSeparator/>
      </w:r>
    </w:p>
    <w:p w14:paraId="4ED2A59E" w14:textId="77777777" w:rsidR="000838C9" w:rsidRDefault="000838C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990" w:type="dxa"/>
      <w:tblBorders>
        <w:top w:val="single" w:sz="36" w:space="0" w:color="082A75" w:themeColor="text2"/>
        <w:left w:val="single" w:sz="36" w:space="0" w:color="082A75" w:themeColor="text2"/>
        <w:bottom w:val="single" w:sz="36" w:space="0" w:color="082A75" w:themeColor="text2"/>
        <w:right w:val="single" w:sz="36" w:space="0" w:color="082A75" w:themeColor="text2"/>
        <w:insideH w:val="single" w:sz="36" w:space="0" w:color="082A75" w:themeColor="text2"/>
        <w:insideV w:val="single" w:sz="36" w:space="0" w:color="082A75" w:themeColor="text2"/>
      </w:tblBorders>
      <w:tblLook w:val="0000" w:firstRow="0" w:lastRow="0" w:firstColumn="0" w:lastColumn="0" w:noHBand="0" w:noVBand="0"/>
    </w:tblPr>
    <w:tblGrid>
      <w:gridCol w:w="9990"/>
    </w:tblGrid>
    <w:tr w:rsidR="00DE0026" w14:paraId="367A556B" w14:textId="77777777" w:rsidTr="00D077E9">
      <w:trPr>
        <w:trHeight w:val="978"/>
      </w:trPr>
      <w:tc>
        <w:tcPr>
          <w:tcW w:w="9990" w:type="dxa"/>
          <w:tcBorders>
            <w:top w:val="nil"/>
            <w:left w:val="nil"/>
            <w:bottom w:val="single" w:sz="36" w:space="0" w:color="34ABA2" w:themeColor="accent3"/>
            <w:right w:val="nil"/>
          </w:tcBorders>
        </w:tcPr>
        <w:p w14:paraId="4466CAAE" w14:textId="77777777" w:rsidR="00DE0026" w:rsidRDefault="00DE0026">
          <w:pPr>
            <w:pStyle w:val="Encabezado"/>
          </w:pPr>
        </w:p>
      </w:tc>
    </w:tr>
  </w:tbl>
  <w:p w14:paraId="0E2BCC68" w14:textId="77777777" w:rsidR="00DE0026" w:rsidRDefault="00DE0026" w:rsidP="00D077E9">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926"/>
    <w:rsid w:val="0002482E"/>
    <w:rsid w:val="00050324"/>
    <w:rsid w:val="00054ECC"/>
    <w:rsid w:val="00061FF3"/>
    <w:rsid w:val="00071830"/>
    <w:rsid w:val="000838C9"/>
    <w:rsid w:val="00090EB2"/>
    <w:rsid w:val="0009271E"/>
    <w:rsid w:val="000A0150"/>
    <w:rsid w:val="000A7223"/>
    <w:rsid w:val="000E63C9"/>
    <w:rsid w:val="000F179D"/>
    <w:rsid w:val="000F2FC1"/>
    <w:rsid w:val="00130E9D"/>
    <w:rsid w:val="00133D4D"/>
    <w:rsid w:val="00150A6D"/>
    <w:rsid w:val="00185B35"/>
    <w:rsid w:val="001A5051"/>
    <w:rsid w:val="001A6609"/>
    <w:rsid w:val="001B2E36"/>
    <w:rsid w:val="001F2BC8"/>
    <w:rsid w:val="001F5F6B"/>
    <w:rsid w:val="00216D2E"/>
    <w:rsid w:val="00243EBC"/>
    <w:rsid w:val="00246A35"/>
    <w:rsid w:val="002773E3"/>
    <w:rsid w:val="00284348"/>
    <w:rsid w:val="002F1FB0"/>
    <w:rsid w:val="002F51F5"/>
    <w:rsid w:val="00312137"/>
    <w:rsid w:val="00313AF4"/>
    <w:rsid w:val="00330359"/>
    <w:rsid w:val="00331B86"/>
    <w:rsid w:val="0033762F"/>
    <w:rsid w:val="00354C11"/>
    <w:rsid w:val="00366C7E"/>
    <w:rsid w:val="00384EA3"/>
    <w:rsid w:val="003A39A1"/>
    <w:rsid w:val="003A7EEC"/>
    <w:rsid w:val="003C2191"/>
    <w:rsid w:val="003D3863"/>
    <w:rsid w:val="004110DE"/>
    <w:rsid w:val="0044085A"/>
    <w:rsid w:val="00454AF7"/>
    <w:rsid w:val="004A0381"/>
    <w:rsid w:val="004B21A5"/>
    <w:rsid w:val="004B73D3"/>
    <w:rsid w:val="004C7251"/>
    <w:rsid w:val="004D0F9F"/>
    <w:rsid w:val="005037F0"/>
    <w:rsid w:val="00516A86"/>
    <w:rsid w:val="005275F6"/>
    <w:rsid w:val="005467F5"/>
    <w:rsid w:val="00572102"/>
    <w:rsid w:val="005C7926"/>
    <w:rsid w:val="005E4904"/>
    <w:rsid w:val="005F1BB0"/>
    <w:rsid w:val="00645844"/>
    <w:rsid w:val="00656C4D"/>
    <w:rsid w:val="006E5716"/>
    <w:rsid w:val="00715352"/>
    <w:rsid w:val="007302B3"/>
    <w:rsid w:val="00730733"/>
    <w:rsid w:val="00730E3A"/>
    <w:rsid w:val="00736AAF"/>
    <w:rsid w:val="00745120"/>
    <w:rsid w:val="007541E9"/>
    <w:rsid w:val="00763677"/>
    <w:rsid w:val="00765B2A"/>
    <w:rsid w:val="00766373"/>
    <w:rsid w:val="00783A34"/>
    <w:rsid w:val="007A40B6"/>
    <w:rsid w:val="007A55C6"/>
    <w:rsid w:val="007A619E"/>
    <w:rsid w:val="007B1D6F"/>
    <w:rsid w:val="007C0598"/>
    <w:rsid w:val="007C6B52"/>
    <w:rsid w:val="007D16C5"/>
    <w:rsid w:val="007D4304"/>
    <w:rsid w:val="00816DBA"/>
    <w:rsid w:val="00817422"/>
    <w:rsid w:val="00862FE4"/>
    <w:rsid w:val="0086389A"/>
    <w:rsid w:val="0087605E"/>
    <w:rsid w:val="008837DA"/>
    <w:rsid w:val="0089631C"/>
    <w:rsid w:val="008B1FEE"/>
    <w:rsid w:val="008B246C"/>
    <w:rsid w:val="008C5428"/>
    <w:rsid w:val="00903C32"/>
    <w:rsid w:val="00916B16"/>
    <w:rsid w:val="009173B9"/>
    <w:rsid w:val="00926D06"/>
    <w:rsid w:val="0093335D"/>
    <w:rsid w:val="0093613E"/>
    <w:rsid w:val="00943026"/>
    <w:rsid w:val="00966B81"/>
    <w:rsid w:val="0097484F"/>
    <w:rsid w:val="009B5451"/>
    <w:rsid w:val="009C7720"/>
    <w:rsid w:val="00A23AFA"/>
    <w:rsid w:val="00A31B3E"/>
    <w:rsid w:val="00A532F3"/>
    <w:rsid w:val="00A56262"/>
    <w:rsid w:val="00A8489E"/>
    <w:rsid w:val="00A94972"/>
    <w:rsid w:val="00AA5BBD"/>
    <w:rsid w:val="00AC29F3"/>
    <w:rsid w:val="00AF289F"/>
    <w:rsid w:val="00B231E5"/>
    <w:rsid w:val="00C02B87"/>
    <w:rsid w:val="00C30024"/>
    <w:rsid w:val="00C4086D"/>
    <w:rsid w:val="00C417C6"/>
    <w:rsid w:val="00C505CE"/>
    <w:rsid w:val="00C770D3"/>
    <w:rsid w:val="00CA1896"/>
    <w:rsid w:val="00CA607D"/>
    <w:rsid w:val="00CB5B28"/>
    <w:rsid w:val="00CF5371"/>
    <w:rsid w:val="00D0323A"/>
    <w:rsid w:val="00D0559F"/>
    <w:rsid w:val="00D077E9"/>
    <w:rsid w:val="00D42CB7"/>
    <w:rsid w:val="00D5413D"/>
    <w:rsid w:val="00D570A9"/>
    <w:rsid w:val="00D70D02"/>
    <w:rsid w:val="00D770C7"/>
    <w:rsid w:val="00D86945"/>
    <w:rsid w:val="00D90290"/>
    <w:rsid w:val="00D925DA"/>
    <w:rsid w:val="00DD04A9"/>
    <w:rsid w:val="00DD152F"/>
    <w:rsid w:val="00DE0026"/>
    <w:rsid w:val="00DE213F"/>
    <w:rsid w:val="00DF027C"/>
    <w:rsid w:val="00DF217E"/>
    <w:rsid w:val="00E00A32"/>
    <w:rsid w:val="00E15F5C"/>
    <w:rsid w:val="00E22ACD"/>
    <w:rsid w:val="00E267B5"/>
    <w:rsid w:val="00E30C0C"/>
    <w:rsid w:val="00E5502F"/>
    <w:rsid w:val="00E620B0"/>
    <w:rsid w:val="00E81B40"/>
    <w:rsid w:val="00EF555B"/>
    <w:rsid w:val="00F027BB"/>
    <w:rsid w:val="00F06CEE"/>
    <w:rsid w:val="00F11DCF"/>
    <w:rsid w:val="00F162EA"/>
    <w:rsid w:val="00F40168"/>
    <w:rsid w:val="00F52D27"/>
    <w:rsid w:val="00F6146E"/>
    <w:rsid w:val="00F676E2"/>
    <w:rsid w:val="00F83527"/>
    <w:rsid w:val="00FA6BB4"/>
    <w:rsid w:val="00FA7EA8"/>
    <w:rsid w:val="00FD583F"/>
    <w:rsid w:val="00FD7488"/>
    <w:rsid w:val="00FF16B4"/>
  </w:rsids>
  <m:mathPr>
    <m:mathFont m:val="Cambria Math"/>
    <m:brkBin m:val="before"/>
    <m:brkBinSub m:val="--"/>
    <m:smallFrac m:val="0"/>
    <m:dispDef/>
    <m:lMargin m:val="1440"/>
    <m:rMargin m:val="1440"/>
    <m:defJc m:val="centerGroup"/>
    <m:wrapIndent m:val="1440"/>
    <m:intLim m:val="subSup"/>
    <m:naryLim m:val="undOvr"/>
  </m:mathPr>
  <w:attachedSchema w:val="urn:DocumentPartTemplate"/>
  <w:attachedSchema w:val="http://schemas.microsoft.com/temp/samples"/>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EF8D5D"/>
  <w15:docId w15:val="{DDA606B6-66C7-47BE-AD14-A1B56CE37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7" w:qFormat="1"/>
    <w:lsdException w:name="heading 2" w:uiPriority="4" w:qFormat="1"/>
    <w:lsdException w:name="heading 3" w:semiHidden="1" w:uiPriority="5"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3" w:unhideWhenUsed="1" w:qFormat="1"/>
    <w:lsdException w:name="Hyperlink" w:semiHidden="1" w:unhideWhenUsed="1"/>
    <w:lsdException w:name="FollowedHyperlink" w:semiHidden="1" w:unhideWhenUsed="1"/>
    <w:lsdException w:name="Strong" w:semiHidden="1" w:uiPriority="2" w:unhideWhenUsed="1" w:qFormat="1"/>
    <w:lsdException w:name="Emphasis" w:semiHidden="1" w:uiPriority="2"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6945"/>
    <w:pPr>
      <w:spacing w:after="0"/>
    </w:pPr>
    <w:rPr>
      <w:rFonts w:eastAsiaTheme="minorEastAsia"/>
      <w:b/>
      <w:color w:val="082A75" w:themeColor="text2"/>
      <w:sz w:val="28"/>
      <w:szCs w:val="22"/>
    </w:rPr>
  </w:style>
  <w:style w:type="paragraph" w:styleId="Ttulo1">
    <w:name w:val="heading 1"/>
    <w:basedOn w:val="Normal"/>
    <w:link w:val="Ttulo1Car"/>
    <w:uiPriority w:val="4"/>
    <w:qFormat/>
    <w:rsid w:val="00D077E9"/>
    <w:pPr>
      <w:keepNext/>
      <w:spacing w:before="240" w:after="60"/>
      <w:outlineLvl w:val="0"/>
    </w:pPr>
    <w:rPr>
      <w:rFonts w:asciiTheme="majorHAnsi" w:eastAsiaTheme="majorEastAsia" w:hAnsiTheme="majorHAnsi" w:cstheme="majorBidi"/>
      <w:color w:val="061F57" w:themeColor="text2" w:themeShade="BF"/>
      <w:kern w:val="28"/>
      <w:sz w:val="52"/>
      <w:szCs w:val="32"/>
    </w:rPr>
  </w:style>
  <w:style w:type="paragraph" w:styleId="Ttulo2">
    <w:name w:val="heading 2"/>
    <w:basedOn w:val="Normal"/>
    <w:next w:val="Normal"/>
    <w:link w:val="Ttulo2Car"/>
    <w:uiPriority w:val="4"/>
    <w:qFormat/>
    <w:rsid w:val="00DF027C"/>
    <w:pPr>
      <w:keepNext/>
      <w:spacing w:after="240" w:line="240" w:lineRule="auto"/>
      <w:outlineLvl w:val="1"/>
    </w:pPr>
    <w:rPr>
      <w:rFonts w:eastAsiaTheme="majorEastAsia" w:cstheme="majorBidi"/>
      <w:b w:val="0"/>
      <w:sz w:val="3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Pr>
      <w:rFonts w:ascii="Tahoma" w:hAnsi="Tahoma" w:cs="Tahoma"/>
      <w:sz w:val="16"/>
      <w:szCs w:val="16"/>
    </w:rPr>
  </w:style>
  <w:style w:type="character" w:customStyle="1" w:styleId="TextodegloboCar">
    <w:name w:val="Texto de globo Car"/>
    <w:basedOn w:val="Fuentedeprrafopredeter"/>
    <w:link w:val="Textodeglobo"/>
    <w:uiPriority w:val="99"/>
    <w:semiHidden/>
    <w:rPr>
      <w:rFonts w:ascii="Tahoma" w:hAnsi="Tahoma" w:cs="Tahoma"/>
      <w:sz w:val="16"/>
      <w:szCs w:val="16"/>
    </w:rPr>
  </w:style>
  <w:style w:type="paragraph" w:styleId="Ttulo">
    <w:name w:val="Title"/>
    <w:basedOn w:val="Normal"/>
    <w:link w:val="TtuloCar"/>
    <w:uiPriority w:val="1"/>
    <w:qFormat/>
    <w:rsid w:val="00D86945"/>
    <w:pPr>
      <w:spacing w:after="200" w:line="240" w:lineRule="auto"/>
    </w:pPr>
    <w:rPr>
      <w:rFonts w:asciiTheme="majorHAnsi" w:eastAsiaTheme="majorEastAsia" w:hAnsiTheme="majorHAnsi" w:cstheme="majorBidi"/>
      <w:bCs/>
      <w:sz w:val="72"/>
      <w:szCs w:val="52"/>
    </w:rPr>
  </w:style>
  <w:style w:type="character" w:customStyle="1" w:styleId="TtuloCar">
    <w:name w:val="Título Car"/>
    <w:basedOn w:val="Fuentedeprrafopredeter"/>
    <w:link w:val="Ttulo"/>
    <w:uiPriority w:val="1"/>
    <w:rsid w:val="00D86945"/>
    <w:rPr>
      <w:rFonts w:asciiTheme="majorHAnsi" w:eastAsiaTheme="majorEastAsia" w:hAnsiTheme="majorHAnsi" w:cstheme="majorBidi"/>
      <w:b/>
      <w:bCs/>
      <w:color w:val="082A75" w:themeColor="text2"/>
      <w:sz w:val="72"/>
      <w:szCs w:val="52"/>
    </w:rPr>
  </w:style>
  <w:style w:type="paragraph" w:styleId="Subttulo">
    <w:name w:val="Subtitle"/>
    <w:basedOn w:val="Normal"/>
    <w:link w:val="SubttuloCar"/>
    <w:uiPriority w:val="2"/>
    <w:qFormat/>
    <w:rsid w:val="00D86945"/>
    <w:pPr>
      <w:framePr w:hSpace="180" w:wrap="around" w:vAnchor="text" w:hAnchor="margin" w:y="1167"/>
    </w:pPr>
    <w:rPr>
      <w:b w:val="0"/>
      <w:caps/>
      <w:spacing w:val="20"/>
      <w:sz w:val="32"/>
    </w:rPr>
  </w:style>
  <w:style w:type="character" w:customStyle="1" w:styleId="SubttuloCar">
    <w:name w:val="Subtítulo Car"/>
    <w:basedOn w:val="Fuentedeprrafopredeter"/>
    <w:link w:val="Subttulo"/>
    <w:uiPriority w:val="2"/>
    <w:rsid w:val="00D86945"/>
    <w:rPr>
      <w:rFonts w:eastAsiaTheme="minorEastAsia"/>
      <w:caps/>
      <w:color w:val="082A75" w:themeColor="text2"/>
      <w:spacing w:val="20"/>
      <w:sz w:val="32"/>
      <w:szCs w:val="22"/>
    </w:rPr>
  </w:style>
  <w:style w:type="character" w:customStyle="1" w:styleId="Ttulo1Car">
    <w:name w:val="Título 1 Car"/>
    <w:basedOn w:val="Fuentedeprrafopredeter"/>
    <w:link w:val="Ttulo1"/>
    <w:uiPriority w:val="4"/>
    <w:rsid w:val="00D077E9"/>
    <w:rPr>
      <w:rFonts w:asciiTheme="majorHAnsi" w:eastAsiaTheme="majorEastAsia" w:hAnsiTheme="majorHAnsi" w:cstheme="majorBidi"/>
      <w:b/>
      <w:color w:val="061F57" w:themeColor="text2" w:themeShade="BF"/>
      <w:kern w:val="28"/>
      <w:sz w:val="52"/>
      <w:szCs w:val="32"/>
    </w:rPr>
  </w:style>
  <w:style w:type="paragraph" w:styleId="Encabezado">
    <w:name w:val="header"/>
    <w:basedOn w:val="Normal"/>
    <w:link w:val="EncabezadoCar"/>
    <w:uiPriority w:val="8"/>
    <w:unhideWhenUsed/>
    <w:rsid w:val="005037F0"/>
  </w:style>
  <w:style w:type="character" w:customStyle="1" w:styleId="EncabezadoCar">
    <w:name w:val="Encabezado Car"/>
    <w:basedOn w:val="Fuentedeprrafopredeter"/>
    <w:link w:val="Encabezado"/>
    <w:uiPriority w:val="8"/>
    <w:rsid w:val="0093335D"/>
  </w:style>
  <w:style w:type="paragraph" w:styleId="Piedepgina">
    <w:name w:val="footer"/>
    <w:basedOn w:val="Normal"/>
    <w:link w:val="PiedepginaCar"/>
    <w:uiPriority w:val="99"/>
    <w:unhideWhenUsed/>
    <w:rsid w:val="005037F0"/>
  </w:style>
  <w:style w:type="character" w:customStyle="1" w:styleId="PiedepginaCar">
    <w:name w:val="Pie de página Car"/>
    <w:basedOn w:val="Fuentedeprrafopredeter"/>
    <w:link w:val="Piedepgina"/>
    <w:uiPriority w:val="99"/>
    <w:rsid w:val="005037F0"/>
    <w:rPr>
      <w:sz w:val="24"/>
      <w:szCs w:val="24"/>
    </w:rPr>
  </w:style>
  <w:style w:type="paragraph" w:customStyle="1" w:styleId="Name">
    <w:name w:val="Name"/>
    <w:basedOn w:val="Normal"/>
    <w:uiPriority w:val="3"/>
    <w:qFormat/>
    <w:rsid w:val="00B231E5"/>
    <w:pPr>
      <w:spacing w:line="240" w:lineRule="auto"/>
      <w:jc w:val="right"/>
    </w:pPr>
  </w:style>
  <w:style w:type="character" w:customStyle="1" w:styleId="Ttulo2Car">
    <w:name w:val="Título 2 Car"/>
    <w:basedOn w:val="Fuentedeprrafopredeter"/>
    <w:link w:val="Ttulo2"/>
    <w:uiPriority w:val="4"/>
    <w:rsid w:val="00DF027C"/>
    <w:rPr>
      <w:rFonts w:eastAsiaTheme="majorEastAsia" w:cstheme="majorBidi"/>
      <w:color w:val="082A75" w:themeColor="text2"/>
      <w:sz w:val="36"/>
      <w:szCs w:val="26"/>
    </w:rPr>
  </w:style>
  <w:style w:type="table" w:styleId="Tablaconcuadrcula">
    <w:name w:val="Table Grid"/>
    <w:basedOn w:val="Tablanormal"/>
    <w:uiPriority w:val="1"/>
    <w:rsid w:val="00FF16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unhideWhenUsed/>
    <w:rsid w:val="00D86945"/>
    <w:rPr>
      <w:color w:val="808080"/>
    </w:rPr>
  </w:style>
  <w:style w:type="paragraph" w:customStyle="1" w:styleId="Content">
    <w:name w:val="Content"/>
    <w:basedOn w:val="Normal"/>
    <w:link w:val="ContentChar"/>
    <w:qFormat/>
    <w:rsid w:val="00DF027C"/>
    <w:rPr>
      <w:b w:val="0"/>
    </w:rPr>
  </w:style>
  <w:style w:type="paragraph" w:customStyle="1" w:styleId="EmphasisText">
    <w:name w:val="Emphasis Text"/>
    <w:basedOn w:val="Normal"/>
    <w:link w:val="EmphasisTextChar"/>
    <w:qFormat/>
    <w:rsid w:val="00DF027C"/>
  </w:style>
  <w:style w:type="character" w:customStyle="1" w:styleId="ContentChar">
    <w:name w:val="Content Char"/>
    <w:basedOn w:val="Fuentedeprrafopredeter"/>
    <w:link w:val="Content"/>
    <w:rsid w:val="00DF027C"/>
    <w:rPr>
      <w:rFonts w:eastAsiaTheme="minorEastAsia"/>
      <w:color w:val="082A75" w:themeColor="text2"/>
      <w:sz w:val="28"/>
      <w:szCs w:val="22"/>
    </w:rPr>
  </w:style>
  <w:style w:type="character" w:customStyle="1" w:styleId="EmphasisTextChar">
    <w:name w:val="Emphasis Text Char"/>
    <w:basedOn w:val="Fuentedeprrafopredeter"/>
    <w:link w:val="EmphasisText"/>
    <w:rsid w:val="00DF027C"/>
    <w:rPr>
      <w:rFonts w:eastAsiaTheme="minorEastAsia"/>
      <w:b/>
      <w:color w:val="082A75" w:themeColor="text2"/>
      <w:sz w:val="28"/>
      <w:szCs w:val="22"/>
    </w:rPr>
  </w:style>
  <w:style w:type="table" w:styleId="Tablaconcuadrcula1clara-nfasis1">
    <w:name w:val="Grid Table 1 Light Accent 1"/>
    <w:basedOn w:val="Tablanormal"/>
    <w:uiPriority w:val="46"/>
    <w:rsid w:val="005C7926"/>
    <w:pPr>
      <w:spacing w:after="0" w:line="240" w:lineRule="auto"/>
    </w:pPr>
    <w:rPr>
      <w:sz w:val="22"/>
      <w:szCs w:val="22"/>
      <w:lang w:val="es-CR"/>
    </w:rPr>
    <w:tblPr>
      <w:tblStyleRowBandSize w:val="1"/>
      <w:tblStyleColBandSize w:val="1"/>
      <w:tblBorders>
        <w:top w:val="single" w:sz="4" w:space="0" w:color="64C9FC" w:themeColor="accent1" w:themeTint="66"/>
        <w:left w:val="single" w:sz="4" w:space="0" w:color="64C9FC" w:themeColor="accent1" w:themeTint="66"/>
        <w:bottom w:val="single" w:sz="4" w:space="0" w:color="64C9FC" w:themeColor="accent1" w:themeTint="66"/>
        <w:right w:val="single" w:sz="4" w:space="0" w:color="64C9FC" w:themeColor="accent1" w:themeTint="66"/>
        <w:insideH w:val="single" w:sz="4" w:space="0" w:color="64C9FC" w:themeColor="accent1" w:themeTint="66"/>
        <w:insideV w:val="single" w:sz="4" w:space="0" w:color="64C9FC" w:themeColor="accent1" w:themeTint="66"/>
      </w:tblBorders>
    </w:tblPr>
    <w:tblStylePr w:type="firstRow">
      <w:rPr>
        <w:b/>
        <w:bCs/>
      </w:rPr>
      <w:tblPr/>
      <w:tcPr>
        <w:tcBorders>
          <w:bottom w:val="single" w:sz="12" w:space="0" w:color="18AFFB" w:themeColor="accent1" w:themeTint="99"/>
        </w:tcBorders>
      </w:tcPr>
    </w:tblStylePr>
    <w:tblStylePr w:type="lastRow">
      <w:rPr>
        <w:b/>
        <w:bCs/>
      </w:rPr>
      <w:tblPr/>
      <w:tcPr>
        <w:tcBorders>
          <w:top w:val="double" w:sz="2" w:space="0" w:color="18AFFB" w:themeColor="accent1" w:themeTint="99"/>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7B1D6F"/>
    <w:pPr>
      <w:spacing w:before="100" w:beforeAutospacing="1" w:after="100" w:afterAutospacing="1" w:line="240" w:lineRule="auto"/>
    </w:pPr>
    <w:rPr>
      <w:rFonts w:ascii="Times New Roman" w:eastAsia="Times New Roman" w:hAnsi="Times New Roman" w:cs="Times New Roman"/>
      <w:b w:val="0"/>
      <w:color w:val="auto"/>
      <w:sz w:val="24"/>
      <w:szCs w:val="24"/>
      <w:lang w:val="es-CR" w:eastAsia="es-CR"/>
    </w:rPr>
  </w:style>
  <w:style w:type="table" w:styleId="Tablaconcuadrcula2-nfasis1">
    <w:name w:val="Grid Table 2 Accent 1"/>
    <w:basedOn w:val="Tablanormal"/>
    <w:uiPriority w:val="47"/>
    <w:rsid w:val="00FA6BB4"/>
    <w:pPr>
      <w:spacing w:after="0" w:line="240" w:lineRule="auto"/>
    </w:pPr>
    <w:tblPr>
      <w:tblStyleRowBandSize w:val="1"/>
      <w:tblStyleColBandSize w:val="1"/>
      <w:tblBorders>
        <w:top w:val="single" w:sz="2" w:space="0" w:color="18AFFB" w:themeColor="accent1" w:themeTint="99"/>
        <w:bottom w:val="single" w:sz="2" w:space="0" w:color="18AFFB" w:themeColor="accent1" w:themeTint="99"/>
        <w:insideH w:val="single" w:sz="2" w:space="0" w:color="18AFFB" w:themeColor="accent1" w:themeTint="99"/>
        <w:insideV w:val="single" w:sz="2" w:space="0" w:color="18AFFB" w:themeColor="accent1" w:themeTint="99"/>
      </w:tblBorders>
    </w:tblPr>
    <w:tblStylePr w:type="firstRow">
      <w:rPr>
        <w:b/>
        <w:bCs/>
      </w:rPr>
      <w:tblPr/>
      <w:tcPr>
        <w:tcBorders>
          <w:top w:val="nil"/>
          <w:bottom w:val="single" w:sz="12" w:space="0" w:color="18AFFB" w:themeColor="accent1" w:themeTint="99"/>
          <w:insideH w:val="nil"/>
          <w:insideV w:val="nil"/>
        </w:tcBorders>
        <w:shd w:val="clear" w:color="auto" w:fill="FFFFFF" w:themeFill="background1"/>
      </w:tcPr>
    </w:tblStylePr>
    <w:tblStylePr w:type="lastRow">
      <w:rPr>
        <w:b/>
        <w:bCs/>
      </w:rPr>
      <w:tblPr/>
      <w:tcPr>
        <w:tcBorders>
          <w:top w:val="double" w:sz="2" w:space="0" w:color="18AFF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1E4FD" w:themeFill="accent1" w:themeFillTint="33"/>
      </w:tcPr>
    </w:tblStylePr>
    <w:tblStylePr w:type="band1Horz">
      <w:tblPr/>
      <w:tcPr>
        <w:shd w:val="clear" w:color="auto" w:fill="B1E4FD" w:themeFill="accent1" w:themeFillTint="33"/>
      </w:tcPr>
    </w:tblStylePr>
  </w:style>
  <w:style w:type="table" w:styleId="Tablaconcuadrcula2-nfasis2">
    <w:name w:val="Grid Table 2 Accent 2"/>
    <w:basedOn w:val="Tablanormal"/>
    <w:uiPriority w:val="47"/>
    <w:rsid w:val="00FA6BB4"/>
    <w:pPr>
      <w:spacing w:after="0" w:line="240" w:lineRule="auto"/>
    </w:pPr>
    <w:tblPr>
      <w:tblStyleRowBandSize w:val="1"/>
      <w:tblStyleColBandSize w:val="1"/>
      <w:tblBorders>
        <w:top w:val="single" w:sz="2" w:space="0" w:color="85BDE2" w:themeColor="accent2" w:themeTint="99"/>
        <w:bottom w:val="single" w:sz="2" w:space="0" w:color="85BDE2" w:themeColor="accent2" w:themeTint="99"/>
        <w:insideH w:val="single" w:sz="2" w:space="0" w:color="85BDE2" w:themeColor="accent2" w:themeTint="99"/>
        <w:insideV w:val="single" w:sz="2" w:space="0" w:color="85BDE2" w:themeColor="accent2" w:themeTint="99"/>
      </w:tblBorders>
    </w:tblPr>
    <w:tblStylePr w:type="firstRow">
      <w:rPr>
        <w:b/>
        <w:bCs/>
      </w:rPr>
      <w:tblPr/>
      <w:tcPr>
        <w:tcBorders>
          <w:top w:val="nil"/>
          <w:bottom w:val="single" w:sz="12" w:space="0" w:color="85BDE2" w:themeColor="accent2" w:themeTint="99"/>
          <w:insideH w:val="nil"/>
          <w:insideV w:val="nil"/>
        </w:tcBorders>
        <w:shd w:val="clear" w:color="auto" w:fill="FFFFFF" w:themeFill="background1"/>
      </w:tcPr>
    </w:tblStylePr>
    <w:tblStylePr w:type="lastRow">
      <w:rPr>
        <w:b/>
        <w:bCs/>
      </w:rPr>
      <w:tblPr/>
      <w:tcPr>
        <w:tcBorders>
          <w:top w:val="double" w:sz="2" w:space="0" w:color="85BDE2"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6E9F5" w:themeFill="accent2" w:themeFillTint="33"/>
      </w:tcPr>
    </w:tblStylePr>
    <w:tblStylePr w:type="band1Horz">
      <w:tblPr/>
      <w:tcPr>
        <w:shd w:val="clear" w:color="auto" w:fill="D6E9F5" w:themeFill="accent2" w:themeFillTint="33"/>
      </w:tcPr>
    </w:tblStylePr>
  </w:style>
  <w:style w:type="table" w:styleId="Tablaconcuadrcula1Claro-nfasis2">
    <w:name w:val="Grid Table 1 Light Accent 2"/>
    <w:basedOn w:val="Tablanormal"/>
    <w:uiPriority w:val="46"/>
    <w:rsid w:val="00FA6BB4"/>
    <w:pPr>
      <w:spacing w:after="0" w:line="240" w:lineRule="auto"/>
    </w:pPr>
    <w:tblPr>
      <w:tblStyleRowBandSize w:val="1"/>
      <w:tblStyleColBandSize w:val="1"/>
      <w:tblBorders>
        <w:top w:val="single" w:sz="4" w:space="0" w:color="AED3EB" w:themeColor="accent2" w:themeTint="66"/>
        <w:left w:val="single" w:sz="4" w:space="0" w:color="AED3EB" w:themeColor="accent2" w:themeTint="66"/>
        <w:bottom w:val="single" w:sz="4" w:space="0" w:color="AED3EB" w:themeColor="accent2" w:themeTint="66"/>
        <w:right w:val="single" w:sz="4" w:space="0" w:color="AED3EB" w:themeColor="accent2" w:themeTint="66"/>
        <w:insideH w:val="single" w:sz="4" w:space="0" w:color="AED3EB" w:themeColor="accent2" w:themeTint="66"/>
        <w:insideV w:val="single" w:sz="4" w:space="0" w:color="AED3EB" w:themeColor="accent2" w:themeTint="66"/>
      </w:tblBorders>
    </w:tblPr>
    <w:tblStylePr w:type="firstRow">
      <w:rPr>
        <w:b/>
        <w:bCs/>
      </w:rPr>
      <w:tblPr/>
      <w:tcPr>
        <w:tcBorders>
          <w:bottom w:val="single" w:sz="12" w:space="0" w:color="85BDE2" w:themeColor="accent2" w:themeTint="99"/>
        </w:tcBorders>
      </w:tcPr>
    </w:tblStylePr>
    <w:tblStylePr w:type="lastRow">
      <w:rPr>
        <w:b/>
        <w:bCs/>
      </w:rPr>
      <w:tblPr/>
      <w:tcPr>
        <w:tcBorders>
          <w:top w:val="double" w:sz="2" w:space="0" w:color="85BDE2" w:themeColor="accent2" w:themeTint="99"/>
        </w:tcBorders>
      </w:tcPr>
    </w:tblStylePr>
    <w:tblStylePr w:type="firstCol">
      <w:rPr>
        <w:b/>
        <w:bCs/>
      </w:rPr>
    </w:tblStylePr>
    <w:tblStylePr w:type="lastCol">
      <w:rPr>
        <w:b/>
        <w:bCs/>
      </w:rPr>
    </w:tblStylePr>
  </w:style>
  <w:style w:type="table" w:styleId="Tablaconcuadrcula1clara-nfasis5">
    <w:name w:val="Grid Table 1 Light Accent 5"/>
    <w:basedOn w:val="Tablanormal"/>
    <w:uiPriority w:val="46"/>
    <w:rsid w:val="00FA6BB4"/>
    <w:pPr>
      <w:spacing w:after="0" w:line="240" w:lineRule="auto"/>
    </w:pPr>
    <w:tblPr>
      <w:tblStyleRowBandSize w:val="1"/>
      <w:tblStyleColBandSize w:val="1"/>
      <w:tblBorders>
        <w:top w:val="single" w:sz="4" w:space="0" w:color="E6EFEA" w:themeColor="accent5" w:themeTint="66"/>
        <w:left w:val="single" w:sz="4" w:space="0" w:color="E6EFEA" w:themeColor="accent5" w:themeTint="66"/>
        <w:bottom w:val="single" w:sz="4" w:space="0" w:color="E6EFEA" w:themeColor="accent5" w:themeTint="66"/>
        <w:right w:val="single" w:sz="4" w:space="0" w:color="E6EFEA" w:themeColor="accent5" w:themeTint="66"/>
        <w:insideH w:val="single" w:sz="4" w:space="0" w:color="E6EFEA" w:themeColor="accent5" w:themeTint="66"/>
        <w:insideV w:val="single" w:sz="4" w:space="0" w:color="E6EFEA" w:themeColor="accent5" w:themeTint="66"/>
      </w:tblBorders>
    </w:tblPr>
    <w:tblStylePr w:type="firstRow">
      <w:rPr>
        <w:b/>
        <w:bCs/>
      </w:rPr>
      <w:tblPr/>
      <w:tcPr>
        <w:tcBorders>
          <w:bottom w:val="single" w:sz="12" w:space="0" w:color="D9E8DF" w:themeColor="accent5" w:themeTint="99"/>
        </w:tcBorders>
      </w:tcPr>
    </w:tblStylePr>
    <w:tblStylePr w:type="lastRow">
      <w:rPr>
        <w:b/>
        <w:bCs/>
      </w:rPr>
      <w:tblPr/>
      <w:tcPr>
        <w:tcBorders>
          <w:top w:val="double" w:sz="2" w:space="0" w:color="D9E8DF" w:themeColor="accent5" w:themeTint="99"/>
        </w:tcBorders>
      </w:tcPr>
    </w:tblStylePr>
    <w:tblStylePr w:type="firstCol">
      <w:rPr>
        <w:b/>
        <w:bCs/>
      </w:rPr>
    </w:tblStylePr>
    <w:tblStylePr w:type="lastCol">
      <w:rPr>
        <w:b/>
        <w:bCs/>
      </w:rPr>
    </w:tblStylePr>
  </w:style>
  <w:style w:type="table" w:styleId="Tabladelista3-nfasis4">
    <w:name w:val="List Table 3 Accent 4"/>
    <w:basedOn w:val="Tablanormal"/>
    <w:uiPriority w:val="48"/>
    <w:rsid w:val="00FA6BB4"/>
    <w:pPr>
      <w:spacing w:after="0" w:line="240" w:lineRule="auto"/>
    </w:pPr>
    <w:tblPr>
      <w:tblStyleRowBandSize w:val="1"/>
      <w:tblStyleColBandSize w:val="1"/>
      <w:tblBorders>
        <w:top w:val="single" w:sz="4" w:space="0" w:color="66B2CA" w:themeColor="accent4"/>
        <w:left w:val="single" w:sz="4" w:space="0" w:color="66B2CA" w:themeColor="accent4"/>
        <w:bottom w:val="single" w:sz="4" w:space="0" w:color="66B2CA" w:themeColor="accent4"/>
        <w:right w:val="single" w:sz="4" w:space="0" w:color="66B2CA" w:themeColor="accent4"/>
      </w:tblBorders>
    </w:tblPr>
    <w:tblStylePr w:type="firstRow">
      <w:rPr>
        <w:b/>
        <w:bCs/>
        <w:color w:val="FFFFFF" w:themeColor="background1"/>
      </w:rPr>
      <w:tblPr/>
      <w:tcPr>
        <w:shd w:val="clear" w:color="auto" w:fill="66B2CA" w:themeFill="accent4"/>
      </w:tcPr>
    </w:tblStylePr>
    <w:tblStylePr w:type="lastRow">
      <w:rPr>
        <w:b/>
        <w:bCs/>
      </w:rPr>
      <w:tblPr/>
      <w:tcPr>
        <w:tcBorders>
          <w:top w:val="double" w:sz="4" w:space="0" w:color="66B2CA"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66B2CA" w:themeColor="accent4"/>
          <w:right w:val="single" w:sz="4" w:space="0" w:color="66B2CA" w:themeColor="accent4"/>
        </w:tcBorders>
      </w:tcPr>
    </w:tblStylePr>
    <w:tblStylePr w:type="band1Horz">
      <w:tblPr/>
      <w:tcPr>
        <w:tcBorders>
          <w:top w:val="single" w:sz="4" w:space="0" w:color="66B2CA" w:themeColor="accent4"/>
          <w:bottom w:val="single" w:sz="4" w:space="0" w:color="66B2CA"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66B2CA" w:themeColor="accent4"/>
          <w:left w:val="nil"/>
        </w:tcBorders>
      </w:tcPr>
    </w:tblStylePr>
    <w:tblStylePr w:type="swCell">
      <w:tblPr/>
      <w:tcPr>
        <w:tcBorders>
          <w:top w:val="double" w:sz="4" w:space="0" w:color="66B2CA" w:themeColor="accent4"/>
          <w:right w:val="nil"/>
        </w:tcBorders>
      </w:tcPr>
    </w:tblStylePr>
  </w:style>
  <w:style w:type="table" w:styleId="Tabladelista3-nfasis2">
    <w:name w:val="List Table 3 Accent 2"/>
    <w:basedOn w:val="Tablanormal"/>
    <w:uiPriority w:val="48"/>
    <w:rsid w:val="00FA6BB4"/>
    <w:pPr>
      <w:spacing w:after="0" w:line="240" w:lineRule="auto"/>
    </w:pPr>
    <w:tblPr>
      <w:tblStyleRowBandSize w:val="1"/>
      <w:tblStyleColBandSize w:val="1"/>
      <w:tblBorders>
        <w:top w:val="single" w:sz="4" w:space="0" w:color="3592CF" w:themeColor="accent2"/>
        <w:left w:val="single" w:sz="4" w:space="0" w:color="3592CF" w:themeColor="accent2"/>
        <w:bottom w:val="single" w:sz="4" w:space="0" w:color="3592CF" w:themeColor="accent2"/>
        <w:right w:val="single" w:sz="4" w:space="0" w:color="3592CF" w:themeColor="accent2"/>
      </w:tblBorders>
    </w:tblPr>
    <w:tblStylePr w:type="firstRow">
      <w:rPr>
        <w:b/>
        <w:bCs/>
        <w:color w:val="FFFFFF" w:themeColor="background1"/>
      </w:rPr>
      <w:tblPr/>
      <w:tcPr>
        <w:shd w:val="clear" w:color="auto" w:fill="3592CF" w:themeFill="accent2"/>
      </w:tcPr>
    </w:tblStylePr>
    <w:tblStylePr w:type="lastRow">
      <w:rPr>
        <w:b/>
        <w:bCs/>
      </w:rPr>
      <w:tblPr/>
      <w:tcPr>
        <w:tcBorders>
          <w:top w:val="double" w:sz="4" w:space="0" w:color="3592CF"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3592CF" w:themeColor="accent2"/>
          <w:right w:val="single" w:sz="4" w:space="0" w:color="3592CF" w:themeColor="accent2"/>
        </w:tcBorders>
      </w:tcPr>
    </w:tblStylePr>
    <w:tblStylePr w:type="band1Horz">
      <w:tblPr/>
      <w:tcPr>
        <w:tcBorders>
          <w:top w:val="single" w:sz="4" w:space="0" w:color="3592CF" w:themeColor="accent2"/>
          <w:bottom w:val="single" w:sz="4" w:space="0" w:color="3592CF"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3592CF" w:themeColor="accent2"/>
          <w:left w:val="nil"/>
        </w:tcBorders>
      </w:tcPr>
    </w:tblStylePr>
    <w:tblStylePr w:type="swCell">
      <w:tblPr/>
      <w:tcPr>
        <w:tcBorders>
          <w:top w:val="double" w:sz="4" w:space="0" w:color="3592CF" w:themeColor="accent2"/>
          <w:right w:val="nil"/>
        </w:tcBorders>
      </w:tcPr>
    </w:tblStylePr>
  </w:style>
  <w:style w:type="character" w:styleId="Hipervnculo">
    <w:name w:val="Hyperlink"/>
    <w:basedOn w:val="Fuentedeprrafopredeter"/>
    <w:uiPriority w:val="99"/>
    <w:unhideWhenUsed/>
    <w:rsid w:val="00817422"/>
    <w:rPr>
      <w:color w:val="3592C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3957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8845/tm.v25i5.471" TargetMode="External"/><Relationship Id="rId18" Type="http://schemas.openxmlformats.org/officeDocument/2006/relationships/hyperlink" Target="https://doi.org/10.1016/j.spc.2019.10.006" TargetMode="External"/><Relationship Id="rId26" Type="http://schemas.openxmlformats.org/officeDocument/2006/relationships/hyperlink" Target="https://doi.org/10.1007/s00248-014-0464-8" TargetMode="External"/><Relationship Id="rId39" Type="http://schemas.openxmlformats.org/officeDocument/2006/relationships/header" Target="header1.xml"/><Relationship Id="rId21" Type="http://schemas.openxmlformats.org/officeDocument/2006/relationships/hyperlink" Target="https://doi.org/http:/dx.doi.org/10.15359/rca.45-1.5" TargetMode="External"/><Relationship Id="rId34" Type="http://schemas.openxmlformats.org/officeDocument/2006/relationships/hyperlink" Target="https://urbanage.lsecities.net/essays/green-economy-for-an-urban-age" TargetMode="External"/><Relationship Id="rId42" Type="http://schemas.openxmlformats.org/officeDocument/2006/relationships/glossaryDocument" Target="glossary/document.xml"/><Relationship Id="rId7" Type="http://schemas.openxmlformats.org/officeDocument/2006/relationships/image" Target="media/image1.jpg"/><Relationship Id="rId2" Type="http://schemas.openxmlformats.org/officeDocument/2006/relationships/styles" Target="styles.xml"/><Relationship Id="rId16" Type="http://schemas.openxmlformats.org/officeDocument/2006/relationships/hyperlink" Target="https://doi.org/10.1007/s12665-017-6658-x" TargetMode="External"/><Relationship Id="rId20" Type="http://schemas.openxmlformats.org/officeDocument/2006/relationships/hyperlink" Target="https://doi.org/10.5209/rev_obmd.2015.v18.51289" TargetMode="External"/><Relationship Id="rId29" Type="http://schemas.openxmlformats.org/officeDocument/2006/relationships/hyperlink" Target="https://doi.org/10.2307/2530120"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cran.r-project.org/package=asbio" TargetMode="External"/><Relationship Id="rId24" Type="http://schemas.openxmlformats.org/officeDocument/2006/relationships/hyperlink" Target="https://doi.org/10.3390/ijerph15102224" TargetMode="External"/><Relationship Id="rId32" Type="http://schemas.openxmlformats.org/officeDocument/2006/relationships/hyperlink" Target="https://doi.org/2215%20%E2%80%93%20565" TargetMode="External"/><Relationship Id="rId37" Type="http://schemas.openxmlformats.org/officeDocument/2006/relationships/hyperlink" Target="https://doi.org/10.1006/eesa.2001.2081" TargetMode="External"/><Relationship Id="rId40"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doi.org/10.1007/s11270-012-1166-9" TargetMode="External"/><Relationship Id="rId23" Type="http://schemas.openxmlformats.org/officeDocument/2006/relationships/hyperlink" Target="https://doi.org/10.1016/j.jclepro.2013.01.003" TargetMode="External"/><Relationship Id="rId28" Type="http://schemas.openxmlformats.org/officeDocument/2006/relationships/hyperlink" Target="https://doi.org/10.2307/2335292" TargetMode="External"/><Relationship Id="rId36" Type="http://schemas.openxmlformats.org/officeDocument/2006/relationships/hyperlink" Target="https://doi.org/10.1016/j.ecolind.2018.05.007" TargetMode="External"/><Relationship Id="rId10" Type="http://schemas.openxmlformats.org/officeDocument/2006/relationships/image" Target="media/image4.tiff"/><Relationship Id="rId19" Type="http://schemas.openxmlformats.org/officeDocument/2006/relationships/hyperlink" Target="https://doi.org/10.1007/978-1-4757-3235-1" TargetMode="External"/><Relationship Id="rId31" Type="http://schemas.openxmlformats.org/officeDocument/2006/relationships/hyperlink" Target="https://doi.org/10.1007/s10311-014-0466-2" TargetMode="External"/><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hyperlink" Target="https://doi.org/10.1007/s00267-009-9309-5" TargetMode="External"/><Relationship Id="rId22" Type="http://schemas.openxmlformats.org/officeDocument/2006/relationships/hyperlink" Target="https://cran.r-project.org/package=NADA" TargetMode="External"/><Relationship Id="rId27" Type="http://schemas.openxmlformats.org/officeDocument/2006/relationships/hyperlink" Target="https://doi.org/10.2307/2344317" TargetMode="External"/><Relationship Id="rId30" Type="http://schemas.openxmlformats.org/officeDocument/2006/relationships/hyperlink" Target="https://www.r-project.org/" TargetMode="External"/><Relationship Id="rId35" Type="http://schemas.openxmlformats.org/officeDocument/2006/relationships/hyperlink" Target="https://doi.org/10.4324/9780203756171" TargetMode="External"/><Relationship Id="rId43" Type="http://schemas.openxmlformats.org/officeDocument/2006/relationships/theme" Target="theme/theme1.xml"/><Relationship Id="rId8" Type="http://schemas.openxmlformats.org/officeDocument/2006/relationships/image" Target="media/image2.tiff"/><Relationship Id="rId3" Type="http://schemas.openxmlformats.org/officeDocument/2006/relationships/settings" Target="settings.xml"/><Relationship Id="rId12" Type="http://schemas.openxmlformats.org/officeDocument/2006/relationships/hyperlink" Target="https://doi.org/http:/dx.doi.org/10.1207/s15327906mbr2902_2" TargetMode="External"/><Relationship Id="rId17" Type="http://schemas.openxmlformats.org/officeDocument/2006/relationships/hyperlink" Target="https://doi.org/10.1016/j.watres.2008.10.016" TargetMode="External"/><Relationship Id="rId25" Type="http://schemas.openxmlformats.org/officeDocument/2006/relationships/hyperlink" Target="https://doi.org/10.3390/w10070845" TargetMode="External"/><Relationship Id="rId33" Type="http://schemas.openxmlformats.org/officeDocument/2006/relationships/hyperlink" Target="https://doi.org/10.1007/s11356-015-5416-4" TargetMode="External"/><Relationship Id="rId38" Type="http://schemas.openxmlformats.org/officeDocument/2006/relationships/hyperlink" Target="https://doi.org/10.1016/j.scitotenv.2018.08.084"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AMRHI\AppData\Roaming\Microsoft\Templates\Report%20(Business%20design).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D0D41DDA12194DB6BAA13124B1F7DC18"/>
        <w:category>
          <w:name w:val="General"/>
          <w:gallery w:val="placeholder"/>
        </w:category>
        <w:types>
          <w:type w:val="bbPlcHdr"/>
        </w:types>
        <w:behaviors>
          <w:behavior w:val="content"/>
        </w:behaviors>
        <w:guid w:val="{1EB0C8B6-907B-4700-A2AB-8651949093CA}"/>
      </w:docPartPr>
      <w:docPartBody>
        <w:p w:rsidR="0096034D" w:rsidRDefault="00290360">
          <w:pPr>
            <w:pStyle w:val="D0D41DDA12194DB6BAA13124B1F7DC18"/>
          </w:pPr>
          <w:r>
            <w:t>COMPANY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0360"/>
    <w:rsid w:val="0001503B"/>
    <w:rsid w:val="00290360"/>
    <w:rsid w:val="004A4558"/>
    <w:rsid w:val="00605F9A"/>
    <w:rsid w:val="00781DF9"/>
    <w:rsid w:val="0096034D"/>
    <w:rsid w:val="009F0AFA"/>
    <w:rsid w:val="00A01471"/>
    <w:rsid w:val="00B66CB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s-CR" w:eastAsia="es-C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2"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ubttulo">
    <w:name w:val="Subtitle"/>
    <w:basedOn w:val="Normal"/>
    <w:link w:val="SubttuloCar"/>
    <w:uiPriority w:val="2"/>
    <w:qFormat/>
    <w:pPr>
      <w:framePr w:hSpace="180" w:wrap="around" w:vAnchor="text" w:hAnchor="margin" w:y="1167"/>
      <w:spacing w:after="0" w:line="276" w:lineRule="auto"/>
    </w:pPr>
    <w:rPr>
      <w:caps/>
      <w:color w:val="44546A" w:themeColor="text2"/>
      <w:spacing w:val="20"/>
      <w:sz w:val="32"/>
      <w:lang w:val="en-US" w:eastAsia="en-US"/>
    </w:rPr>
  </w:style>
  <w:style w:type="character" w:customStyle="1" w:styleId="SubttuloCar">
    <w:name w:val="Subtítulo Car"/>
    <w:basedOn w:val="Fuentedeprrafopredeter"/>
    <w:link w:val="Subttulo"/>
    <w:uiPriority w:val="2"/>
    <w:rPr>
      <w:caps/>
      <w:color w:val="44546A" w:themeColor="text2"/>
      <w:spacing w:val="20"/>
      <w:sz w:val="32"/>
      <w:lang w:val="en-US" w:eastAsia="en-US"/>
    </w:rPr>
  </w:style>
  <w:style w:type="paragraph" w:customStyle="1" w:styleId="D0D41DDA12194DB6BAA13124B1F7DC18">
    <w:name w:val="D0D41DDA12194DB6BAA13124B1F7DC1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Custom Theme">
  <a:themeElements>
    <a:clrScheme name="Custom 29">
      <a:dk1>
        <a:srgbClr val="0F0D29"/>
      </a:dk1>
      <a:lt1>
        <a:srgbClr val="FFFFFF"/>
      </a:lt1>
      <a:dk2>
        <a:srgbClr val="082A75"/>
      </a:dk2>
      <a:lt2>
        <a:srgbClr val="E7E6E6"/>
      </a:lt2>
      <a:accent1>
        <a:srgbClr val="024F75"/>
      </a:accent1>
      <a:accent2>
        <a:srgbClr val="3592CF"/>
      </a:accent2>
      <a:accent3>
        <a:srgbClr val="34ABA2"/>
      </a:accent3>
      <a:accent4>
        <a:srgbClr val="66B2CA"/>
      </a:accent4>
      <a:accent5>
        <a:srgbClr val="C1D9CB"/>
      </a:accent5>
      <a:accent6>
        <a:srgbClr val="34ABA2"/>
      </a:accent6>
      <a:hlink>
        <a:srgbClr val="3592CF"/>
      </a:hlink>
      <a:folHlink>
        <a:srgbClr val="3592CF"/>
      </a:folHlink>
    </a:clrScheme>
    <a:fontScheme name="Custom 20">
      <a:majorFont>
        <a:latin typeface="Arial"/>
        <a:ea typeface=""/>
        <a:cs typeface=""/>
      </a:majorFont>
      <a:minorFont>
        <a:latin typeface="Calibri"/>
        <a:ea typeface=""/>
        <a:cs typeface=""/>
      </a:minorFont>
    </a:fontScheme>
    <a:fmtScheme name="Office Effects">
      <a:fillStyleLst>
        <a:solidFill>
          <a:schemeClr val="phClr">
            <a:tint val="100000"/>
            <a:shade val="100000"/>
            <a:satMod val="100000"/>
          </a:schemeClr>
        </a:solidFill>
        <a:gradFill rotWithShape="1">
          <a:gsLst>
            <a:gs pos="0">
              <a:schemeClr val="phClr">
                <a:tint val="65000"/>
                <a:shade val="100000"/>
                <a:satMod val="133000"/>
              </a:schemeClr>
            </a:gs>
            <a:gs pos="15000">
              <a:schemeClr val="phClr">
                <a:tint val="50000"/>
                <a:shade val="100000"/>
                <a:satMod val="140000"/>
              </a:schemeClr>
            </a:gs>
            <a:gs pos="100000">
              <a:schemeClr val="phClr">
                <a:tint val="10000"/>
                <a:shade val="100000"/>
                <a:satMod val="135000"/>
              </a:schemeClr>
            </a:gs>
          </a:gsLst>
          <a:lin ang="16200000" scaled="1"/>
        </a:gradFill>
        <a:gradFill rotWithShape="1">
          <a:gsLst>
            <a:gs pos="0">
              <a:schemeClr val="phClr">
                <a:tint val="100000"/>
                <a:shade val="75000"/>
                <a:satMod val="160000"/>
              </a:schemeClr>
            </a:gs>
            <a:gs pos="62000">
              <a:schemeClr val="phClr">
                <a:tint val="100000"/>
                <a:shade val="100000"/>
                <a:satMod val="125000"/>
              </a:schemeClr>
            </a:gs>
            <a:gs pos="100000">
              <a:schemeClr val="phClr">
                <a:tint val="80000"/>
                <a:shade val="100000"/>
                <a:satMod val="140000"/>
              </a:schemeClr>
            </a:gs>
          </a:gsLst>
          <a:lin ang="16200000" scaled="1"/>
        </a:gradFill>
      </a:fillStyleLst>
      <a:lnStyleLst>
        <a:ln w="12700">
          <a:solidFill>
            <a:schemeClr val="phClr"/>
          </a:solidFill>
          <a:prstDash val="solid"/>
        </a:ln>
        <a:ln w="25400">
          <a:solidFill>
            <a:schemeClr val="phClr"/>
          </a:solidFill>
          <a:prstDash val="solid"/>
        </a:ln>
        <a:ln w="38100">
          <a:solidFill>
            <a:schemeClr val="phClr"/>
          </a:solidFill>
          <a:prstDash val="solid"/>
        </a:ln>
      </a:lnStyleLst>
      <a:effectStyleLst>
        <a:effectStyle>
          <a:effectLst>
            <a:outerShdw blurRad="50800" dist="25400" dir="5400000">
              <a:srgbClr val="000000">
                <a:alpha val="43137"/>
              </a:srgbClr>
            </a:outerShdw>
          </a:effectLst>
        </a:effectStyle>
        <a:effectStyle>
          <a:effectLst>
            <a:outerShdw blurRad="50800" dist="38100" dir="5400000">
              <a:srgbClr val="000000">
                <a:alpha val="61176"/>
              </a:srgbClr>
            </a:outerShdw>
          </a:effectLst>
          <a:scene3d>
            <a:camera prst="orthographicFront" fov="0">
              <a:rot lat="0" lon="0" rev="0"/>
            </a:camera>
            <a:lightRig rig="contrasting" dir="t">
              <a:rot lat="0" lon="0" rev="16500000"/>
            </a:lightRig>
          </a:scene3d>
          <a:sp3d contourW="12700" prstMaterial="powder">
            <a:bevelT h="50800"/>
            <a:contourClr>
              <a:schemeClr val="phClr">
                <a:tint val="100000"/>
                <a:shade val="100000"/>
                <a:satMod val="100000"/>
              </a:schemeClr>
            </a:contourClr>
          </a:sp3d>
        </a:effectStyle>
        <a:effectStyle>
          <a:effectLst>
            <a:reflection blurRad="12700" stA="25000" endPos="28000" dist="38100" dir="5400000" sy="-100000"/>
          </a:effectLst>
          <a:scene3d>
            <a:camera prst="orthographicFront" fov="0">
              <a:rot lat="0" lon="0" rev="0"/>
            </a:camera>
            <a:lightRig rig="threePt" dir="t">
              <a:rot lat="0" lon="0" rev="0"/>
            </a:lightRig>
          </a:scene3d>
          <a:sp3d>
            <a:bevelT w="139700" h="38100"/>
            <a:contourClr>
              <a:schemeClr val="phClr">
                <a:tint val="100000"/>
                <a:shade val="100000"/>
                <a:satMod val="100000"/>
              </a:schemeClr>
            </a:contourClr>
          </a:sp3d>
        </a:effectStyle>
      </a:effectStyleLst>
      <a:bgFillStyleLst>
        <a:solidFill>
          <a:schemeClr val="phClr">
            <a:tint val="100000"/>
            <a:shade val="100000"/>
            <a:satMod val="100000"/>
          </a:schemeClr>
        </a:solidFill>
        <a:gradFill rotWithShape="1">
          <a:gsLst>
            <a:gs pos="0">
              <a:schemeClr val="phClr">
                <a:tint val="100000"/>
                <a:shade val="50000"/>
                <a:satMod val="145000"/>
              </a:schemeClr>
            </a:gs>
            <a:gs pos="40000">
              <a:schemeClr val="phClr">
                <a:tint val="100000"/>
                <a:shade val="70000"/>
                <a:satMod val="145000"/>
              </a:schemeClr>
            </a:gs>
            <a:gs pos="100000">
              <a:schemeClr val="phClr">
                <a:tint val="85000"/>
                <a:shade val="100000"/>
                <a:satMod val="155000"/>
              </a:schemeClr>
            </a:gs>
          </a:gsLst>
          <a:lin ang="16200000" scaled="1"/>
        </a:gradFill>
        <a:gradFill rotWithShape="1">
          <a:gsLst>
            <a:gs pos="0">
              <a:schemeClr val="phClr">
                <a:tint val="100000"/>
                <a:shade val="50000"/>
                <a:satMod val="145000"/>
              </a:schemeClr>
            </a:gs>
            <a:gs pos="30000">
              <a:schemeClr val="phClr">
                <a:tint val="100000"/>
                <a:shade val="65000"/>
                <a:satMod val="155000"/>
              </a:schemeClr>
            </a:gs>
            <a:gs pos="100000">
              <a:schemeClr val="phClr">
                <a:tint val="60000"/>
                <a:shade val="100000"/>
                <a:satMod val="170000"/>
              </a:schemeClr>
            </a:gs>
          </a:gsLst>
          <a:lin ang="16200000" scaled="1"/>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7C188C-278D-4A64-8B33-0E52D0D70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 (Business design)</Template>
  <TotalTime>1029</TotalTime>
  <Pages>11</Pages>
  <Words>4521</Words>
  <Characters>24868</Characters>
  <Application>Microsoft Office Word</Application>
  <DocSecurity>0</DocSecurity>
  <Lines>207</Lines>
  <Paragraphs>58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LAMRHI</dc:creator>
  <cp:keywords/>
  <cp:lastModifiedBy>ROLANDO SANCHEZ  GUTIERREZ</cp:lastModifiedBy>
  <cp:revision>21</cp:revision>
  <cp:lastPrinted>2006-08-01T17:47:00Z</cp:lastPrinted>
  <dcterms:created xsi:type="dcterms:W3CDTF">2018-10-30T17:51:00Z</dcterms:created>
  <dcterms:modified xsi:type="dcterms:W3CDTF">2021-02-04T00:48:00Z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TC100670409990</vt:lpwstr>
  </property>
</Properties>
</file>